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outlineLvl w:val="9"/>
        <w:rPr>
          <w:rFonts w:ascii="宋体" w:hAnsi="宋体"/>
          <w:b/>
          <w:sz w:val="52"/>
          <w:szCs w:val="52"/>
        </w:rPr>
      </w:pPr>
      <w:bookmarkStart w:id="0" w:name="_Toc4114"/>
      <w:r>
        <w:rPr>
          <w:rFonts w:hint="eastAsia" w:ascii="宋体" w:hAnsi="宋体"/>
          <w:b/>
          <w:sz w:val="72"/>
          <w:szCs w:val="72"/>
        </w:rPr>
        <w:t>温馨提醒</w:t>
      </w:r>
      <w:bookmarkEnd w:id="0"/>
    </w:p>
    <w:p>
      <w:pPr>
        <w:numPr>
          <w:ilvl w:val="0"/>
          <w:numId w:val="2"/>
        </w:numPr>
        <w:spacing w:line="360" w:lineRule="auto"/>
        <w:ind w:left="425" w:leftChars="0" w:hanging="425" w:firstLineChars="0"/>
        <w:jc w:val="left"/>
        <w:rPr>
          <w:rFonts w:ascii="宋体" w:hAnsi="宋体"/>
          <w:b w:val="0"/>
          <w:bCs/>
          <w:sz w:val="24"/>
          <w:szCs w:val="24"/>
        </w:rPr>
      </w:pPr>
      <w:r>
        <w:rPr>
          <w:rFonts w:hint="eastAsia" w:ascii="宋体" w:hAnsi="宋体"/>
          <w:b w:val="0"/>
          <w:bCs/>
          <w:sz w:val="24"/>
          <w:szCs w:val="24"/>
        </w:rPr>
        <w:t>投标文件应按招标文件要求将“资格文件”、“商务和技术文件”、“报价文件”分别编制。</w:t>
      </w:r>
    </w:p>
    <w:p>
      <w:pPr>
        <w:numPr>
          <w:ilvl w:val="0"/>
          <w:numId w:val="2"/>
        </w:numPr>
        <w:spacing w:line="360" w:lineRule="auto"/>
        <w:ind w:left="425" w:leftChars="0" w:hanging="425" w:firstLineChars="0"/>
        <w:jc w:val="left"/>
        <w:rPr>
          <w:rFonts w:ascii="宋体" w:hAnsi="宋体"/>
          <w:b w:val="0"/>
          <w:bCs/>
          <w:sz w:val="24"/>
          <w:szCs w:val="24"/>
        </w:rPr>
      </w:pPr>
      <w:r>
        <w:rPr>
          <w:rFonts w:hint="eastAsia" w:ascii="宋体" w:hAnsi="宋体"/>
          <w:b w:val="0"/>
          <w:bCs/>
          <w:sz w:val="24"/>
          <w:szCs w:val="24"/>
        </w:rPr>
        <w:t>“商务和技术文件”中不得出现涉及投标价格的内容，否则作无效标处理。</w:t>
      </w:r>
    </w:p>
    <w:p>
      <w:pPr>
        <w:numPr>
          <w:ilvl w:val="0"/>
          <w:numId w:val="2"/>
        </w:numPr>
        <w:spacing w:line="360" w:lineRule="auto"/>
        <w:ind w:left="425" w:leftChars="0" w:hanging="425" w:firstLineChars="0"/>
        <w:jc w:val="left"/>
        <w:rPr>
          <w:rFonts w:hint="eastAsia" w:ascii="宋体" w:hAnsi="宋体"/>
          <w:b w:val="0"/>
          <w:bCs/>
          <w:color w:val="auto"/>
          <w:sz w:val="24"/>
          <w:szCs w:val="24"/>
        </w:rPr>
      </w:pPr>
      <w:r>
        <w:rPr>
          <w:rFonts w:hint="eastAsia" w:ascii="宋体" w:hAnsi="宋体"/>
          <w:b w:val="0"/>
          <w:bCs/>
          <w:sz w:val="24"/>
          <w:szCs w:val="24"/>
        </w:rPr>
        <w:t>采购人可以对已发出的招标文件进行必要的澄清</w:t>
      </w:r>
      <w:r>
        <w:rPr>
          <w:rFonts w:hint="eastAsia" w:ascii="宋体" w:hAnsi="宋体"/>
          <w:b w:val="0"/>
          <w:bCs/>
          <w:color w:val="auto"/>
          <w:sz w:val="24"/>
          <w:szCs w:val="24"/>
        </w:rPr>
        <w:t>或者修改，将以“更正公告”的形式发布在政采云平台，供应商应及时登录政采云平台，进行浏览并下载，未及时浏览下载的责任自负。</w:t>
      </w:r>
    </w:p>
    <w:p>
      <w:pPr>
        <w:pStyle w:val="2"/>
        <w:numPr>
          <w:ilvl w:val="0"/>
          <w:numId w:val="2"/>
        </w:numPr>
        <w:spacing w:line="360" w:lineRule="auto"/>
        <w:ind w:left="425" w:leftChars="0" w:hanging="425" w:firstLineChars="0"/>
        <w:rPr>
          <w:rFonts w:hint="eastAsia" w:ascii="宋体" w:hAnsi="宋体" w:eastAsia="宋体" w:cs="Times New Roman"/>
          <w:b w:val="0"/>
          <w:bCs/>
          <w:color w:val="auto"/>
          <w:kern w:val="2"/>
          <w:sz w:val="24"/>
          <w:szCs w:val="24"/>
          <w:lang w:val="en-US" w:eastAsia="zh-CN" w:bidi="ar-SA"/>
        </w:rPr>
      </w:pPr>
      <w:r>
        <w:rPr>
          <w:rFonts w:hint="eastAsia" w:ascii="宋体" w:hAnsi="宋体" w:eastAsia="宋体" w:cs="Times New Roman"/>
          <w:b w:val="0"/>
          <w:bCs/>
          <w:color w:val="auto"/>
          <w:kern w:val="2"/>
          <w:sz w:val="24"/>
          <w:szCs w:val="24"/>
          <w:lang w:val="en-US" w:eastAsia="zh-CN" w:bidi="ar-SA"/>
        </w:rPr>
        <w:t>供应商一旦依法被确认为中标人，其投标文件中的相关内容（主要中标标的的名称、单价、服务要求等），将会随中标结果公告一并发布在采购信息发布网上，接受社会监督。</w:t>
      </w:r>
    </w:p>
    <w:p>
      <w:pPr>
        <w:keepNext w:val="0"/>
        <w:keepLines w:val="0"/>
        <w:widowControl/>
        <w:suppressLineNumbers w:val="0"/>
        <w:jc w:val="left"/>
        <w:rPr>
          <w:rFonts w:hint="eastAsia" w:ascii="宋体" w:hAnsi="宋体" w:eastAsia="宋体" w:cs="宋体"/>
          <w:color w:val="auto"/>
          <w:kern w:val="0"/>
          <w:sz w:val="24"/>
          <w:szCs w:val="24"/>
          <w:lang w:val="en-US" w:eastAsia="zh-CN" w:bidi="ar"/>
        </w:rPr>
      </w:pPr>
    </w:p>
    <w:p>
      <w:pPr>
        <w:keepNext w:val="0"/>
        <w:keepLines w:val="0"/>
        <w:widowControl/>
        <w:suppressLineNumbers w:val="0"/>
        <w:jc w:val="left"/>
        <w:rPr>
          <w:b/>
          <w:bCs/>
          <w:color w:val="auto"/>
        </w:rPr>
      </w:pPr>
      <w:r>
        <w:rPr>
          <w:rFonts w:hint="eastAsia" w:ascii="宋体" w:hAnsi="宋体" w:eastAsia="宋体" w:cs="宋体"/>
          <w:b/>
          <w:bCs/>
          <w:color w:val="auto"/>
          <w:kern w:val="0"/>
          <w:sz w:val="24"/>
          <w:szCs w:val="24"/>
          <w:lang w:val="en-US" w:eastAsia="zh-CN" w:bidi="ar"/>
        </w:rPr>
        <w:t>（本提示内容非招标文件的组成部分，仅为善意提醒。如有不一致，以招标文件为准。）</w:t>
      </w:r>
    </w:p>
    <w:p>
      <w:pPr>
        <w:rPr>
          <w:rFonts w:hint="eastAsia" w:ascii="宋体" w:hAnsi="宋体" w:eastAsia="宋体" w:cs="Times New Roman"/>
          <w:b/>
          <w:color w:val="auto"/>
          <w:kern w:val="2"/>
          <w:sz w:val="30"/>
          <w:szCs w:val="30"/>
          <w:lang w:val="en-US" w:eastAsia="zh-CN" w:bidi="ar-SA"/>
        </w:rPr>
      </w:pPr>
      <w:r>
        <w:rPr>
          <w:rFonts w:hint="eastAsia" w:ascii="宋体" w:hAnsi="宋体" w:eastAsia="宋体" w:cs="Times New Roman"/>
          <w:b/>
          <w:color w:val="auto"/>
          <w:kern w:val="2"/>
          <w:sz w:val="30"/>
          <w:szCs w:val="30"/>
          <w:lang w:val="en-US" w:eastAsia="zh-CN" w:bidi="ar-SA"/>
        </w:rPr>
        <w:br w:type="page"/>
      </w:r>
    </w:p>
    <w:p>
      <w:pPr>
        <w:pStyle w:val="2"/>
        <w:rPr>
          <w:rFonts w:hint="eastAsia"/>
          <w:color w:val="auto"/>
          <w:lang w:eastAsia="zh-CN"/>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outlineLvl w:val="9"/>
        <w:rPr>
          <w:rFonts w:hint="eastAsia" w:ascii="宋体" w:hAnsi="宋体" w:eastAsia="宋体" w:cs="宋体"/>
          <w:b/>
          <w:color w:val="auto"/>
          <w:kern w:val="0"/>
          <w:sz w:val="52"/>
          <w:szCs w:val="52"/>
        </w:rPr>
      </w:pPr>
      <w:bookmarkStart w:id="1" w:name="_Toc21884"/>
      <w:r>
        <w:rPr>
          <w:rFonts w:hint="eastAsia" w:ascii="宋体" w:hAnsi="宋体" w:eastAsia="宋体" w:cs="宋体"/>
          <w:b/>
          <w:color w:val="auto"/>
          <w:kern w:val="0"/>
          <w:sz w:val="52"/>
          <w:szCs w:val="52"/>
          <w:lang w:eastAsia="zh-CN"/>
        </w:rPr>
        <w:t>台州市</w:t>
      </w:r>
      <w:r>
        <w:rPr>
          <w:rFonts w:hint="eastAsia" w:ascii="宋体" w:hAnsi="宋体" w:eastAsia="宋体" w:cs="宋体"/>
          <w:b/>
          <w:color w:val="auto"/>
          <w:kern w:val="0"/>
          <w:sz w:val="52"/>
          <w:szCs w:val="52"/>
        </w:rPr>
        <w:t>政府采购</w:t>
      </w:r>
      <w:bookmarkEnd w:id="1"/>
    </w:p>
    <w:tbl>
      <w:tblPr>
        <w:tblStyle w:val="21"/>
        <w:tblpPr w:leftFromText="180" w:rightFromText="180" w:vertAnchor="text" w:horzAnchor="page" w:tblpX="2171" w:tblpY="2286"/>
        <w:tblOverlap w:val="never"/>
        <w:tblW w:w="7905" w:type="dxa"/>
        <w:tblInd w:w="0" w:type="dxa"/>
        <w:tblLayout w:type="fixed"/>
        <w:tblCellMar>
          <w:top w:w="0" w:type="dxa"/>
          <w:left w:w="108" w:type="dxa"/>
          <w:bottom w:w="0" w:type="dxa"/>
          <w:right w:w="108" w:type="dxa"/>
        </w:tblCellMar>
      </w:tblPr>
      <w:tblGrid>
        <w:gridCol w:w="2385"/>
        <w:gridCol w:w="5520"/>
      </w:tblGrid>
      <w:tr>
        <w:tblPrEx>
          <w:tblCellMar>
            <w:top w:w="0" w:type="dxa"/>
            <w:left w:w="108" w:type="dxa"/>
            <w:bottom w:w="0" w:type="dxa"/>
            <w:right w:w="108" w:type="dxa"/>
          </w:tblCellMar>
        </w:tblPrEx>
        <w:trPr>
          <w:trHeight w:val="681" w:hRule="atLeast"/>
        </w:trPr>
        <w:tc>
          <w:tcPr>
            <w:tcW w:w="2385" w:type="dxa"/>
            <w:vAlign w:val="center"/>
          </w:tcPr>
          <w:p>
            <w:pPr>
              <w:widowControl/>
              <w:snapToGrid w:val="0"/>
              <w:spacing w:line="500" w:lineRule="exact"/>
              <w:jc w:val="center"/>
              <w:rPr>
                <w:rFonts w:hint="default" w:ascii="宋体" w:hAnsi="宋体" w:eastAsia="宋体" w:cs="宋体"/>
                <w:b w:val="0"/>
                <w:bCs w:val="0"/>
                <w:color w:val="auto"/>
                <w:sz w:val="32"/>
                <w:szCs w:val="32"/>
                <w:lang w:val="en-US" w:eastAsia="zh-CN"/>
              </w:rPr>
            </w:pPr>
            <w:bookmarkStart w:id="2" w:name="_Toc5097"/>
            <w:r>
              <w:rPr>
                <w:rFonts w:hint="eastAsia" w:ascii="宋体" w:hAnsi="宋体" w:cs="宋体"/>
                <w:b w:val="0"/>
                <w:bCs w:val="0"/>
                <w:color w:val="auto"/>
                <w:sz w:val="32"/>
                <w:szCs w:val="32"/>
                <w:lang w:val="en-US" w:eastAsia="zh-CN"/>
              </w:rPr>
              <w:t>项目编号</w:t>
            </w:r>
          </w:p>
        </w:tc>
        <w:tc>
          <w:tcPr>
            <w:tcW w:w="5520" w:type="dxa"/>
            <w:vAlign w:val="center"/>
          </w:tcPr>
          <w:p>
            <w:pPr>
              <w:widowControl/>
              <w:snapToGrid w:val="0"/>
              <w:spacing w:line="500" w:lineRule="exact"/>
              <w:jc w:val="both"/>
              <w:rPr>
                <w:rFonts w:hint="eastAsia" w:ascii="宋体" w:hAnsi="宋体" w:eastAsia="宋体" w:cs="宋体"/>
                <w:color w:val="auto"/>
                <w:kern w:val="0"/>
                <w:sz w:val="32"/>
                <w:szCs w:val="32"/>
                <w:lang w:val="en-US" w:eastAsia="zh-CN"/>
              </w:rPr>
            </w:pPr>
            <w:r>
              <w:rPr>
                <w:rFonts w:hint="eastAsia" w:ascii="宋体" w:hAnsi="宋体" w:cs="宋体"/>
                <w:color w:val="auto"/>
                <w:kern w:val="0"/>
                <w:sz w:val="32"/>
                <w:szCs w:val="32"/>
                <w:lang w:val="en-US" w:eastAsia="zh-CN"/>
              </w:rPr>
              <w:t>TZYY-2208-004号</w:t>
            </w:r>
          </w:p>
        </w:tc>
      </w:tr>
      <w:tr>
        <w:tblPrEx>
          <w:tblCellMar>
            <w:top w:w="0" w:type="dxa"/>
            <w:left w:w="108" w:type="dxa"/>
            <w:bottom w:w="0" w:type="dxa"/>
            <w:right w:w="108" w:type="dxa"/>
          </w:tblCellMar>
        </w:tblPrEx>
        <w:trPr>
          <w:trHeight w:val="681" w:hRule="atLeast"/>
        </w:trPr>
        <w:tc>
          <w:tcPr>
            <w:tcW w:w="2385" w:type="dxa"/>
            <w:vAlign w:val="center"/>
          </w:tcPr>
          <w:p>
            <w:pPr>
              <w:widowControl/>
              <w:snapToGrid w:val="0"/>
              <w:spacing w:line="500" w:lineRule="exact"/>
              <w:jc w:val="center"/>
              <w:rPr>
                <w:rFonts w:hint="eastAsia" w:ascii="宋体" w:hAnsi="宋体" w:eastAsia="宋体" w:cs="宋体"/>
                <w:b w:val="0"/>
                <w:bCs w:val="0"/>
                <w:color w:val="auto"/>
                <w:kern w:val="2"/>
                <w:sz w:val="32"/>
                <w:szCs w:val="32"/>
                <w:lang w:val="en-US" w:eastAsia="zh-CN" w:bidi="ar-SA"/>
              </w:rPr>
            </w:pPr>
            <w:r>
              <w:rPr>
                <w:rFonts w:hint="eastAsia" w:ascii="宋体" w:hAnsi="宋体" w:cs="宋体"/>
                <w:b w:val="0"/>
                <w:bCs w:val="0"/>
                <w:color w:val="auto"/>
                <w:kern w:val="0"/>
                <w:sz w:val="32"/>
                <w:szCs w:val="32"/>
                <w:lang w:val="en-US" w:eastAsia="zh-CN"/>
              </w:rPr>
              <w:t>采购项目</w:t>
            </w:r>
          </w:p>
        </w:tc>
        <w:tc>
          <w:tcPr>
            <w:tcW w:w="5520" w:type="dxa"/>
            <w:vAlign w:val="center"/>
          </w:tcPr>
          <w:p>
            <w:pPr>
              <w:widowControl/>
              <w:snapToGrid w:val="0"/>
              <w:spacing w:line="500" w:lineRule="exact"/>
              <w:jc w:val="both"/>
              <w:rPr>
                <w:rFonts w:hint="eastAsia" w:ascii="宋体" w:hAnsi="宋体" w:eastAsia="宋体" w:cs="宋体"/>
                <w:color w:val="auto"/>
                <w:kern w:val="0"/>
                <w:sz w:val="32"/>
                <w:szCs w:val="32"/>
                <w:lang w:val="en-US" w:eastAsia="zh-CN"/>
              </w:rPr>
            </w:pPr>
            <w:r>
              <w:rPr>
                <w:rFonts w:hint="eastAsia" w:ascii="宋体" w:hAnsi="宋体" w:cs="宋体"/>
                <w:color w:val="auto"/>
                <w:kern w:val="0"/>
                <w:sz w:val="32"/>
                <w:szCs w:val="32"/>
                <w:lang w:val="en-US" w:eastAsia="zh-CN"/>
              </w:rPr>
              <w:t>台州市公共安全综合保险项目</w:t>
            </w:r>
          </w:p>
        </w:tc>
      </w:tr>
      <w:tr>
        <w:tblPrEx>
          <w:tblCellMar>
            <w:top w:w="0" w:type="dxa"/>
            <w:left w:w="108" w:type="dxa"/>
            <w:bottom w:w="0" w:type="dxa"/>
            <w:right w:w="108" w:type="dxa"/>
          </w:tblCellMar>
        </w:tblPrEx>
        <w:trPr>
          <w:trHeight w:val="681" w:hRule="atLeast"/>
        </w:trPr>
        <w:tc>
          <w:tcPr>
            <w:tcW w:w="2385" w:type="dxa"/>
            <w:vAlign w:val="center"/>
          </w:tcPr>
          <w:p>
            <w:pPr>
              <w:widowControl/>
              <w:snapToGrid w:val="0"/>
              <w:spacing w:line="500" w:lineRule="exact"/>
              <w:jc w:val="center"/>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项目类别</w:t>
            </w:r>
          </w:p>
        </w:tc>
        <w:tc>
          <w:tcPr>
            <w:tcW w:w="5520" w:type="dxa"/>
            <w:vAlign w:val="center"/>
          </w:tcPr>
          <w:p>
            <w:pPr>
              <w:widowControl/>
              <w:snapToGrid w:val="0"/>
              <w:spacing w:line="500" w:lineRule="exact"/>
              <w:jc w:val="both"/>
              <w:rPr>
                <w:rFonts w:hint="default" w:ascii="宋体" w:hAnsi="宋体" w:eastAsia="宋体" w:cs="宋体"/>
                <w:color w:val="auto"/>
                <w:kern w:val="0"/>
                <w:sz w:val="32"/>
                <w:szCs w:val="32"/>
                <w:lang w:val="en-US" w:eastAsia="zh-CN"/>
              </w:rPr>
            </w:pPr>
            <w:r>
              <w:rPr>
                <w:rFonts w:hint="eastAsia" w:ascii="宋体" w:hAnsi="宋体" w:eastAsia="宋体" w:cs="宋体"/>
                <w:i w:val="0"/>
                <w:iCs w:val="0"/>
                <w:color w:val="auto"/>
                <w:kern w:val="0"/>
                <w:sz w:val="32"/>
                <w:szCs w:val="32"/>
                <w:lang w:val="en-US" w:eastAsia="zh-CN"/>
              </w:rPr>
              <w:t>服务</w:t>
            </w:r>
            <w:r>
              <w:rPr>
                <w:rFonts w:hint="eastAsia" w:ascii="宋体" w:hAnsi="宋体" w:cs="宋体"/>
                <w:i w:val="0"/>
                <w:iCs w:val="0"/>
                <w:color w:val="auto"/>
                <w:kern w:val="0"/>
                <w:sz w:val="32"/>
                <w:szCs w:val="32"/>
                <w:lang w:val="en-US" w:eastAsia="zh-CN"/>
              </w:rPr>
              <w:t>类</w:t>
            </w:r>
          </w:p>
        </w:tc>
      </w:tr>
    </w:tbl>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outlineLvl w:val="9"/>
        <w:rPr>
          <w:rFonts w:hint="eastAsia" w:ascii="宋体" w:hAnsi="宋体" w:eastAsia="宋体" w:cs="宋体"/>
          <w:b/>
          <w:color w:val="auto"/>
          <w:kern w:val="0"/>
          <w:sz w:val="52"/>
          <w:szCs w:val="52"/>
          <w:lang w:eastAsia="zh-CN"/>
        </w:rPr>
      </w:pPr>
      <w:r>
        <w:rPr>
          <w:rFonts w:hint="eastAsia" w:ascii="宋体" w:hAnsi="宋体" w:cs="宋体"/>
          <w:b/>
          <w:color w:val="auto"/>
          <w:kern w:val="0"/>
          <w:sz w:val="52"/>
          <w:szCs w:val="52"/>
          <w:lang w:eastAsia="zh-CN"/>
        </w:rPr>
        <w:t>采购文件</w:t>
      </w:r>
      <w:bookmarkEnd w:id="2"/>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hint="eastAsia" w:ascii="宋体" w:hAnsi="宋体" w:eastAsia="宋体" w:cs="宋体"/>
          <w:b/>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hint="eastAsia" w:ascii="宋体" w:hAnsi="宋体" w:eastAsia="宋体" w:cs="宋体"/>
          <w:color w:val="auto"/>
          <w:kern w:val="0"/>
          <w:sz w:val="24"/>
        </w:rPr>
      </w:pPr>
    </w:p>
    <w:p>
      <w:pPr>
        <w:pStyle w:val="29"/>
        <w:rPr>
          <w:rFonts w:hint="eastAsia"/>
          <w:color w:val="auto"/>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hint="eastAsia" w:ascii="宋体" w:hAnsi="宋体" w:eastAsia="宋体" w:cs="宋体"/>
          <w:color w:val="auto"/>
          <w:kern w:val="0"/>
          <w:sz w:val="32"/>
        </w:rPr>
      </w:pPr>
    </w:p>
    <w:p>
      <w:pPr>
        <w:pStyle w:val="9"/>
        <w:rPr>
          <w:rFonts w:hint="eastAsia" w:ascii="宋体" w:hAnsi="宋体" w:eastAsia="宋体" w:cs="宋体"/>
          <w:color w:val="auto"/>
          <w:kern w:val="0"/>
          <w:sz w:val="32"/>
        </w:rPr>
      </w:pPr>
    </w:p>
    <w:p>
      <w:pPr>
        <w:pStyle w:val="9"/>
        <w:rPr>
          <w:rFonts w:hint="eastAsia" w:ascii="宋体" w:hAnsi="宋体" w:eastAsia="宋体" w:cs="宋体"/>
          <w:color w:val="auto"/>
          <w:kern w:val="0"/>
          <w:sz w:val="32"/>
        </w:rPr>
      </w:pPr>
    </w:p>
    <w:p>
      <w:pPr>
        <w:pStyle w:val="9"/>
        <w:rPr>
          <w:rFonts w:hint="eastAsia" w:ascii="宋体" w:hAnsi="宋体" w:eastAsia="宋体" w:cs="宋体"/>
          <w:color w:val="auto"/>
          <w:kern w:val="0"/>
          <w:sz w:val="32"/>
        </w:rPr>
      </w:pPr>
    </w:p>
    <w:p>
      <w:pPr>
        <w:spacing w:line="360" w:lineRule="auto"/>
        <w:rPr>
          <w:rFonts w:hint="eastAsia" w:ascii="宋体" w:hAnsi="宋体" w:eastAsia="宋体" w:cs="宋体"/>
          <w:color w:val="auto"/>
        </w:rPr>
      </w:pPr>
    </w:p>
    <w:tbl>
      <w:tblPr>
        <w:tblStyle w:val="21"/>
        <w:tblpPr w:leftFromText="180" w:rightFromText="180" w:vertAnchor="text" w:horzAnchor="page" w:tblpXSpec="center" w:tblpY="68"/>
        <w:tblOverlap w:val="never"/>
        <w:tblW w:w="7818" w:type="dxa"/>
        <w:jc w:val="center"/>
        <w:tblLayout w:type="fixed"/>
        <w:tblCellMar>
          <w:top w:w="0" w:type="dxa"/>
          <w:left w:w="108" w:type="dxa"/>
          <w:bottom w:w="0" w:type="dxa"/>
          <w:right w:w="108" w:type="dxa"/>
        </w:tblCellMar>
      </w:tblPr>
      <w:tblGrid>
        <w:gridCol w:w="2402"/>
        <w:gridCol w:w="5416"/>
      </w:tblGrid>
      <w:tr>
        <w:tblPrEx>
          <w:tblCellMar>
            <w:top w:w="0" w:type="dxa"/>
            <w:left w:w="108" w:type="dxa"/>
            <w:bottom w:w="0" w:type="dxa"/>
            <w:right w:w="108" w:type="dxa"/>
          </w:tblCellMar>
        </w:tblPrEx>
        <w:trPr>
          <w:trHeight w:val="744" w:hRule="atLeast"/>
          <w:jc w:val="center"/>
        </w:trPr>
        <w:tc>
          <w:tcPr>
            <w:tcW w:w="2402" w:type="dxa"/>
            <w:vAlign w:val="center"/>
          </w:tcPr>
          <w:p>
            <w:pPr>
              <w:widowControl/>
              <w:snapToGrid w:val="0"/>
              <w:spacing w:line="500" w:lineRule="exact"/>
              <w:jc w:val="center"/>
              <w:rPr>
                <w:rFonts w:hint="eastAsia" w:ascii="宋体" w:hAnsi="宋体" w:eastAsia="宋体" w:cs="宋体"/>
                <w:color w:val="auto"/>
                <w:kern w:val="2"/>
                <w:sz w:val="32"/>
                <w:szCs w:val="32"/>
                <w:lang w:val="en-US" w:eastAsia="zh-CN" w:bidi="ar-SA"/>
              </w:rPr>
            </w:pPr>
            <w:r>
              <w:rPr>
                <w:rFonts w:hint="eastAsia" w:ascii="宋体" w:hAnsi="宋体" w:cs="宋体"/>
                <w:color w:val="auto"/>
                <w:spacing w:val="240"/>
                <w:kern w:val="0"/>
                <w:sz w:val="32"/>
                <w:szCs w:val="32"/>
                <w:fitText w:val="1920" w:id="905727547"/>
                <w:lang w:val="en-US" w:eastAsia="zh-CN"/>
              </w:rPr>
              <w:t>采购</w:t>
            </w:r>
            <w:r>
              <w:rPr>
                <w:rFonts w:hint="eastAsia" w:ascii="宋体" w:hAnsi="宋体" w:cs="宋体"/>
                <w:color w:val="auto"/>
                <w:spacing w:val="0"/>
                <w:kern w:val="0"/>
                <w:sz w:val="32"/>
                <w:szCs w:val="32"/>
                <w:fitText w:val="1920" w:id="905727547"/>
                <w:lang w:val="en-US" w:eastAsia="zh-CN"/>
              </w:rPr>
              <w:t>人</w:t>
            </w:r>
          </w:p>
        </w:tc>
        <w:tc>
          <w:tcPr>
            <w:tcW w:w="5416" w:type="dxa"/>
            <w:vAlign w:val="center"/>
          </w:tcPr>
          <w:p>
            <w:pPr>
              <w:widowControl/>
              <w:snapToGrid w:val="0"/>
              <w:spacing w:line="500" w:lineRule="exact"/>
              <w:jc w:val="both"/>
              <w:rPr>
                <w:rFonts w:hint="eastAsia"/>
                <w:color w:val="auto"/>
                <w:lang w:val="en-US" w:eastAsia="zh-CN"/>
              </w:rPr>
            </w:pPr>
            <w:r>
              <w:rPr>
                <w:rFonts w:hint="eastAsia" w:ascii="宋体" w:hAnsi="宋体" w:cs="宋体"/>
                <w:color w:val="auto"/>
                <w:kern w:val="0"/>
                <w:sz w:val="32"/>
                <w:szCs w:val="32"/>
                <w:lang w:val="en-US" w:eastAsia="zh-CN"/>
              </w:rPr>
              <w:t>中共台州市委政法委员会</w:t>
            </w:r>
          </w:p>
        </w:tc>
      </w:tr>
      <w:tr>
        <w:tblPrEx>
          <w:tblCellMar>
            <w:top w:w="0" w:type="dxa"/>
            <w:left w:w="108" w:type="dxa"/>
            <w:bottom w:w="0" w:type="dxa"/>
            <w:right w:w="108" w:type="dxa"/>
          </w:tblCellMar>
        </w:tblPrEx>
        <w:trPr>
          <w:trHeight w:val="744" w:hRule="atLeast"/>
          <w:jc w:val="center"/>
        </w:trPr>
        <w:tc>
          <w:tcPr>
            <w:tcW w:w="2402" w:type="dxa"/>
            <w:vAlign w:val="center"/>
          </w:tcPr>
          <w:p>
            <w:pPr>
              <w:widowControl/>
              <w:snapToGrid w:val="0"/>
              <w:spacing w:line="500" w:lineRule="exact"/>
              <w:jc w:val="center"/>
              <w:rPr>
                <w:rFonts w:hint="eastAsia" w:ascii="宋体" w:hAnsi="宋体" w:eastAsia="宋体" w:cs="宋体"/>
                <w:color w:val="auto"/>
                <w:kern w:val="2"/>
                <w:sz w:val="32"/>
                <w:szCs w:val="32"/>
                <w:lang w:val="en-US" w:eastAsia="zh-CN" w:bidi="ar-SA"/>
              </w:rPr>
            </w:pPr>
            <w:r>
              <w:rPr>
                <w:rFonts w:hint="eastAsia" w:ascii="宋体" w:hAnsi="宋体" w:cs="宋体"/>
                <w:color w:val="auto"/>
                <w:kern w:val="0"/>
                <w:sz w:val="32"/>
                <w:szCs w:val="32"/>
                <w:lang w:val="en-US" w:eastAsia="zh-CN"/>
              </w:rPr>
              <w:t>采购代理机构</w:t>
            </w:r>
          </w:p>
        </w:tc>
        <w:tc>
          <w:tcPr>
            <w:tcW w:w="5416" w:type="dxa"/>
            <w:vAlign w:val="center"/>
          </w:tcPr>
          <w:p>
            <w:pPr>
              <w:widowControl/>
              <w:snapToGrid w:val="0"/>
              <w:spacing w:line="500" w:lineRule="exact"/>
              <w:jc w:val="both"/>
              <w:rPr>
                <w:rFonts w:hint="default" w:ascii="宋体" w:hAnsi="宋体" w:eastAsia="宋体" w:cs="宋体"/>
                <w:color w:val="auto"/>
                <w:kern w:val="0"/>
                <w:sz w:val="32"/>
                <w:szCs w:val="32"/>
                <w:lang w:val="en-US" w:eastAsia="zh-CN"/>
              </w:rPr>
            </w:pPr>
            <w:r>
              <w:rPr>
                <w:rFonts w:hint="eastAsia" w:ascii="宋体" w:hAnsi="宋体" w:cs="宋体"/>
                <w:color w:val="auto"/>
                <w:kern w:val="0"/>
                <w:sz w:val="32"/>
                <w:szCs w:val="32"/>
                <w:lang w:val="en-US" w:eastAsia="zh-CN"/>
              </w:rPr>
              <w:t>台州市永阳科技有限公司</w:t>
            </w:r>
          </w:p>
        </w:tc>
      </w:tr>
      <w:tr>
        <w:tblPrEx>
          <w:tblCellMar>
            <w:top w:w="0" w:type="dxa"/>
            <w:left w:w="108" w:type="dxa"/>
            <w:bottom w:w="0" w:type="dxa"/>
            <w:right w:w="108" w:type="dxa"/>
          </w:tblCellMar>
        </w:tblPrEx>
        <w:trPr>
          <w:trHeight w:val="744" w:hRule="atLeast"/>
          <w:jc w:val="center"/>
        </w:trPr>
        <w:tc>
          <w:tcPr>
            <w:tcW w:w="2402" w:type="dxa"/>
            <w:vAlign w:val="center"/>
          </w:tcPr>
          <w:p>
            <w:pPr>
              <w:widowControl/>
              <w:snapToGrid w:val="0"/>
              <w:spacing w:line="500" w:lineRule="exact"/>
              <w:jc w:val="center"/>
              <w:rPr>
                <w:rFonts w:hint="eastAsia" w:ascii="宋体" w:hAnsi="宋体" w:eastAsia="宋体" w:cs="宋体"/>
                <w:color w:val="auto"/>
                <w:kern w:val="2"/>
                <w:sz w:val="32"/>
                <w:szCs w:val="32"/>
                <w:lang w:val="en-US" w:eastAsia="zh-CN" w:bidi="ar-SA"/>
              </w:rPr>
            </w:pPr>
            <w:r>
              <w:rPr>
                <w:rFonts w:hint="eastAsia" w:ascii="宋体" w:hAnsi="宋体" w:cs="宋体"/>
                <w:color w:val="auto"/>
                <w:spacing w:val="1"/>
                <w:w w:val="85"/>
                <w:kern w:val="0"/>
                <w:sz w:val="32"/>
                <w:szCs w:val="32"/>
                <w:fitText w:val="1920" w:id="2023251605"/>
                <w:lang w:val="en-US" w:eastAsia="zh-CN"/>
              </w:rPr>
              <w:t xml:space="preserve">日          </w:t>
            </w:r>
            <w:r>
              <w:rPr>
                <w:rFonts w:hint="eastAsia" w:ascii="宋体" w:hAnsi="宋体" w:cs="宋体"/>
                <w:color w:val="auto"/>
                <w:spacing w:val="0"/>
                <w:w w:val="85"/>
                <w:kern w:val="0"/>
                <w:sz w:val="32"/>
                <w:szCs w:val="32"/>
                <w:fitText w:val="1920" w:id="2023251605"/>
                <w:lang w:val="en-US" w:eastAsia="zh-CN"/>
              </w:rPr>
              <w:t>期</w:t>
            </w:r>
          </w:p>
        </w:tc>
        <w:tc>
          <w:tcPr>
            <w:tcW w:w="5416" w:type="dxa"/>
            <w:vAlign w:val="center"/>
          </w:tcPr>
          <w:p>
            <w:pPr>
              <w:widowControl/>
              <w:snapToGrid w:val="0"/>
              <w:spacing w:line="500" w:lineRule="exact"/>
              <w:jc w:val="both"/>
              <w:rPr>
                <w:rFonts w:hint="eastAsia" w:ascii="宋体" w:hAnsi="宋体" w:eastAsia="宋体" w:cs="宋体"/>
                <w:color w:val="auto"/>
                <w:kern w:val="0"/>
                <w:sz w:val="32"/>
                <w:szCs w:val="32"/>
                <w:lang w:val="en-US" w:eastAsia="zh-CN"/>
              </w:rPr>
            </w:pPr>
            <w:r>
              <w:rPr>
                <w:rFonts w:hint="eastAsia" w:ascii="宋体" w:hAnsi="宋体" w:cs="宋体"/>
                <w:color w:val="auto"/>
                <w:kern w:val="0"/>
                <w:sz w:val="32"/>
                <w:szCs w:val="32"/>
                <w:lang w:val="en-US" w:eastAsia="zh-CN"/>
              </w:rPr>
              <w:t>2022年</w:t>
            </w:r>
            <w:r>
              <w:rPr>
                <w:rFonts w:hint="eastAsia" w:ascii="宋体" w:hAnsi="宋体" w:eastAsia="宋体" w:cs="宋体"/>
                <w:color w:val="auto"/>
                <w:kern w:val="0"/>
                <w:sz w:val="32"/>
                <w:szCs w:val="32"/>
                <w:lang w:val="en-US" w:eastAsia="zh-CN"/>
              </w:rPr>
              <w:t>0</w:t>
            </w:r>
            <w:r>
              <w:rPr>
                <w:rFonts w:hint="eastAsia" w:ascii="宋体" w:hAnsi="宋体" w:cs="宋体"/>
                <w:color w:val="auto"/>
                <w:kern w:val="0"/>
                <w:sz w:val="32"/>
                <w:szCs w:val="32"/>
                <w:lang w:val="en-US" w:eastAsia="zh-CN"/>
              </w:rPr>
              <w:t>9</w:t>
            </w:r>
            <w:r>
              <w:rPr>
                <w:rFonts w:hint="eastAsia" w:ascii="宋体" w:hAnsi="宋体" w:eastAsia="宋体" w:cs="宋体"/>
                <w:color w:val="auto"/>
                <w:kern w:val="0"/>
                <w:sz w:val="32"/>
                <w:szCs w:val="32"/>
                <w:lang w:val="en-US" w:eastAsia="zh-CN"/>
              </w:rPr>
              <w:t>月</w:t>
            </w:r>
          </w:p>
        </w:tc>
      </w:tr>
    </w:tbl>
    <w:p>
      <w:pPr>
        <w:rPr>
          <w:rFonts w:hint="eastAsia" w:ascii="宋体" w:hAnsi="宋体" w:eastAsia="宋体" w:cs="宋体"/>
          <w:b/>
          <w:bCs/>
          <w:color w:val="auto"/>
          <w:sz w:val="36"/>
          <w:szCs w:val="36"/>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宋体" w:hAnsi="宋体" w:eastAsia="宋体" w:cs="宋体"/>
          <w:b/>
          <w:bCs/>
          <w:color w:val="auto"/>
          <w:sz w:val="36"/>
          <w:szCs w:val="36"/>
        </w:rPr>
        <w:br w:type="page"/>
      </w:r>
    </w:p>
    <w:p>
      <w:pPr>
        <w:jc w:val="center"/>
        <w:outlineLvl w:val="9"/>
        <w:rPr>
          <w:rFonts w:hint="eastAsia" w:ascii="宋体" w:hAnsi="宋体" w:eastAsia="宋体" w:cs="宋体"/>
          <w:b/>
          <w:bCs/>
          <w:color w:val="auto"/>
          <w:sz w:val="36"/>
          <w:szCs w:val="36"/>
        </w:rPr>
      </w:pPr>
      <w:bookmarkStart w:id="3" w:name="_Toc15638"/>
      <w:r>
        <w:rPr>
          <w:rFonts w:hint="eastAsia" w:ascii="宋体" w:hAnsi="宋体" w:eastAsia="宋体" w:cs="宋体"/>
          <w:b/>
          <w:bCs/>
          <w:color w:val="auto"/>
          <w:sz w:val="36"/>
          <w:szCs w:val="36"/>
        </w:rPr>
        <w:t>目    录</w:t>
      </w:r>
      <w:bookmarkEnd w:id="3"/>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hint="eastAsia" w:ascii="宋体" w:hAnsi="宋体" w:eastAsia="宋体" w:cs="宋体"/>
          <w:b/>
          <w:color w:val="auto"/>
          <w:sz w:val="36"/>
        </w:rPr>
      </w:pPr>
    </w:p>
    <w:p>
      <w:pPr>
        <w:spacing w:line="360" w:lineRule="auto"/>
        <w:rPr>
          <w:rFonts w:hint="eastAsia" w:ascii="宋体" w:hAnsi="宋体" w:eastAsia="宋体" w:cs="宋体"/>
          <w:color w:val="auto"/>
          <w:sz w:val="28"/>
          <w:szCs w:val="28"/>
        </w:rPr>
      </w:pPr>
    </w:p>
    <w:p>
      <w:pPr>
        <w:numPr>
          <w:ilvl w:val="0"/>
          <w:numId w:val="3"/>
        </w:numPr>
        <w:spacing w:line="360" w:lineRule="auto"/>
        <w:outlineLvl w:val="9"/>
        <w:rPr>
          <w:rFonts w:hint="eastAsia" w:ascii="宋体" w:hAnsi="宋体" w:eastAsia="宋体" w:cs="宋体"/>
          <w:b/>
          <w:color w:val="auto"/>
          <w:sz w:val="28"/>
          <w:szCs w:val="28"/>
        </w:rPr>
      </w:pPr>
      <w:bookmarkStart w:id="4" w:name="_Toc8930"/>
      <w:r>
        <w:rPr>
          <w:rFonts w:hint="eastAsia" w:ascii="宋体" w:hAnsi="宋体" w:eastAsia="宋体" w:cs="宋体"/>
          <w:b/>
          <w:color w:val="auto"/>
          <w:sz w:val="28"/>
          <w:szCs w:val="28"/>
        </w:rPr>
        <w:t>公开招标采购公告</w:t>
      </w:r>
      <w:bookmarkEnd w:id="4"/>
    </w:p>
    <w:p>
      <w:pPr>
        <w:numPr>
          <w:ilvl w:val="0"/>
          <w:numId w:val="3"/>
        </w:numPr>
        <w:spacing w:line="360" w:lineRule="auto"/>
        <w:outlineLvl w:val="9"/>
        <w:rPr>
          <w:rFonts w:hint="eastAsia" w:ascii="宋体" w:hAnsi="宋体" w:eastAsia="宋体" w:cs="宋体"/>
          <w:b/>
          <w:color w:val="auto"/>
          <w:sz w:val="28"/>
          <w:szCs w:val="28"/>
        </w:rPr>
      </w:pPr>
      <w:bookmarkStart w:id="5" w:name="_Toc24946"/>
      <w:r>
        <w:rPr>
          <w:rFonts w:hint="eastAsia" w:ascii="宋体" w:hAnsi="宋体" w:eastAsia="宋体" w:cs="宋体"/>
          <w:b/>
          <w:color w:val="auto"/>
          <w:sz w:val="28"/>
          <w:szCs w:val="28"/>
          <w:lang w:eastAsia="zh-CN"/>
        </w:rPr>
        <w:t>投标人</w:t>
      </w:r>
      <w:r>
        <w:rPr>
          <w:rFonts w:hint="eastAsia" w:ascii="宋体" w:hAnsi="宋体" w:eastAsia="宋体" w:cs="宋体"/>
          <w:b/>
          <w:color w:val="auto"/>
          <w:sz w:val="28"/>
          <w:szCs w:val="28"/>
        </w:rPr>
        <w:t>须知</w:t>
      </w:r>
      <w:bookmarkEnd w:id="5"/>
    </w:p>
    <w:p>
      <w:pPr>
        <w:numPr>
          <w:ilvl w:val="0"/>
          <w:numId w:val="3"/>
        </w:numPr>
        <w:spacing w:line="360" w:lineRule="auto"/>
        <w:outlineLvl w:val="9"/>
        <w:rPr>
          <w:rFonts w:hint="eastAsia" w:ascii="宋体" w:hAnsi="宋体" w:eastAsia="宋体" w:cs="宋体"/>
          <w:b/>
          <w:color w:val="auto"/>
          <w:sz w:val="28"/>
          <w:szCs w:val="28"/>
        </w:rPr>
      </w:pPr>
      <w:bookmarkStart w:id="6" w:name="_Toc23065"/>
      <w:r>
        <w:rPr>
          <w:rFonts w:hint="eastAsia" w:ascii="宋体" w:hAnsi="宋体" w:eastAsia="宋体" w:cs="宋体"/>
          <w:b/>
          <w:color w:val="auto"/>
          <w:sz w:val="28"/>
          <w:szCs w:val="28"/>
        </w:rPr>
        <w:t>评标办法及评分标准</w:t>
      </w:r>
      <w:bookmarkEnd w:id="6"/>
    </w:p>
    <w:p>
      <w:pPr>
        <w:numPr>
          <w:ilvl w:val="0"/>
          <w:numId w:val="3"/>
        </w:numPr>
        <w:spacing w:line="360" w:lineRule="auto"/>
        <w:outlineLvl w:val="9"/>
        <w:rPr>
          <w:rFonts w:hint="eastAsia" w:ascii="宋体" w:hAnsi="宋体" w:eastAsia="宋体" w:cs="宋体"/>
          <w:b/>
          <w:color w:val="auto"/>
          <w:sz w:val="28"/>
          <w:szCs w:val="28"/>
        </w:rPr>
      </w:pPr>
      <w:bookmarkStart w:id="7" w:name="_Toc1680"/>
      <w:r>
        <w:rPr>
          <w:rFonts w:hint="eastAsia" w:ascii="宋体" w:hAnsi="宋体" w:eastAsia="宋体" w:cs="宋体"/>
          <w:b/>
          <w:color w:val="auto"/>
          <w:sz w:val="28"/>
          <w:szCs w:val="28"/>
        </w:rPr>
        <w:t>公开招标需求</w:t>
      </w:r>
      <w:bookmarkEnd w:id="7"/>
    </w:p>
    <w:p>
      <w:pPr>
        <w:numPr>
          <w:ilvl w:val="0"/>
          <w:numId w:val="3"/>
        </w:numPr>
        <w:spacing w:line="360" w:lineRule="auto"/>
        <w:outlineLvl w:val="9"/>
        <w:rPr>
          <w:rFonts w:hint="eastAsia" w:ascii="宋体" w:hAnsi="宋体" w:eastAsia="宋体" w:cs="宋体"/>
          <w:b/>
          <w:color w:val="auto"/>
          <w:sz w:val="28"/>
          <w:szCs w:val="28"/>
        </w:rPr>
      </w:pPr>
      <w:bookmarkStart w:id="8" w:name="_Toc25490"/>
      <w:r>
        <w:rPr>
          <w:rFonts w:hint="eastAsia" w:ascii="宋体" w:hAnsi="宋体" w:eastAsia="宋体" w:cs="宋体"/>
          <w:b/>
          <w:color w:val="auto"/>
          <w:sz w:val="28"/>
          <w:szCs w:val="28"/>
        </w:rPr>
        <w:t>政府采购合同主要条款指引</w:t>
      </w:r>
      <w:bookmarkEnd w:id="8"/>
    </w:p>
    <w:p>
      <w:pPr>
        <w:numPr>
          <w:ilvl w:val="0"/>
          <w:numId w:val="3"/>
        </w:numPr>
        <w:spacing w:line="360" w:lineRule="auto"/>
        <w:outlineLvl w:val="9"/>
        <w:rPr>
          <w:rFonts w:hint="eastAsia" w:ascii="宋体" w:hAnsi="宋体" w:eastAsia="宋体" w:cs="宋体"/>
          <w:b/>
          <w:color w:val="auto"/>
          <w:sz w:val="28"/>
          <w:szCs w:val="28"/>
        </w:rPr>
      </w:pPr>
      <w:bookmarkStart w:id="9" w:name="_Toc29768"/>
      <w:r>
        <w:rPr>
          <w:rFonts w:hint="eastAsia" w:ascii="宋体" w:hAnsi="宋体" w:cs="宋体"/>
          <w:b/>
          <w:color w:val="auto"/>
          <w:sz w:val="28"/>
          <w:szCs w:val="28"/>
          <w:lang w:eastAsia="zh-CN"/>
        </w:rPr>
        <w:t>投标文件</w:t>
      </w:r>
      <w:r>
        <w:rPr>
          <w:rFonts w:hint="eastAsia" w:ascii="宋体" w:hAnsi="宋体" w:eastAsia="宋体" w:cs="宋体"/>
          <w:b/>
          <w:color w:val="auto"/>
          <w:sz w:val="28"/>
          <w:szCs w:val="28"/>
        </w:rPr>
        <w:t>格式附件</w:t>
      </w:r>
      <w:bookmarkEnd w:id="9"/>
    </w:p>
    <w:p>
      <w:pPr>
        <w:pStyle w:val="3"/>
        <w:tabs>
          <w:tab w:val="left" w:pos="0"/>
          <w:tab w:val="left" w:pos="3165"/>
          <w:tab w:val="center" w:pos="4153"/>
        </w:tabs>
        <w:autoSpaceDE w:val="0"/>
        <w:autoSpaceDN w:val="0"/>
        <w:adjustRightInd w:val="0"/>
        <w:spacing w:before="0" w:after="0" w:line="360" w:lineRule="auto"/>
        <w:jc w:val="center"/>
        <w:rPr>
          <w:rFonts w:hint="eastAsia" w:ascii="宋体" w:hAnsi="宋体" w:eastAsia="宋体" w:cs="宋体"/>
          <w:b/>
          <w:color w:val="auto"/>
          <w:kern w:val="0"/>
          <w:sz w:val="36"/>
          <w:szCs w:val="36"/>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bookmarkStart w:id="10" w:name="_Toc7717"/>
      <w:bookmarkStart w:id="11" w:name="_Toc14757"/>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color w:val="auto"/>
        </w:rPr>
      </w:pPr>
      <w:r>
        <w:rPr>
          <w:rFonts w:hint="eastAsia" w:ascii="宋体" w:hAnsi="宋体" w:eastAsia="宋体" w:cs="宋体"/>
          <w:b/>
          <w:color w:val="auto"/>
          <w:kern w:val="0"/>
          <w:sz w:val="36"/>
          <w:szCs w:val="36"/>
        </w:rPr>
        <w:t xml:space="preserve">第一章  </w:t>
      </w:r>
      <w:r>
        <w:rPr>
          <w:rFonts w:hint="eastAsia" w:ascii="宋体" w:hAnsi="宋体" w:eastAsia="宋体" w:cs="宋体"/>
          <w:b/>
          <w:color w:val="auto"/>
          <w:sz w:val="36"/>
          <w:szCs w:val="36"/>
        </w:rPr>
        <w:t>招标</w:t>
      </w:r>
      <w:bookmarkStart w:id="12" w:name="_Toc28359078"/>
      <w:bookmarkStart w:id="13" w:name="_Toc28359001"/>
      <w:r>
        <w:rPr>
          <w:rFonts w:hint="eastAsia" w:ascii="宋体" w:hAnsi="宋体" w:eastAsia="宋体" w:cs="宋体"/>
          <w:b/>
          <w:color w:val="auto"/>
          <w:sz w:val="36"/>
          <w:szCs w:val="36"/>
        </w:rPr>
        <w:t>公告</w:t>
      </w:r>
      <w:bookmarkEnd w:id="10"/>
      <w:bookmarkEnd w:id="11"/>
      <w:bookmarkEnd w:id="12"/>
      <w:bookmarkEnd w:id="13"/>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项目概况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r>
              <w:rPr>
                <w:rFonts w:hint="eastAsia" w:ascii="宋体" w:hAnsi="宋体" w:cs="宋体"/>
                <w:color w:val="auto"/>
                <w:sz w:val="24"/>
                <w:szCs w:val="24"/>
                <w:u w:val="single"/>
                <w:lang w:eastAsia="zh-CN"/>
              </w:rPr>
              <w:t>台州市公共安全综合保险项目</w:t>
            </w:r>
            <w:r>
              <w:rPr>
                <w:rFonts w:hint="eastAsia" w:ascii="宋体" w:hAnsi="宋体" w:eastAsia="宋体" w:cs="宋体"/>
                <w:color w:val="auto"/>
                <w:sz w:val="24"/>
                <w:szCs w:val="24"/>
              </w:rPr>
              <w:t>的潜在投标人应在</w:t>
            </w:r>
            <w:r>
              <w:rPr>
                <w:rFonts w:hint="eastAsia" w:ascii="宋体" w:hAnsi="宋体" w:cs="宋体"/>
                <w:color w:val="auto"/>
                <w:sz w:val="24"/>
                <w:szCs w:val="24"/>
                <w:u w:val="single"/>
                <w:lang w:eastAsia="zh-CN"/>
              </w:rPr>
              <w:t>政采云平台（</w:t>
            </w:r>
            <w:r>
              <w:rPr>
                <w:rFonts w:hint="eastAsia" w:ascii="宋体" w:hAnsi="宋体" w:eastAsia="宋体" w:cs="宋体"/>
                <w:color w:val="auto"/>
                <w:sz w:val="24"/>
                <w:szCs w:val="24"/>
                <w:u w:val="single"/>
                <w:lang w:eastAsia="zh-CN"/>
              </w:rPr>
              <w:t>www.zcygov.cn</w:t>
            </w:r>
            <w:r>
              <w:rPr>
                <w:rFonts w:hint="eastAsia" w:ascii="宋体" w:hAnsi="宋体" w:cs="宋体"/>
                <w:color w:val="auto"/>
                <w:sz w:val="24"/>
                <w:szCs w:val="24"/>
                <w:u w:val="single"/>
                <w:lang w:eastAsia="zh-CN"/>
              </w:rPr>
              <w:t>）</w:t>
            </w:r>
            <w:r>
              <w:rPr>
                <w:rFonts w:hint="eastAsia" w:ascii="宋体" w:hAnsi="宋体" w:eastAsia="宋体" w:cs="宋体"/>
                <w:color w:val="auto"/>
                <w:sz w:val="24"/>
                <w:szCs w:val="24"/>
              </w:rPr>
              <w:t>获取</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下载</w:t>
            </w:r>
            <w:r>
              <w:rPr>
                <w:rFonts w:hint="eastAsia" w:ascii="宋体" w:hAnsi="宋体" w:cs="宋体"/>
                <w:color w:val="auto"/>
                <w:sz w:val="24"/>
                <w:szCs w:val="24"/>
                <w:lang w:eastAsia="zh-CN"/>
              </w:rPr>
              <w:t>）</w:t>
            </w:r>
            <w:r>
              <w:rPr>
                <w:rFonts w:hint="eastAsia" w:ascii="宋体" w:hAnsi="宋体" w:eastAsia="宋体" w:cs="宋体"/>
                <w:color w:val="auto"/>
                <w:sz w:val="24"/>
                <w:szCs w:val="24"/>
              </w:rPr>
              <w:t>招标文件，并于</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10月17日</w:t>
            </w:r>
            <w:r>
              <w:rPr>
                <w:rFonts w:hint="eastAsia" w:ascii="宋体" w:hAnsi="宋体" w:cs="宋体"/>
                <w:color w:val="auto"/>
                <w:sz w:val="24"/>
                <w:szCs w:val="24"/>
                <w:lang w:eastAsia="zh-CN"/>
              </w:rPr>
              <w:t>09:00</w:t>
            </w:r>
            <w:r>
              <w:rPr>
                <w:rFonts w:hint="eastAsia" w:ascii="宋体" w:hAnsi="宋体" w:eastAsia="宋体" w:cs="宋体"/>
                <w:color w:val="auto"/>
                <w:sz w:val="24"/>
                <w:szCs w:val="24"/>
              </w:rPr>
              <w:t>分（北京时间）前递交</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上传</w:t>
            </w:r>
            <w:r>
              <w:rPr>
                <w:rFonts w:hint="eastAsia" w:ascii="宋体" w:hAnsi="宋体" w:cs="宋体"/>
                <w:color w:val="auto"/>
                <w:sz w:val="24"/>
                <w:szCs w:val="24"/>
                <w:lang w:eastAsia="zh-CN"/>
              </w:rPr>
              <w:t>）</w:t>
            </w:r>
            <w:r>
              <w:rPr>
                <w:rFonts w:hint="eastAsia" w:ascii="宋体" w:hAnsi="宋体" w:eastAsia="宋体" w:cs="宋体"/>
                <w:color w:val="auto"/>
                <w:sz w:val="24"/>
                <w:szCs w:val="24"/>
              </w:rPr>
              <w:t>投标文件。</w:t>
            </w:r>
          </w:p>
        </w:tc>
      </w:tr>
    </w:tbl>
    <w:p>
      <w:pPr>
        <w:numPr>
          <w:ilvl w:val="0"/>
          <w:numId w:val="4"/>
        </w:numPr>
        <w:spacing w:line="360" w:lineRule="auto"/>
        <w:ind w:left="0" w:leftChars="0" w:firstLine="0" w:firstLineChars="0"/>
        <w:outlineLvl w:val="1"/>
        <w:rPr>
          <w:rFonts w:hint="eastAsia" w:ascii="宋体" w:hAnsi="宋体" w:eastAsia="宋体" w:cs="宋体"/>
          <w:b/>
          <w:bCs/>
          <w:color w:val="auto"/>
          <w:sz w:val="24"/>
          <w:szCs w:val="24"/>
        </w:rPr>
      </w:pPr>
      <w:bookmarkStart w:id="14" w:name="_Toc28359002"/>
      <w:bookmarkStart w:id="15" w:name="_Toc21249"/>
      <w:bookmarkStart w:id="16" w:name="_Toc28359079"/>
      <w:bookmarkStart w:id="17" w:name="_Toc11217"/>
      <w:bookmarkStart w:id="18" w:name="_Hlk24379207"/>
      <w:r>
        <w:rPr>
          <w:rFonts w:hint="eastAsia" w:ascii="宋体" w:hAnsi="宋体" w:eastAsia="宋体" w:cs="宋体"/>
          <w:b/>
          <w:bCs/>
          <w:color w:val="auto"/>
          <w:sz w:val="24"/>
          <w:szCs w:val="24"/>
        </w:rPr>
        <w:t>项目基本情况</w:t>
      </w:r>
      <w:bookmarkEnd w:id="14"/>
      <w:bookmarkEnd w:id="15"/>
      <w:bookmarkEnd w:id="16"/>
      <w:bookmarkEnd w:id="17"/>
    </w:p>
    <w:p>
      <w:pPr>
        <w:spacing w:line="360" w:lineRule="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项目</w:t>
      </w:r>
      <w:r>
        <w:rPr>
          <w:rFonts w:hint="eastAsia" w:ascii="宋体" w:hAnsi="宋体" w:eastAsia="宋体" w:cs="宋体"/>
          <w:color w:val="auto"/>
          <w:sz w:val="24"/>
          <w:szCs w:val="24"/>
        </w:rPr>
        <w:t>编号：</w:t>
      </w:r>
      <w:r>
        <w:rPr>
          <w:rFonts w:hint="eastAsia" w:ascii="宋体" w:hAnsi="宋体" w:cs="宋体"/>
          <w:color w:val="auto"/>
          <w:sz w:val="24"/>
          <w:szCs w:val="24"/>
          <w:u w:val="single"/>
          <w:lang w:eastAsia="zh-CN"/>
        </w:rPr>
        <w:t>TZYY-2208-004号</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w:t>
      </w:r>
      <w:r>
        <w:rPr>
          <w:rFonts w:hint="eastAsia" w:ascii="宋体" w:hAnsi="宋体" w:cs="宋体"/>
          <w:color w:val="auto"/>
          <w:sz w:val="24"/>
          <w:szCs w:val="24"/>
          <w:u w:val="single"/>
          <w:lang w:eastAsia="zh-CN"/>
        </w:rPr>
        <w:t>台州市公共安全综合保险项目</w:t>
      </w:r>
    </w:p>
    <w:bookmarkEnd w:id="18"/>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预算金额</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元</w:t>
      </w:r>
      <w:r>
        <w:rPr>
          <w:rFonts w:hint="eastAsia" w:ascii="宋体" w:hAnsi="宋体" w:cs="宋体"/>
          <w:color w:val="auto"/>
          <w:sz w:val="24"/>
          <w:szCs w:val="24"/>
          <w:lang w:eastAsia="zh-CN"/>
        </w:rPr>
        <w:t>）</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1332.2万</w:t>
      </w:r>
    </w:p>
    <w:p>
      <w:pPr>
        <w:spacing w:line="360" w:lineRule="auto"/>
        <w:rPr>
          <w:rFonts w:hint="eastAsia"/>
          <w:color w:val="auto"/>
        </w:rPr>
      </w:pPr>
      <w:r>
        <w:rPr>
          <w:rFonts w:hint="eastAsia" w:ascii="宋体" w:hAnsi="宋体" w:eastAsia="宋体" w:cs="宋体"/>
          <w:color w:val="auto"/>
          <w:sz w:val="24"/>
          <w:szCs w:val="24"/>
        </w:rPr>
        <w:t>最高限价</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元</w:t>
      </w:r>
      <w:r>
        <w:rPr>
          <w:rFonts w:hint="eastAsia" w:ascii="宋体" w:hAnsi="宋体" w:cs="宋体"/>
          <w:color w:val="auto"/>
          <w:sz w:val="24"/>
          <w:szCs w:val="24"/>
          <w:lang w:eastAsia="zh-CN"/>
        </w:rPr>
        <w:t>）</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采购需求：</w:t>
      </w:r>
    </w:p>
    <w:p>
      <w:pPr>
        <w:pStyle w:val="2"/>
        <w:spacing w:line="360" w:lineRule="auto"/>
        <w:ind w:left="0" w:leftChars="0"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标项名称:</w:t>
      </w:r>
      <w:r>
        <w:rPr>
          <w:rFonts w:hint="eastAsia" w:ascii="宋体" w:hAnsi="宋体" w:cs="宋体"/>
          <w:color w:val="auto"/>
          <w:kern w:val="2"/>
          <w:sz w:val="24"/>
          <w:szCs w:val="24"/>
          <w:lang w:val="en-US" w:eastAsia="zh-CN" w:bidi="ar-SA"/>
        </w:rPr>
        <w:t>台州市公共安全综合保险项目</w:t>
      </w:r>
    </w:p>
    <w:p>
      <w:pPr>
        <w:pStyle w:val="2"/>
        <w:spacing w:line="360" w:lineRule="auto"/>
        <w:ind w:left="0" w:leftChars="0" w:firstLine="0" w:firstLineChars="0"/>
        <w:rPr>
          <w:rFonts w:hint="eastAsia" w:ascii="宋体" w:hAnsi="宋体" w:eastAsia="宋体" w:cs="宋体"/>
          <w:i w:val="0"/>
          <w:iCs w:val="0"/>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数量:1</w:t>
      </w:r>
      <w:r>
        <w:rPr>
          <w:rFonts w:hint="eastAsia" w:ascii="宋体" w:hAnsi="宋体" w:eastAsia="宋体" w:cs="宋体"/>
          <w:color w:val="auto"/>
          <w:kern w:val="2"/>
          <w:sz w:val="24"/>
          <w:szCs w:val="24"/>
          <w:lang w:val="en-US" w:eastAsia="zh-CN" w:bidi="ar-SA"/>
        </w:rPr>
        <w:br w:type="textWrapping"/>
      </w:r>
      <w:r>
        <w:rPr>
          <w:rFonts w:hint="eastAsia" w:ascii="宋体" w:hAnsi="宋体" w:eastAsia="宋体" w:cs="宋体"/>
          <w:i w:val="0"/>
          <w:iCs w:val="0"/>
          <w:color w:val="auto"/>
          <w:kern w:val="2"/>
          <w:sz w:val="24"/>
          <w:szCs w:val="24"/>
          <w:lang w:val="en-US" w:eastAsia="zh-CN" w:bidi="ar-SA"/>
        </w:rPr>
        <w:t>预算金额（元）:</w:t>
      </w:r>
      <w:r>
        <w:rPr>
          <w:rFonts w:hint="eastAsia" w:ascii="宋体" w:hAnsi="宋体" w:cs="宋体"/>
          <w:i w:val="0"/>
          <w:iCs w:val="0"/>
          <w:color w:val="auto"/>
          <w:kern w:val="2"/>
          <w:sz w:val="24"/>
          <w:szCs w:val="24"/>
          <w:lang w:val="en-US" w:eastAsia="zh-CN" w:bidi="ar-SA"/>
        </w:rPr>
        <w:t>/</w:t>
      </w:r>
    </w:p>
    <w:p>
      <w:pPr>
        <w:pStyle w:val="2"/>
        <w:spacing w:line="360" w:lineRule="auto"/>
        <w:ind w:left="0" w:leftChars="0" w:firstLine="0" w:firstLineChars="0"/>
        <w:rPr>
          <w:rFonts w:hint="eastAsia" w:ascii="宋体" w:hAnsi="宋体" w:eastAsia="宋体" w:cs="宋体"/>
          <w:i w:val="0"/>
          <w:iCs w:val="0"/>
          <w:color w:val="auto"/>
          <w:kern w:val="2"/>
          <w:sz w:val="24"/>
          <w:szCs w:val="24"/>
          <w:lang w:val="en-US" w:eastAsia="zh-CN" w:bidi="ar-SA"/>
        </w:rPr>
      </w:pPr>
      <w:r>
        <w:rPr>
          <w:rFonts w:hint="eastAsia" w:ascii="宋体" w:hAnsi="宋体" w:eastAsia="宋体" w:cs="宋体"/>
          <w:i w:val="0"/>
          <w:iCs w:val="0"/>
          <w:color w:val="auto"/>
          <w:kern w:val="2"/>
          <w:sz w:val="24"/>
          <w:szCs w:val="24"/>
          <w:lang w:val="en-US" w:eastAsia="zh-CN" w:bidi="ar-SA"/>
        </w:rPr>
        <w:t>简要规格描述或项目基本概况介绍、用途：详见“公开招标需求”</w:t>
      </w:r>
    </w:p>
    <w:p>
      <w:pPr>
        <w:pStyle w:val="2"/>
        <w:spacing w:line="360" w:lineRule="auto"/>
        <w:ind w:left="0" w:leftChars="0" w:firstLine="0" w:firstLineChars="0"/>
        <w:rPr>
          <w:rFonts w:hint="eastAsia" w:ascii="宋体" w:hAnsi="宋体" w:eastAsia="宋体" w:cs="宋体"/>
          <w:i w:val="0"/>
          <w:iCs w:val="0"/>
          <w:color w:val="auto"/>
          <w:kern w:val="2"/>
          <w:sz w:val="24"/>
          <w:szCs w:val="24"/>
          <w:lang w:val="en-US" w:eastAsia="zh-CN" w:bidi="ar-SA"/>
        </w:rPr>
      </w:pPr>
      <w:r>
        <w:rPr>
          <w:rFonts w:hint="eastAsia" w:ascii="宋体" w:hAnsi="宋体" w:eastAsia="宋体" w:cs="宋体"/>
          <w:i w:val="0"/>
          <w:iCs w:val="0"/>
          <w:color w:val="auto"/>
          <w:kern w:val="2"/>
          <w:sz w:val="24"/>
          <w:szCs w:val="24"/>
          <w:lang w:val="en-US" w:eastAsia="zh-CN" w:bidi="ar-SA"/>
        </w:rPr>
        <w:t>备注：</w:t>
      </w:r>
      <w:r>
        <w:rPr>
          <w:rFonts w:hint="eastAsia" w:ascii="宋体" w:hAnsi="宋体" w:eastAsia="宋体" w:cs="宋体"/>
          <w:i w:val="0"/>
          <w:iCs w:val="0"/>
          <w:color w:val="auto"/>
          <w:sz w:val="24"/>
          <w:szCs w:val="24"/>
          <w:lang w:eastAsia="zh-CN"/>
        </w:rPr>
        <w:t>本次采购产品为非进口产品。</w:t>
      </w:r>
    </w:p>
    <w:p>
      <w:pPr>
        <w:spacing w:line="360" w:lineRule="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合同履行期限：标项 1</w:t>
      </w:r>
      <w:r>
        <w:rPr>
          <w:rFonts w:hint="eastAsia" w:ascii="宋体" w:hAnsi="宋体" w:cs="宋体"/>
          <w:i w:val="0"/>
          <w:iCs w:val="0"/>
          <w:color w:val="auto"/>
          <w:sz w:val="24"/>
          <w:szCs w:val="24"/>
          <w:lang w:eastAsia="zh-CN"/>
        </w:rPr>
        <w:t>，</w:t>
      </w:r>
      <w:r>
        <w:rPr>
          <w:rFonts w:hint="eastAsia" w:ascii="宋体" w:hAnsi="宋体" w:cs="宋体"/>
          <w:i w:val="0"/>
          <w:iCs w:val="0"/>
          <w:color w:val="auto"/>
          <w:sz w:val="24"/>
          <w:szCs w:val="24"/>
          <w:lang w:val="en-US" w:eastAsia="zh-CN"/>
        </w:rPr>
        <w:t>服务期：一年，且本保单遗留索赔事件处理完成为止。</w:t>
      </w:r>
    </w:p>
    <w:p>
      <w:pPr>
        <w:spacing w:line="360" w:lineRule="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rPr>
        <w:t>本项目</w:t>
      </w:r>
      <w:r>
        <w:rPr>
          <w:rFonts w:hint="eastAsia" w:ascii="宋体" w:hAnsi="宋体" w:cs="宋体"/>
          <w:i w:val="0"/>
          <w:iCs w:val="0"/>
          <w:color w:val="auto"/>
          <w:sz w:val="24"/>
          <w:szCs w:val="24"/>
          <w:lang w:val="en-US" w:eastAsia="zh-CN"/>
        </w:rPr>
        <w:t>不</w:t>
      </w:r>
      <w:r>
        <w:rPr>
          <w:rFonts w:hint="eastAsia" w:ascii="宋体" w:hAnsi="宋体" w:eastAsia="宋体" w:cs="宋体"/>
          <w:i w:val="0"/>
          <w:iCs w:val="0"/>
          <w:color w:val="auto"/>
          <w:sz w:val="24"/>
          <w:szCs w:val="24"/>
        </w:rPr>
        <w:t>接受联合体投标</w:t>
      </w:r>
      <w:r>
        <w:rPr>
          <w:rFonts w:hint="eastAsia" w:ascii="宋体" w:hAnsi="宋体" w:cs="宋体"/>
          <w:i w:val="0"/>
          <w:iCs w:val="0"/>
          <w:color w:val="auto"/>
          <w:sz w:val="24"/>
          <w:szCs w:val="24"/>
          <w:lang w:eastAsia="zh-CN"/>
        </w:rPr>
        <w:t>。</w:t>
      </w:r>
    </w:p>
    <w:p>
      <w:pPr>
        <w:numPr>
          <w:ilvl w:val="0"/>
          <w:numId w:val="4"/>
        </w:numPr>
        <w:spacing w:line="360" w:lineRule="auto"/>
        <w:ind w:left="0" w:leftChars="0" w:firstLine="0" w:firstLineChars="0"/>
        <w:outlineLvl w:val="1"/>
        <w:rPr>
          <w:rFonts w:hint="eastAsia" w:ascii="宋体" w:hAnsi="宋体" w:eastAsia="宋体" w:cs="宋体"/>
          <w:b/>
          <w:bCs/>
          <w:color w:val="auto"/>
          <w:sz w:val="24"/>
          <w:szCs w:val="24"/>
        </w:rPr>
      </w:pPr>
      <w:bookmarkStart w:id="19" w:name="_Toc8382"/>
      <w:bookmarkStart w:id="20" w:name="_Toc28359080"/>
      <w:bookmarkStart w:id="21" w:name="_Toc28359003"/>
      <w:bookmarkStart w:id="22" w:name="_Toc2500"/>
      <w:r>
        <w:rPr>
          <w:rFonts w:hint="eastAsia" w:ascii="宋体" w:hAnsi="宋体" w:eastAsia="宋体" w:cs="宋体"/>
          <w:b/>
          <w:bCs/>
          <w:color w:val="auto"/>
          <w:sz w:val="24"/>
          <w:szCs w:val="24"/>
        </w:rPr>
        <w:t>申请人的资格要求：</w:t>
      </w:r>
      <w:bookmarkEnd w:id="19"/>
      <w:bookmarkEnd w:id="20"/>
      <w:bookmarkEnd w:id="21"/>
      <w:bookmarkEnd w:id="22"/>
    </w:p>
    <w:p>
      <w:pPr>
        <w:numPr>
          <w:ilvl w:val="0"/>
          <w:numId w:val="5"/>
        </w:numPr>
        <w:spacing w:line="360" w:lineRule="auto"/>
        <w:ind w:left="0"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满足《中华人民共和国政府采购法》第二十二条规定</w:t>
      </w:r>
      <w:r>
        <w:rPr>
          <w:rFonts w:hint="eastAsia" w:ascii="宋体" w:hAnsi="宋体" w:cs="宋体"/>
          <w:color w:val="auto"/>
          <w:sz w:val="24"/>
          <w:szCs w:val="24"/>
          <w:lang w:eastAsia="zh-CN"/>
        </w:rPr>
        <w:t>；</w:t>
      </w:r>
      <w:r>
        <w:rPr>
          <w:rFonts w:hint="eastAsia" w:ascii="宋体" w:hAnsi="宋体" w:cs="宋体"/>
          <w:color w:val="auto"/>
          <w:sz w:val="24"/>
        </w:rPr>
        <w:t>未被“信用中国”（www.creditchina.gov.cn)、中国政府采购网（www.ccgp.gov.cn）列入失信被执行人、重大税收违法案件当事人名单、政府采购严重违法失信行为记录名单</w:t>
      </w:r>
      <w:r>
        <w:rPr>
          <w:rFonts w:hint="eastAsia" w:ascii="宋体" w:hAnsi="宋体" w:cs="宋体"/>
          <w:color w:val="auto"/>
          <w:sz w:val="24"/>
          <w:lang w:eastAsia="zh-CN"/>
        </w:rPr>
        <w:t>。</w:t>
      </w:r>
    </w:p>
    <w:p>
      <w:pPr>
        <w:numPr>
          <w:ilvl w:val="0"/>
          <w:numId w:val="5"/>
        </w:numPr>
        <w:spacing w:line="360" w:lineRule="auto"/>
        <w:ind w:left="0" w:leftChars="0" w:firstLine="480" w:firstLineChars="200"/>
        <w:rPr>
          <w:rFonts w:hint="eastAsia" w:ascii="宋体" w:hAnsi="宋体" w:eastAsia="宋体" w:cs="宋体"/>
          <w:i/>
          <w:iCs/>
          <w:color w:val="auto"/>
          <w:kern w:val="2"/>
          <w:sz w:val="24"/>
          <w:szCs w:val="24"/>
          <w:highlight w:val="none"/>
          <w:lang w:val="en-US" w:eastAsia="zh-CN" w:bidi="ar-SA"/>
        </w:rPr>
      </w:pPr>
      <w:r>
        <w:rPr>
          <w:rFonts w:hint="eastAsia" w:ascii="宋体" w:hAnsi="宋体" w:eastAsia="宋体" w:cs="宋体"/>
          <w:i w:val="0"/>
          <w:iCs w:val="0"/>
          <w:color w:val="auto"/>
          <w:sz w:val="24"/>
          <w:szCs w:val="24"/>
          <w:lang w:eastAsia="zh-CN"/>
        </w:rPr>
        <w:t>落实政府采购政策需满足的资格要求</w:t>
      </w:r>
      <w:r>
        <w:rPr>
          <w:rFonts w:hint="eastAsia" w:ascii="宋体" w:hAnsi="宋体" w:eastAsia="宋体" w:cs="宋体"/>
          <w:i w:val="0"/>
          <w:iCs w:val="0"/>
          <w:color w:val="auto"/>
          <w:sz w:val="24"/>
          <w:szCs w:val="24"/>
        </w:rPr>
        <w:t>：</w:t>
      </w:r>
      <w:r>
        <w:rPr>
          <w:rFonts w:hint="eastAsia" w:ascii="宋体" w:hAnsi="宋体" w:eastAsia="宋体" w:cs="宋体"/>
          <w:i w:val="0"/>
          <w:iCs w:val="0"/>
          <w:color w:val="auto"/>
          <w:sz w:val="24"/>
          <w:szCs w:val="24"/>
          <w:lang w:val="en-US" w:eastAsia="zh-CN"/>
        </w:rPr>
        <w:t>无</w:t>
      </w:r>
      <w:r>
        <w:rPr>
          <w:rFonts w:hint="eastAsia" w:ascii="宋体" w:hAnsi="宋体" w:cs="宋体"/>
          <w:i w:val="0"/>
          <w:iCs w:val="0"/>
          <w:color w:val="auto"/>
          <w:sz w:val="24"/>
          <w:szCs w:val="24"/>
          <w:lang w:val="en-US" w:eastAsia="zh-CN"/>
        </w:rPr>
        <w:t>。</w:t>
      </w:r>
    </w:p>
    <w:p>
      <w:pPr>
        <w:numPr>
          <w:ilvl w:val="0"/>
          <w:numId w:val="5"/>
        </w:numPr>
        <w:spacing w:line="360" w:lineRule="auto"/>
        <w:ind w:left="0" w:leftChars="0" w:firstLine="480" w:firstLineChars="200"/>
        <w:rPr>
          <w:rFonts w:hint="eastAsia" w:ascii="宋体" w:hAnsi="宋体" w:eastAsia="宋体" w:cs="宋体"/>
          <w:i/>
          <w:iCs/>
          <w:color w:val="auto"/>
          <w:kern w:val="2"/>
          <w:sz w:val="24"/>
          <w:szCs w:val="24"/>
          <w:highlight w:val="none"/>
          <w:lang w:val="en-US" w:eastAsia="zh-CN" w:bidi="ar-SA"/>
        </w:rPr>
      </w:pPr>
      <w:r>
        <w:rPr>
          <w:rFonts w:hint="eastAsia" w:ascii="宋体" w:hAnsi="宋体" w:eastAsia="宋体" w:cs="宋体"/>
          <w:i w:val="0"/>
          <w:iCs w:val="0"/>
          <w:color w:val="auto"/>
          <w:sz w:val="24"/>
          <w:szCs w:val="24"/>
          <w:lang w:eastAsia="zh-CN"/>
        </w:rPr>
        <w:t>本项目的特定资格要求：投标人必须为经省级（或省级以上）公司授权</w:t>
      </w:r>
      <w:r>
        <w:rPr>
          <w:rFonts w:hint="eastAsia" w:ascii="宋体" w:hAnsi="宋体" w:eastAsia="宋体" w:cs="宋体"/>
          <w:i w:val="0"/>
          <w:iCs w:val="0"/>
          <w:color w:val="auto"/>
          <w:sz w:val="24"/>
          <w:szCs w:val="24"/>
        </w:rPr>
        <w:t>具有独立投标能力且持有责任保险业务范围的经营保险业务许可证（中国保险监督管理委员会颁发）的地市级分公司或中心支公司</w:t>
      </w:r>
      <w:r>
        <w:rPr>
          <w:rFonts w:hint="eastAsia" w:ascii="宋体" w:hAnsi="宋体" w:eastAsia="宋体" w:cs="宋体"/>
          <w:i w:val="0"/>
          <w:iCs w:val="0"/>
          <w:color w:val="auto"/>
          <w:kern w:val="2"/>
          <w:sz w:val="24"/>
          <w:szCs w:val="24"/>
          <w:highlight w:val="none"/>
          <w:lang w:val="en-US" w:eastAsia="zh-CN" w:bidi="ar-SA"/>
        </w:rPr>
        <w:t>。</w:t>
      </w:r>
    </w:p>
    <w:p>
      <w:pPr>
        <w:numPr>
          <w:ilvl w:val="0"/>
          <w:numId w:val="4"/>
        </w:numPr>
        <w:spacing w:line="360" w:lineRule="auto"/>
        <w:ind w:left="0" w:leftChars="0" w:firstLine="0" w:firstLineChars="0"/>
        <w:outlineLvl w:val="1"/>
        <w:rPr>
          <w:rFonts w:hint="eastAsia" w:ascii="宋体" w:hAnsi="宋体" w:eastAsia="宋体" w:cs="宋体"/>
          <w:b/>
          <w:bCs/>
          <w:color w:val="auto"/>
          <w:sz w:val="24"/>
          <w:szCs w:val="24"/>
        </w:rPr>
      </w:pPr>
      <w:bookmarkStart w:id="23" w:name="_Toc28359004"/>
      <w:bookmarkStart w:id="24" w:name="_Toc19480"/>
      <w:bookmarkStart w:id="25" w:name="_Toc28359081"/>
      <w:bookmarkStart w:id="26" w:name="_Toc24425"/>
      <w:r>
        <w:rPr>
          <w:rFonts w:hint="eastAsia" w:ascii="宋体" w:hAnsi="宋体" w:eastAsia="宋体" w:cs="宋体"/>
          <w:b/>
          <w:bCs/>
          <w:color w:val="auto"/>
          <w:sz w:val="24"/>
          <w:szCs w:val="24"/>
        </w:rPr>
        <w:t>获取招标文件</w:t>
      </w:r>
      <w:bookmarkEnd w:id="23"/>
      <w:bookmarkEnd w:id="24"/>
      <w:bookmarkEnd w:id="25"/>
      <w:bookmarkEnd w:id="26"/>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时间：/至</w:t>
      </w:r>
      <w:r>
        <w:rPr>
          <w:rFonts w:hint="eastAsia" w:ascii="宋体" w:hAnsi="宋体" w:cs="宋体"/>
          <w:color w:val="auto"/>
          <w:sz w:val="24"/>
          <w:szCs w:val="24"/>
          <w:lang w:eastAsia="zh-CN"/>
        </w:rPr>
        <w:t>2022年10月1</w:t>
      </w:r>
      <w:r>
        <w:rPr>
          <w:rFonts w:hint="eastAsia" w:ascii="宋体" w:hAnsi="宋体" w:cs="宋体"/>
          <w:color w:val="auto"/>
          <w:sz w:val="24"/>
          <w:szCs w:val="24"/>
          <w:lang w:val="en-US" w:eastAsia="zh-CN"/>
        </w:rPr>
        <w:t>7</w:t>
      </w:r>
      <w:r>
        <w:rPr>
          <w:rFonts w:hint="eastAsia" w:ascii="宋体" w:hAnsi="宋体" w:cs="宋体"/>
          <w:color w:val="auto"/>
          <w:sz w:val="24"/>
          <w:szCs w:val="24"/>
          <w:lang w:eastAsia="zh-CN"/>
        </w:rPr>
        <w:t>日</w:t>
      </w:r>
      <w:r>
        <w:rPr>
          <w:rFonts w:hint="eastAsia" w:ascii="宋体" w:hAnsi="宋体" w:eastAsia="宋体" w:cs="宋体"/>
          <w:color w:val="auto"/>
          <w:sz w:val="24"/>
          <w:szCs w:val="24"/>
        </w:rPr>
        <w:t xml:space="preserve"> ，每天上午00:00至12:00 ，下午12:00至23:59（北京时间，线上获取法定节假日均可，线下获取文件法定节假日除外）</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地点</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网址</w:t>
      </w:r>
      <w:r>
        <w:rPr>
          <w:rFonts w:hint="eastAsia" w:ascii="宋体" w:hAnsi="宋体" w:cs="宋体"/>
          <w:color w:val="auto"/>
          <w:sz w:val="24"/>
          <w:szCs w:val="24"/>
          <w:lang w:eastAsia="zh-CN"/>
        </w:rPr>
        <w:t>）</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政采云平台（</w:t>
      </w:r>
      <w:r>
        <w:rPr>
          <w:rFonts w:hint="eastAsia" w:ascii="宋体" w:hAnsi="宋体" w:eastAsia="宋体" w:cs="宋体"/>
          <w:color w:val="auto"/>
          <w:sz w:val="24"/>
          <w:szCs w:val="24"/>
          <w:u w:val="single"/>
          <w:lang w:eastAsia="zh-CN"/>
        </w:rPr>
        <w:t>www.zcygov.cn</w:t>
      </w:r>
      <w:r>
        <w:rPr>
          <w:rFonts w:hint="eastAsia" w:ascii="宋体" w:hAnsi="宋体" w:eastAsia="宋体" w:cs="宋体"/>
          <w:color w:val="auto"/>
          <w:sz w:val="24"/>
          <w:szCs w:val="24"/>
          <w:lang w:eastAsia="zh-CN"/>
        </w:rPr>
        <w:t>）</w:t>
      </w:r>
    </w:p>
    <w:p>
      <w:pPr>
        <w:numPr>
          <w:ilvl w:val="-1"/>
          <w:numId w:val="0"/>
        </w:numPr>
        <w:spacing w:line="360" w:lineRule="auto"/>
        <w:ind w:left="0" w:leftChars="0" w:firstLine="0" w:firstLineChars="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方式：</w:t>
      </w:r>
      <w:r>
        <w:rPr>
          <w:rFonts w:hint="eastAsia" w:ascii="宋体" w:hAnsi="宋体" w:cs="宋体"/>
          <w:color w:val="auto"/>
          <w:sz w:val="24"/>
          <w:szCs w:val="24"/>
          <w:lang w:eastAsia="zh-CN"/>
        </w:rPr>
        <w:t>在线获取。（</w:t>
      </w:r>
      <w:r>
        <w:rPr>
          <w:rFonts w:hint="eastAsia" w:ascii="宋体" w:hAnsi="宋体" w:eastAsia="宋体" w:cs="宋体"/>
          <w:color w:val="auto"/>
          <w:sz w:val="24"/>
          <w:szCs w:val="24"/>
          <w:lang w:eastAsia="zh-CN"/>
        </w:rPr>
        <w:t>登录“政采云”平台进入“项目采购”应用模块，在获取招标文件菜单中选择项目，申请获取招标文件。采购公告上附件里的采购文件仅供阅览使用，未</w:t>
      </w:r>
      <w:r>
        <w:rPr>
          <w:rFonts w:hint="eastAsia" w:ascii="宋体" w:hAnsi="宋体" w:cs="宋体"/>
          <w:color w:val="auto"/>
          <w:sz w:val="24"/>
          <w:szCs w:val="24"/>
          <w:lang w:eastAsia="zh-CN"/>
        </w:rPr>
        <w:t>按上述流程</w:t>
      </w:r>
      <w:r>
        <w:rPr>
          <w:rFonts w:hint="eastAsia" w:ascii="宋体" w:hAnsi="宋体" w:eastAsia="宋体" w:cs="宋体"/>
          <w:color w:val="auto"/>
          <w:sz w:val="24"/>
          <w:szCs w:val="24"/>
          <w:lang w:eastAsia="zh-CN"/>
        </w:rPr>
        <w:t>依法获取采购文件的供应商对采购文件提起质疑投诉的，不予受理。</w:t>
      </w:r>
      <w:r>
        <w:rPr>
          <w:rFonts w:hint="eastAsia" w:ascii="宋体" w:hAnsi="宋体" w:cs="宋体"/>
          <w:color w:val="auto"/>
          <w:sz w:val="24"/>
          <w:szCs w:val="24"/>
          <w:lang w:eastAsia="zh-CN"/>
        </w:rPr>
        <w:t>）</w:t>
      </w:r>
    </w:p>
    <w:p>
      <w:pPr>
        <w:spacing w:line="360" w:lineRule="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售价</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元</w:t>
      </w:r>
      <w:r>
        <w:rPr>
          <w:rFonts w:hint="eastAsia" w:ascii="宋体" w:hAnsi="宋体" w:cs="宋体"/>
          <w:color w:val="auto"/>
          <w:sz w:val="24"/>
          <w:szCs w:val="24"/>
          <w:lang w:eastAsia="zh-CN"/>
        </w:rPr>
        <w:t>）</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0</w:t>
      </w:r>
    </w:p>
    <w:p>
      <w:pPr>
        <w:numPr>
          <w:ilvl w:val="0"/>
          <w:numId w:val="4"/>
        </w:numPr>
        <w:spacing w:line="360" w:lineRule="auto"/>
        <w:ind w:left="0" w:leftChars="0" w:firstLine="0" w:firstLineChars="0"/>
        <w:outlineLvl w:val="1"/>
        <w:rPr>
          <w:rFonts w:hint="eastAsia" w:ascii="宋体" w:hAnsi="宋体" w:eastAsia="宋体" w:cs="宋体"/>
          <w:b/>
          <w:bCs/>
          <w:color w:val="auto"/>
          <w:sz w:val="24"/>
          <w:szCs w:val="24"/>
        </w:rPr>
      </w:pPr>
      <w:bookmarkStart w:id="27" w:name="_Toc17117"/>
      <w:bookmarkStart w:id="28" w:name="_Toc9821"/>
      <w:r>
        <w:rPr>
          <w:rFonts w:hint="eastAsia" w:ascii="宋体" w:hAnsi="宋体" w:eastAsia="宋体" w:cs="宋体"/>
          <w:b/>
          <w:bCs/>
          <w:color w:val="auto"/>
          <w:sz w:val="24"/>
          <w:szCs w:val="24"/>
          <w:lang w:eastAsia="zh-CN"/>
        </w:rPr>
        <w:t>提交</w:t>
      </w:r>
      <w:r>
        <w:rPr>
          <w:rFonts w:hint="eastAsia" w:ascii="宋体" w:hAnsi="宋体" w:cs="宋体"/>
          <w:b/>
          <w:bCs/>
          <w:color w:val="auto"/>
          <w:sz w:val="24"/>
          <w:szCs w:val="24"/>
          <w:lang w:eastAsia="zh-CN"/>
        </w:rPr>
        <w:t>投标文件</w:t>
      </w:r>
      <w:r>
        <w:rPr>
          <w:rFonts w:hint="eastAsia" w:ascii="宋体" w:hAnsi="宋体" w:eastAsia="宋体" w:cs="宋体"/>
          <w:b/>
          <w:bCs/>
          <w:color w:val="auto"/>
          <w:sz w:val="24"/>
          <w:szCs w:val="24"/>
          <w:lang w:eastAsia="zh-CN"/>
        </w:rPr>
        <w:t>截止时间、开标时间和地点</w:t>
      </w:r>
      <w:bookmarkEnd w:id="27"/>
      <w:bookmarkEnd w:id="28"/>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u w:val="none"/>
        </w:rPr>
        <w:t>提交</w:t>
      </w:r>
      <w:r>
        <w:rPr>
          <w:rFonts w:hint="eastAsia" w:ascii="宋体" w:hAnsi="宋体" w:cs="宋体"/>
          <w:color w:val="auto"/>
          <w:sz w:val="24"/>
          <w:szCs w:val="24"/>
          <w:u w:val="none"/>
          <w:lang w:eastAsia="zh-CN"/>
        </w:rPr>
        <w:t>投标文件</w:t>
      </w:r>
      <w:r>
        <w:rPr>
          <w:rFonts w:hint="eastAsia" w:ascii="宋体" w:hAnsi="宋体" w:eastAsia="宋体" w:cs="宋体"/>
          <w:color w:val="auto"/>
          <w:sz w:val="24"/>
          <w:szCs w:val="24"/>
          <w:u w:val="none"/>
        </w:rPr>
        <w:t>截止时间</w:t>
      </w:r>
      <w:r>
        <w:rPr>
          <w:rFonts w:hint="eastAsia" w:ascii="宋体" w:hAnsi="宋体" w:cs="宋体"/>
          <w:color w:val="auto"/>
          <w:sz w:val="24"/>
          <w:szCs w:val="24"/>
          <w:u w:val="none"/>
          <w:lang w:eastAsia="zh-CN"/>
        </w:rPr>
        <w:t>：2022年</w:t>
      </w:r>
      <w:r>
        <w:rPr>
          <w:rFonts w:hint="eastAsia" w:ascii="宋体" w:hAnsi="宋体" w:cs="宋体"/>
          <w:color w:val="auto"/>
          <w:sz w:val="24"/>
          <w:szCs w:val="24"/>
          <w:lang w:eastAsia="zh-CN"/>
        </w:rPr>
        <w:t>10月1</w:t>
      </w:r>
      <w:r>
        <w:rPr>
          <w:rFonts w:hint="eastAsia" w:ascii="宋体" w:hAnsi="宋体" w:cs="宋体"/>
          <w:color w:val="auto"/>
          <w:sz w:val="24"/>
          <w:szCs w:val="24"/>
          <w:lang w:val="en-US" w:eastAsia="zh-CN"/>
        </w:rPr>
        <w:t>7</w:t>
      </w:r>
      <w:r>
        <w:rPr>
          <w:rFonts w:hint="eastAsia" w:ascii="宋体" w:hAnsi="宋体" w:cs="宋体"/>
          <w:color w:val="auto"/>
          <w:sz w:val="24"/>
          <w:szCs w:val="24"/>
          <w:lang w:eastAsia="zh-CN"/>
        </w:rPr>
        <w:t>日</w:t>
      </w:r>
      <w:r>
        <w:rPr>
          <w:rFonts w:hint="eastAsia" w:ascii="宋体" w:hAnsi="宋体" w:eastAsia="宋体" w:cs="宋体"/>
          <w:color w:val="auto"/>
          <w:sz w:val="24"/>
          <w:szCs w:val="24"/>
        </w:rPr>
        <w:t>09</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0</w:t>
      </w:r>
      <w:r>
        <w:rPr>
          <w:rFonts w:hint="eastAsia" w:ascii="宋体" w:hAnsi="宋体" w:eastAsia="宋体" w:cs="宋体"/>
          <w:color w:val="auto"/>
          <w:sz w:val="24"/>
          <w:szCs w:val="24"/>
        </w:rPr>
        <w:t>0分（北京时间</w:t>
      </w:r>
      <w:r>
        <w:rPr>
          <w:rFonts w:hint="eastAsia" w:ascii="宋体" w:hAnsi="宋体" w:cs="宋体"/>
          <w:color w:val="auto"/>
          <w:sz w:val="24"/>
          <w:szCs w:val="24"/>
          <w:lang w:eastAsia="zh-CN"/>
        </w:rPr>
        <w:t>）</w:t>
      </w:r>
    </w:p>
    <w:p>
      <w:pPr>
        <w:pStyle w:val="2"/>
        <w:ind w:firstLine="0"/>
        <w:rPr>
          <w:rFonts w:hint="default" w:eastAsia="宋体"/>
          <w:color w:val="auto"/>
          <w:lang w:val="en-US" w:eastAsia="zh-CN"/>
        </w:rPr>
      </w:pPr>
      <w:r>
        <w:rPr>
          <w:rFonts w:hint="eastAsia" w:ascii="宋体" w:hAnsi="宋体" w:cs="宋体"/>
          <w:color w:val="auto"/>
          <w:sz w:val="24"/>
          <w:szCs w:val="24"/>
          <w:lang w:val="en-US" w:eastAsia="zh-CN"/>
        </w:rPr>
        <w:t>投标地点（网址）：“政采云平台（www.zcygov.cn）”</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u w:val="none"/>
        </w:rPr>
        <w:t>开标时间</w:t>
      </w:r>
      <w:r>
        <w:rPr>
          <w:rFonts w:hint="eastAsia" w:ascii="宋体" w:hAnsi="宋体" w:cs="宋体"/>
          <w:color w:val="auto"/>
          <w:sz w:val="24"/>
          <w:szCs w:val="24"/>
          <w:u w:val="none"/>
          <w:lang w:eastAsia="zh-CN"/>
        </w:rPr>
        <w:t>：2022年</w:t>
      </w:r>
      <w:r>
        <w:rPr>
          <w:rFonts w:hint="eastAsia" w:ascii="宋体" w:hAnsi="宋体" w:cs="宋体"/>
          <w:color w:val="auto"/>
          <w:sz w:val="24"/>
          <w:szCs w:val="24"/>
          <w:lang w:eastAsia="zh-CN"/>
        </w:rPr>
        <w:t>10月1</w:t>
      </w:r>
      <w:r>
        <w:rPr>
          <w:rFonts w:hint="eastAsia" w:ascii="宋体" w:hAnsi="宋体" w:cs="宋体"/>
          <w:color w:val="auto"/>
          <w:sz w:val="24"/>
          <w:szCs w:val="24"/>
          <w:lang w:val="en-US" w:eastAsia="zh-CN"/>
        </w:rPr>
        <w:t>7</w:t>
      </w:r>
      <w:r>
        <w:rPr>
          <w:rFonts w:hint="eastAsia" w:ascii="宋体" w:hAnsi="宋体" w:cs="宋体"/>
          <w:color w:val="auto"/>
          <w:sz w:val="24"/>
          <w:szCs w:val="24"/>
          <w:lang w:eastAsia="zh-CN"/>
        </w:rPr>
        <w:t>日</w:t>
      </w:r>
      <w:r>
        <w:rPr>
          <w:rFonts w:hint="eastAsia" w:ascii="宋体" w:hAnsi="宋体" w:eastAsia="宋体" w:cs="宋体"/>
          <w:color w:val="auto"/>
          <w:sz w:val="24"/>
          <w:szCs w:val="24"/>
        </w:rPr>
        <w:t>09</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0</w:t>
      </w:r>
      <w:r>
        <w:rPr>
          <w:rFonts w:hint="eastAsia" w:ascii="宋体" w:hAnsi="宋体" w:eastAsia="宋体" w:cs="宋体"/>
          <w:color w:val="auto"/>
          <w:sz w:val="24"/>
          <w:szCs w:val="24"/>
        </w:rPr>
        <w:t>0分（北京时间）</w:t>
      </w:r>
    </w:p>
    <w:p>
      <w:pPr>
        <w:spacing w:line="360" w:lineRule="auto"/>
        <w:rPr>
          <w:rFonts w:hint="eastAsia" w:ascii="宋体" w:hAnsi="宋体" w:eastAsia="宋体" w:cs="宋体"/>
          <w:b/>
          <w:bCs/>
          <w:color w:val="auto"/>
          <w:sz w:val="24"/>
          <w:szCs w:val="24"/>
        </w:rPr>
      </w:pPr>
      <w:r>
        <w:rPr>
          <w:rFonts w:hint="eastAsia" w:ascii="宋体" w:hAnsi="宋体" w:cs="宋体"/>
          <w:color w:val="auto"/>
          <w:sz w:val="24"/>
          <w:szCs w:val="24"/>
          <w:lang w:eastAsia="zh-CN"/>
        </w:rPr>
        <w:t>开标</w:t>
      </w:r>
      <w:r>
        <w:rPr>
          <w:rFonts w:hint="eastAsia" w:ascii="宋体" w:hAnsi="宋体" w:eastAsia="宋体" w:cs="宋体"/>
          <w:color w:val="auto"/>
          <w:sz w:val="24"/>
          <w:szCs w:val="24"/>
        </w:rPr>
        <w:t>地点</w:t>
      </w:r>
      <w:r>
        <w:rPr>
          <w:rFonts w:hint="eastAsia" w:ascii="宋体" w:hAnsi="宋体" w:cs="宋体"/>
          <w:color w:val="auto"/>
          <w:sz w:val="24"/>
          <w:szCs w:val="24"/>
          <w:lang w:val="en-US" w:eastAsia="zh-CN"/>
        </w:rPr>
        <w:t>（网址）</w:t>
      </w:r>
      <w:r>
        <w:rPr>
          <w:rFonts w:hint="eastAsia" w:ascii="宋体" w:hAnsi="宋体" w:eastAsia="宋体" w:cs="宋体"/>
          <w:color w:val="auto"/>
          <w:sz w:val="24"/>
          <w:szCs w:val="24"/>
        </w:rPr>
        <w:t>：</w:t>
      </w:r>
      <w:r>
        <w:rPr>
          <w:rFonts w:hint="eastAsia" w:ascii="宋体" w:hAnsi="宋体" w:eastAsia="宋体" w:cs="宋体"/>
          <w:color w:val="auto"/>
          <w:sz w:val="24"/>
          <w:szCs w:val="24"/>
          <w:u w:val="none"/>
          <w:lang w:eastAsia="zh-CN"/>
        </w:rPr>
        <w:t>“政采云平台（www.zcygov.cn）”在线</w:t>
      </w:r>
      <w:r>
        <w:rPr>
          <w:rFonts w:hint="eastAsia" w:ascii="宋体" w:hAnsi="宋体" w:cs="宋体"/>
          <w:color w:val="auto"/>
          <w:sz w:val="24"/>
          <w:szCs w:val="24"/>
          <w:u w:val="none"/>
          <w:lang w:eastAsia="zh-CN"/>
        </w:rPr>
        <w:t>开标</w:t>
      </w:r>
    </w:p>
    <w:p>
      <w:pPr>
        <w:numPr>
          <w:ilvl w:val="0"/>
          <w:numId w:val="4"/>
        </w:numPr>
        <w:spacing w:line="360" w:lineRule="auto"/>
        <w:ind w:left="0" w:leftChars="0" w:firstLine="0" w:firstLineChars="0"/>
        <w:outlineLvl w:val="1"/>
        <w:rPr>
          <w:rFonts w:hint="eastAsia" w:ascii="宋体" w:hAnsi="宋体" w:eastAsia="宋体" w:cs="宋体"/>
          <w:b/>
          <w:bCs/>
          <w:color w:val="auto"/>
          <w:sz w:val="24"/>
          <w:szCs w:val="24"/>
        </w:rPr>
      </w:pPr>
      <w:bookmarkStart w:id="29" w:name="_Toc28359007"/>
      <w:bookmarkStart w:id="30" w:name="_Toc28359084"/>
      <w:bookmarkStart w:id="31" w:name="_Toc13510"/>
      <w:bookmarkStart w:id="32" w:name="_Toc21125"/>
      <w:r>
        <w:rPr>
          <w:rFonts w:hint="eastAsia" w:ascii="宋体" w:hAnsi="宋体" w:eastAsia="宋体" w:cs="宋体"/>
          <w:b/>
          <w:bCs/>
          <w:color w:val="auto"/>
          <w:sz w:val="24"/>
          <w:szCs w:val="24"/>
        </w:rPr>
        <w:t>公告期限</w:t>
      </w:r>
      <w:bookmarkEnd w:id="29"/>
      <w:bookmarkEnd w:id="30"/>
      <w:bookmarkEnd w:id="31"/>
      <w:bookmarkEnd w:id="32"/>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自本公告发布之日起5个工作日。</w:t>
      </w:r>
    </w:p>
    <w:p>
      <w:pPr>
        <w:numPr>
          <w:ilvl w:val="0"/>
          <w:numId w:val="4"/>
        </w:numPr>
        <w:spacing w:line="360" w:lineRule="auto"/>
        <w:ind w:left="0" w:leftChars="0" w:firstLine="0" w:firstLineChars="0"/>
        <w:outlineLvl w:val="1"/>
        <w:rPr>
          <w:rFonts w:hint="eastAsia" w:ascii="宋体" w:hAnsi="宋体" w:eastAsia="宋体" w:cs="宋体"/>
          <w:b/>
          <w:bCs/>
          <w:color w:val="auto"/>
          <w:sz w:val="24"/>
          <w:szCs w:val="24"/>
        </w:rPr>
      </w:pPr>
      <w:bookmarkStart w:id="33" w:name="_Toc28140"/>
      <w:bookmarkStart w:id="34" w:name="_Toc27994"/>
      <w:r>
        <w:rPr>
          <w:rFonts w:hint="eastAsia" w:ascii="宋体" w:hAnsi="宋体" w:eastAsia="宋体" w:cs="宋体"/>
          <w:b/>
          <w:bCs/>
          <w:color w:val="auto"/>
          <w:sz w:val="24"/>
          <w:szCs w:val="24"/>
        </w:rPr>
        <w:t>其他补充事宜：</w:t>
      </w:r>
      <w:bookmarkEnd w:id="33"/>
      <w:bookmarkEnd w:id="34"/>
    </w:p>
    <w:p>
      <w:pPr>
        <w:numPr>
          <w:ilvl w:val="0"/>
          <w:numId w:val="6"/>
        </w:numPr>
        <w:spacing w:line="360" w:lineRule="auto"/>
        <w:ind w:left="0" w:leftChars="0"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numPr>
          <w:ilvl w:val="0"/>
          <w:numId w:val="6"/>
        </w:numPr>
        <w:spacing w:line="360" w:lineRule="auto"/>
        <w:ind w:left="0" w:leftChars="0"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numPr>
          <w:ilvl w:val="0"/>
          <w:numId w:val="6"/>
        </w:numPr>
        <w:spacing w:line="360" w:lineRule="auto"/>
        <w:ind w:left="0" w:leftChars="0"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供应商认为采购文件使自己的权益受到损害的，可以自获取采购文件之日或者采购公告期限届满之日起7个工作日内，对采购文件需求的以书面形式向采购人提出质疑，对其他内容的以书面形式针对同一环节（包括采购过程、采购结果）一次性向采购人和采购代理机构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numPr>
          <w:ilvl w:val="0"/>
          <w:numId w:val="6"/>
        </w:numPr>
        <w:spacing w:line="360" w:lineRule="auto"/>
        <w:ind w:left="0" w:leftChars="0"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val="en-US" w:eastAsia="zh-CN"/>
        </w:rPr>
        <w:t>其他事项：</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信用信息查询渠道及截止时点、信用信息查询记录和证据留存的具体方式、信用信息的使用规则：</w:t>
      </w:r>
    </w:p>
    <w:p>
      <w:pPr>
        <w:numPr>
          <w:ilvl w:val="0"/>
          <w:numId w:val="8"/>
        </w:numPr>
        <w:spacing w:line="360" w:lineRule="auto"/>
        <w:ind w:left="0" w:leftChars="0"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查询渠道：信用中国（www.creditchina.gov.cn）、中国政府采购网（www.ccgp.gov.cn）</w:t>
      </w:r>
      <w:r>
        <w:rPr>
          <w:rFonts w:hint="eastAsia" w:ascii="宋体" w:hAnsi="宋体" w:cs="宋体"/>
          <w:color w:val="auto"/>
          <w:sz w:val="24"/>
          <w:szCs w:val="24"/>
          <w:lang w:val="en-US" w:eastAsia="zh-CN"/>
        </w:rPr>
        <w:t>、信用浙江（credit.zj.gov.cn)</w:t>
      </w:r>
      <w:r>
        <w:rPr>
          <w:rFonts w:hint="eastAsia" w:ascii="宋体" w:hAnsi="宋体" w:cs="宋体"/>
          <w:color w:val="auto"/>
          <w:sz w:val="24"/>
          <w:szCs w:val="24"/>
          <w:lang w:eastAsia="zh-CN"/>
        </w:rPr>
        <w:t>。</w:t>
      </w:r>
    </w:p>
    <w:p>
      <w:pPr>
        <w:numPr>
          <w:ilvl w:val="0"/>
          <w:numId w:val="8"/>
        </w:numPr>
        <w:spacing w:line="360" w:lineRule="auto"/>
        <w:ind w:left="0" w:leftChars="0"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截止时点：开标后评标前。</w:t>
      </w:r>
    </w:p>
    <w:p>
      <w:pPr>
        <w:numPr>
          <w:ilvl w:val="0"/>
          <w:numId w:val="8"/>
        </w:numPr>
        <w:spacing w:line="360" w:lineRule="auto"/>
        <w:ind w:left="0" w:leftChars="0"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信用信息查询记录和证据留存的具体方式：由采购组织机构在规定查询时间内查询信用信息记录并归入项目档案。</w:t>
      </w:r>
    </w:p>
    <w:p>
      <w:pPr>
        <w:numPr>
          <w:ilvl w:val="0"/>
          <w:numId w:val="8"/>
        </w:numPr>
        <w:spacing w:line="360" w:lineRule="auto"/>
        <w:ind w:left="0" w:leftChars="0"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使用规则：对列入失信被执行人、重大税收违法案件当事人名单、政府采购严重违法失信行为记录名单及其他不符合《中华人民共和国政府采购法》第二十二条规定条件的供应商，将被拒绝其参与采购活动。</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color w:val="auto"/>
          <w:sz w:val="24"/>
          <w:szCs w:val="24"/>
          <w:lang w:eastAsia="zh-CN"/>
        </w:rPr>
      </w:pPr>
      <w:r>
        <w:rPr>
          <w:rFonts w:hint="eastAsia" w:ascii="宋体" w:hAnsi="宋体" w:cs="宋体"/>
          <w:color w:val="auto"/>
          <w:sz w:val="24"/>
          <w:szCs w:val="24"/>
          <w:lang w:val="en-US" w:eastAsia="zh-CN"/>
        </w:rPr>
        <w:t>银行（贷款咨询）:</w:t>
      </w:r>
      <w:r>
        <w:rPr>
          <w:rFonts w:hint="eastAsia" w:ascii="宋体" w:hAnsi="宋体" w:cs="宋体"/>
          <w:color w:val="auto"/>
          <w:sz w:val="24"/>
          <w:szCs w:val="24"/>
          <w:lang w:eastAsia="zh-CN"/>
        </w:rPr>
        <w:t>中标供应商可根据项目情况及自身需求向银行申请企业贷款，利率从优。详见本招标公告附件：“政采贷.docx”。</w:t>
      </w:r>
    </w:p>
    <w:p>
      <w:pPr>
        <w:numPr>
          <w:ilvl w:val="0"/>
          <w:numId w:val="4"/>
        </w:numPr>
        <w:spacing w:line="360" w:lineRule="auto"/>
        <w:ind w:left="0" w:leftChars="0" w:firstLine="0" w:firstLineChars="0"/>
        <w:outlineLvl w:val="1"/>
        <w:rPr>
          <w:rFonts w:hint="eastAsia" w:ascii="宋体" w:hAnsi="宋体" w:eastAsia="宋体" w:cs="宋体"/>
          <w:b/>
          <w:bCs/>
          <w:color w:val="auto"/>
          <w:sz w:val="24"/>
          <w:szCs w:val="24"/>
        </w:rPr>
      </w:pPr>
      <w:bookmarkStart w:id="35" w:name="_Toc3682"/>
      <w:bookmarkStart w:id="36" w:name="_Toc10953"/>
      <w:r>
        <w:rPr>
          <w:rFonts w:hint="eastAsia" w:ascii="宋体" w:hAnsi="宋体" w:eastAsia="宋体" w:cs="宋体"/>
          <w:b/>
          <w:bCs/>
          <w:color w:val="auto"/>
          <w:sz w:val="24"/>
          <w:szCs w:val="24"/>
        </w:rPr>
        <w:t>凡对本次招标提出询问、质疑、投诉，请按以下方式联系</w:t>
      </w:r>
      <w:bookmarkEnd w:id="35"/>
      <w:bookmarkEnd w:id="36"/>
    </w:p>
    <w:p>
      <w:pPr>
        <w:numPr>
          <w:ilvl w:val="0"/>
          <w:numId w:val="9"/>
        </w:numPr>
        <w:spacing w:line="360" w:lineRule="auto"/>
        <w:ind w:left="0" w:leftChars="0"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采购人信息</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名    称：</w:t>
      </w:r>
      <w:r>
        <w:rPr>
          <w:rFonts w:hint="eastAsia" w:ascii="宋体" w:hAnsi="宋体" w:cs="宋体"/>
          <w:color w:val="auto"/>
          <w:sz w:val="24"/>
          <w:szCs w:val="24"/>
          <w:lang w:eastAsia="zh-CN"/>
        </w:rPr>
        <w:t>中共台州市委政法委员会</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地    址：椒江区白云山南路233号</w:t>
      </w:r>
    </w:p>
    <w:p>
      <w:pPr>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传    真：/</w:t>
      </w:r>
    </w:p>
    <w:p>
      <w:pPr>
        <w:spacing w:line="360" w:lineRule="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项目联系人(询问)</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何先生</w:t>
      </w:r>
    </w:p>
    <w:p>
      <w:pPr>
        <w:spacing w:line="360" w:lineRule="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项目联系方式（询问）：0576-88510531</w:t>
      </w:r>
    </w:p>
    <w:p>
      <w:pPr>
        <w:spacing w:line="360" w:lineRule="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质疑联系人：</w:t>
      </w:r>
      <w:r>
        <w:rPr>
          <w:rFonts w:hint="eastAsia"/>
          <w:color w:val="auto"/>
          <w:lang w:val="en-US" w:eastAsia="zh-CN"/>
        </w:rPr>
        <w:t>张老师</w:t>
      </w:r>
    </w:p>
    <w:p>
      <w:pPr>
        <w:spacing w:line="360" w:lineRule="auto"/>
        <w:rPr>
          <w:rFonts w:hint="default" w:ascii="宋体" w:hAnsi="宋体" w:eastAsia="宋体" w:cs="宋体"/>
          <w:color w:val="auto"/>
          <w:sz w:val="24"/>
          <w:szCs w:val="24"/>
          <w:lang w:val="en-US"/>
        </w:rPr>
      </w:pPr>
      <w:r>
        <w:rPr>
          <w:rFonts w:hint="eastAsia" w:ascii="宋体" w:hAnsi="宋体" w:cs="宋体"/>
          <w:color w:val="auto"/>
          <w:sz w:val="24"/>
          <w:szCs w:val="24"/>
          <w:lang w:val="en-US" w:eastAsia="zh-CN"/>
        </w:rPr>
        <w:t>质疑联系方式：0576-88511125</w:t>
      </w:r>
    </w:p>
    <w:p>
      <w:pPr>
        <w:numPr>
          <w:ilvl w:val="0"/>
          <w:numId w:val="9"/>
        </w:numPr>
        <w:spacing w:line="360" w:lineRule="auto"/>
        <w:ind w:left="0" w:leftChars="0" w:firstLine="482" w:firstLineChars="200"/>
        <w:rPr>
          <w:rFonts w:hint="eastAsia" w:ascii="宋体" w:hAnsi="宋体" w:eastAsia="宋体" w:cs="宋体"/>
          <w:b/>
          <w:bCs/>
          <w:color w:val="auto"/>
          <w:sz w:val="24"/>
          <w:szCs w:val="24"/>
        </w:rPr>
      </w:pPr>
      <w:bookmarkStart w:id="37" w:name="_Toc28359086"/>
      <w:bookmarkStart w:id="38" w:name="_Toc28359009"/>
      <w:r>
        <w:rPr>
          <w:rFonts w:hint="eastAsia" w:ascii="宋体" w:hAnsi="宋体" w:eastAsia="宋体" w:cs="宋体"/>
          <w:b/>
          <w:bCs/>
          <w:color w:val="auto"/>
          <w:sz w:val="24"/>
          <w:szCs w:val="24"/>
        </w:rPr>
        <w:t>采购代理机构信息</w:t>
      </w:r>
      <w:bookmarkEnd w:id="37"/>
      <w:bookmarkEnd w:id="38"/>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名    称：</w:t>
      </w:r>
      <w:r>
        <w:rPr>
          <w:rFonts w:hint="eastAsia" w:ascii="宋体" w:hAnsi="宋体" w:cs="宋体"/>
          <w:color w:val="auto"/>
          <w:sz w:val="24"/>
          <w:szCs w:val="24"/>
          <w:lang w:eastAsia="zh-CN"/>
        </w:rPr>
        <w:t>台州市永阳科技有限公司</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地　　址：</w:t>
      </w:r>
      <w:r>
        <w:rPr>
          <w:rFonts w:hint="eastAsia" w:ascii="宋体" w:hAnsi="宋体" w:cs="宋体"/>
          <w:color w:val="auto"/>
          <w:sz w:val="24"/>
          <w:szCs w:val="24"/>
          <w:lang w:eastAsia="zh-CN"/>
        </w:rPr>
        <w:t>浙江省台州市椒江区市府大道西段618号台州科技城二号楼425室</w:t>
      </w:r>
    </w:p>
    <w:p>
      <w:pPr>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传    真：/</w:t>
      </w:r>
    </w:p>
    <w:p>
      <w:pPr>
        <w:spacing w:line="360" w:lineRule="auto"/>
        <w:rPr>
          <w:rFonts w:hint="default" w:ascii="宋体" w:hAnsi="宋体" w:eastAsia="宋体" w:cs="宋体"/>
          <w:color w:val="auto"/>
          <w:sz w:val="24"/>
          <w:szCs w:val="24"/>
          <w:lang w:val="en-US"/>
        </w:rPr>
      </w:pPr>
      <w:r>
        <w:rPr>
          <w:rFonts w:hint="eastAsia" w:ascii="宋体" w:hAnsi="宋体" w:cs="宋体"/>
          <w:color w:val="auto"/>
          <w:sz w:val="24"/>
          <w:szCs w:val="24"/>
          <w:lang w:val="en-US" w:eastAsia="zh-CN"/>
        </w:rPr>
        <w:t>项目联系人(询问)</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周先生</w:t>
      </w:r>
    </w:p>
    <w:p>
      <w:pPr>
        <w:spacing w:line="360" w:lineRule="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项目联系方式（询问）：</w:t>
      </w:r>
      <w:r>
        <w:rPr>
          <w:rFonts w:hint="eastAsia" w:ascii="宋体" w:hAnsi="宋体" w:cs="宋体"/>
          <w:color w:val="auto"/>
          <w:sz w:val="24"/>
          <w:szCs w:val="24"/>
          <w:lang w:eastAsia="zh-CN"/>
        </w:rPr>
        <w:t>1</w:t>
      </w:r>
      <w:r>
        <w:rPr>
          <w:rFonts w:hint="eastAsia" w:ascii="宋体" w:hAnsi="宋体" w:cs="宋体"/>
          <w:color w:val="auto"/>
          <w:sz w:val="24"/>
          <w:szCs w:val="24"/>
          <w:lang w:val="en-US" w:eastAsia="zh-CN"/>
        </w:rPr>
        <w:t>8958682891</w:t>
      </w:r>
    </w:p>
    <w:p>
      <w:pPr>
        <w:spacing w:line="360" w:lineRule="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质疑联系人：金先生</w:t>
      </w:r>
    </w:p>
    <w:p>
      <w:pPr>
        <w:spacing w:line="360" w:lineRule="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质疑联系方式：15757655840</w:t>
      </w:r>
    </w:p>
    <w:p>
      <w:pPr>
        <w:numPr>
          <w:ilvl w:val="0"/>
          <w:numId w:val="9"/>
        </w:numPr>
        <w:spacing w:line="360" w:lineRule="auto"/>
        <w:ind w:left="0" w:leftChars="0"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同级政府采购监督管理部门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名    称：台州市财政局</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地    址：浙江省台州市</w:t>
      </w:r>
      <w:r>
        <w:rPr>
          <w:rFonts w:hint="eastAsia" w:ascii="宋体" w:hAnsi="宋体" w:cs="宋体"/>
          <w:color w:val="auto"/>
          <w:sz w:val="24"/>
          <w:szCs w:val="24"/>
          <w:lang w:eastAsia="zh-CN"/>
        </w:rPr>
        <w:t>台州湾新区</w:t>
      </w:r>
      <w:r>
        <w:rPr>
          <w:rFonts w:hint="eastAsia" w:ascii="宋体" w:hAnsi="宋体" w:eastAsia="宋体" w:cs="宋体"/>
          <w:color w:val="auto"/>
          <w:sz w:val="24"/>
          <w:szCs w:val="24"/>
        </w:rPr>
        <w:t>纬一路66号</w:t>
      </w:r>
    </w:p>
    <w:p>
      <w:pPr>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传    真：/</w:t>
      </w:r>
    </w:p>
    <w:p>
      <w:pPr>
        <w:spacing w:line="360" w:lineRule="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联 系 人：</w:t>
      </w:r>
      <w:r>
        <w:rPr>
          <w:rFonts w:hint="eastAsia" w:ascii="宋体" w:hAnsi="宋体" w:cs="宋体"/>
          <w:color w:val="auto"/>
          <w:sz w:val="24"/>
          <w:szCs w:val="24"/>
          <w:lang w:val="en-US" w:eastAsia="zh-CN"/>
        </w:rPr>
        <w:t>陈</w:t>
      </w:r>
      <w:r>
        <w:rPr>
          <w:rFonts w:hint="eastAsia" w:ascii="宋体" w:hAnsi="宋体" w:eastAsia="宋体" w:cs="宋体"/>
          <w:color w:val="auto"/>
          <w:sz w:val="24"/>
          <w:szCs w:val="24"/>
        </w:rPr>
        <w:t>老师</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李老师</w:t>
      </w:r>
    </w:p>
    <w:p>
      <w:pPr>
        <w:spacing w:line="360" w:lineRule="auto"/>
        <w:rPr>
          <w:rFonts w:hint="eastAsia" w:ascii="宋体" w:hAnsi="宋体" w:cs="宋体"/>
          <w:color w:val="auto"/>
          <w:sz w:val="24"/>
          <w:szCs w:val="24"/>
          <w:lang w:val="en-US" w:eastAsia="zh-CN"/>
        </w:rPr>
      </w:pPr>
      <w:r>
        <w:rPr>
          <w:rFonts w:hint="eastAsia" w:ascii="宋体" w:hAnsi="宋体" w:eastAsia="宋体" w:cs="宋体"/>
          <w:color w:val="auto"/>
          <w:sz w:val="24"/>
          <w:szCs w:val="24"/>
        </w:rPr>
        <w:t>监督</w:t>
      </w:r>
      <w:r>
        <w:rPr>
          <w:rFonts w:hint="eastAsia" w:ascii="宋体" w:hAnsi="宋体" w:cs="宋体"/>
          <w:color w:val="auto"/>
          <w:sz w:val="24"/>
          <w:szCs w:val="24"/>
          <w:lang w:val="en-US" w:eastAsia="zh-CN"/>
        </w:rPr>
        <w:t>投诉</w:t>
      </w:r>
      <w:r>
        <w:rPr>
          <w:rFonts w:hint="eastAsia" w:ascii="宋体" w:hAnsi="宋体" w:eastAsia="宋体" w:cs="宋体"/>
          <w:color w:val="auto"/>
          <w:sz w:val="24"/>
          <w:szCs w:val="24"/>
        </w:rPr>
        <w:t>电话：</w:t>
      </w:r>
      <w:r>
        <w:rPr>
          <w:rFonts w:hint="eastAsia" w:ascii="宋体" w:hAnsi="宋体" w:cs="宋体"/>
          <w:color w:val="auto"/>
          <w:sz w:val="24"/>
          <w:szCs w:val="24"/>
          <w:lang w:eastAsia="zh-CN"/>
        </w:rPr>
        <w:t>0576-88209936、</w:t>
      </w:r>
      <w:r>
        <w:rPr>
          <w:rFonts w:hint="eastAsia" w:ascii="宋体" w:hAnsi="宋体" w:cs="宋体"/>
          <w:color w:val="auto"/>
          <w:sz w:val="24"/>
          <w:szCs w:val="24"/>
          <w:lang w:val="en-US" w:eastAsia="zh-CN"/>
        </w:rPr>
        <w:t>0576-88206731</w:t>
      </w:r>
    </w:p>
    <w:p>
      <w:pPr>
        <w:pStyle w:val="3"/>
        <w:rPr>
          <w:rFonts w:hint="eastAsia" w:ascii="宋体" w:hAnsi="宋体" w:cs="宋体"/>
          <w:color w:val="auto"/>
          <w:sz w:val="24"/>
          <w:szCs w:val="24"/>
          <w:lang w:val="en-US" w:eastAsia="zh-CN"/>
        </w:rPr>
      </w:pPr>
    </w:p>
    <w:p>
      <w:pPr>
        <w:jc w:val="right"/>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中共台州市委政法委员会</w:t>
      </w:r>
    </w:p>
    <w:p>
      <w:pPr>
        <w:jc w:val="right"/>
        <w:rPr>
          <w:rFonts w:hint="eastAsia" w:ascii="宋体" w:hAnsi="宋体" w:cs="宋体"/>
          <w:color w:val="auto"/>
          <w:sz w:val="24"/>
          <w:szCs w:val="24"/>
          <w:lang w:val="en-US" w:eastAsia="zh-CN"/>
        </w:rPr>
      </w:pPr>
    </w:p>
    <w:p>
      <w:pPr>
        <w:jc w:val="right"/>
        <w:rPr>
          <w:rFonts w:hint="default"/>
          <w:color w:val="FF0000"/>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cs="宋体"/>
          <w:color w:val="auto"/>
          <w:sz w:val="24"/>
          <w:szCs w:val="24"/>
          <w:lang w:val="en-US" w:eastAsia="zh-CN"/>
        </w:rPr>
        <w:t>2022年9月26日</w:t>
      </w:r>
    </w:p>
    <w:p>
      <w:pPr>
        <w:numPr>
          <w:ilvl w:val="0"/>
          <w:numId w:val="10"/>
        </w:numPr>
        <w:spacing w:line="360" w:lineRule="auto"/>
        <w:jc w:val="center"/>
        <w:outlineLvl w:val="0"/>
        <w:rPr>
          <w:rFonts w:hint="eastAsia" w:ascii="宋体" w:hAnsi="宋体" w:eastAsia="宋体" w:cs="宋体"/>
          <w:b/>
          <w:sz w:val="36"/>
          <w:szCs w:val="36"/>
        </w:rPr>
      </w:pPr>
      <w:bookmarkStart w:id="39" w:name="_Toc15478"/>
      <w:bookmarkStart w:id="40" w:name="_Toc10336"/>
      <w:r>
        <w:rPr>
          <w:rFonts w:hint="eastAsia" w:ascii="宋体" w:hAnsi="宋体" w:eastAsia="宋体" w:cs="宋体"/>
          <w:b/>
          <w:sz w:val="36"/>
          <w:szCs w:val="36"/>
          <w:lang w:eastAsia="zh-CN"/>
        </w:rPr>
        <w:t>投标人</w:t>
      </w:r>
      <w:r>
        <w:rPr>
          <w:rFonts w:hint="eastAsia" w:ascii="宋体" w:hAnsi="宋体" w:eastAsia="宋体" w:cs="宋体"/>
          <w:b/>
          <w:sz w:val="36"/>
          <w:szCs w:val="36"/>
        </w:rPr>
        <w:t>须知</w:t>
      </w:r>
      <w:bookmarkEnd w:id="39"/>
      <w:bookmarkEnd w:id="40"/>
    </w:p>
    <w:p>
      <w:pPr>
        <w:pStyle w:val="4"/>
        <w:keepNext/>
        <w:keepLines/>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rPr>
          <w:rFonts w:hint="eastAsia" w:ascii="宋体" w:hAnsi="宋体" w:eastAsia="宋体" w:cs="宋体"/>
          <w:sz w:val="24"/>
          <w:szCs w:val="24"/>
        </w:rPr>
      </w:pPr>
      <w:bookmarkStart w:id="41" w:name="_Toc11796"/>
      <w:r>
        <w:rPr>
          <w:rFonts w:hint="eastAsia" w:ascii="宋体" w:hAnsi="宋体" w:eastAsia="宋体" w:cs="宋体"/>
          <w:sz w:val="24"/>
          <w:szCs w:val="24"/>
          <w:lang w:val="en-US" w:eastAsia="zh-CN"/>
        </w:rPr>
        <w:t>一、</w:t>
      </w:r>
      <w:r>
        <w:rPr>
          <w:rFonts w:hint="eastAsia" w:ascii="宋体" w:hAnsi="宋体" w:eastAsia="宋体" w:cs="宋体"/>
          <w:sz w:val="24"/>
          <w:szCs w:val="24"/>
        </w:rPr>
        <w:t>前附表</w:t>
      </w:r>
      <w:bookmarkEnd w:id="41"/>
    </w:p>
    <w:tbl>
      <w:tblPr>
        <w:tblStyle w:val="21"/>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b/>
                <w:sz w:val="21"/>
                <w:szCs w:val="21"/>
              </w:rPr>
              <w:t>事项</w:t>
            </w:r>
          </w:p>
        </w:tc>
        <w:tc>
          <w:tcPr>
            <w:tcW w:w="6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b/>
                <w:sz w:val="21"/>
                <w:szCs w:val="21"/>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是否允许联合体</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eastAsia="宋体" w:cs="宋体"/>
                <w:kern w:val="2"/>
                <w:sz w:val="21"/>
                <w:szCs w:val="21"/>
                <w:lang w:val="en-US" w:eastAsia="zh-CN" w:bidi="ar-SA"/>
              </w:rPr>
            </w:pPr>
            <w:r>
              <w:rPr>
                <w:rFonts w:hint="eastAsia" w:ascii="宋体" w:hAnsi="宋体" w:cs="宋体"/>
                <w:color w:val="111F2C"/>
                <w:sz w:val="21"/>
                <w:szCs w:val="21"/>
                <w:shd w:val="clear" w:color="auto" w:fill="FFFFFF"/>
                <w:lang w:eastAsia="zh-CN"/>
              </w:rPr>
              <w:t>☑</w:t>
            </w:r>
            <w:r>
              <w:rPr>
                <w:rFonts w:hint="eastAsia" w:ascii="宋体" w:hAnsi="宋体" w:eastAsia="宋体" w:cs="宋体"/>
                <w:color w:val="111F2C"/>
                <w:sz w:val="21"/>
                <w:szCs w:val="21"/>
                <w:shd w:val="clear" w:color="auto" w:fill="FFFFFF"/>
              </w:rPr>
              <w:t xml:space="preserve"> 不接受/</w:t>
            </w:r>
            <w:r>
              <w:rPr>
                <w:rFonts w:hint="eastAsia" w:ascii="宋体" w:hAnsi="宋体" w:cs="宋体"/>
                <w:color w:val="111F2C"/>
                <w:sz w:val="21"/>
                <w:szCs w:val="21"/>
                <w:shd w:val="clear" w:color="auto" w:fill="FFFFFF"/>
                <w:lang w:eastAsia="zh-CN"/>
              </w:rPr>
              <w:t>□</w:t>
            </w:r>
            <w:r>
              <w:rPr>
                <w:rFonts w:hint="eastAsia" w:ascii="宋体" w:hAnsi="宋体" w:eastAsia="宋体" w:cs="宋体"/>
                <w:color w:val="111F2C"/>
                <w:sz w:val="21"/>
                <w:szCs w:val="21"/>
                <w:shd w:val="clear" w:color="auto" w:fill="FFFFFF"/>
              </w:rPr>
              <w:t xml:space="preserve"> 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是否允许分包</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eastAsia="宋体" w:cs="宋体"/>
                <w:kern w:val="2"/>
                <w:sz w:val="21"/>
                <w:szCs w:val="21"/>
                <w:lang w:val="en-US" w:eastAsia="zh-CN" w:bidi="ar-SA"/>
              </w:rPr>
            </w:pPr>
            <w:r>
              <w:rPr>
                <w:rFonts w:hint="eastAsia" w:ascii="宋体" w:hAnsi="宋体" w:cs="宋体"/>
                <w:color w:val="111F2C"/>
                <w:sz w:val="21"/>
                <w:szCs w:val="21"/>
                <w:shd w:val="clear" w:color="auto" w:fill="FFFFFF"/>
                <w:lang w:eastAsia="zh-CN"/>
              </w:rPr>
              <w:t>☑</w:t>
            </w:r>
            <w:r>
              <w:rPr>
                <w:rFonts w:hint="eastAsia" w:ascii="宋体" w:hAnsi="宋体" w:eastAsia="宋体" w:cs="宋体"/>
                <w:color w:val="111F2C"/>
                <w:sz w:val="21"/>
                <w:szCs w:val="21"/>
                <w:shd w:val="clear" w:color="auto" w:fill="FFFFFF"/>
              </w:rPr>
              <w:t xml:space="preserve"> 不允许/□ 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3</w:t>
            </w:r>
          </w:p>
        </w:tc>
        <w:tc>
          <w:tcPr>
            <w:tcW w:w="17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答疑会或</w:t>
            </w:r>
          </w:p>
          <w:p>
            <w:pPr>
              <w:jc w:val="center"/>
              <w:rPr>
                <w:rFonts w:hint="eastAsia" w:ascii="宋体" w:hAnsi="宋体" w:eastAsia="宋体" w:cs="宋体"/>
                <w:kern w:val="0"/>
                <w:sz w:val="21"/>
                <w:szCs w:val="21"/>
              </w:rPr>
            </w:pPr>
            <w:r>
              <w:rPr>
                <w:rFonts w:hint="eastAsia" w:ascii="宋体" w:hAnsi="宋体" w:eastAsia="宋体" w:cs="宋体"/>
                <w:sz w:val="21"/>
                <w:szCs w:val="21"/>
              </w:rPr>
              <w:t>现场踏勘</w:t>
            </w:r>
          </w:p>
        </w:tc>
        <w:tc>
          <w:tcPr>
            <w:tcW w:w="650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0"/>
                <w:sz w:val="21"/>
                <w:szCs w:val="21"/>
              </w:rPr>
            </w:pPr>
            <w:r>
              <w:rPr>
                <w:rFonts w:hint="eastAsia" w:ascii="宋体" w:hAnsi="宋体" w:eastAsia="宋体" w:cs="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4</w:t>
            </w:r>
          </w:p>
        </w:tc>
        <w:tc>
          <w:tcPr>
            <w:tcW w:w="17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投标文件的制作和投标</w:t>
            </w:r>
          </w:p>
        </w:tc>
        <w:tc>
          <w:tcPr>
            <w:tcW w:w="6501" w:type="dxa"/>
            <w:tcBorders>
              <w:top w:val="single" w:color="auto" w:sz="4" w:space="0"/>
              <w:left w:val="single" w:color="auto" w:sz="4" w:space="0"/>
              <w:bottom w:val="single" w:color="auto" w:sz="4" w:space="0"/>
              <w:right w:val="single" w:color="auto" w:sz="4" w:space="0"/>
            </w:tcBorders>
            <w:vAlign w:val="center"/>
          </w:tcPr>
          <w:p>
            <w:pPr>
              <w:bidi w:val="0"/>
              <w:rPr>
                <w:rFonts w:hint="eastAsia"/>
              </w:rPr>
            </w:pPr>
            <w:r>
              <w:rPr>
                <w:rFonts w:hint="eastAsia"/>
              </w:rPr>
              <w:t>请投标人在投标前仔细阅读“政府采购项目电子交易操作指南”。</w:t>
            </w:r>
          </w:p>
          <w:p>
            <w:pPr>
              <w:numPr>
                <w:ilvl w:val="0"/>
                <w:numId w:val="11"/>
              </w:numPr>
              <w:bidi w:val="0"/>
              <w:ind w:left="0" w:leftChars="0" w:firstLine="420" w:firstLineChars="200"/>
              <w:rPr>
                <w:rFonts w:hint="eastAsia"/>
              </w:rPr>
            </w:pPr>
            <w:r>
              <w:rPr>
                <w:rFonts w:hint="eastAsia"/>
              </w:rPr>
              <w:t>投标文件的制作：投标人按照本项目招标文件和政采云平台的要求,通过“政采云电子交易客户端”编制、加密并递交投标文件（下载网址：</w:t>
            </w:r>
            <w:r>
              <w:rPr>
                <w:rFonts w:hint="eastAsia"/>
              </w:rPr>
              <w:fldChar w:fldCharType="begin"/>
            </w:r>
            <w:r>
              <w:rPr>
                <w:rFonts w:hint="eastAsia"/>
              </w:rPr>
              <w:instrText xml:space="preserve"> HYPERLINK "http://www.zjzfcg.gov.cn/bidClientTemplate/2019-09-24/12975.html）。" </w:instrText>
            </w:r>
            <w:r>
              <w:rPr>
                <w:rFonts w:hint="eastAsia"/>
              </w:rPr>
              <w:fldChar w:fldCharType="separate"/>
            </w:r>
            <w:r>
              <w:rPr>
                <w:rFonts w:hint="eastAsia"/>
                <w:lang w:eastAsia="zh-CN"/>
              </w:rPr>
              <w:t>zfcg.czt.zj.gov.cn/bidClientTemplate/2021-11-01/12975.html</w:t>
            </w:r>
            <w:r>
              <w:rPr>
                <w:rFonts w:hint="eastAsia"/>
              </w:rPr>
              <w:t>）。</w:t>
            </w:r>
            <w:r>
              <w:rPr>
                <w:rFonts w:hint="eastAsia"/>
              </w:rPr>
              <w:fldChar w:fldCharType="end"/>
            </w:r>
          </w:p>
          <w:p>
            <w:pPr>
              <w:numPr>
                <w:ilvl w:val="0"/>
                <w:numId w:val="11"/>
              </w:numPr>
              <w:bidi w:val="0"/>
              <w:ind w:left="0" w:leftChars="0" w:firstLine="420" w:firstLineChars="200"/>
              <w:rPr>
                <w:rFonts w:hint="eastAsia"/>
              </w:rPr>
            </w:pPr>
            <w:r>
              <w:rPr>
                <w:rFonts w:hint="eastAsia"/>
              </w:rPr>
              <w:t>投标：投标人应当在投标截止时间前完成投标文件的传输递交，逾期上传的投标文件恕不接受。补充或者修改投标文件的，应当先行撤回原文件，补充、修改后重新传输递交。投标截止时间前未完成上传的，视为撤回投标文件。</w:t>
            </w:r>
          </w:p>
          <w:p>
            <w:pPr>
              <w:numPr>
                <w:ilvl w:val="0"/>
                <w:numId w:val="11"/>
              </w:numPr>
              <w:bidi w:val="0"/>
              <w:ind w:left="0" w:leftChars="0" w:firstLine="420" w:firstLineChars="200"/>
              <w:rPr>
                <w:rFonts w:hint="eastAsia" w:ascii="宋体" w:hAnsi="宋体" w:eastAsia="宋体" w:cs="宋体"/>
                <w:color w:val="auto"/>
                <w:kern w:val="0"/>
                <w:szCs w:val="21"/>
              </w:rPr>
            </w:pPr>
            <w:r>
              <w:rPr>
                <w:rFonts w:hint="eastAsia"/>
              </w:rPr>
              <w:t>投标文件解密：投标人应在</w:t>
            </w:r>
            <w:r>
              <w:rPr>
                <w:rFonts w:hint="eastAsia"/>
                <w:lang w:val="en-US" w:eastAsia="zh-CN"/>
              </w:rPr>
              <w:t>接到解密通知后30分钟内自行“电子加密投标文</w:t>
            </w:r>
            <w:r>
              <w:rPr>
                <w:rFonts w:hint="eastAsia" w:ascii="宋体" w:hAnsi="宋体" w:eastAsia="宋体" w:cs="宋体"/>
                <w:color w:val="auto"/>
                <w:szCs w:val="21"/>
                <w:lang w:val="en-US" w:eastAsia="zh-CN"/>
              </w:rPr>
              <w:t>件”的在线解密</w:t>
            </w: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5</w:t>
            </w:r>
          </w:p>
        </w:tc>
        <w:tc>
          <w:tcPr>
            <w:tcW w:w="1760"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备份投标文件的递交</w:t>
            </w:r>
          </w:p>
        </w:tc>
        <w:tc>
          <w:tcPr>
            <w:tcW w:w="6501" w:type="dxa"/>
            <w:tcBorders>
              <w:top w:val="single" w:color="auto" w:sz="4" w:space="0"/>
              <w:left w:val="single" w:color="auto" w:sz="4" w:space="0"/>
              <w:bottom w:val="single" w:color="auto" w:sz="4" w:space="0"/>
              <w:right w:val="single" w:color="auto" w:sz="4" w:space="0"/>
            </w:tcBorders>
            <w:vAlign w:val="center"/>
          </w:tcPr>
          <w:p>
            <w:pPr>
              <w:bidi w:val="0"/>
              <w:rPr>
                <w:rFonts w:hint="eastAsia"/>
                <w:color w:val="auto"/>
                <w:lang w:val="en-US" w:eastAsia="zh-CN"/>
              </w:rPr>
            </w:pPr>
            <w:r>
              <w:rPr>
                <w:rFonts w:hint="eastAsia" w:ascii="宋体" w:hAnsi="宋体" w:cs="宋体"/>
                <w:color w:val="auto"/>
                <w:szCs w:val="21"/>
              </w:rPr>
              <w:t>备份响应文件是通过</w:t>
            </w:r>
            <w:r>
              <w:rPr>
                <w:rFonts w:hint="eastAsia"/>
                <w:color w:val="auto"/>
              </w:rPr>
              <w:t>“政采云电子交易客户端”</w:t>
            </w:r>
            <w:r>
              <w:rPr>
                <w:rFonts w:hint="eastAsia" w:ascii="宋体" w:hAnsi="宋体" w:cs="宋体"/>
                <w:color w:val="auto"/>
                <w:szCs w:val="21"/>
              </w:rPr>
              <w:t>制做响应文件产生的备份文件</w:t>
            </w:r>
            <w:r>
              <w:rPr>
                <w:rFonts w:hint="eastAsia"/>
                <w:color w:val="auto"/>
                <w:lang w:val="en-US" w:eastAsia="zh-CN"/>
              </w:rPr>
              <w:t>，投标人自行确定是否提交</w:t>
            </w:r>
            <w:r>
              <w:rPr>
                <w:rFonts w:hint="eastAsia"/>
                <w:b/>
                <w:bCs/>
                <w:color w:val="auto"/>
                <w:lang w:val="en-US" w:eastAsia="zh-CN"/>
              </w:rPr>
              <w:t>（自愿提供，非实质性要求，因无法读取的后果由投标人自行承担；以邮件收到的时间为准，逾期或不符合规定的投标文件恕不接受）</w:t>
            </w:r>
            <w:r>
              <w:rPr>
                <w:rFonts w:hint="eastAsia"/>
                <w:color w:val="auto"/>
                <w:lang w:val="en-US" w:eastAsia="zh-CN"/>
              </w:rPr>
              <w:t>。若提交，请在投标截止时间前将备份投标文件打包压缩加密（未加密造成泄密的由投标人自行承担）后以电子邮件的形式发送至404475481@qq.com ，备份投标文件在“电子加密投标文件”在线解密失败后启用，否则不予以启用；投标人确认“电子加密投标文件”在线解密失败后，将打包压缩加密的备份投标文件的解密密码在解密规定的时间（投标截止时间后30分钟内）发送至上述邮箱内，未在规定时间内发送造成的投标无效或失败由投标人自行承担。提交备份投标文件和解密密码时，应写明投标人名称和所投项目名称。</w:t>
            </w:r>
          </w:p>
          <w:p>
            <w:pPr>
              <w:bidi w:val="0"/>
              <w:rPr>
                <w:rFonts w:hint="eastAsia"/>
                <w:b/>
                <w:bCs/>
                <w:color w:val="auto"/>
                <w:lang w:val="en-US" w:eastAsia="zh-CN"/>
              </w:rPr>
            </w:pPr>
            <w:r>
              <w:rPr>
                <w:rFonts w:hint="eastAsia"/>
                <w:b/>
                <w:bCs/>
                <w:color w:val="auto"/>
                <w:lang w:val="en-US" w:eastAsia="zh-CN"/>
              </w:rPr>
              <w:t>提示：</w:t>
            </w:r>
          </w:p>
          <w:p>
            <w:pPr>
              <w:numPr>
                <w:ilvl w:val="0"/>
                <w:numId w:val="12"/>
              </w:numPr>
              <w:ind w:left="0" w:leftChars="0" w:firstLine="420" w:firstLineChars="200"/>
              <w:rPr>
                <w:rFonts w:hint="eastAsia"/>
                <w:color w:val="auto"/>
                <w:lang w:eastAsia="zh-CN"/>
              </w:rPr>
            </w:pPr>
            <w:r>
              <w:rPr>
                <w:rFonts w:hint="eastAsia"/>
                <w:color w:val="auto"/>
                <w:lang w:eastAsia="zh-CN"/>
              </w:rPr>
              <w:t>投标文件已按时解密的，备份投标文件自动失效。</w:t>
            </w:r>
          </w:p>
          <w:p>
            <w:pPr>
              <w:numPr>
                <w:ilvl w:val="0"/>
                <w:numId w:val="12"/>
              </w:numPr>
              <w:ind w:left="0" w:leftChars="0" w:firstLine="420" w:firstLineChars="200"/>
              <w:rPr>
                <w:rFonts w:hint="eastAsia"/>
                <w:color w:val="auto"/>
                <w:lang w:eastAsia="zh-CN"/>
              </w:rPr>
            </w:pPr>
            <w:r>
              <w:rPr>
                <w:rFonts w:hint="eastAsia"/>
                <w:color w:val="auto"/>
                <w:lang w:eastAsia="zh-CN"/>
              </w:rPr>
              <w:t>投标文件未按时解密，供应商提供了备份投标文件的，以备份投标文件作为依据，否则视为投标文件撤回。</w:t>
            </w:r>
          </w:p>
          <w:p>
            <w:pPr>
              <w:numPr>
                <w:ilvl w:val="0"/>
                <w:numId w:val="12"/>
              </w:numPr>
              <w:ind w:left="0" w:leftChars="0" w:firstLine="420" w:firstLineChars="200"/>
              <w:rPr>
                <w:rFonts w:hint="eastAsia"/>
                <w:color w:val="auto"/>
                <w:shd w:val="clear" w:color="auto" w:fill="auto"/>
                <w:lang w:eastAsia="zh-CN"/>
              </w:rPr>
            </w:pPr>
            <w:r>
              <w:rPr>
                <w:rFonts w:hint="eastAsia"/>
                <w:color w:val="auto"/>
                <w:shd w:val="clear" w:color="auto" w:fill="auto"/>
                <w:lang w:eastAsia="zh-CN"/>
              </w:rPr>
              <w:t>投标文件未按时解密，又未提供备份投标文件的，视为放弃投标。</w:t>
            </w:r>
          </w:p>
          <w:p>
            <w:pPr>
              <w:numPr>
                <w:ilvl w:val="0"/>
                <w:numId w:val="12"/>
              </w:numPr>
              <w:ind w:left="0" w:leftChars="0" w:firstLine="420" w:firstLineChars="200"/>
              <w:rPr>
                <w:rFonts w:hint="eastAsia" w:ascii="宋体" w:hAnsi="宋体" w:eastAsia="宋体" w:cs="宋体"/>
                <w:color w:val="auto"/>
                <w:kern w:val="0"/>
                <w:szCs w:val="21"/>
              </w:rPr>
            </w:pPr>
            <w:r>
              <w:rPr>
                <w:rFonts w:hint="eastAsia"/>
                <w:color w:val="auto"/>
                <w:shd w:val="clear" w:color="auto" w:fill="auto"/>
                <w:lang w:eastAsia="zh-CN"/>
              </w:rPr>
              <w:t>供应</w:t>
            </w:r>
            <w:r>
              <w:rPr>
                <w:rFonts w:hint="eastAsia"/>
                <w:b w:val="0"/>
                <w:bCs w:val="0"/>
                <w:color w:val="auto"/>
                <w:shd w:val="clear" w:color="auto" w:fill="auto"/>
                <w:lang w:eastAsia="zh-CN"/>
              </w:rPr>
              <w:t>商</w:t>
            </w:r>
            <w:r>
              <w:rPr>
                <w:rFonts w:hint="eastAsia" w:ascii="宋体" w:hAnsi="宋体" w:eastAsia="宋体" w:cs="宋体"/>
                <w:b w:val="0"/>
                <w:bCs w:val="0"/>
                <w:color w:val="auto"/>
                <w:szCs w:val="21"/>
                <w:highlight w:val="none"/>
                <w:lang w:eastAsia="zh-CN"/>
              </w:rPr>
              <w:t>仅提交备份投标文件的，投标无效。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6</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投标与开标注意事项</w:t>
            </w:r>
          </w:p>
        </w:tc>
        <w:tc>
          <w:tcPr>
            <w:tcW w:w="6501" w:type="dxa"/>
            <w:tcBorders>
              <w:top w:val="single" w:color="auto" w:sz="4" w:space="0"/>
              <w:left w:val="single" w:color="auto" w:sz="4" w:space="0"/>
              <w:bottom w:val="single" w:color="auto" w:sz="4" w:space="0"/>
              <w:right w:val="single" w:color="auto" w:sz="4" w:space="0"/>
            </w:tcBorders>
            <w:vAlign w:val="center"/>
          </w:tcPr>
          <w:p>
            <w:pPr>
              <w:numPr>
                <w:ilvl w:val="0"/>
                <w:numId w:val="13"/>
              </w:numPr>
              <w:bidi w:val="0"/>
              <w:ind w:left="0" w:leftChars="0" w:firstLine="420" w:firstLineChars="200"/>
              <w:rPr>
                <w:rFonts w:hint="eastAsia"/>
                <w:color w:val="auto"/>
              </w:rPr>
            </w:pPr>
            <w:r>
              <w:rPr>
                <w:rFonts w:hint="eastAsia"/>
                <w:color w:val="auto"/>
              </w:rPr>
              <w:t>本项目实行电子投标，投标人自行承担投标一切费用。</w:t>
            </w:r>
          </w:p>
          <w:p>
            <w:pPr>
              <w:numPr>
                <w:ilvl w:val="0"/>
                <w:numId w:val="13"/>
              </w:numPr>
              <w:bidi w:val="0"/>
              <w:ind w:left="0" w:leftChars="0" w:firstLine="420" w:firstLineChars="200"/>
              <w:rPr>
                <w:rFonts w:hint="eastAsia" w:ascii="宋体" w:hAnsi="宋体" w:eastAsia="宋体" w:cs="宋体"/>
                <w:color w:val="auto"/>
                <w:kern w:val="2"/>
                <w:sz w:val="21"/>
                <w:szCs w:val="21"/>
                <w:lang w:val="en-US" w:eastAsia="zh-CN" w:bidi="ar-SA"/>
              </w:rPr>
            </w:pPr>
            <w:r>
              <w:rPr>
                <w:rFonts w:hint="eastAsia"/>
                <w:color w:val="auto"/>
              </w:rPr>
              <w:t>标前准备：投标人在开标前确保成为</w:t>
            </w:r>
            <w:r>
              <w:rPr>
                <w:rFonts w:hint="eastAsia"/>
                <w:color w:val="auto"/>
                <w:lang w:eastAsia="zh-CN"/>
              </w:rPr>
              <w:t>浙江政府采购网</w:t>
            </w:r>
            <w:r>
              <w:rPr>
                <w:rFonts w:hint="eastAsia"/>
                <w:color w:val="auto"/>
              </w:rPr>
              <w:t>正式注册用户，并完成CA数字证书办</w:t>
            </w:r>
            <w:r>
              <w:rPr>
                <w:rFonts w:hint="eastAsia"/>
                <w:color w:val="auto"/>
                <w:highlight w:val="none"/>
              </w:rPr>
              <w:t>理（办理流程详见招标公告附件：“CA申领操作指南.pdf”）</w:t>
            </w:r>
            <w:r>
              <w:rPr>
                <w:rFonts w:hint="eastAsia" w:ascii="宋体" w:hAnsi="宋体" w:eastAsia="宋体" w:cs="宋体"/>
                <w:bCs/>
                <w:color w:val="auto"/>
                <w:szCs w:val="21"/>
                <w:highlight w:val="none"/>
              </w:rPr>
              <w:t>。因</w:t>
            </w:r>
            <w:r>
              <w:rPr>
                <w:rFonts w:hint="eastAsia" w:ascii="宋体" w:hAnsi="宋体" w:eastAsia="宋体" w:cs="宋体"/>
                <w:bCs/>
                <w:color w:val="auto"/>
                <w:szCs w:val="21"/>
              </w:rPr>
              <w:t>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7</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采购代理机构代理费用的收取标准和方式</w:t>
            </w:r>
          </w:p>
        </w:tc>
        <w:tc>
          <w:tcPr>
            <w:tcW w:w="6501"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kern w:val="2"/>
                <w:sz w:val="21"/>
                <w:szCs w:val="21"/>
                <w:lang w:val="en-US" w:eastAsia="zh-CN" w:bidi="ar-SA"/>
              </w:rPr>
            </w:pPr>
            <w:r>
              <w:rPr>
                <w:rFonts w:hint="eastAsia" w:ascii="宋体" w:hAnsi="宋体" w:eastAsia="宋体" w:cs="宋体"/>
                <w:sz w:val="21"/>
                <w:szCs w:val="21"/>
              </w:rPr>
              <w:t xml:space="preserve"> </w:t>
            </w:r>
            <w:r>
              <w:rPr>
                <w:rFonts w:hint="eastAsia" w:ascii="宋体" w:hAnsi="宋体" w:cs="宋体"/>
                <w:sz w:val="21"/>
                <w:szCs w:val="21"/>
                <w:lang w:val="en-US" w:eastAsia="zh-CN"/>
              </w:rPr>
              <w:t>由中标人向采购代理机构支付，具体金额由双方协商确定。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57" w:type="dxa"/>
            <w:tcBorders>
              <w:top w:val="single" w:color="auto" w:sz="4" w:space="0"/>
              <w:left w:val="single" w:color="auto" w:sz="4" w:space="0"/>
              <w:righ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8</w:t>
            </w:r>
          </w:p>
        </w:tc>
        <w:tc>
          <w:tcPr>
            <w:tcW w:w="1760"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b w:val="0"/>
                <w:bCs/>
                <w:kern w:val="2"/>
                <w:sz w:val="21"/>
                <w:szCs w:val="21"/>
                <w:lang w:val="en-US" w:eastAsia="zh-CN" w:bidi="ar-SA"/>
              </w:rPr>
            </w:pPr>
            <w:r>
              <w:rPr>
                <w:rFonts w:hint="eastAsia" w:ascii="宋体" w:hAnsi="宋体" w:cs="宋体"/>
                <w:b w:val="0"/>
                <w:bCs/>
                <w:color w:val="000000"/>
                <w:szCs w:val="21"/>
              </w:rPr>
              <w:t>履约保证金</w:t>
            </w:r>
          </w:p>
        </w:tc>
        <w:tc>
          <w:tcPr>
            <w:tcW w:w="650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kern w:val="2"/>
                <w:sz w:val="21"/>
                <w:szCs w:val="24"/>
                <w:lang w:val="en-US" w:eastAsia="zh-CN" w:bidi="ar-SA"/>
              </w:rPr>
            </w:pPr>
            <w:r>
              <w:rPr>
                <w:rFonts w:hint="eastAsia"/>
                <w:b w:val="0"/>
                <w:bCs/>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9</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i w:val="0"/>
                <w:iCs w:val="0"/>
                <w:color w:val="auto"/>
                <w:kern w:val="0"/>
                <w:sz w:val="21"/>
                <w:szCs w:val="21"/>
                <w:lang w:val="en-US" w:eastAsia="zh-CN" w:bidi="ar-SA"/>
              </w:rPr>
            </w:pPr>
            <w:r>
              <w:rPr>
                <w:rFonts w:hint="eastAsia" w:ascii="宋体" w:hAnsi="宋体" w:eastAsia="宋体" w:cs="宋体"/>
                <w:i w:val="0"/>
                <w:iCs w:val="0"/>
                <w:color w:val="auto"/>
                <w:kern w:val="0"/>
                <w:sz w:val="21"/>
                <w:szCs w:val="21"/>
                <w:lang w:val="en-US" w:eastAsia="zh-CN"/>
              </w:rPr>
              <w:t>核心产品</w:t>
            </w:r>
          </w:p>
        </w:tc>
        <w:tc>
          <w:tcPr>
            <w:tcW w:w="6501" w:type="dxa"/>
            <w:tcBorders>
              <w:top w:val="single" w:color="auto" w:sz="4" w:space="0"/>
              <w:left w:val="single" w:color="auto" w:sz="4" w:space="0"/>
              <w:bottom w:val="single" w:color="auto" w:sz="4" w:space="0"/>
              <w:right w:val="single" w:color="auto" w:sz="4" w:space="0"/>
            </w:tcBorders>
            <w:vAlign w:val="center"/>
          </w:tcPr>
          <w:p>
            <w:pPr>
              <w:bidi w:val="0"/>
              <w:rPr>
                <w:rFonts w:hint="default" w:ascii="Times New Roman" w:hAnsi="Times New Roman" w:eastAsia="宋体" w:cs="Times New Roman"/>
                <w:i w:val="0"/>
                <w:iCs w:val="0"/>
                <w:color w:val="auto"/>
                <w:kern w:val="2"/>
                <w:sz w:val="21"/>
                <w:szCs w:val="24"/>
                <w:lang w:val="en-US" w:eastAsia="zh-CN" w:bidi="ar-SA"/>
              </w:rPr>
            </w:pPr>
            <w:r>
              <w:rPr>
                <w:rFonts w:hint="eastAsia"/>
                <w:i w:val="0"/>
                <w:iCs w:val="0"/>
                <w:color w:val="auto"/>
              </w:rPr>
              <w:t>服务采购</w:t>
            </w:r>
            <w:r>
              <w:rPr>
                <w:rFonts w:hint="eastAsia"/>
                <w:i w:val="0"/>
                <w:iCs w:val="0"/>
                <w:color w:val="auto"/>
                <w:lang w:val="en-US" w:eastAsia="zh-CN"/>
              </w:rPr>
              <w:t>项目</w:t>
            </w:r>
            <w:r>
              <w:rPr>
                <w:rFonts w:hint="eastAsia"/>
                <w:i w:val="0"/>
                <w:iCs w:val="0"/>
                <w:color w:val="auto"/>
              </w:rPr>
              <w:t>，不适用</w:t>
            </w:r>
            <w:r>
              <w:rPr>
                <w:rFonts w:hint="eastAsia"/>
                <w:i w:val="0"/>
                <w:iCs w:val="0"/>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w:t>
            </w:r>
            <w:r>
              <w:rPr>
                <w:rFonts w:hint="eastAsia" w:ascii="宋体" w:hAnsi="宋体" w:cs="宋体"/>
                <w:sz w:val="21"/>
                <w:szCs w:val="21"/>
                <w:lang w:val="en-US" w:eastAsia="zh-CN"/>
              </w:rPr>
              <w:t>0</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阐述</w:t>
            </w:r>
          </w:p>
        </w:tc>
        <w:tc>
          <w:tcPr>
            <w:tcW w:w="6501" w:type="dxa"/>
            <w:tcBorders>
              <w:top w:val="single" w:color="auto" w:sz="4" w:space="0"/>
              <w:left w:val="single" w:color="auto" w:sz="4" w:space="0"/>
              <w:bottom w:val="single" w:color="auto" w:sz="4" w:space="0"/>
              <w:right w:val="single" w:color="auto" w:sz="4" w:space="0"/>
            </w:tcBorders>
            <w:vAlign w:val="center"/>
          </w:tcPr>
          <w:p>
            <w:pPr>
              <w:bidi w:val="0"/>
              <w:rPr>
                <w:rFonts w:hint="default"/>
                <w:b/>
                <w:bCs/>
                <w:highlight w:val="none"/>
                <w:lang w:val="en-US" w:eastAsia="zh-CN"/>
              </w:rPr>
            </w:pPr>
            <w:r>
              <w:rPr>
                <w:rFonts w:hint="eastAsia"/>
                <w:highlight w:val="none"/>
                <w:lang w:val="en-US" w:eastAsia="zh-CN"/>
              </w:rPr>
              <w:t>评分项“</w:t>
            </w:r>
            <w:r>
              <w:rPr>
                <w:rFonts w:hint="eastAsia"/>
                <w:highlight w:val="none"/>
              </w:rPr>
              <w:t>服务方案</w:t>
            </w:r>
            <w:r>
              <w:rPr>
                <w:rFonts w:hint="eastAsia"/>
                <w:highlight w:val="none"/>
                <w:lang w:eastAsia="zh-CN"/>
              </w:rPr>
              <w:t>”、“</w:t>
            </w:r>
            <w:r>
              <w:rPr>
                <w:rFonts w:hint="eastAsia"/>
                <w:highlight w:val="none"/>
              </w:rPr>
              <w:t>创新措施</w:t>
            </w:r>
            <w:r>
              <w:rPr>
                <w:rFonts w:hint="eastAsia"/>
                <w:highlight w:val="none"/>
                <w:lang w:eastAsia="zh-CN"/>
              </w:rPr>
              <w:t>”</w:t>
            </w:r>
            <w:r>
              <w:rPr>
                <w:rFonts w:hint="eastAsia"/>
                <w:highlight w:val="none"/>
                <w:lang w:val="en-US" w:eastAsia="zh-CN"/>
              </w:rPr>
              <w:t>的阐述，</w:t>
            </w:r>
            <w:r>
              <w:rPr>
                <w:rFonts w:hint="eastAsia"/>
                <w:b/>
                <w:bCs/>
                <w:highlight w:val="none"/>
                <w:lang w:val="en-US" w:eastAsia="zh-CN"/>
              </w:rPr>
              <w:t>以下2选1：</w:t>
            </w:r>
          </w:p>
          <w:p>
            <w:pPr>
              <w:bidi w:val="0"/>
              <w:rPr>
                <w:rFonts w:hint="default"/>
                <w:highlight w:val="none"/>
                <w:lang w:val="en-US" w:eastAsia="zh-CN"/>
              </w:rPr>
            </w:pPr>
            <w:r>
              <w:rPr>
                <w:rFonts w:hint="eastAsia"/>
                <w:highlight w:val="none"/>
                <w:lang w:val="en-US" w:eastAsia="zh-CN"/>
              </w:rPr>
              <w:t>1.适用于非现场阐述</w:t>
            </w:r>
          </w:p>
          <w:p>
            <w:pPr>
              <w:bidi w:val="0"/>
              <w:rPr>
                <w:rFonts w:hint="eastAsia"/>
                <w:highlight w:val="none"/>
                <w:lang w:val="en-US" w:eastAsia="zh-CN"/>
              </w:rPr>
            </w:pPr>
            <w:r>
              <w:rPr>
                <w:rFonts w:hint="eastAsia"/>
                <w:highlight w:val="none"/>
                <w:lang w:val="en-US" w:eastAsia="zh-CN"/>
              </w:rPr>
              <w:t>提供本项目的阐述，请投标人提前录制录像，建议以U盘形式存储（“</w:t>
            </w:r>
            <w:r>
              <w:rPr>
                <w:rFonts w:hint="eastAsia"/>
                <w:highlight w:val="none"/>
              </w:rPr>
              <w:t>服务方案</w:t>
            </w:r>
            <w:r>
              <w:rPr>
                <w:rFonts w:hint="eastAsia"/>
                <w:highlight w:val="none"/>
                <w:lang w:eastAsia="zh-CN"/>
              </w:rPr>
              <w:t>”</w:t>
            </w:r>
            <w:r>
              <w:rPr>
                <w:rFonts w:hint="eastAsia"/>
                <w:highlight w:val="none"/>
                <w:lang w:val="en-US" w:eastAsia="zh-CN"/>
              </w:rPr>
              <w:t>阐述时间不超过4分钟</w:t>
            </w:r>
            <w:r>
              <w:rPr>
                <w:rFonts w:hint="eastAsia"/>
                <w:highlight w:val="none"/>
                <w:lang w:eastAsia="zh-CN"/>
              </w:rPr>
              <w:t>、“</w:t>
            </w:r>
            <w:r>
              <w:rPr>
                <w:rFonts w:hint="eastAsia"/>
                <w:highlight w:val="none"/>
              </w:rPr>
              <w:t>创新措施</w:t>
            </w:r>
            <w:r>
              <w:rPr>
                <w:rFonts w:hint="eastAsia"/>
                <w:highlight w:val="none"/>
                <w:lang w:eastAsia="zh-CN"/>
              </w:rPr>
              <w:t>”</w:t>
            </w:r>
            <w:r>
              <w:rPr>
                <w:rFonts w:hint="eastAsia"/>
                <w:highlight w:val="none"/>
                <w:lang w:val="en-US" w:eastAsia="zh-CN"/>
              </w:rPr>
              <w:t>阐述时间不超过6分钟，因介质损坏等原因导致无法读取的后果由投标人自行承担），在投标截止时间之前将存有阐述录像的介质邮寄（送达）至以下地点，以签收时间为准，逾期的恕不接受。</w:t>
            </w:r>
          </w:p>
          <w:p>
            <w:pPr>
              <w:bidi w:val="0"/>
              <w:rPr>
                <w:rFonts w:hint="eastAsia"/>
                <w:highlight w:val="none"/>
                <w:lang w:val="en-US" w:eastAsia="zh-CN"/>
              </w:rPr>
            </w:pPr>
            <w:r>
              <w:rPr>
                <w:rFonts w:hint="eastAsia"/>
                <w:highlight w:val="none"/>
                <w:lang w:val="en-US" w:eastAsia="zh-CN"/>
              </w:rPr>
              <w:t>收 件 人：周先生（台州市永阳科技有限公司）</w:t>
            </w:r>
          </w:p>
          <w:p>
            <w:pPr>
              <w:bidi w:val="0"/>
              <w:rPr>
                <w:rFonts w:hint="eastAsia"/>
                <w:highlight w:val="none"/>
                <w:lang w:val="en-US" w:eastAsia="zh-CN"/>
              </w:rPr>
            </w:pPr>
            <w:r>
              <w:rPr>
                <w:rFonts w:hint="eastAsia"/>
                <w:highlight w:val="none"/>
                <w:lang w:val="en-US" w:eastAsia="zh-CN"/>
              </w:rPr>
              <w:t xml:space="preserve">地　　址：浙江省台州市椒江区市府大道西段618号台州科技城二号楼425室                         </w:t>
            </w:r>
          </w:p>
          <w:p>
            <w:pPr>
              <w:bidi w:val="0"/>
              <w:rPr>
                <w:rFonts w:hint="eastAsia"/>
                <w:highlight w:val="none"/>
                <w:lang w:val="en-US" w:eastAsia="zh-CN"/>
              </w:rPr>
            </w:pPr>
            <w:r>
              <w:rPr>
                <w:rFonts w:hint="eastAsia"/>
                <w:highlight w:val="none"/>
                <w:lang w:val="en-US" w:eastAsia="zh-CN"/>
              </w:rPr>
              <w:t>联系方式：18958682891</w:t>
            </w:r>
          </w:p>
          <w:p>
            <w:pPr>
              <w:bidi w:val="0"/>
              <w:rPr>
                <w:rFonts w:hint="eastAsia"/>
                <w:highlight w:val="none"/>
                <w:lang w:val="en-US" w:eastAsia="zh-CN"/>
              </w:rPr>
            </w:pPr>
            <w:r>
              <w:rPr>
                <w:rFonts w:hint="eastAsia"/>
                <w:highlight w:val="none"/>
                <w:lang w:val="en-US" w:eastAsia="zh-CN"/>
              </w:rPr>
              <w:t>温馨提醒：请在快递单或外包装注明供应商名称。</w:t>
            </w:r>
          </w:p>
          <w:p>
            <w:pPr>
              <w:bidi w:val="0"/>
              <w:rPr>
                <w:rFonts w:hint="default"/>
                <w:highlight w:val="none"/>
                <w:lang w:val="en-US" w:eastAsia="zh-CN"/>
              </w:rPr>
            </w:pPr>
            <w:r>
              <w:rPr>
                <w:rFonts w:hint="eastAsia"/>
                <w:highlight w:val="none"/>
                <w:lang w:val="en-US" w:eastAsia="zh-CN"/>
              </w:rPr>
              <w:t>2.适用于现场阐述</w:t>
            </w:r>
          </w:p>
          <w:p>
            <w:pPr>
              <w:pStyle w:val="8"/>
              <w:jc w:val="left"/>
              <w:rPr>
                <w:rFonts w:hint="default"/>
                <w:highlight w:val="none"/>
                <w:lang w:val="en-US" w:eastAsia="zh-CN"/>
              </w:rPr>
            </w:pPr>
            <w:r>
              <w:rPr>
                <w:rFonts w:hint="eastAsia"/>
                <w:highlight w:val="none"/>
                <w:lang w:val="en-US" w:eastAsia="zh-CN"/>
              </w:rPr>
              <w:t>时间：开标后评审中</w:t>
            </w:r>
          </w:p>
          <w:p>
            <w:pPr>
              <w:pStyle w:val="8"/>
              <w:jc w:val="left"/>
              <w:rPr>
                <w:rFonts w:hint="default"/>
                <w:highlight w:val="none"/>
                <w:lang w:val="en-US" w:eastAsia="zh-CN"/>
              </w:rPr>
            </w:pPr>
            <w:r>
              <w:rPr>
                <w:rFonts w:hint="eastAsia"/>
                <w:highlight w:val="none"/>
                <w:lang w:val="en-US" w:eastAsia="zh-CN"/>
              </w:rPr>
              <w:t>地址：浙江省台州市椒江区市府大道西段618号台州科技城二号楼426室。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w:t>
            </w:r>
            <w:r>
              <w:rPr>
                <w:rFonts w:hint="eastAsia" w:ascii="宋体" w:hAnsi="宋体" w:cs="宋体"/>
                <w:sz w:val="21"/>
                <w:szCs w:val="21"/>
                <w:lang w:val="en-US" w:eastAsia="zh-CN"/>
              </w:rPr>
              <w:t>1</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kern w:val="2"/>
                <w:sz w:val="21"/>
                <w:szCs w:val="21"/>
                <w:lang w:val="zh-CN" w:eastAsia="zh-CN" w:bidi="ar-SA"/>
              </w:rPr>
            </w:pPr>
            <w:r>
              <w:rPr>
                <w:rFonts w:hint="eastAsia" w:ascii="宋体" w:hAnsi="宋体" w:eastAsia="宋体" w:cs="宋体"/>
                <w:sz w:val="21"/>
                <w:szCs w:val="21"/>
                <w:lang w:val="zh-CN"/>
              </w:rPr>
              <w:t>实质性条款</w:t>
            </w:r>
          </w:p>
        </w:tc>
        <w:tc>
          <w:tcPr>
            <w:tcW w:w="6501" w:type="dxa"/>
            <w:tcBorders>
              <w:top w:val="single" w:color="auto" w:sz="4" w:space="0"/>
              <w:left w:val="single" w:color="auto" w:sz="4" w:space="0"/>
              <w:bottom w:val="single" w:color="auto" w:sz="4" w:space="0"/>
              <w:right w:val="single" w:color="auto" w:sz="4" w:space="0"/>
            </w:tcBorders>
            <w:vAlign w:val="center"/>
          </w:tcPr>
          <w:p>
            <w:pPr>
              <w:bidi w:val="0"/>
              <w:rPr>
                <w:rFonts w:hint="eastAsia" w:ascii="Times New Roman" w:hAnsi="Times New Roman" w:eastAsia="宋体" w:cs="Times New Roman"/>
                <w:kern w:val="2"/>
                <w:sz w:val="21"/>
                <w:szCs w:val="24"/>
                <w:lang w:val="en-US" w:eastAsia="zh-CN" w:bidi="ar-SA"/>
              </w:rPr>
            </w:pPr>
            <w:r>
              <w:rPr>
                <w:rFonts w:hint="eastAsia"/>
                <w:lang w:val="zh-CN"/>
              </w:rPr>
              <w:t>带“</w:t>
            </w:r>
            <w:r>
              <w:rPr>
                <w:rFonts w:hint="eastAsia"/>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12</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书面形式</w:t>
            </w:r>
          </w:p>
        </w:tc>
        <w:tc>
          <w:tcPr>
            <w:tcW w:w="6501" w:type="dxa"/>
            <w:tcBorders>
              <w:top w:val="single" w:color="auto" w:sz="4" w:space="0"/>
              <w:left w:val="single" w:color="auto" w:sz="4" w:space="0"/>
              <w:bottom w:val="single" w:color="auto" w:sz="4" w:space="0"/>
              <w:right w:val="single" w:color="auto" w:sz="4" w:space="0"/>
            </w:tcBorders>
            <w:vAlign w:val="center"/>
          </w:tcPr>
          <w:p>
            <w:pPr>
              <w:bidi w:val="0"/>
              <w:rPr>
                <w:rFonts w:hint="eastAsia" w:ascii="Times New Roman" w:hAnsi="Times New Roman" w:eastAsia="宋体" w:cs="Times New Roman"/>
                <w:kern w:val="2"/>
                <w:sz w:val="21"/>
                <w:szCs w:val="24"/>
                <w:lang w:val="en-US" w:eastAsia="zh-CN" w:bidi="ar-SA"/>
              </w:rPr>
            </w:pPr>
            <w:r>
              <w:rPr>
                <w:rFonts w:hint="eastAsia"/>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13</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解释权</w:t>
            </w:r>
          </w:p>
        </w:tc>
        <w:tc>
          <w:tcPr>
            <w:tcW w:w="6501" w:type="dxa"/>
            <w:tcBorders>
              <w:top w:val="single" w:color="auto" w:sz="4" w:space="0"/>
              <w:left w:val="single" w:color="auto" w:sz="4" w:space="0"/>
              <w:bottom w:val="single" w:color="auto" w:sz="4" w:space="0"/>
              <w:right w:val="single" w:color="auto" w:sz="4" w:space="0"/>
            </w:tcBorders>
            <w:vAlign w:val="center"/>
          </w:tcPr>
          <w:p>
            <w:pPr>
              <w:bidi w:val="0"/>
              <w:rPr>
                <w:rFonts w:hint="eastAsia" w:ascii="Times New Roman" w:hAnsi="Times New Roman" w:eastAsia="宋体" w:cs="Times New Roman"/>
                <w:kern w:val="2"/>
                <w:sz w:val="21"/>
                <w:szCs w:val="24"/>
                <w:lang w:val="en-US" w:eastAsia="zh-CN" w:bidi="ar-SA"/>
              </w:rPr>
            </w:pPr>
            <w:r>
              <w:rPr>
                <w:rFonts w:hint="eastAsia"/>
              </w:rPr>
              <w:t>本招标文件解释权属于采购人和采购组织机构</w:t>
            </w:r>
          </w:p>
        </w:tc>
      </w:tr>
    </w:tbl>
    <w:p>
      <w:pPr>
        <w:pStyle w:val="12"/>
        <w:snapToGrid w:val="0"/>
        <w:spacing w:before="120" w:after="120" w:line="360" w:lineRule="auto"/>
        <w:rPr>
          <w:rFonts w:hint="eastAsia" w:ascii="宋体" w:hAnsi="宋体" w:eastAsia="宋体" w:cs="宋体"/>
          <w:b/>
          <w:sz w:val="24"/>
          <w:szCs w:val="24"/>
        </w:rPr>
      </w:pPr>
      <w:r>
        <w:rPr>
          <w:rFonts w:hint="eastAsia" w:ascii="宋体" w:hAnsi="宋体" w:eastAsia="宋体" w:cs="宋体"/>
          <w:b/>
          <w:sz w:val="24"/>
          <w:szCs w:val="24"/>
          <w:lang w:val="en-US" w:eastAsia="zh-CN"/>
        </w:rPr>
        <w:t>注：</w:t>
      </w:r>
      <w:r>
        <w:rPr>
          <w:rFonts w:hint="eastAsia" w:ascii="宋体" w:hAnsi="宋体" w:eastAsia="宋体" w:cs="宋体"/>
          <w:b/>
          <w:sz w:val="24"/>
          <w:szCs w:val="24"/>
        </w:rPr>
        <w:t>前附表</w:t>
      </w:r>
      <w:r>
        <w:rPr>
          <w:rFonts w:hint="eastAsia" w:ascii="宋体" w:hAnsi="宋体" w:eastAsia="宋体" w:cs="宋体"/>
          <w:b/>
          <w:sz w:val="24"/>
          <w:szCs w:val="24"/>
          <w:lang w:val="en-US" w:eastAsia="zh-CN"/>
        </w:rPr>
        <w:t>的内容与本采购文件其他内容不一致的，以本前附表为准。</w:t>
      </w:r>
    </w:p>
    <w:p>
      <w:pPr>
        <w:rPr>
          <w:rFonts w:hint="eastAsia" w:ascii="宋体" w:hAnsi="宋体" w:eastAsia="宋体" w:cs="宋体"/>
          <w:b/>
          <w:sz w:val="24"/>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b/>
          <w:sz w:val="24"/>
          <w:szCs w:val="24"/>
        </w:rPr>
        <w:br w:type="page"/>
      </w:r>
    </w:p>
    <w:p>
      <w:pPr>
        <w:keepNext w:val="0"/>
        <w:keepLines w:val="0"/>
        <w:pageBreakBefore w:val="0"/>
        <w:kinsoku/>
        <w:wordWrap/>
        <w:overflowPunct/>
        <w:topLinePunct w:val="0"/>
        <w:bidi w:val="0"/>
        <w:adjustRightInd/>
        <w:snapToGrid/>
        <w:spacing w:before="0" w:after="0" w:line="360" w:lineRule="auto"/>
        <w:ind w:left="0" w:leftChars="0" w:right="0" w:firstLine="480" w:firstLineChars="200"/>
        <w:jc w:val="left"/>
        <w:textAlignment w:val="auto"/>
        <w:outlineLvl w:val="9"/>
        <w:rPr>
          <w:rFonts w:hint="eastAsia"/>
        </w:rPr>
      </w:pPr>
      <w:bookmarkStart w:id="42" w:name="_Toc287"/>
      <w:r>
        <w:rPr>
          <w:rFonts w:hint="eastAsia" w:ascii="宋体" w:hAnsi="宋体" w:eastAsia="宋体" w:cs="宋体"/>
          <w:sz w:val="24"/>
          <w:szCs w:val="24"/>
        </w:rPr>
        <w:t>二、说 明</w:t>
      </w:r>
      <w:bookmarkEnd w:id="42"/>
      <w:sdt>
        <w:sdtPr>
          <w:rPr>
            <w:rFonts w:ascii="宋体" w:hAnsi="宋体" w:eastAsia="宋体" w:cs="Times New Roman"/>
            <w:kern w:val="2"/>
            <w:sz w:val="21"/>
            <w:szCs w:val="24"/>
            <w:lang w:val="en-US" w:eastAsia="zh-CN" w:bidi="ar-SA"/>
          </w:rPr>
          <w:id w:val="147478307"/>
          <w:showingPlcHdr/>
          <w15:color w:val="DBDBDB"/>
          <w:docPartObj>
            <w:docPartGallery w:val="Table of Contents"/>
            <w:docPartUnique/>
          </w:docPartObj>
        </w:sdtPr>
        <w:sdtEndPr>
          <w:rPr>
            <w:rFonts w:hint="eastAsia" w:ascii="Calibri" w:hAnsi="Calibri" w:eastAsia="楷体_GB2312" w:cs="宋体"/>
            <w:b/>
            <w:kern w:val="2"/>
            <w:sz w:val="32"/>
            <w:szCs w:val="22"/>
            <w:lang w:val="en-US" w:eastAsia="zh-CN" w:bidi="ar-SA"/>
          </w:rPr>
        </w:sdtEndPr>
        <w:sdtContent/>
      </w:sdt>
    </w:p>
    <w:p>
      <w:pPr>
        <w:keepNext w:val="0"/>
        <w:keepLines w:val="0"/>
        <w:pageBreakBefore w:val="0"/>
        <w:numPr>
          <w:ilvl w:val="0"/>
          <w:numId w:val="14"/>
        </w:numPr>
        <w:kinsoku/>
        <w:wordWrap/>
        <w:overflowPunct/>
        <w:topLinePunct w:val="0"/>
        <w:bidi w:val="0"/>
        <w:adjustRightInd/>
        <w:snapToGrid/>
        <w:spacing w:line="360" w:lineRule="auto"/>
        <w:ind w:left="0" w:leftChars="0" w:right="0" w:firstLine="482" w:firstLineChars="200"/>
        <w:jc w:val="left"/>
        <w:textAlignment w:val="auto"/>
        <w:outlineLvl w:val="9"/>
        <w:rPr>
          <w:rFonts w:hint="default" w:ascii="宋体" w:hAnsi="宋体" w:eastAsia="宋体" w:cs="宋体"/>
          <w:b/>
          <w:sz w:val="24"/>
          <w:szCs w:val="24"/>
          <w:lang w:val="en-US" w:eastAsia="zh-CN"/>
        </w:rPr>
      </w:pPr>
      <w:r>
        <w:rPr>
          <w:rFonts w:hint="eastAsia" w:ascii="宋体" w:hAnsi="宋体" w:eastAsia="宋体" w:cs="宋体"/>
          <w:b/>
          <w:sz w:val="24"/>
          <w:szCs w:val="24"/>
          <w:lang w:val="en-US" w:eastAsia="zh-CN"/>
        </w:rPr>
        <w:t>总则</w:t>
      </w:r>
    </w:p>
    <w:p>
      <w:pPr>
        <w:keepNext w:val="0"/>
        <w:keepLines w:val="0"/>
        <w:pageBreakBefore w:val="0"/>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本招标文件依据《中华人民共和国政府采购法》、《中华人民共和国政府采购法实施条例》（国务院令第658号）和《政府采购货物和服务招标投标管理办法》（财政部令第87号）及国家和浙江省有关法律、法规、规章编制。</w:t>
      </w:r>
    </w:p>
    <w:p>
      <w:pPr>
        <w:keepNext w:val="0"/>
        <w:keepLines w:val="0"/>
        <w:pageBreakBefore w:val="0"/>
        <w:tabs>
          <w:tab w:val="left" w:pos="7980"/>
        </w:tabs>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投标人应仔细阅读本项目招标公告及招标文件的所有内容（包括补充、澄清以及修改等，且均为招标文件的组成部分），按照招标文件要求以及格式编制投标文件，并保证其真实性，否则由此引起的一切后果应由投标人承担。</w:t>
      </w:r>
    </w:p>
    <w:p>
      <w:pPr>
        <w:keepNext w:val="0"/>
        <w:keepLines w:val="0"/>
        <w:pageBreakBefore w:val="0"/>
        <w:numPr>
          <w:ilvl w:val="0"/>
          <w:numId w:val="14"/>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sz w:val="24"/>
          <w:szCs w:val="24"/>
        </w:rPr>
      </w:pPr>
      <w:bookmarkStart w:id="43" w:name="_Toc32279"/>
      <w:r>
        <w:rPr>
          <w:rFonts w:hint="eastAsia" w:ascii="宋体" w:hAnsi="宋体" w:eastAsia="宋体" w:cs="宋体"/>
          <w:b/>
          <w:sz w:val="24"/>
          <w:szCs w:val="24"/>
        </w:rPr>
        <w:t>适用范围</w:t>
      </w:r>
      <w:bookmarkEnd w:id="43"/>
    </w:p>
    <w:p>
      <w:pPr>
        <w:keepNext w:val="0"/>
        <w:keepLines w:val="0"/>
        <w:pageBreakBefore w:val="0"/>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本招标文件适用于</w:t>
      </w:r>
      <w:r>
        <w:rPr>
          <w:rFonts w:hint="eastAsia" w:ascii="宋体" w:hAnsi="宋体" w:eastAsia="宋体" w:cs="宋体"/>
          <w:bCs/>
          <w:sz w:val="24"/>
          <w:szCs w:val="24"/>
        </w:rPr>
        <w:t>本次</w:t>
      </w:r>
      <w:r>
        <w:rPr>
          <w:rFonts w:hint="eastAsia" w:ascii="宋体" w:hAnsi="宋体" w:eastAsia="宋体" w:cs="宋体"/>
          <w:sz w:val="24"/>
          <w:szCs w:val="24"/>
        </w:rPr>
        <w:t>项目的招标、投标、评标、定标、验收、合同履约、付款等行为（法律、法规另有规定的，从其规定）。</w:t>
      </w:r>
    </w:p>
    <w:p>
      <w:pPr>
        <w:pStyle w:val="9"/>
        <w:keepNext w:val="0"/>
        <w:keepLines w:val="0"/>
        <w:pageBreakBefore w:val="0"/>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本招标文件仅适用于本次招标公告中所涉及的项目和内容。</w:t>
      </w:r>
    </w:p>
    <w:p>
      <w:pPr>
        <w:keepNext w:val="0"/>
        <w:keepLines w:val="0"/>
        <w:pageBreakBefore w:val="0"/>
        <w:numPr>
          <w:ilvl w:val="0"/>
          <w:numId w:val="14"/>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sz w:val="24"/>
          <w:szCs w:val="24"/>
        </w:rPr>
      </w:pPr>
      <w:bookmarkStart w:id="44" w:name="_Toc20379"/>
      <w:r>
        <w:rPr>
          <w:rFonts w:hint="eastAsia" w:ascii="宋体" w:hAnsi="宋体" w:eastAsia="宋体" w:cs="宋体"/>
          <w:b/>
          <w:sz w:val="24"/>
          <w:szCs w:val="24"/>
        </w:rPr>
        <w:t>当事人</w:t>
      </w:r>
      <w:bookmarkEnd w:id="44"/>
    </w:p>
    <w:p>
      <w:pPr>
        <w:keepNext w:val="0"/>
        <w:keepLines w:val="0"/>
        <w:pageBreakBefore w:val="0"/>
        <w:numPr>
          <w:ilvl w:val="0"/>
          <w:numId w:val="15"/>
        </w:numPr>
        <w:tabs>
          <w:tab w:val="left" w:pos="0"/>
          <w:tab w:val="left" w:pos="851"/>
          <w:tab w:val="left" w:pos="8280"/>
        </w:tabs>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bCs w:val="0"/>
          <w:sz w:val="24"/>
          <w:szCs w:val="24"/>
        </w:rPr>
      </w:pPr>
      <w:r>
        <w:rPr>
          <w:rFonts w:hint="eastAsia" w:ascii="宋体" w:hAnsi="宋体" w:eastAsia="宋体" w:cs="宋体"/>
          <w:bCs w:val="0"/>
          <w:sz w:val="24"/>
          <w:szCs w:val="24"/>
          <w:lang w:val="zh-CN"/>
        </w:rPr>
        <w:t>采购组织机构：</w:t>
      </w:r>
      <w:r>
        <w:rPr>
          <w:rFonts w:hint="eastAsia" w:ascii="宋体" w:hAnsi="宋体" w:eastAsia="宋体" w:cs="宋体"/>
          <w:bCs w:val="0"/>
          <w:sz w:val="24"/>
          <w:szCs w:val="24"/>
        </w:rPr>
        <w:t>是</w:t>
      </w:r>
      <w:r>
        <w:rPr>
          <w:rFonts w:hint="eastAsia" w:ascii="宋体" w:hAnsi="宋体" w:eastAsia="宋体" w:cs="宋体"/>
          <w:bCs w:val="0"/>
          <w:sz w:val="24"/>
          <w:szCs w:val="24"/>
          <w:lang w:val="zh-CN"/>
        </w:rPr>
        <w:t>指采购人委托组织招标的采购代理机构。</w:t>
      </w:r>
    </w:p>
    <w:p>
      <w:pPr>
        <w:keepNext w:val="0"/>
        <w:keepLines w:val="0"/>
        <w:pageBreakBefore w:val="0"/>
        <w:numPr>
          <w:ilvl w:val="0"/>
          <w:numId w:val="15"/>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采购人：是指依法进行政府采购的国家机关、事业单位和团体组织。</w:t>
      </w:r>
    </w:p>
    <w:p>
      <w:pPr>
        <w:keepNext w:val="0"/>
        <w:keepLines w:val="0"/>
        <w:pageBreakBefore w:val="0"/>
        <w:numPr>
          <w:ilvl w:val="0"/>
          <w:numId w:val="15"/>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投标人：是指响应招标、参加投标竞争的法人、其他组织或者自然人。</w:t>
      </w:r>
    </w:p>
    <w:p>
      <w:pPr>
        <w:keepNext w:val="0"/>
        <w:keepLines w:val="0"/>
        <w:pageBreakBefore w:val="0"/>
        <w:numPr>
          <w:ilvl w:val="0"/>
          <w:numId w:val="15"/>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lang w:val="zh-CN"/>
        </w:rPr>
      </w:pPr>
      <w:r>
        <w:rPr>
          <w:rFonts w:hint="eastAsia" w:ascii="宋体" w:hAnsi="宋体" w:eastAsia="宋体" w:cs="宋体"/>
          <w:sz w:val="24"/>
          <w:szCs w:val="24"/>
          <w:lang w:val="zh-CN"/>
        </w:rPr>
        <w:t>中标</w:t>
      </w:r>
      <w:r>
        <w:rPr>
          <w:rFonts w:hint="eastAsia" w:ascii="宋体" w:hAnsi="宋体" w:eastAsia="宋体" w:cs="宋体"/>
          <w:sz w:val="24"/>
          <w:szCs w:val="24"/>
        </w:rPr>
        <w:t>人</w:t>
      </w:r>
      <w:r>
        <w:rPr>
          <w:rFonts w:hint="eastAsia" w:ascii="宋体" w:hAnsi="宋体" w:eastAsia="宋体" w:cs="宋体"/>
          <w:sz w:val="24"/>
          <w:szCs w:val="24"/>
          <w:lang w:val="zh-CN"/>
        </w:rPr>
        <w:t>：是指经评</w:t>
      </w:r>
      <w:r>
        <w:rPr>
          <w:rFonts w:hint="eastAsia" w:ascii="宋体" w:hAnsi="宋体" w:eastAsia="宋体" w:cs="宋体"/>
          <w:sz w:val="24"/>
          <w:szCs w:val="24"/>
        </w:rPr>
        <w:t>标</w:t>
      </w:r>
      <w:r>
        <w:rPr>
          <w:rFonts w:hint="eastAsia" w:ascii="宋体" w:hAnsi="宋体" w:eastAsia="宋体" w:cs="宋体"/>
          <w:sz w:val="24"/>
          <w:szCs w:val="24"/>
          <w:lang w:val="zh-CN"/>
        </w:rPr>
        <w:t>委员会评审确定的对招标文件</w:t>
      </w:r>
      <w:r>
        <w:rPr>
          <w:rFonts w:hint="eastAsia" w:ascii="宋体" w:hAnsi="宋体" w:eastAsia="宋体" w:cs="宋体"/>
          <w:sz w:val="24"/>
          <w:szCs w:val="24"/>
        </w:rPr>
        <w:t>作</w:t>
      </w:r>
      <w:r>
        <w:rPr>
          <w:rFonts w:hint="eastAsia" w:ascii="宋体" w:hAnsi="宋体" w:eastAsia="宋体" w:cs="宋体"/>
          <w:sz w:val="24"/>
          <w:szCs w:val="24"/>
          <w:lang w:val="zh-CN"/>
        </w:rPr>
        <w:t>出实质性响应，经采购人按照规定在评</w:t>
      </w:r>
      <w:r>
        <w:rPr>
          <w:rFonts w:hint="eastAsia" w:ascii="宋体" w:hAnsi="宋体" w:eastAsia="宋体" w:cs="宋体"/>
          <w:sz w:val="24"/>
          <w:szCs w:val="24"/>
        </w:rPr>
        <w:t>标</w:t>
      </w:r>
      <w:r>
        <w:rPr>
          <w:rFonts w:hint="eastAsia" w:ascii="宋体" w:hAnsi="宋体" w:eastAsia="宋体" w:cs="宋体"/>
          <w:sz w:val="24"/>
          <w:szCs w:val="24"/>
          <w:lang w:val="zh-CN"/>
        </w:rPr>
        <w:t>委员会推荐的中标候选人中确定的或受采购人委托直接确认的，与采购人签订合同资格的投标</w:t>
      </w:r>
      <w:r>
        <w:rPr>
          <w:rFonts w:hint="eastAsia" w:ascii="宋体" w:hAnsi="宋体" w:eastAsia="宋体" w:cs="宋体"/>
          <w:sz w:val="24"/>
          <w:szCs w:val="24"/>
        </w:rPr>
        <w:t>人</w:t>
      </w:r>
      <w:r>
        <w:rPr>
          <w:rFonts w:hint="eastAsia" w:ascii="宋体" w:hAnsi="宋体" w:eastAsia="宋体" w:cs="宋体"/>
          <w:sz w:val="24"/>
          <w:szCs w:val="24"/>
          <w:lang w:val="zh-CN"/>
        </w:rPr>
        <w:t>。</w:t>
      </w:r>
    </w:p>
    <w:p>
      <w:pPr>
        <w:pStyle w:val="20"/>
        <w:keepNext w:val="0"/>
        <w:keepLines w:val="0"/>
        <w:pageBreakBefore w:val="0"/>
        <w:numPr>
          <w:ilvl w:val="0"/>
          <w:numId w:val="15"/>
        </w:numPr>
        <w:kinsoku/>
        <w:wordWrap/>
        <w:overflowPunct/>
        <w:topLinePunct w:val="0"/>
        <w:bidi w:val="0"/>
        <w:adjustRightInd/>
        <w:snapToGrid/>
        <w:spacing w:after="0"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联合体：两个或两个以上法人或者其他组织可以组成一个联合体，以一个投标人的身份共同投标。</w:t>
      </w:r>
    </w:p>
    <w:p>
      <w:pPr>
        <w:keepNext w:val="0"/>
        <w:keepLines w:val="0"/>
        <w:pageBreakBefore w:val="0"/>
        <w:numPr>
          <w:ilvl w:val="0"/>
          <w:numId w:val="14"/>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color w:val="auto"/>
          <w:sz w:val="24"/>
          <w:szCs w:val="24"/>
        </w:rPr>
      </w:pPr>
      <w:bookmarkStart w:id="45" w:name="_Toc969"/>
      <w:r>
        <w:rPr>
          <w:rFonts w:hint="eastAsia" w:ascii="宋体" w:hAnsi="宋体" w:eastAsia="宋体" w:cs="宋体"/>
          <w:b/>
          <w:bCs/>
          <w:color w:val="auto"/>
          <w:sz w:val="24"/>
          <w:szCs w:val="24"/>
        </w:rPr>
        <w:t>以联合体形式投标的，应符合以下规定：</w:t>
      </w:r>
      <w:bookmarkEnd w:id="45"/>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本项目不适用</w:t>
      </w:r>
      <w:r>
        <w:rPr>
          <w:rFonts w:hint="eastAsia" w:ascii="宋体" w:hAnsi="宋体" w:cs="宋体"/>
          <w:b/>
          <w:bCs/>
          <w:color w:val="auto"/>
          <w:sz w:val="24"/>
          <w:szCs w:val="24"/>
          <w:lang w:eastAsia="zh-CN"/>
        </w:rPr>
        <w:t>）</w:t>
      </w:r>
    </w:p>
    <w:p>
      <w:pPr>
        <w:keepNext w:val="0"/>
        <w:keepLines w:val="0"/>
        <w:pageBreakBefore w:val="0"/>
        <w:numPr>
          <w:ilvl w:val="0"/>
          <w:numId w:val="16"/>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联合体各方应签订联合体协议书，明确联合体牵头人和各方权利义务，并作为投标文件组成分部分；</w:t>
      </w:r>
    </w:p>
    <w:p>
      <w:pPr>
        <w:keepNext w:val="0"/>
        <w:keepLines w:val="0"/>
        <w:pageBreakBefore w:val="0"/>
        <w:numPr>
          <w:ilvl w:val="0"/>
          <w:numId w:val="16"/>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联合体各方均应当具备</w:t>
      </w:r>
      <w:r>
        <w:rPr>
          <w:rFonts w:hint="eastAsia" w:ascii="宋体" w:hAnsi="宋体" w:eastAsia="宋体" w:cs="宋体"/>
          <w:color w:val="auto"/>
          <w:sz w:val="24"/>
          <w:szCs w:val="24"/>
          <w:lang w:val="zh-CN"/>
        </w:rPr>
        <w:t>《中华人民共和国政府采购法》</w:t>
      </w:r>
      <w:r>
        <w:rPr>
          <w:rFonts w:hint="eastAsia" w:ascii="宋体" w:hAnsi="宋体" w:eastAsia="宋体" w:cs="宋体"/>
          <w:color w:val="auto"/>
          <w:sz w:val="24"/>
          <w:szCs w:val="24"/>
        </w:rPr>
        <w:t>第二十二条规定的条件，并在投标文件中提供联合体各方的相关证明材料；</w:t>
      </w:r>
    </w:p>
    <w:p>
      <w:pPr>
        <w:keepNext w:val="0"/>
        <w:keepLines w:val="0"/>
        <w:pageBreakBefore w:val="0"/>
        <w:numPr>
          <w:ilvl w:val="0"/>
          <w:numId w:val="16"/>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联合体成员存在不良信用记录的，视同联合体存在不良信用记录；</w:t>
      </w:r>
    </w:p>
    <w:p>
      <w:pPr>
        <w:keepNext w:val="0"/>
        <w:keepLines w:val="0"/>
        <w:pageBreakBefore w:val="0"/>
        <w:numPr>
          <w:ilvl w:val="0"/>
          <w:numId w:val="16"/>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由同一资质条件的投标人组成的联合体，应当按照资质等级较低的投标人确定联合体资质等级；</w:t>
      </w:r>
    </w:p>
    <w:p>
      <w:pPr>
        <w:keepNext w:val="0"/>
        <w:keepLines w:val="0"/>
        <w:pageBreakBefore w:val="0"/>
        <w:numPr>
          <w:ilvl w:val="0"/>
          <w:numId w:val="16"/>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联合体各方不得再以自己名义单独在同一</w:t>
      </w:r>
      <w:r>
        <w:rPr>
          <w:rFonts w:hint="eastAsia" w:ascii="宋体" w:hAnsi="宋体" w:eastAsia="宋体" w:cs="宋体"/>
          <w:color w:val="auto"/>
          <w:sz w:val="24"/>
          <w:szCs w:val="24"/>
          <w:lang w:eastAsia="zh-CN"/>
        </w:rPr>
        <w:t>合同项</w:t>
      </w:r>
      <w:r>
        <w:rPr>
          <w:rFonts w:hint="eastAsia" w:ascii="宋体" w:hAnsi="宋体" w:eastAsia="宋体" w:cs="宋体"/>
          <w:color w:val="auto"/>
          <w:sz w:val="24"/>
          <w:szCs w:val="24"/>
        </w:rPr>
        <w:t>中投标，也不得组成新的联合体参加同一项目投标；</w:t>
      </w:r>
    </w:p>
    <w:p>
      <w:pPr>
        <w:keepNext w:val="0"/>
        <w:keepLines w:val="0"/>
        <w:pageBreakBefore w:val="0"/>
        <w:numPr>
          <w:ilvl w:val="0"/>
          <w:numId w:val="16"/>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联合体各方应当共同与采购人签订采购合同，就合同约定的事项对采购人承担连带责任；</w:t>
      </w:r>
    </w:p>
    <w:p>
      <w:pPr>
        <w:keepNext w:val="0"/>
        <w:keepLines w:val="0"/>
        <w:pageBreakBefore w:val="0"/>
        <w:numPr>
          <w:ilvl w:val="0"/>
          <w:numId w:val="16"/>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投标时，应以联合体协议中确定的主体方名义投标，对联合体各方均具有约束力。</w:t>
      </w:r>
    </w:p>
    <w:p>
      <w:pPr>
        <w:keepNext w:val="0"/>
        <w:keepLines w:val="0"/>
        <w:pageBreakBefore w:val="0"/>
        <w:numPr>
          <w:ilvl w:val="0"/>
          <w:numId w:val="14"/>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sz w:val="24"/>
          <w:szCs w:val="24"/>
        </w:rPr>
      </w:pPr>
      <w:bookmarkStart w:id="46" w:name="_Toc21120"/>
      <w:r>
        <w:rPr>
          <w:rFonts w:hint="eastAsia" w:ascii="宋体" w:hAnsi="宋体" w:eastAsia="宋体" w:cs="宋体"/>
          <w:b/>
          <w:bCs/>
          <w:sz w:val="24"/>
          <w:szCs w:val="24"/>
        </w:rPr>
        <w:t>语言文字以及度量衡单位</w:t>
      </w:r>
      <w:bookmarkEnd w:id="46"/>
    </w:p>
    <w:p>
      <w:pPr>
        <w:keepNext w:val="0"/>
        <w:keepLines w:val="0"/>
        <w:pageBreakBefore w:val="0"/>
        <w:numPr>
          <w:ilvl w:val="0"/>
          <w:numId w:val="17"/>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投标文件以及投标人与采购代理机构就有关投标事宜的所有来往函电，均应以中文汉语书写，除签字、盖章、专用名称等特殊情形外。投标资料提供外文证书或者外国语视听资料的，应当附有中文译本，由翻译机构盖章或者翻译人员签名。</w:t>
      </w:r>
    </w:p>
    <w:p>
      <w:pPr>
        <w:keepNext w:val="0"/>
        <w:keepLines w:val="0"/>
        <w:pageBreakBefore w:val="0"/>
        <w:numPr>
          <w:ilvl w:val="0"/>
          <w:numId w:val="17"/>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所有计量均采用中国法定的计量单位。</w:t>
      </w:r>
    </w:p>
    <w:p>
      <w:pPr>
        <w:keepNext w:val="0"/>
        <w:keepLines w:val="0"/>
        <w:pageBreakBefore w:val="0"/>
        <w:numPr>
          <w:ilvl w:val="0"/>
          <w:numId w:val="17"/>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所有报价一律使用人民币，货币单位：元。</w:t>
      </w:r>
    </w:p>
    <w:p>
      <w:pPr>
        <w:pStyle w:val="31"/>
        <w:keepNext w:val="0"/>
        <w:keepLines w:val="0"/>
        <w:pageBreakBefore w:val="0"/>
        <w:numPr>
          <w:ilvl w:val="0"/>
          <w:numId w:val="14"/>
        </w:numPr>
        <w:tabs>
          <w:tab w:val="left" w:pos="437"/>
        </w:tabs>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sz w:val="24"/>
          <w:szCs w:val="24"/>
        </w:rPr>
      </w:pPr>
      <w:bookmarkStart w:id="47" w:name="_Toc13839"/>
      <w:r>
        <w:rPr>
          <w:rFonts w:hint="eastAsia" w:ascii="宋体" w:hAnsi="宋体" w:eastAsia="宋体" w:cs="宋体"/>
          <w:b/>
          <w:bCs/>
          <w:sz w:val="24"/>
          <w:szCs w:val="24"/>
        </w:rPr>
        <w:t>现场踏勘</w:t>
      </w:r>
      <w:bookmarkEnd w:id="47"/>
    </w:p>
    <w:p>
      <w:pPr>
        <w:keepNext w:val="0"/>
        <w:keepLines w:val="0"/>
        <w:pageBreakBefore w:val="0"/>
        <w:numPr>
          <w:ilvl w:val="0"/>
          <w:numId w:val="18"/>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招标文件规定组织踏勘现场的，采购人按招标文件规定的时间、地点组织投标人踏勘项目现场。</w:t>
      </w:r>
    </w:p>
    <w:p>
      <w:pPr>
        <w:keepNext w:val="0"/>
        <w:keepLines w:val="0"/>
        <w:pageBreakBefore w:val="0"/>
        <w:numPr>
          <w:ilvl w:val="0"/>
          <w:numId w:val="18"/>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投标人自行承担踏勘现场发生的责任、风险和自身费用。</w:t>
      </w:r>
    </w:p>
    <w:p>
      <w:pPr>
        <w:keepNext w:val="0"/>
        <w:keepLines w:val="0"/>
        <w:pageBreakBefore w:val="0"/>
        <w:numPr>
          <w:ilvl w:val="0"/>
          <w:numId w:val="18"/>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采购人在踏勘现场中介绍的资料和数据等，不构成对招标文件的修改或不作为投标人编制投标文件的依据。</w:t>
      </w:r>
    </w:p>
    <w:p>
      <w:pPr>
        <w:pStyle w:val="12"/>
        <w:keepNext w:val="0"/>
        <w:keepLines w:val="0"/>
        <w:pageBreakBefore w:val="0"/>
        <w:numPr>
          <w:ilvl w:val="0"/>
          <w:numId w:val="14"/>
        </w:numPr>
        <w:kinsoku/>
        <w:wordWrap/>
        <w:overflowPunct/>
        <w:topLinePunct w:val="0"/>
        <w:bidi w:val="0"/>
        <w:adjustRightInd/>
        <w:snapToGrid/>
        <w:spacing w:line="360" w:lineRule="auto"/>
        <w:ind w:left="0" w:leftChars="0" w:right="0" w:firstLine="422" w:firstLineChars="200"/>
        <w:jc w:val="left"/>
        <w:textAlignment w:val="auto"/>
        <w:outlineLvl w:val="9"/>
        <w:rPr>
          <w:rFonts w:hint="eastAsia" w:ascii="宋体" w:hAnsi="宋体" w:eastAsia="宋体" w:cs="宋体"/>
          <w:b/>
          <w:bCs w:val="0"/>
          <w:sz w:val="24"/>
          <w:szCs w:val="24"/>
        </w:rPr>
      </w:pPr>
      <w:bookmarkStart w:id="48" w:name="_Toc18570"/>
      <w:r>
        <w:rPr>
          <w:rFonts w:hint="eastAsia"/>
          <w:b/>
          <w:bCs/>
        </w:rPr>
        <w:t>▲</w:t>
      </w:r>
      <w:r>
        <w:rPr>
          <w:rFonts w:hint="eastAsia" w:ascii="宋体" w:hAnsi="宋体" w:eastAsia="宋体" w:cs="宋体"/>
          <w:b/>
          <w:bCs w:val="0"/>
          <w:sz w:val="24"/>
          <w:szCs w:val="24"/>
        </w:rPr>
        <w:t>特别说明</w:t>
      </w:r>
      <w:bookmarkEnd w:id="48"/>
    </w:p>
    <w:p>
      <w:pPr>
        <w:pStyle w:val="12"/>
        <w:keepNext w:val="0"/>
        <w:keepLines w:val="0"/>
        <w:pageBreakBefore w:val="0"/>
        <w:numPr>
          <w:ilvl w:val="0"/>
          <w:numId w:val="19"/>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val="0"/>
          <w:sz w:val="24"/>
          <w:szCs w:val="24"/>
        </w:rPr>
      </w:pPr>
      <w:r>
        <w:rPr>
          <w:rFonts w:hint="eastAsia" w:ascii="宋体" w:hAnsi="宋体" w:eastAsia="宋体" w:cs="宋体"/>
          <w:b/>
          <w:bCs w:val="0"/>
          <w:sz w:val="24"/>
          <w:szCs w:val="24"/>
        </w:rPr>
        <w:t>投标人投标所使用的资格、信誉、荣誉、业绩与企业认证必须为本法人所拥有且所提供的资料都是真实有效的。投标人投标所使用的采购项目实施人员必须为本法人员工。投标人拥有的资格、证书等必须在有效期内，如有年审（年检）要求的，还须通过年审。</w:t>
      </w:r>
    </w:p>
    <w:p>
      <w:pPr>
        <w:pStyle w:val="31"/>
        <w:keepNext w:val="0"/>
        <w:keepLines w:val="0"/>
        <w:pageBreakBefore w:val="0"/>
        <w:numPr>
          <w:ilvl w:val="0"/>
          <w:numId w:val="19"/>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val="0"/>
          <w:sz w:val="24"/>
          <w:szCs w:val="24"/>
        </w:rPr>
      </w:pPr>
      <w:r>
        <w:rPr>
          <w:rFonts w:hint="eastAsia" w:ascii="宋体" w:hAnsi="宋体" w:eastAsia="宋体" w:cs="宋体"/>
          <w:b/>
          <w:bCs w:val="0"/>
          <w:sz w:val="24"/>
          <w:szCs w:val="24"/>
        </w:rPr>
        <w:t>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应提供其他具体有效的证明材料。</w:t>
      </w:r>
    </w:p>
    <w:p>
      <w:pPr>
        <w:keepNext w:val="0"/>
        <w:keepLines w:val="0"/>
        <w:pageBreakBefore w:val="0"/>
        <w:numPr>
          <w:ilvl w:val="0"/>
          <w:numId w:val="19"/>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val="0"/>
          <w:sz w:val="24"/>
          <w:szCs w:val="24"/>
        </w:rPr>
      </w:pPr>
      <w:r>
        <w:rPr>
          <w:rFonts w:hint="eastAsia" w:ascii="宋体" w:hAnsi="宋体" w:eastAsia="宋体" w:cs="宋体"/>
          <w:b/>
          <w:bCs w:val="0"/>
          <w:sz w:val="24"/>
          <w:szCs w:val="24"/>
        </w:rPr>
        <w:t>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numPr>
          <w:ilvl w:val="0"/>
          <w:numId w:val="19"/>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val="0"/>
          <w:sz w:val="24"/>
          <w:szCs w:val="24"/>
        </w:rPr>
      </w:pPr>
      <w:r>
        <w:rPr>
          <w:rFonts w:hint="eastAsia" w:ascii="宋体" w:hAnsi="宋体" w:eastAsia="宋体" w:cs="宋体"/>
          <w:b/>
          <w:bCs w:val="0"/>
          <w:sz w:val="24"/>
          <w:szCs w:val="24"/>
        </w:rPr>
        <w:t>投标人不得相互串通投标报价，不得妨碍其他投标人的公平竞争，不得损害采购人或其他投标人的合法权益，投标人不得以向采购人、评标委员会成员行贿或者采取其他不正当手段谋取中标。</w:t>
      </w:r>
    </w:p>
    <w:p>
      <w:pPr>
        <w:keepNext w:val="0"/>
        <w:keepLines w:val="0"/>
        <w:pageBreakBefore w:val="0"/>
        <w:numPr>
          <w:ilvl w:val="0"/>
          <w:numId w:val="19"/>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val="0"/>
          <w:sz w:val="24"/>
          <w:szCs w:val="24"/>
        </w:rPr>
      </w:pPr>
      <w:r>
        <w:rPr>
          <w:rFonts w:hint="eastAsia" w:ascii="宋体" w:hAnsi="宋体" w:eastAsia="宋体" w:cs="宋体"/>
          <w:b/>
          <w:bCs w:val="0"/>
          <w:sz w:val="24"/>
          <w:szCs w:val="24"/>
        </w:rPr>
        <w:t>为采购项目提供整体设计、规范编制或者项目管理、监理、检测等服务的供应商，不得再参加该采购项目的其他采购活动。</w:t>
      </w:r>
    </w:p>
    <w:p>
      <w:pPr>
        <w:keepNext w:val="0"/>
        <w:keepLines w:val="0"/>
        <w:pageBreakBefore w:val="0"/>
        <w:numPr>
          <w:ilvl w:val="0"/>
          <w:numId w:val="19"/>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val="0"/>
          <w:color w:val="auto"/>
          <w:sz w:val="24"/>
          <w:szCs w:val="24"/>
        </w:rPr>
        <w:t>单位负责人为同一人或者存在直接控股、管理关系的不同供应商，不得参加同一合同项下的政府采购活动</w:t>
      </w:r>
      <w:r>
        <w:rPr>
          <w:rFonts w:hint="eastAsia" w:ascii="宋体" w:hAnsi="宋体" w:eastAsia="宋体" w:cs="宋体"/>
          <w:b/>
          <w:bCs w:val="0"/>
          <w:color w:val="auto"/>
          <w:sz w:val="24"/>
          <w:szCs w:val="24"/>
          <w:lang w:eastAsia="zh-CN"/>
        </w:rPr>
        <w:t>，否则，相关供应商均按无效标处理。</w:t>
      </w:r>
      <w:r>
        <w:rPr>
          <w:rFonts w:hint="eastAsia" w:ascii="宋体" w:hAnsi="宋体" w:eastAsia="宋体" w:cs="宋体"/>
          <w:b/>
          <w:bCs/>
          <w:color w:val="auto"/>
          <w:sz w:val="24"/>
          <w:szCs w:val="24"/>
        </w:rPr>
        <w:t>电子交易平台运营机构，以及与该机构有直接控股或者管理关系可能影响采购公正性的任何单位和个人，不得在该平台进行的政府采购项目电子交易中投标、响应和代理政府采购项目。</w:t>
      </w:r>
    </w:p>
    <w:p>
      <w:pPr>
        <w:keepNext w:val="0"/>
        <w:keepLines w:val="0"/>
        <w:pageBreakBefore w:val="0"/>
        <w:numPr>
          <w:ilvl w:val="0"/>
          <w:numId w:val="19"/>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公益一类事业单位不属于政府购买服务的承接主体，不得参与承接政府购买服务。本项目</w:t>
      </w:r>
      <w:r>
        <w:rPr>
          <w:rFonts w:hint="eastAsia" w:ascii="宋体" w:hAnsi="宋体" w:cs="宋体"/>
          <w:b/>
          <w:bCs w:val="0"/>
          <w:sz w:val="24"/>
          <w:szCs w:val="24"/>
          <w:lang w:val="en-US" w:eastAsia="zh-CN"/>
        </w:rPr>
        <w:t>不</w:t>
      </w:r>
      <w:r>
        <w:rPr>
          <w:rFonts w:hint="eastAsia" w:ascii="宋体" w:hAnsi="宋体" w:eastAsia="宋体" w:cs="宋体"/>
          <w:b/>
          <w:bCs w:val="0"/>
          <w:sz w:val="24"/>
          <w:szCs w:val="24"/>
          <w:lang w:val="en-US" w:eastAsia="zh-CN"/>
        </w:rPr>
        <w:t>属于政府购买服务项目。</w:t>
      </w:r>
    </w:p>
    <w:p>
      <w:pPr>
        <w:keepNext w:val="0"/>
        <w:keepLines w:val="0"/>
        <w:pageBreakBefore w:val="0"/>
        <w:numPr>
          <w:ilvl w:val="0"/>
          <w:numId w:val="19"/>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val="0"/>
          <w:i w:val="0"/>
          <w:iCs w:val="0"/>
          <w:color w:val="auto"/>
          <w:sz w:val="24"/>
          <w:szCs w:val="24"/>
        </w:rPr>
      </w:pPr>
      <w:r>
        <w:rPr>
          <w:rFonts w:hint="eastAsia" w:ascii="宋体" w:hAnsi="宋体" w:eastAsia="宋体" w:cs="宋体"/>
          <w:b/>
          <w:bCs w:val="0"/>
          <w:i w:val="0"/>
          <w:iCs w:val="0"/>
          <w:color w:val="auto"/>
          <w:sz w:val="24"/>
          <w:szCs w:val="24"/>
          <w:lang w:val="en-US" w:eastAsia="zh-CN"/>
        </w:rPr>
        <w:t>本项目</w:t>
      </w:r>
      <w:r>
        <w:rPr>
          <w:rFonts w:hint="eastAsia" w:ascii="宋体" w:hAnsi="宋体" w:cs="宋体"/>
          <w:b/>
          <w:bCs w:val="0"/>
          <w:i w:val="0"/>
          <w:iCs w:val="0"/>
          <w:color w:val="auto"/>
          <w:sz w:val="24"/>
          <w:szCs w:val="24"/>
          <w:lang w:val="en-US" w:eastAsia="zh-CN"/>
        </w:rPr>
        <w:t>不允许分包</w:t>
      </w:r>
      <w:r>
        <w:rPr>
          <w:rFonts w:hint="eastAsia" w:ascii="宋体" w:hAnsi="宋体" w:eastAsia="宋体" w:cs="宋体"/>
          <w:b/>
          <w:bCs w:val="0"/>
          <w:i w:val="0"/>
          <w:iCs w:val="0"/>
          <w:color w:val="auto"/>
          <w:sz w:val="24"/>
          <w:szCs w:val="24"/>
          <w:lang w:val="en-US" w:eastAsia="zh-CN"/>
        </w:rPr>
        <w:t>。</w:t>
      </w:r>
    </w:p>
    <w:p>
      <w:pPr>
        <w:pStyle w:val="31"/>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val="0"/>
          <w:sz w:val="24"/>
          <w:szCs w:val="24"/>
        </w:rPr>
      </w:pPr>
      <w:r>
        <w:rPr>
          <w:rFonts w:hint="eastAsia" w:ascii="宋体" w:hAnsi="宋体" w:eastAsia="宋体" w:cs="宋体"/>
          <w:b/>
          <w:bCs w:val="0"/>
          <w:sz w:val="24"/>
          <w:szCs w:val="24"/>
        </w:rPr>
        <w:t>本招标文件中关于电子招投标内容、流程如与政采云系统中最新的内容、操作不一致的，以政采云系统中的要求为准。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0" w:firstLineChars="200"/>
        <w:jc w:val="left"/>
        <w:textAlignment w:val="auto"/>
        <w:outlineLvl w:val="9"/>
        <w:rPr>
          <w:rFonts w:hint="eastAsia" w:ascii="宋体" w:hAnsi="宋体" w:eastAsia="宋体" w:cs="宋体"/>
          <w:sz w:val="24"/>
          <w:szCs w:val="24"/>
        </w:rPr>
      </w:pPr>
      <w:bookmarkStart w:id="49" w:name="_Toc25126"/>
      <w:r>
        <w:rPr>
          <w:rFonts w:hint="eastAsia" w:ascii="宋体" w:hAnsi="宋体" w:eastAsia="宋体" w:cs="宋体"/>
          <w:sz w:val="24"/>
          <w:szCs w:val="24"/>
        </w:rPr>
        <w:t>三、招标文件</w:t>
      </w:r>
      <w:bookmarkEnd w:id="49"/>
    </w:p>
    <w:p>
      <w:pPr>
        <w:pStyle w:val="31"/>
        <w:keepNext w:val="0"/>
        <w:keepLines w:val="0"/>
        <w:pageBreakBefore w:val="0"/>
        <w:widowControl w:val="0"/>
        <w:numPr>
          <w:ilvl w:val="0"/>
          <w:numId w:val="20"/>
        </w:numPr>
        <w:kinsoku/>
        <w:wordWrap/>
        <w:overflowPunct/>
        <w:topLinePunct w:val="0"/>
        <w:autoSpaceDE/>
        <w:autoSpaceDN/>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招标文件由招标文件总目录所列内容组成。</w:t>
      </w:r>
    </w:p>
    <w:p>
      <w:pPr>
        <w:pStyle w:val="31"/>
        <w:keepNext w:val="0"/>
        <w:keepLines w:val="0"/>
        <w:pageBreakBefore w:val="0"/>
        <w:widowControl w:val="0"/>
        <w:numPr>
          <w:ilvl w:val="0"/>
          <w:numId w:val="20"/>
        </w:numPr>
        <w:kinsoku/>
        <w:wordWrap/>
        <w:overflowPunct/>
        <w:topLinePunct w:val="0"/>
        <w:autoSpaceDE/>
        <w:autoSpaceDN/>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投标人在规定的时间内未对招标文件提出疑问、质疑或要求澄清的，将视其为无异议。</w:t>
      </w:r>
    </w:p>
    <w:p>
      <w:pPr>
        <w:pStyle w:val="31"/>
        <w:keepNext w:val="0"/>
        <w:keepLines w:val="0"/>
        <w:pageBreakBefore w:val="0"/>
        <w:numPr>
          <w:ilvl w:val="0"/>
          <w:numId w:val="20"/>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对招标文件中描述有歧义或前后不一致的地方，评标委员会有权进行评判，但对同一条款的评判应适用于每个投标人。评标委员会发现招标文件存在歧义、重大缺陷导致评标工作无法进行，或者招标文件内容违反国家有关强制性规定的，应当停止评标工作，与采购人或者采购代理机构沟通并做书面记录。采购人或者采购代理机构确认后，应当修改招标文件，重新组织采购活动。</w:t>
      </w:r>
    </w:p>
    <w:p>
      <w:pPr>
        <w:pStyle w:val="31"/>
        <w:keepNext w:val="0"/>
        <w:keepLines w:val="0"/>
        <w:pageBreakBefore w:val="0"/>
        <w:numPr>
          <w:ilvl w:val="0"/>
          <w:numId w:val="20"/>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采购组织机构对招标文件进行必要的澄清更正的，澄清或者修改的内容可能影响投标文件编制的，于投标截止时间的15</w:t>
      </w:r>
      <w:r>
        <w:rPr>
          <w:rFonts w:hint="eastAsia" w:ascii="宋体" w:hAnsi="宋体" w:eastAsia="宋体" w:cs="宋体"/>
          <w:sz w:val="24"/>
          <w:szCs w:val="24"/>
          <w:lang w:eastAsia="zh-CN"/>
        </w:rPr>
        <w:t>日</w:t>
      </w:r>
      <w:r>
        <w:rPr>
          <w:rFonts w:hint="eastAsia" w:ascii="宋体" w:hAnsi="宋体" w:eastAsia="宋体" w:cs="宋体"/>
          <w:sz w:val="24"/>
          <w:szCs w:val="24"/>
        </w:rPr>
        <w:t>前在浙江政府采购网上以更正公告的形式通知各潜在的投标人；不足15日的，采购组织机构应当顺延提交投标文件的截止时间。</w:t>
      </w:r>
    </w:p>
    <w:p>
      <w:pPr>
        <w:pStyle w:val="31"/>
        <w:keepNext w:val="0"/>
        <w:keepLines w:val="0"/>
        <w:pageBreakBefore w:val="0"/>
        <w:numPr>
          <w:ilvl w:val="0"/>
          <w:numId w:val="20"/>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当采购文件与澄清或者修改的补充公告就同一内容的表述不一致时，以最后发出的补充公告为准。</w:t>
      </w:r>
    </w:p>
    <w:p>
      <w:pPr>
        <w:keepNext w:val="0"/>
        <w:keepLines w:val="0"/>
        <w:pageBreakBefore w:val="0"/>
        <w:kinsoku/>
        <w:wordWrap/>
        <w:overflowPunct/>
        <w:topLinePunct w:val="0"/>
        <w:bidi w:val="0"/>
        <w:adjustRightInd/>
        <w:snapToGrid/>
        <w:spacing w:before="0" w:after="0" w:line="360" w:lineRule="auto"/>
        <w:ind w:left="0" w:leftChars="0" w:right="0" w:firstLine="480" w:firstLineChars="200"/>
        <w:jc w:val="left"/>
        <w:textAlignment w:val="auto"/>
        <w:outlineLvl w:val="9"/>
        <w:rPr>
          <w:rFonts w:hint="eastAsia" w:ascii="宋体" w:hAnsi="宋体" w:eastAsia="宋体" w:cs="宋体"/>
          <w:sz w:val="24"/>
          <w:szCs w:val="24"/>
        </w:rPr>
      </w:pPr>
      <w:bookmarkStart w:id="50" w:name="_Toc6360"/>
      <w:r>
        <w:rPr>
          <w:rFonts w:hint="eastAsia" w:ascii="宋体" w:hAnsi="宋体" w:eastAsia="宋体" w:cs="宋体"/>
          <w:sz w:val="24"/>
          <w:szCs w:val="24"/>
        </w:rPr>
        <w:t>四、投标文件</w:t>
      </w:r>
      <w:bookmarkEnd w:id="50"/>
    </w:p>
    <w:p>
      <w:pPr>
        <w:pStyle w:val="2"/>
        <w:keepNext w:val="0"/>
        <w:keepLines w:val="0"/>
        <w:pageBreakBefore w:val="0"/>
        <w:numPr>
          <w:ilvl w:val="0"/>
          <w:numId w:val="20"/>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kern w:val="0"/>
          <w:sz w:val="24"/>
          <w:szCs w:val="24"/>
        </w:rPr>
      </w:pPr>
      <w:bookmarkStart w:id="51" w:name="_Toc17953"/>
      <w:r>
        <w:rPr>
          <w:rFonts w:hint="eastAsia" w:ascii="宋体" w:hAnsi="宋体" w:eastAsia="宋体" w:cs="宋体"/>
          <w:b/>
          <w:kern w:val="0"/>
          <w:sz w:val="24"/>
          <w:szCs w:val="24"/>
        </w:rPr>
        <w:t>投标文件的编制</w:t>
      </w:r>
      <w:bookmarkEnd w:id="51"/>
    </w:p>
    <w:p>
      <w:pPr>
        <w:pStyle w:val="2"/>
        <w:keepNext w:val="0"/>
        <w:keepLines w:val="0"/>
        <w:pageBreakBefore w:val="0"/>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bCs/>
          <w:kern w:val="0"/>
          <w:sz w:val="24"/>
          <w:szCs w:val="24"/>
        </w:rPr>
      </w:pPr>
      <w:r>
        <w:rPr>
          <w:rFonts w:hint="eastAsia" w:ascii="宋体" w:hAnsi="宋体" w:eastAsia="宋体" w:cs="宋体"/>
          <w:kern w:val="0"/>
          <w:sz w:val="24"/>
          <w:szCs w:val="24"/>
        </w:rPr>
        <w:t xml:space="preserve"> 投标人接到招标文件后，按照采购组织机构的要求提供：资格证明文件、商务与技术文件和报价</w:t>
      </w:r>
      <w:r>
        <w:rPr>
          <w:rFonts w:hint="eastAsia" w:ascii="宋体" w:hAnsi="宋体" w:eastAsia="宋体" w:cs="宋体"/>
          <w:kern w:val="0"/>
          <w:sz w:val="24"/>
          <w:szCs w:val="24"/>
          <w:lang w:val="zh-CN"/>
        </w:rPr>
        <w:t>文件。本招标文件中若有多标项的，若参与多标项投标的，则按每个标项分别独立编制投标文件。</w:t>
      </w:r>
    </w:p>
    <w:p>
      <w:pPr>
        <w:keepNext w:val="0"/>
        <w:keepLines w:val="0"/>
        <w:pageBreakBefore w:val="0"/>
        <w:numPr>
          <w:ilvl w:val="0"/>
          <w:numId w:val="21"/>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b/>
          <w:sz w:val="24"/>
          <w:szCs w:val="24"/>
        </w:rPr>
        <w:t>资格证明文件</w:t>
      </w:r>
      <w:r>
        <w:rPr>
          <w:rFonts w:hint="eastAsia" w:ascii="宋体" w:hAnsi="宋体" w:eastAsia="宋体" w:cs="宋体"/>
          <w:b/>
          <w:color w:val="000000"/>
          <w:sz w:val="24"/>
          <w:szCs w:val="24"/>
        </w:rPr>
        <w:t>的组成：</w:t>
      </w:r>
    </w:p>
    <w:p>
      <w:pPr>
        <w:keepNext w:val="0"/>
        <w:keepLines w:val="0"/>
        <w:pageBreakBefore w:val="0"/>
        <w:widowControl/>
        <w:numPr>
          <w:ilvl w:val="0"/>
          <w:numId w:val="22"/>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sz w:val="24"/>
          <w:szCs w:val="24"/>
          <w:highlight w:val="none"/>
        </w:rPr>
      </w:pPr>
      <w:bookmarkStart w:id="52" w:name="_Toc4955"/>
      <w:r>
        <w:rPr>
          <w:rFonts w:hint="eastAsia" w:ascii="宋体" w:hAnsi="宋体" w:eastAsia="宋体" w:cs="宋体"/>
          <w:b/>
          <w:sz w:val="24"/>
          <w:szCs w:val="24"/>
        </w:rPr>
        <w:t>▲</w:t>
      </w:r>
      <w:r>
        <w:rPr>
          <w:rFonts w:hint="eastAsia" w:ascii="宋体" w:hAnsi="宋体" w:eastAsia="宋体" w:cs="宋体"/>
          <w:b/>
          <w:bCs/>
          <w:sz w:val="24"/>
          <w:szCs w:val="24"/>
          <w:highlight w:val="none"/>
        </w:rPr>
        <w:t>投标声明书；</w:t>
      </w:r>
      <w:bookmarkEnd w:id="52"/>
    </w:p>
    <w:p>
      <w:pPr>
        <w:keepNext w:val="0"/>
        <w:keepLines w:val="0"/>
        <w:pageBreakBefore w:val="0"/>
        <w:widowControl/>
        <w:numPr>
          <w:ilvl w:val="0"/>
          <w:numId w:val="22"/>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sz w:val="24"/>
          <w:szCs w:val="24"/>
          <w:highlight w:val="none"/>
        </w:rPr>
      </w:pPr>
      <w:bookmarkStart w:id="53" w:name="_Toc13385"/>
      <w:r>
        <w:rPr>
          <w:rFonts w:hint="eastAsia" w:ascii="宋体" w:hAnsi="宋体" w:eastAsia="宋体" w:cs="宋体"/>
          <w:b/>
          <w:sz w:val="24"/>
          <w:szCs w:val="24"/>
        </w:rPr>
        <w:t>▲</w:t>
      </w:r>
      <w:r>
        <w:rPr>
          <w:rFonts w:hint="eastAsia" w:ascii="宋体" w:hAnsi="宋体" w:eastAsia="宋体" w:cs="宋体"/>
          <w:b/>
          <w:bCs/>
          <w:sz w:val="24"/>
          <w:szCs w:val="24"/>
          <w:highlight w:val="none"/>
        </w:rPr>
        <w:t>授权委托书（</w:t>
      </w:r>
      <w:r>
        <w:rPr>
          <w:rFonts w:hint="eastAsia" w:ascii="宋体" w:hAnsi="宋体" w:cs="宋体"/>
          <w:b/>
          <w:bCs/>
          <w:sz w:val="24"/>
          <w:szCs w:val="24"/>
          <w:highlight w:val="none"/>
          <w:lang w:eastAsia="zh-CN"/>
        </w:rPr>
        <w:t>单位负责人</w:t>
      </w:r>
      <w:r>
        <w:rPr>
          <w:rFonts w:hint="eastAsia" w:ascii="宋体" w:hAnsi="宋体" w:eastAsia="宋体" w:cs="宋体"/>
          <w:b/>
          <w:bCs/>
          <w:sz w:val="24"/>
          <w:szCs w:val="24"/>
          <w:highlight w:val="none"/>
        </w:rPr>
        <w:t>亲自办理投标事宜的，则无需提交)；</w:t>
      </w:r>
      <w:bookmarkEnd w:id="53"/>
    </w:p>
    <w:p>
      <w:pPr>
        <w:keepNext w:val="0"/>
        <w:keepLines w:val="0"/>
        <w:pageBreakBefore w:val="0"/>
        <w:widowControl/>
        <w:numPr>
          <w:ilvl w:val="0"/>
          <w:numId w:val="22"/>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i w:val="0"/>
          <w:iCs w:val="0"/>
          <w:color w:val="auto"/>
          <w:sz w:val="24"/>
          <w:szCs w:val="24"/>
          <w:highlight w:val="none"/>
        </w:rPr>
      </w:pPr>
      <w:bookmarkStart w:id="54" w:name="_Toc30591"/>
      <w:r>
        <w:rPr>
          <w:rFonts w:hint="eastAsia" w:ascii="宋体" w:hAnsi="宋体" w:eastAsia="宋体" w:cs="宋体"/>
          <w:b/>
          <w:i w:val="0"/>
          <w:iCs w:val="0"/>
          <w:sz w:val="24"/>
          <w:szCs w:val="24"/>
        </w:rPr>
        <w:t>▲</w:t>
      </w:r>
      <w:bookmarkEnd w:id="54"/>
      <w:bookmarkStart w:id="55" w:name="_Toc9351"/>
      <w:r>
        <w:rPr>
          <w:rFonts w:hint="eastAsia" w:ascii="宋体" w:hAnsi="宋体" w:cs="宋体"/>
          <w:b/>
          <w:bCs/>
          <w:i w:val="0"/>
          <w:iCs w:val="0"/>
          <w:color w:val="auto"/>
          <w:sz w:val="24"/>
          <w:szCs w:val="24"/>
          <w:highlight w:val="none"/>
          <w:lang w:val="en-US" w:eastAsia="zh-CN"/>
        </w:rPr>
        <w:t>《经营保险业务许可证》</w:t>
      </w:r>
      <w:r>
        <w:rPr>
          <w:rFonts w:hint="eastAsia" w:ascii="宋体" w:hAnsi="宋体" w:eastAsia="宋体" w:cs="宋体"/>
          <w:b/>
          <w:bCs/>
          <w:i w:val="0"/>
          <w:iCs w:val="0"/>
          <w:color w:val="auto"/>
          <w:sz w:val="24"/>
          <w:szCs w:val="24"/>
          <w:highlight w:val="none"/>
          <w:lang w:eastAsia="zh-CN"/>
        </w:rPr>
        <w:t>；</w:t>
      </w:r>
      <w:bookmarkEnd w:id="55"/>
    </w:p>
    <w:p>
      <w:pPr>
        <w:keepNext w:val="0"/>
        <w:keepLines w:val="0"/>
        <w:pageBreakBefore w:val="0"/>
        <w:widowControl/>
        <w:numPr>
          <w:ilvl w:val="0"/>
          <w:numId w:val="22"/>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color w:val="auto"/>
          <w:sz w:val="24"/>
          <w:szCs w:val="24"/>
          <w:highlight w:val="none"/>
        </w:rPr>
      </w:pPr>
      <w:bookmarkStart w:id="56" w:name="_Toc11400"/>
      <w:r>
        <w:rPr>
          <w:rFonts w:hint="eastAsia" w:ascii="宋体" w:hAnsi="宋体" w:eastAsia="宋体" w:cs="宋体"/>
          <w:b/>
          <w:bCs/>
          <w:color w:val="auto"/>
          <w:sz w:val="24"/>
          <w:szCs w:val="24"/>
          <w:highlight w:val="none"/>
        </w:rPr>
        <w:t>▲符合参与政府采购活动的资格条件、具备良好的商业信誉和健全的财务会计制度并且没有税收缴纳、社会保障等方面的失信记录的承诺函；</w:t>
      </w:r>
    </w:p>
    <w:p>
      <w:pPr>
        <w:keepNext w:val="0"/>
        <w:keepLines w:val="0"/>
        <w:pageBreakBefore w:val="0"/>
        <w:widowControl/>
        <w:numPr>
          <w:ilvl w:val="0"/>
          <w:numId w:val="22"/>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sz w:val="24"/>
          <w:szCs w:val="24"/>
          <w:highlight w:val="none"/>
        </w:rPr>
      </w:pPr>
      <w:r>
        <w:rPr>
          <w:rFonts w:hint="eastAsia" w:ascii="宋体" w:hAnsi="宋体" w:eastAsia="宋体" w:cs="宋体"/>
          <w:b/>
          <w:bCs/>
          <w:color w:val="auto"/>
          <w:sz w:val="24"/>
          <w:szCs w:val="24"/>
          <w:highlight w:val="none"/>
        </w:rPr>
        <w:t>▲具备履行合同所必需的设备和专业技术能力的承诺函</w:t>
      </w:r>
      <w:r>
        <w:rPr>
          <w:rFonts w:hint="eastAsia" w:ascii="宋体" w:hAnsi="宋体" w:cs="宋体"/>
          <w:b/>
          <w:bCs/>
          <w:color w:val="auto"/>
          <w:sz w:val="24"/>
          <w:szCs w:val="24"/>
          <w:highlight w:val="none"/>
          <w:lang w:val="en-US" w:eastAsia="zh-CN"/>
        </w:rPr>
        <w:t>；</w:t>
      </w:r>
    </w:p>
    <w:p>
      <w:pPr>
        <w:keepNext w:val="0"/>
        <w:keepLines w:val="0"/>
        <w:pageBreakBefore w:val="0"/>
        <w:widowControl/>
        <w:numPr>
          <w:ilvl w:val="0"/>
          <w:numId w:val="22"/>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sz w:val="24"/>
          <w:szCs w:val="24"/>
          <w:highlight w:val="none"/>
        </w:rPr>
      </w:pPr>
      <w:r>
        <w:rPr>
          <w:rFonts w:hint="eastAsia" w:ascii="宋体" w:hAnsi="宋体" w:eastAsia="宋体" w:cs="宋体"/>
          <w:b/>
          <w:bCs/>
          <w:color w:val="auto"/>
          <w:sz w:val="24"/>
          <w:szCs w:val="24"/>
          <w:highlight w:val="none"/>
        </w:rPr>
        <w:t>以及</w:t>
      </w:r>
      <w:r>
        <w:rPr>
          <w:rFonts w:hint="eastAsia" w:ascii="宋体" w:hAnsi="宋体" w:eastAsia="宋体" w:cs="宋体"/>
          <w:b/>
          <w:bCs/>
          <w:sz w:val="24"/>
          <w:szCs w:val="24"/>
          <w:highlight w:val="none"/>
        </w:rPr>
        <w:t>需要说明的其他资料</w:t>
      </w:r>
      <w:r>
        <w:rPr>
          <w:rFonts w:hint="eastAsia" w:ascii="宋体" w:hAnsi="宋体" w:eastAsia="宋体" w:cs="宋体"/>
          <w:b/>
          <w:bCs/>
          <w:sz w:val="24"/>
          <w:szCs w:val="24"/>
          <w:highlight w:val="none"/>
          <w:lang w:eastAsia="zh-CN"/>
        </w:rPr>
        <w:t>。</w:t>
      </w:r>
      <w:bookmarkEnd w:id="56"/>
    </w:p>
    <w:p>
      <w:pPr>
        <w:keepNext w:val="0"/>
        <w:keepLines w:val="0"/>
        <w:pageBreakBefore w:val="0"/>
        <w:numPr>
          <w:ilvl w:val="0"/>
          <w:numId w:val="21"/>
        </w:numPr>
        <w:tabs>
          <w:tab w:val="left" w:pos="840"/>
        </w:tabs>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val="0"/>
          <w:sz w:val="24"/>
          <w:szCs w:val="24"/>
          <w:u w:val="single"/>
        </w:rPr>
      </w:pPr>
      <w:r>
        <w:rPr>
          <w:rFonts w:hint="eastAsia" w:ascii="宋体" w:hAnsi="宋体" w:eastAsia="宋体" w:cs="宋体"/>
          <w:b/>
          <w:bCs w:val="0"/>
          <w:color w:val="000000"/>
          <w:sz w:val="24"/>
          <w:szCs w:val="24"/>
        </w:rPr>
        <w:t>商务与技术文件的组成：</w:t>
      </w:r>
    </w:p>
    <w:p>
      <w:pPr>
        <w:keepNext w:val="0"/>
        <w:keepLines w:val="0"/>
        <w:pageBreakBefore w:val="0"/>
        <w:numPr>
          <w:ilvl w:val="0"/>
          <w:numId w:val="23"/>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需求</w:t>
      </w:r>
      <w:r>
        <w:rPr>
          <w:rFonts w:hint="eastAsia" w:ascii="宋体" w:hAnsi="宋体" w:eastAsia="宋体" w:cs="宋体"/>
          <w:b/>
          <w:bCs/>
          <w:color w:val="auto"/>
          <w:sz w:val="24"/>
          <w:szCs w:val="24"/>
        </w:rPr>
        <w:t>响</w:t>
      </w:r>
      <w:r>
        <w:rPr>
          <w:rFonts w:hint="eastAsia" w:ascii="宋体" w:hAnsi="宋体" w:eastAsia="宋体" w:cs="宋体"/>
          <w:b/>
          <w:bCs/>
          <w:color w:val="000000"/>
          <w:sz w:val="24"/>
          <w:szCs w:val="24"/>
        </w:rPr>
        <w:t>应表；</w:t>
      </w:r>
    </w:p>
    <w:p>
      <w:pPr>
        <w:keepNext w:val="0"/>
        <w:keepLines w:val="0"/>
        <w:pageBreakBefore w:val="0"/>
        <w:numPr>
          <w:ilvl w:val="0"/>
          <w:numId w:val="23"/>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sz w:val="24"/>
          <w:szCs w:val="24"/>
        </w:rPr>
        <w:t>其余内容根据评标办法自拟</w:t>
      </w:r>
      <w:r>
        <w:rPr>
          <w:rFonts w:hint="eastAsia" w:ascii="宋体" w:hAnsi="宋体" w:eastAsia="宋体" w:cs="宋体"/>
          <w:color w:val="000000"/>
          <w:kern w:val="0"/>
          <w:sz w:val="24"/>
          <w:szCs w:val="24"/>
          <w:lang w:eastAsia="zh-CN"/>
        </w:rPr>
        <w:t>。</w:t>
      </w:r>
    </w:p>
    <w:p>
      <w:pPr>
        <w:pStyle w:val="2"/>
        <w:keepNext w:val="0"/>
        <w:keepLines w:val="0"/>
        <w:pageBreakBefore w:val="0"/>
        <w:widowControl/>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b/>
          <w:color w:val="000000"/>
          <w:kern w:val="0"/>
          <w:sz w:val="24"/>
          <w:szCs w:val="24"/>
        </w:rPr>
        <w:t>招标需求中要求提供的相关证明材料及根据评标办法提供的证明材料均需在投标文件中提供扫描件。</w:t>
      </w:r>
    </w:p>
    <w:p>
      <w:pPr>
        <w:keepNext w:val="0"/>
        <w:keepLines w:val="0"/>
        <w:pageBreakBefore w:val="0"/>
        <w:numPr>
          <w:ilvl w:val="0"/>
          <w:numId w:val="21"/>
        </w:numPr>
        <w:tabs>
          <w:tab w:val="left" w:pos="840"/>
        </w:tabs>
        <w:kinsoku/>
        <w:wordWrap/>
        <w:overflowPunct/>
        <w:topLinePunct w:val="0"/>
        <w:autoSpaceDE w:val="0"/>
        <w:autoSpaceDN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val="0"/>
          <w:kern w:val="0"/>
          <w:sz w:val="24"/>
          <w:szCs w:val="24"/>
        </w:rPr>
      </w:pPr>
      <w:r>
        <w:rPr>
          <w:rFonts w:hint="eastAsia" w:ascii="宋体" w:hAnsi="宋体" w:eastAsia="宋体" w:cs="宋体"/>
          <w:b/>
          <w:bCs w:val="0"/>
          <w:kern w:val="0"/>
          <w:sz w:val="24"/>
          <w:szCs w:val="24"/>
        </w:rPr>
        <w:t>报价文件的组成</w:t>
      </w:r>
      <w:r>
        <w:rPr>
          <w:rFonts w:hint="eastAsia" w:ascii="宋体" w:hAnsi="宋体" w:eastAsia="宋体" w:cs="宋体"/>
          <w:b/>
          <w:bCs w:val="0"/>
          <w:kern w:val="0"/>
          <w:sz w:val="24"/>
          <w:szCs w:val="24"/>
          <w:lang w:eastAsia="zh-CN"/>
        </w:rPr>
        <w:t>：</w:t>
      </w:r>
    </w:p>
    <w:p>
      <w:pPr>
        <w:keepNext w:val="0"/>
        <w:keepLines w:val="0"/>
        <w:pageBreakBefore w:val="0"/>
        <w:numPr>
          <w:ilvl w:val="0"/>
          <w:numId w:val="24"/>
        </w:numPr>
        <w:kinsoku/>
        <w:wordWrap/>
        <w:overflowPunct/>
        <w:topLinePunct w:val="0"/>
        <w:autoSpaceDE w:val="0"/>
        <w:autoSpaceDN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val="0"/>
          <w:color w:val="000000"/>
          <w:kern w:val="0"/>
          <w:sz w:val="24"/>
          <w:szCs w:val="24"/>
          <w:lang w:eastAsia="zh-CN"/>
        </w:rPr>
      </w:pPr>
      <w:r>
        <w:rPr>
          <w:rFonts w:hint="eastAsia" w:ascii="宋体" w:hAnsi="宋体" w:eastAsia="宋体" w:cs="宋体"/>
          <w:b/>
          <w:sz w:val="24"/>
          <w:szCs w:val="24"/>
        </w:rPr>
        <w:t>▲</w:t>
      </w:r>
      <w:r>
        <w:rPr>
          <w:rFonts w:hint="eastAsia" w:ascii="宋体" w:hAnsi="宋体" w:eastAsia="宋体" w:cs="宋体"/>
          <w:b/>
          <w:bCs w:val="0"/>
          <w:color w:val="000000"/>
          <w:kern w:val="0"/>
          <w:sz w:val="24"/>
          <w:szCs w:val="24"/>
        </w:rPr>
        <w:t>开标一览表</w:t>
      </w:r>
      <w:r>
        <w:rPr>
          <w:rFonts w:hint="eastAsia" w:ascii="宋体" w:hAnsi="宋体" w:eastAsia="宋体" w:cs="宋体"/>
          <w:b/>
          <w:bCs w:val="0"/>
          <w:color w:val="000000"/>
          <w:kern w:val="0"/>
          <w:sz w:val="24"/>
          <w:szCs w:val="24"/>
          <w:lang w:eastAsia="zh-CN"/>
        </w:rPr>
        <w:t>；</w:t>
      </w:r>
    </w:p>
    <w:p>
      <w:pPr>
        <w:keepNext w:val="0"/>
        <w:keepLines w:val="0"/>
        <w:pageBreakBefore w:val="0"/>
        <w:numPr>
          <w:ilvl w:val="0"/>
          <w:numId w:val="24"/>
        </w:numPr>
        <w:kinsoku/>
        <w:wordWrap/>
        <w:overflowPunct/>
        <w:topLinePunct w:val="0"/>
        <w:autoSpaceDE w:val="0"/>
        <w:autoSpaceDN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投标人认为其他需要说明的内容组成。</w:t>
      </w:r>
    </w:p>
    <w:p>
      <w:pPr>
        <w:pStyle w:val="2"/>
        <w:keepNext w:val="0"/>
        <w:keepLines w:val="0"/>
        <w:pageBreakBefore w:val="0"/>
        <w:numPr>
          <w:ilvl w:val="0"/>
          <w:numId w:val="20"/>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kern w:val="0"/>
          <w:sz w:val="24"/>
          <w:szCs w:val="24"/>
        </w:rPr>
      </w:pPr>
      <w:bookmarkStart w:id="57" w:name="_Toc30301"/>
      <w:r>
        <w:rPr>
          <w:rFonts w:hint="eastAsia" w:ascii="宋体" w:hAnsi="宋体" w:eastAsia="宋体" w:cs="宋体"/>
          <w:b/>
          <w:kern w:val="0"/>
          <w:sz w:val="24"/>
          <w:szCs w:val="24"/>
        </w:rPr>
        <w:t>投标报价</w:t>
      </w:r>
      <w:bookmarkEnd w:id="57"/>
    </w:p>
    <w:p>
      <w:pPr>
        <w:pStyle w:val="2"/>
        <w:keepNext w:val="0"/>
        <w:keepLines w:val="0"/>
        <w:pageBreakBefore w:val="0"/>
        <w:numPr>
          <w:ilvl w:val="0"/>
          <w:numId w:val="25"/>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bCs/>
          <w:kern w:val="0"/>
          <w:sz w:val="24"/>
          <w:szCs w:val="24"/>
        </w:rPr>
      </w:pPr>
      <w:r>
        <w:rPr>
          <w:rFonts w:hint="eastAsia" w:ascii="宋体" w:hAnsi="宋体" w:eastAsia="宋体" w:cs="宋体"/>
          <w:bCs/>
          <w:kern w:val="0"/>
          <w:sz w:val="24"/>
          <w:szCs w:val="24"/>
        </w:rPr>
        <w:t>投标人应按照招标需求内容、责任范围以及合同条款进行报价。并按“开标一览表”规定的格式报出总价。投标总价中不得包含招标文件要求以外的内容，否则，在评标时不予核减。</w:t>
      </w:r>
    </w:p>
    <w:p>
      <w:pPr>
        <w:pStyle w:val="2"/>
        <w:keepNext w:val="0"/>
        <w:keepLines w:val="0"/>
        <w:pageBreakBefore w:val="0"/>
        <w:numPr>
          <w:ilvl w:val="0"/>
          <w:numId w:val="25"/>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bCs/>
          <w:kern w:val="0"/>
          <w:sz w:val="24"/>
          <w:szCs w:val="24"/>
        </w:rPr>
      </w:pPr>
      <w:r>
        <w:rPr>
          <w:rFonts w:hint="eastAsia" w:ascii="宋体" w:hAnsi="宋体" w:eastAsia="宋体" w:cs="宋体"/>
          <w:bCs/>
          <w:kern w:val="0"/>
          <w:sz w:val="24"/>
          <w:szCs w:val="24"/>
        </w:rPr>
        <w:t>投标报价不得为选择性报价和附有条件的报价。</w:t>
      </w:r>
    </w:p>
    <w:p>
      <w:pPr>
        <w:pStyle w:val="2"/>
        <w:keepNext w:val="0"/>
        <w:keepLines w:val="0"/>
        <w:pageBreakBefore w:val="0"/>
        <w:numPr>
          <w:ilvl w:val="0"/>
          <w:numId w:val="20"/>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kern w:val="0"/>
          <w:sz w:val="24"/>
          <w:szCs w:val="24"/>
        </w:rPr>
      </w:pPr>
      <w:bookmarkStart w:id="58" w:name="_Toc30930"/>
      <w:r>
        <w:rPr>
          <w:rFonts w:hint="eastAsia" w:ascii="宋体" w:hAnsi="宋体" w:eastAsia="宋体" w:cs="宋体"/>
          <w:b/>
          <w:kern w:val="0"/>
          <w:sz w:val="24"/>
          <w:szCs w:val="24"/>
        </w:rPr>
        <w:t>投标文件的有效期</w:t>
      </w:r>
      <w:bookmarkEnd w:id="58"/>
    </w:p>
    <w:p>
      <w:pPr>
        <w:pStyle w:val="2"/>
        <w:keepNext w:val="0"/>
        <w:keepLines w:val="0"/>
        <w:pageBreakBefore w:val="0"/>
        <w:numPr>
          <w:ilvl w:val="0"/>
          <w:numId w:val="26"/>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lang w:val="en-GB"/>
        </w:rPr>
      </w:pPr>
      <w:r>
        <w:rPr>
          <w:rFonts w:hint="eastAsia" w:ascii="宋体" w:hAnsi="宋体" w:eastAsia="宋体" w:cs="宋体"/>
          <w:sz w:val="24"/>
          <w:szCs w:val="24"/>
        </w:rPr>
        <w:t>投标文件有效期为</w:t>
      </w:r>
      <w:r>
        <w:rPr>
          <w:rFonts w:hint="eastAsia" w:ascii="宋体" w:hAnsi="宋体" w:eastAsia="宋体" w:cs="宋体"/>
          <w:sz w:val="24"/>
          <w:szCs w:val="24"/>
          <w:lang w:val="en-GB"/>
        </w:rPr>
        <w:t>投标截止日起90天。</w:t>
      </w:r>
    </w:p>
    <w:p>
      <w:pPr>
        <w:pStyle w:val="2"/>
        <w:keepNext w:val="0"/>
        <w:keepLines w:val="0"/>
        <w:pageBreakBefore w:val="0"/>
        <w:numPr>
          <w:ilvl w:val="0"/>
          <w:numId w:val="26"/>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lang w:val="en-GB"/>
        </w:rPr>
      </w:pPr>
      <w:r>
        <w:rPr>
          <w:rFonts w:hint="eastAsia" w:ascii="宋体" w:hAnsi="宋体" w:eastAsia="宋体" w:cs="宋体"/>
          <w:sz w:val="24"/>
          <w:szCs w:val="24"/>
          <w:lang w:val="en-GB"/>
        </w:rPr>
        <w:t>在特殊情况下，采购人可与投标人协商延长投标文件的有效期，这种要求和答复均以书面形式进行。</w:t>
      </w:r>
    </w:p>
    <w:p>
      <w:pPr>
        <w:keepNext w:val="0"/>
        <w:keepLines w:val="0"/>
        <w:pageBreakBefore w:val="0"/>
        <w:numPr>
          <w:ilvl w:val="0"/>
          <w:numId w:val="26"/>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bookmarkStart w:id="59" w:name="_Toc17835"/>
      <w:r>
        <w:rPr>
          <w:rFonts w:hint="eastAsia" w:ascii="宋体" w:hAnsi="宋体" w:eastAsia="宋体" w:cs="宋体"/>
          <w:sz w:val="24"/>
          <w:szCs w:val="24"/>
        </w:rPr>
        <w:t>中标人的投标文件自开标之日起至合同履行完毕均应保持有效。</w:t>
      </w:r>
      <w:bookmarkEnd w:id="59"/>
    </w:p>
    <w:p>
      <w:pPr>
        <w:keepNext w:val="0"/>
        <w:keepLines w:val="0"/>
        <w:pageBreakBefore w:val="0"/>
        <w:numPr>
          <w:ilvl w:val="0"/>
          <w:numId w:val="20"/>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kern w:val="0"/>
          <w:sz w:val="24"/>
          <w:szCs w:val="24"/>
        </w:rPr>
      </w:pPr>
      <w:bookmarkStart w:id="60" w:name="_Toc31077"/>
      <w:r>
        <w:rPr>
          <w:rFonts w:hint="eastAsia" w:ascii="宋体" w:hAnsi="宋体" w:eastAsia="宋体" w:cs="宋体"/>
          <w:b/>
          <w:kern w:val="0"/>
          <w:sz w:val="24"/>
          <w:szCs w:val="24"/>
        </w:rPr>
        <w:t>投标文件的签署</w:t>
      </w:r>
      <w:bookmarkEnd w:id="60"/>
    </w:p>
    <w:p>
      <w:pPr>
        <w:pStyle w:val="2"/>
        <w:keepNext w:val="0"/>
        <w:keepLines w:val="0"/>
        <w:pageBreakBefore w:val="0"/>
        <w:numPr>
          <w:ilvl w:val="0"/>
          <w:numId w:val="27"/>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bCs/>
          <w:kern w:val="0"/>
          <w:sz w:val="24"/>
          <w:szCs w:val="24"/>
        </w:rPr>
      </w:pPr>
      <w:r>
        <w:rPr>
          <w:rFonts w:hint="eastAsia" w:ascii="宋体" w:hAnsi="宋体" w:eastAsia="宋体" w:cs="宋体"/>
          <w:bCs/>
          <w:kern w:val="0"/>
          <w:sz w:val="24"/>
          <w:szCs w:val="24"/>
        </w:rPr>
        <w:t>投标文件需由</w:t>
      </w:r>
      <w:r>
        <w:rPr>
          <w:rFonts w:hint="eastAsia" w:ascii="宋体" w:hAnsi="宋体" w:cs="宋体"/>
          <w:bCs/>
          <w:kern w:val="0"/>
          <w:sz w:val="24"/>
          <w:szCs w:val="24"/>
          <w:lang w:eastAsia="zh-CN"/>
        </w:rPr>
        <w:t>单位负责人</w:t>
      </w:r>
      <w:r>
        <w:rPr>
          <w:rFonts w:hint="eastAsia" w:ascii="宋体" w:hAnsi="宋体" w:eastAsia="宋体" w:cs="宋体"/>
          <w:bCs/>
          <w:kern w:val="0"/>
          <w:sz w:val="24"/>
          <w:szCs w:val="24"/>
        </w:rPr>
        <w:t>或经其正式授权的代表签字或盖章。授权代表须出具书面授权证明，其《</w:t>
      </w:r>
      <w:r>
        <w:rPr>
          <w:rFonts w:hint="eastAsia" w:ascii="宋体" w:hAnsi="宋体" w:cs="宋体"/>
          <w:bCs/>
          <w:kern w:val="0"/>
          <w:sz w:val="24"/>
          <w:szCs w:val="24"/>
          <w:lang w:eastAsia="zh-CN"/>
        </w:rPr>
        <w:t>单位负责人</w:t>
      </w:r>
      <w:r>
        <w:rPr>
          <w:rFonts w:hint="eastAsia" w:ascii="宋体" w:hAnsi="宋体" w:eastAsia="宋体" w:cs="宋体"/>
          <w:bCs/>
          <w:kern w:val="0"/>
          <w:sz w:val="24"/>
          <w:szCs w:val="24"/>
        </w:rPr>
        <w:t>授权书》应附在投标文件中。</w:t>
      </w:r>
    </w:p>
    <w:p>
      <w:pPr>
        <w:pStyle w:val="2"/>
        <w:keepNext w:val="0"/>
        <w:keepLines w:val="0"/>
        <w:pageBreakBefore w:val="0"/>
        <w:numPr>
          <w:ilvl w:val="0"/>
          <w:numId w:val="27"/>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bCs/>
          <w:kern w:val="0"/>
          <w:sz w:val="24"/>
          <w:szCs w:val="24"/>
        </w:rPr>
      </w:pPr>
      <w:r>
        <w:rPr>
          <w:rFonts w:hint="eastAsia" w:ascii="宋体" w:hAnsi="宋体" w:eastAsia="宋体" w:cs="宋体"/>
          <w:bCs/>
          <w:kern w:val="0"/>
          <w:sz w:val="24"/>
          <w:szCs w:val="24"/>
        </w:rPr>
        <w:t>投标文件中所有的插字、涂改和增删，必须由</w:t>
      </w:r>
      <w:r>
        <w:rPr>
          <w:rFonts w:hint="eastAsia" w:ascii="宋体" w:hAnsi="宋体" w:cs="宋体"/>
          <w:bCs/>
          <w:kern w:val="0"/>
          <w:sz w:val="24"/>
          <w:szCs w:val="24"/>
          <w:lang w:eastAsia="zh-CN"/>
        </w:rPr>
        <w:t>单位负责人</w:t>
      </w:r>
      <w:r>
        <w:rPr>
          <w:rFonts w:hint="eastAsia" w:ascii="宋体" w:hAnsi="宋体" w:eastAsia="宋体" w:cs="宋体"/>
          <w:bCs/>
          <w:kern w:val="0"/>
          <w:sz w:val="24"/>
          <w:szCs w:val="24"/>
        </w:rPr>
        <w:t>或经其正式授权的代表在旁边签字或盖章才有效。</w:t>
      </w:r>
    </w:p>
    <w:p>
      <w:pPr>
        <w:keepNext w:val="0"/>
        <w:keepLines w:val="0"/>
        <w:pageBreakBefore w:val="0"/>
        <w:numPr>
          <w:ilvl w:val="0"/>
          <w:numId w:val="20"/>
        </w:numPr>
        <w:kinsoku/>
        <w:wordWrap/>
        <w:overflowPunct/>
        <w:topLinePunct w:val="0"/>
        <w:autoSpaceDE w:val="0"/>
        <w:autoSpaceDN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投标文件的递交要求</w:t>
      </w:r>
    </w:p>
    <w:p>
      <w:pPr>
        <w:keepNext w:val="0"/>
        <w:keepLines w:val="0"/>
        <w:pageBreakBefore w:val="0"/>
        <w:tabs>
          <w:tab w:val="left" w:pos="1418"/>
        </w:tabs>
        <w:kinsoku/>
        <w:wordWrap/>
        <w:overflowPunct/>
        <w:topLinePunct w:val="0"/>
        <w:autoSpaceDE w:val="0"/>
        <w:autoSpaceDN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按照前附表要求提交，</w:t>
      </w:r>
      <w:r>
        <w:rPr>
          <w:rFonts w:hint="eastAsia" w:ascii="宋体" w:hAnsi="宋体" w:eastAsia="宋体" w:cs="宋体"/>
          <w:kern w:val="0"/>
          <w:sz w:val="24"/>
          <w:szCs w:val="24"/>
        </w:rPr>
        <w:t>如采购组织机构延长截止时间和开标时间，采购组织机构和投标人的权利和义务将受到新的截止时间和开标时间的约束。</w:t>
      </w:r>
    </w:p>
    <w:p>
      <w:pPr>
        <w:keepNext w:val="0"/>
        <w:keepLines w:val="0"/>
        <w:pageBreakBefore w:val="0"/>
        <w:kinsoku/>
        <w:wordWrap/>
        <w:overflowPunct/>
        <w:topLinePunct w:val="0"/>
        <w:bidi w:val="0"/>
        <w:adjustRightInd/>
        <w:snapToGrid/>
        <w:spacing w:before="0" w:after="0" w:line="360" w:lineRule="auto"/>
        <w:ind w:left="0" w:leftChars="0" w:right="0" w:firstLine="480" w:firstLineChars="200"/>
        <w:jc w:val="left"/>
        <w:textAlignment w:val="auto"/>
        <w:outlineLvl w:val="9"/>
        <w:rPr>
          <w:rFonts w:hint="eastAsia" w:ascii="宋体" w:hAnsi="宋体" w:eastAsia="宋体" w:cs="宋体"/>
          <w:sz w:val="24"/>
          <w:szCs w:val="24"/>
        </w:rPr>
      </w:pPr>
      <w:bookmarkStart w:id="61" w:name="_Toc2711"/>
      <w:r>
        <w:rPr>
          <w:rFonts w:hint="eastAsia" w:ascii="宋体" w:hAnsi="宋体" w:eastAsia="宋体" w:cs="宋体"/>
          <w:sz w:val="24"/>
          <w:szCs w:val="24"/>
        </w:rPr>
        <w:t>五、开标</w:t>
      </w:r>
      <w:bookmarkEnd w:id="61"/>
    </w:p>
    <w:p>
      <w:pPr>
        <w:keepNext w:val="0"/>
        <w:keepLines w:val="0"/>
        <w:pageBreakBefore w:val="0"/>
        <w:numPr>
          <w:ilvl w:val="0"/>
          <w:numId w:val="28"/>
        </w:numPr>
        <w:kinsoku/>
        <w:wordWrap/>
        <w:overflowPunct/>
        <w:topLinePunct w:val="0"/>
        <w:autoSpaceDE w:val="0"/>
        <w:autoSpaceDN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sz w:val="24"/>
          <w:szCs w:val="24"/>
        </w:rPr>
      </w:pPr>
      <w:bookmarkStart w:id="62" w:name="_Toc8272"/>
      <w:r>
        <w:rPr>
          <w:rFonts w:hint="eastAsia" w:ascii="宋体" w:hAnsi="宋体" w:eastAsia="宋体" w:cs="宋体"/>
          <w:b/>
          <w:sz w:val="24"/>
          <w:szCs w:val="24"/>
        </w:rPr>
        <w:t>开标程序</w:t>
      </w:r>
      <w:bookmarkEnd w:id="62"/>
    </w:p>
    <w:p>
      <w:pPr>
        <w:pStyle w:val="2"/>
        <w:keepNext w:val="0"/>
        <w:keepLines w:val="0"/>
        <w:pageBreakBefore w:val="0"/>
        <w:numPr>
          <w:ilvl w:val="0"/>
          <w:numId w:val="29"/>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开标时间到后，主持人准时组织开标；</w:t>
      </w:r>
    </w:p>
    <w:p>
      <w:pPr>
        <w:pStyle w:val="2"/>
        <w:keepNext w:val="0"/>
        <w:keepLines w:val="0"/>
        <w:pageBreakBefore w:val="0"/>
        <w:numPr>
          <w:ilvl w:val="0"/>
          <w:numId w:val="29"/>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投标人登录政采云平台，用“项目采购-开标评标”功能对电子投标文件进行在线解密。在线解密时间为</w:t>
      </w:r>
      <w:r>
        <w:rPr>
          <w:rFonts w:hint="eastAsia" w:ascii="宋体" w:hAnsi="宋体" w:eastAsia="宋体" w:cs="宋体"/>
          <w:b w:val="0"/>
          <w:bCs w:val="0"/>
          <w:sz w:val="24"/>
          <w:lang w:eastAsia="zh-CN"/>
        </w:rPr>
        <w:t>接到解密通知</w:t>
      </w:r>
      <w:r>
        <w:rPr>
          <w:rFonts w:hint="eastAsia" w:ascii="宋体" w:hAnsi="宋体" w:eastAsia="宋体" w:cs="宋体"/>
          <w:b w:val="0"/>
          <w:bCs w:val="0"/>
          <w:sz w:val="24"/>
        </w:rPr>
        <w:t>起</w:t>
      </w:r>
      <w:r>
        <w:rPr>
          <w:rFonts w:hint="eastAsia" w:ascii="宋体" w:hAnsi="宋体" w:eastAsia="宋体" w:cs="宋体"/>
          <w:b w:val="0"/>
          <w:bCs w:val="0"/>
          <w:sz w:val="24"/>
          <w:lang w:eastAsia="zh-CN"/>
        </w:rPr>
        <w:t>半</w:t>
      </w:r>
      <w:r>
        <w:rPr>
          <w:rFonts w:hint="eastAsia" w:ascii="宋体" w:hAnsi="宋体" w:eastAsia="宋体" w:cs="宋体"/>
          <w:b w:val="0"/>
          <w:bCs w:val="0"/>
          <w:sz w:val="24"/>
        </w:rPr>
        <w:t>个小时内</w:t>
      </w:r>
      <w:r>
        <w:rPr>
          <w:rFonts w:hint="eastAsia" w:ascii="宋体" w:hAnsi="宋体" w:eastAsia="宋体" w:cs="宋体"/>
          <w:sz w:val="24"/>
          <w:szCs w:val="24"/>
        </w:rPr>
        <w:t>；</w:t>
      </w:r>
    </w:p>
    <w:p>
      <w:pPr>
        <w:pStyle w:val="2"/>
        <w:keepNext w:val="0"/>
        <w:keepLines w:val="0"/>
        <w:pageBreakBefore w:val="0"/>
        <w:numPr>
          <w:ilvl w:val="0"/>
          <w:numId w:val="29"/>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公布开标结果。</w:t>
      </w:r>
    </w:p>
    <w:p>
      <w:pPr>
        <w:keepNext w:val="0"/>
        <w:keepLines w:val="0"/>
        <w:pageBreakBefore w:val="0"/>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color w:val="000000"/>
          <w:sz w:val="24"/>
          <w:szCs w:val="24"/>
          <w:lang w:eastAsia="zh-CN"/>
        </w:rPr>
        <w:t>特别说明：政采云公司如对电子化开标及评审程序有调整的，按调整后的程序操作。</w:t>
      </w:r>
      <w:r>
        <w:rPr>
          <w:rFonts w:hint="eastAsia" w:ascii="宋体" w:hAnsi="宋体" w:eastAsia="宋体" w:cs="宋体"/>
          <w:b/>
          <w:bCs/>
          <w:sz w:val="24"/>
          <w:szCs w:val="24"/>
        </w:rPr>
        <w:t>本项目</w:t>
      </w:r>
      <w:r>
        <w:rPr>
          <w:rFonts w:hint="eastAsia" w:ascii="宋体" w:hAnsi="宋体" w:eastAsia="宋体" w:cs="宋体"/>
          <w:b/>
          <w:bCs/>
          <w:sz w:val="24"/>
          <w:szCs w:val="24"/>
          <w:lang w:eastAsia="zh-CN"/>
        </w:rPr>
        <w:t>原则上</w:t>
      </w:r>
      <w:r>
        <w:rPr>
          <w:rFonts w:hint="eastAsia" w:ascii="宋体" w:hAnsi="宋体" w:eastAsia="宋体" w:cs="宋体"/>
          <w:b/>
          <w:bCs/>
          <w:sz w:val="24"/>
          <w:szCs w:val="24"/>
        </w:rPr>
        <w:t>采用政采云电</w:t>
      </w:r>
      <w:r>
        <w:rPr>
          <w:rFonts w:hint="eastAsia" w:ascii="宋体" w:hAnsi="宋体" w:eastAsia="宋体" w:cs="宋体"/>
          <w:b/>
          <w:bCs/>
          <w:sz w:val="24"/>
          <w:szCs w:val="24"/>
          <w:highlight w:val="none"/>
        </w:rPr>
        <w:t>子招投标开标及评审程序</w:t>
      </w:r>
      <w:r>
        <w:rPr>
          <w:rFonts w:hint="eastAsia" w:ascii="宋体" w:hAnsi="宋体" w:eastAsia="宋体" w:cs="宋体"/>
          <w:b/>
          <w:bCs/>
          <w:sz w:val="24"/>
          <w:szCs w:val="24"/>
          <w:highlight w:val="none"/>
          <w:lang w:eastAsia="zh-CN"/>
        </w:rPr>
        <w:t>（</w:t>
      </w:r>
      <w:r>
        <w:rPr>
          <w:rFonts w:hint="eastAsia" w:ascii="宋体" w:hAnsi="宋体" w:eastAsia="宋体" w:cs="宋体"/>
          <w:b w:val="0"/>
          <w:bCs w:val="0"/>
          <w:sz w:val="24"/>
          <w:szCs w:val="24"/>
          <w:highlight w:val="none"/>
        </w:rPr>
        <w:t>若投标人在规定时间内无法解密或解密失败，</w:t>
      </w:r>
      <w:r>
        <w:rPr>
          <w:rFonts w:hint="eastAsia" w:ascii="宋体" w:hAnsi="宋体" w:eastAsia="宋体" w:cs="宋体"/>
          <w:b w:val="0"/>
          <w:bCs w:val="0"/>
          <w:sz w:val="24"/>
          <w:szCs w:val="24"/>
          <w:highlight w:val="none"/>
          <w:lang w:eastAsia="zh-CN"/>
        </w:rPr>
        <w:t>采购组织机构</w:t>
      </w:r>
      <w:r>
        <w:rPr>
          <w:rFonts w:hint="eastAsia" w:ascii="宋体" w:hAnsi="宋体" w:eastAsia="宋体" w:cs="宋体"/>
          <w:b w:val="0"/>
          <w:bCs w:val="0"/>
          <w:sz w:val="24"/>
          <w:szCs w:val="24"/>
          <w:highlight w:val="none"/>
        </w:rPr>
        <w:t>将开启投标人递交的数据电文形式的备份投标文件，上传至政采云平台项目采购模块，以完成开标</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，采购过程中出现以下情形，导致电子交易平台无</w:t>
      </w:r>
      <w:r>
        <w:rPr>
          <w:rFonts w:hint="eastAsia" w:ascii="宋体" w:hAnsi="宋体" w:eastAsia="宋体" w:cs="宋体"/>
          <w:b/>
          <w:bCs/>
          <w:sz w:val="24"/>
          <w:szCs w:val="24"/>
        </w:rPr>
        <w:t>法正常运行，或者无法保证电子交易的公平、公正和安全时，采购组织机构可中止电子交易活动：</w:t>
      </w:r>
    </w:p>
    <w:p>
      <w:pPr>
        <w:keepNext w:val="0"/>
        <w:keepLines w:val="0"/>
        <w:pageBreakBefore w:val="0"/>
        <w:numPr>
          <w:ilvl w:val="0"/>
          <w:numId w:val="30"/>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 xml:space="preserve">电子交易平台发生故障而无法登录访问的； </w:t>
      </w:r>
    </w:p>
    <w:p>
      <w:pPr>
        <w:keepNext w:val="0"/>
        <w:keepLines w:val="0"/>
        <w:pageBreakBefore w:val="0"/>
        <w:numPr>
          <w:ilvl w:val="0"/>
          <w:numId w:val="30"/>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电子交易平台应用或数据库出现错误，不能进行正常操作的；</w:t>
      </w:r>
    </w:p>
    <w:p>
      <w:pPr>
        <w:keepNext w:val="0"/>
        <w:keepLines w:val="0"/>
        <w:pageBreakBefore w:val="0"/>
        <w:numPr>
          <w:ilvl w:val="0"/>
          <w:numId w:val="30"/>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电子交易平台发现严重安全漏洞，有潜在泄密危险的；</w:t>
      </w:r>
    </w:p>
    <w:p>
      <w:pPr>
        <w:keepNext w:val="0"/>
        <w:keepLines w:val="0"/>
        <w:pageBreakBefore w:val="0"/>
        <w:numPr>
          <w:ilvl w:val="0"/>
          <w:numId w:val="30"/>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 xml:space="preserve">病毒发作导致不能进行正常操作的； </w:t>
      </w:r>
    </w:p>
    <w:p>
      <w:pPr>
        <w:keepNext w:val="0"/>
        <w:keepLines w:val="0"/>
        <w:pageBreakBefore w:val="0"/>
        <w:numPr>
          <w:ilvl w:val="0"/>
          <w:numId w:val="30"/>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其他无法保证电子交易的公平、公正和安全的情况。</w:t>
      </w:r>
    </w:p>
    <w:p>
      <w:pPr>
        <w:pStyle w:val="2"/>
        <w:keepNext w:val="0"/>
        <w:keepLines w:val="0"/>
        <w:pageBreakBefore w:val="0"/>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出现前款规定情形，不影响采购公平、公正性的，采购组织机构可以待上述情形消除后继续组织电子交易活动，也可以决定某些环节以纸质形式进行；影响或可能影响采购公平、公正性的，应当重新采购。</w:t>
      </w:r>
    </w:p>
    <w:p>
      <w:pPr>
        <w:pStyle w:val="2"/>
        <w:keepNext w:val="0"/>
        <w:keepLines w:val="0"/>
        <w:pageBreakBefore w:val="0"/>
        <w:numPr>
          <w:ilvl w:val="0"/>
          <w:numId w:val="28"/>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sz w:val="24"/>
          <w:szCs w:val="24"/>
        </w:rPr>
      </w:pPr>
      <w:bookmarkStart w:id="63" w:name="_Toc22507"/>
      <w:r>
        <w:rPr>
          <w:rFonts w:hint="eastAsia" w:ascii="宋体" w:hAnsi="宋体" w:eastAsia="宋体" w:cs="宋体"/>
          <w:b/>
          <w:bCs/>
          <w:sz w:val="24"/>
          <w:szCs w:val="24"/>
        </w:rPr>
        <w:t>开标异议</w:t>
      </w:r>
      <w:bookmarkEnd w:id="63"/>
    </w:p>
    <w:p>
      <w:pPr>
        <w:pStyle w:val="2"/>
        <w:keepNext w:val="0"/>
        <w:keepLines w:val="0"/>
        <w:pageBreakBefore w:val="0"/>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2"/>
        <w:keepNext w:val="0"/>
        <w:keepLines w:val="0"/>
        <w:pageBreakBefore w:val="0"/>
        <w:numPr>
          <w:ilvl w:val="0"/>
          <w:numId w:val="28"/>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bookmarkStart w:id="64" w:name="_Toc2228"/>
      <w:r>
        <w:rPr>
          <w:rFonts w:hint="eastAsia" w:ascii="宋体" w:hAnsi="宋体" w:eastAsia="宋体" w:cs="宋体"/>
          <w:sz w:val="24"/>
          <w:szCs w:val="24"/>
        </w:rPr>
        <w:t>投标人不足三家，不得开标。</w:t>
      </w:r>
      <w:bookmarkEnd w:id="64"/>
    </w:p>
    <w:p>
      <w:pPr>
        <w:keepNext w:val="0"/>
        <w:keepLines w:val="0"/>
        <w:pageBreakBefore w:val="0"/>
        <w:kinsoku/>
        <w:wordWrap/>
        <w:overflowPunct/>
        <w:topLinePunct w:val="0"/>
        <w:bidi w:val="0"/>
        <w:adjustRightInd/>
        <w:snapToGrid/>
        <w:spacing w:before="0" w:after="0" w:line="360" w:lineRule="auto"/>
        <w:ind w:left="0" w:leftChars="0" w:right="0" w:firstLine="480" w:firstLineChars="200"/>
        <w:jc w:val="left"/>
        <w:textAlignment w:val="auto"/>
        <w:outlineLvl w:val="9"/>
        <w:rPr>
          <w:rFonts w:hint="eastAsia" w:ascii="宋体" w:hAnsi="宋体" w:eastAsia="宋体" w:cs="宋体"/>
          <w:sz w:val="24"/>
          <w:szCs w:val="24"/>
        </w:rPr>
      </w:pPr>
      <w:bookmarkStart w:id="65" w:name="_Toc27070"/>
      <w:r>
        <w:rPr>
          <w:rFonts w:hint="eastAsia" w:ascii="宋体" w:hAnsi="宋体" w:eastAsia="宋体" w:cs="宋体"/>
          <w:sz w:val="24"/>
          <w:szCs w:val="24"/>
        </w:rPr>
        <w:t>五、评标（详见第</w:t>
      </w:r>
      <w:r>
        <w:rPr>
          <w:rFonts w:hint="eastAsia" w:ascii="宋体" w:hAnsi="宋体" w:eastAsia="宋体" w:cs="宋体"/>
          <w:sz w:val="24"/>
          <w:szCs w:val="24"/>
          <w:lang w:val="en-US" w:eastAsia="zh-CN"/>
        </w:rPr>
        <w:t>三</w:t>
      </w:r>
      <w:r>
        <w:rPr>
          <w:rFonts w:hint="eastAsia" w:ascii="宋体" w:hAnsi="宋体" w:eastAsia="宋体" w:cs="宋体"/>
          <w:sz w:val="24"/>
          <w:szCs w:val="24"/>
        </w:rPr>
        <w:t>章）</w:t>
      </w:r>
      <w:bookmarkEnd w:id="65"/>
    </w:p>
    <w:p>
      <w:pPr>
        <w:keepNext w:val="0"/>
        <w:keepLines w:val="0"/>
        <w:pageBreakBefore w:val="0"/>
        <w:kinsoku/>
        <w:wordWrap/>
        <w:overflowPunct/>
        <w:topLinePunct w:val="0"/>
        <w:bidi w:val="0"/>
        <w:adjustRightInd/>
        <w:snapToGrid/>
        <w:spacing w:before="0" w:after="0" w:line="360" w:lineRule="auto"/>
        <w:ind w:left="0" w:leftChars="0" w:right="0" w:firstLine="480" w:firstLineChars="200"/>
        <w:jc w:val="left"/>
        <w:textAlignment w:val="auto"/>
        <w:outlineLvl w:val="9"/>
        <w:rPr>
          <w:rFonts w:hint="eastAsia" w:ascii="宋体" w:hAnsi="宋体" w:eastAsia="宋体" w:cs="宋体"/>
          <w:sz w:val="24"/>
          <w:szCs w:val="24"/>
        </w:rPr>
      </w:pPr>
      <w:bookmarkStart w:id="66" w:name="_Toc15838"/>
      <w:r>
        <w:rPr>
          <w:rFonts w:hint="eastAsia" w:ascii="宋体" w:hAnsi="宋体" w:eastAsia="宋体" w:cs="宋体"/>
          <w:sz w:val="24"/>
          <w:szCs w:val="24"/>
        </w:rPr>
        <w:t>六、定标</w:t>
      </w:r>
      <w:bookmarkEnd w:id="66"/>
    </w:p>
    <w:p>
      <w:pPr>
        <w:pStyle w:val="17"/>
        <w:keepNext w:val="0"/>
        <w:keepLines w:val="0"/>
        <w:pageBreakBefore w:val="0"/>
        <w:numPr>
          <w:ilvl w:val="0"/>
          <w:numId w:val="31"/>
        </w:numPr>
        <w:kinsoku/>
        <w:wordWrap/>
        <w:overflowPunct/>
        <w:topLinePunct w:val="0"/>
        <w:bidi w:val="0"/>
        <w:adjustRightInd/>
        <w:snapToGrid/>
        <w:spacing w:before="0" w:beforeAutospacing="0" w:after="0" w:afterAutospacing="0"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确定中标人。评标委员会根据采购单位的《授权意见确认书》，推荐中标候选人或确定中标人。其中推荐中标候选人的，采购组织机构在评标结束后2个工作日内将评标报告送采购人，采购人自收到评标报告之日起5个工作日内在评标报告推荐的中标候选人中确定中标人。</w:t>
      </w:r>
    </w:p>
    <w:p>
      <w:pPr>
        <w:keepNext w:val="0"/>
        <w:keepLines w:val="0"/>
        <w:pageBreakBefore w:val="0"/>
        <w:numPr>
          <w:ilvl w:val="0"/>
          <w:numId w:val="31"/>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发布</w:t>
      </w:r>
      <w:r>
        <w:rPr>
          <w:rFonts w:hint="eastAsia" w:ascii="宋体" w:hAnsi="宋体" w:eastAsia="宋体" w:cs="宋体"/>
          <w:sz w:val="24"/>
          <w:szCs w:val="24"/>
        </w:rPr>
        <w:t>中标</w:t>
      </w:r>
      <w:r>
        <w:rPr>
          <w:rFonts w:hint="eastAsia" w:ascii="宋体" w:hAnsi="宋体" w:eastAsia="宋体" w:cs="宋体"/>
          <w:kern w:val="0"/>
          <w:sz w:val="24"/>
          <w:szCs w:val="24"/>
        </w:rPr>
        <w:t>结果公告。采购组织机构自中标人确定之日起2个工作日内，在浙江政府采购网公告中标结果，</w:t>
      </w:r>
      <w:r>
        <w:rPr>
          <w:rFonts w:hint="eastAsia" w:ascii="宋体" w:hAnsi="宋体" w:eastAsia="宋体" w:cs="宋体"/>
          <w:sz w:val="24"/>
          <w:szCs w:val="24"/>
        </w:rPr>
        <w:t>中标结果公告期为 1 个工作日</w:t>
      </w:r>
      <w:r>
        <w:rPr>
          <w:rFonts w:hint="eastAsia" w:ascii="宋体" w:hAnsi="宋体" w:eastAsia="宋体" w:cs="宋体"/>
          <w:kern w:val="0"/>
          <w:sz w:val="24"/>
          <w:szCs w:val="24"/>
        </w:rPr>
        <w:t>。</w:t>
      </w:r>
    </w:p>
    <w:p>
      <w:pPr>
        <w:pStyle w:val="8"/>
        <w:keepNext w:val="0"/>
        <w:keepLines w:val="0"/>
        <w:pageBreakBefore w:val="0"/>
        <w:numPr>
          <w:ilvl w:val="0"/>
          <w:numId w:val="31"/>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发放中标通知书。采购组织机构在发布中标结果公告的同时，</w:t>
      </w:r>
      <w:r>
        <w:rPr>
          <w:rFonts w:hint="eastAsia" w:ascii="宋体" w:hAnsi="宋体" w:eastAsia="宋体" w:cs="宋体"/>
          <w:sz w:val="24"/>
          <w:szCs w:val="24"/>
        </w:rPr>
        <w:t>通过政采云平台</w:t>
      </w:r>
      <w:r>
        <w:rPr>
          <w:rFonts w:hint="eastAsia" w:ascii="宋体" w:hAnsi="宋体" w:eastAsia="宋体" w:cs="宋体"/>
          <w:kern w:val="0"/>
          <w:sz w:val="24"/>
          <w:szCs w:val="24"/>
        </w:rPr>
        <w:t>向中标人</w:t>
      </w:r>
      <w:r>
        <w:rPr>
          <w:rFonts w:hint="eastAsia" w:ascii="宋体" w:hAnsi="宋体" w:eastAsia="宋体" w:cs="宋体"/>
          <w:sz w:val="24"/>
          <w:szCs w:val="24"/>
        </w:rPr>
        <w:t>发放中标通知书</w:t>
      </w:r>
      <w:r>
        <w:rPr>
          <w:rFonts w:hint="eastAsia" w:ascii="宋体" w:hAnsi="宋体" w:eastAsia="宋体" w:cs="宋体"/>
          <w:kern w:val="0"/>
          <w:sz w:val="24"/>
          <w:szCs w:val="24"/>
        </w:rPr>
        <w:t>。</w:t>
      </w:r>
    </w:p>
    <w:p>
      <w:pPr>
        <w:keepNext w:val="0"/>
        <w:keepLines w:val="0"/>
        <w:pageBreakBefore w:val="0"/>
        <w:kinsoku/>
        <w:wordWrap/>
        <w:overflowPunct/>
        <w:topLinePunct w:val="0"/>
        <w:bidi w:val="0"/>
        <w:adjustRightInd/>
        <w:snapToGrid/>
        <w:spacing w:before="0" w:after="0" w:line="360" w:lineRule="auto"/>
        <w:ind w:left="0" w:leftChars="0" w:right="0" w:firstLine="480" w:firstLineChars="200"/>
        <w:jc w:val="left"/>
        <w:textAlignment w:val="auto"/>
        <w:outlineLvl w:val="9"/>
        <w:rPr>
          <w:rFonts w:hint="eastAsia" w:ascii="宋体" w:hAnsi="宋体" w:eastAsia="宋体" w:cs="宋体"/>
          <w:sz w:val="24"/>
          <w:szCs w:val="24"/>
        </w:rPr>
      </w:pPr>
      <w:bookmarkStart w:id="67" w:name="_Toc10098"/>
      <w:r>
        <w:rPr>
          <w:rFonts w:hint="eastAsia" w:ascii="宋体" w:hAnsi="宋体" w:eastAsia="宋体" w:cs="宋体"/>
          <w:sz w:val="24"/>
          <w:szCs w:val="24"/>
        </w:rPr>
        <w:t>七、合同签订及公告</w:t>
      </w:r>
      <w:bookmarkEnd w:id="67"/>
    </w:p>
    <w:p>
      <w:pPr>
        <w:keepNext w:val="0"/>
        <w:keepLines w:val="0"/>
        <w:pageBreakBefore w:val="0"/>
        <w:numPr>
          <w:ilvl w:val="0"/>
          <w:numId w:val="32"/>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kern w:val="0"/>
          <w:sz w:val="24"/>
          <w:szCs w:val="24"/>
        </w:rPr>
      </w:pPr>
      <w:bookmarkStart w:id="68" w:name="_Toc5583"/>
      <w:r>
        <w:rPr>
          <w:rFonts w:hint="eastAsia" w:ascii="宋体" w:hAnsi="宋体" w:eastAsia="宋体" w:cs="宋体"/>
          <w:b/>
          <w:sz w:val="24"/>
          <w:szCs w:val="24"/>
        </w:rPr>
        <w:t>签订合同</w:t>
      </w:r>
      <w:bookmarkEnd w:id="68"/>
    </w:p>
    <w:p>
      <w:pPr>
        <w:pStyle w:val="17"/>
        <w:keepNext w:val="0"/>
        <w:keepLines w:val="0"/>
        <w:pageBreakBefore w:val="0"/>
        <w:numPr>
          <w:ilvl w:val="0"/>
          <w:numId w:val="33"/>
        </w:numPr>
        <w:kinsoku/>
        <w:wordWrap/>
        <w:overflowPunct/>
        <w:topLinePunct w:val="0"/>
        <w:bidi w:val="0"/>
        <w:adjustRightInd/>
        <w:snapToGrid/>
        <w:spacing w:before="0" w:beforeAutospacing="0" w:after="0" w:afterAutospacing="0"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采购人应当自中标通知书发出之日起30日内，按照招标文件和中标人投标文件内容要求，与中标人签订书面合同或者电子合同。所签订的合同不得对招标文件确定的事项和中标人投标文件作实质性修改。</w:t>
      </w:r>
    </w:p>
    <w:p>
      <w:pPr>
        <w:pStyle w:val="17"/>
        <w:keepNext w:val="0"/>
        <w:keepLines w:val="0"/>
        <w:pageBreakBefore w:val="0"/>
        <w:numPr>
          <w:ilvl w:val="0"/>
          <w:numId w:val="33"/>
        </w:numPr>
        <w:kinsoku/>
        <w:wordWrap/>
        <w:overflowPunct/>
        <w:topLinePunct w:val="0"/>
        <w:bidi w:val="0"/>
        <w:adjustRightInd/>
        <w:snapToGrid/>
        <w:spacing w:before="0" w:beforeAutospacing="0" w:after="0" w:afterAutospacing="0"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采购人不得向中标人提出任何不合理的要求作为签订合同的条件。</w:t>
      </w:r>
    </w:p>
    <w:p>
      <w:pPr>
        <w:pStyle w:val="17"/>
        <w:keepNext w:val="0"/>
        <w:keepLines w:val="0"/>
        <w:pageBreakBefore w:val="0"/>
        <w:numPr>
          <w:ilvl w:val="0"/>
          <w:numId w:val="33"/>
        </w:numPr>
        <w:kinsoku/>
        <w:wordWrap/>
        <w:overflowPunct/>
        <w:topLinePunct w:val="0"/>
        <w:bidi w:val="0"/>
        <w:adjustRightInd/>
        <w:snapToGrid/>
        <w:spacing w:before="0" w:beforeAutospacing="0" w:after="0" w:afterAutospacing="0"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中标人无故拖延、拒签合同的,将取消中标资格。</w:t>
      </w:r>
    </w:p>
    <w:p>
      <w:pPr>
        <w:pStyle w:val="17"/>
        <w:keepNext w:val="0"/>
        <w:keepLines w:val="0"/>
        <w:pageBreakBefore w:val="0"/>
        <w:numPr>
          <w:ilvl w:val="0"/>
          <w:numId w:val="33"/>
        </w:numPr>
        <w:kinsoku/>
        <w:wordWrap/>
        <w:overflowPunct/>
        <w:topLinePunct w:val="0"/>
        <w:bidi w:val="0"/>
        <w:adjustRightInd/>
        <w:snapToGrid/>
        <w:spacing w:before="0" w:beforeAutospacing="0" w:after="0" w:afterAutospacing="0"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7"/>
        <w:keepNext w:val="0"/>
        <w:keepLines w:val="0"/>
        <w:pageBreakBefore w:val="0"/>
        <w:numPr>
          <w:ilvl w:val="0"/>
          <w:numId w:val="33"/>
        </w:numPr>
        <w:kinsoku/>
        <w:wordWrap/>
        <w:overflowPunct/>
        <w:topLinePunct w:val="0"/>
        <w:bidi w:val="0"/>
        <w:adjustRightInd/>
        <w:snapToGrid/>
        <w:spacing w:before="0" w:beforeAutospacing="0" w:after="0" w:afterAutospacing="0"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询问或者质疑事项可能影响中标结果的，采购人应当暂停签订合同，已经签订合同的，应当中止履行合同。</w:t>
      </w:r>
    </w:p>
    <w:p>
      <w:pPr>
        <w:pStyle w:val="17"/>
        <w:keepNext w:val="0"/>
        <w:keepLines w:val="0"/>
        <w:pageBreakBefore w:val="0"/>
        <w:numPr>
          <w:ilvl w:val="0"/>
          <w:numId w:val="32"/>
        </w:numPr>
        <w:kinsoku/>
        <w:wordWrap/>
        <w:overflowPunct/>
        <w:topLinePunct w:val="0"/>
        <w:bidi w:val="0"/>
        <w:adjustRightInd/>
        <w:snapToGrid/>
        <w:spacing w:before="0" w:beforeAutospacing="0" w:after="0" w:afterAutospacing="0" w:line="360" w:lineRule="auto"/>
        <w:ind w:left="0" w:leftChars="0" w:right="0" w:firstLine="482" w:firstLineChars="200"/>
        <w:jc w:val="left"/>
        <w:textAlignment w:val="auto"/>
        <w:outlineLvl w:val="9"/>
        <w:rPr>
          <w:rFonts w:hint="eastAsia" w:ascii="宋体" w:hAnsi="宋体" w:eastAsia="宋体" w:cs="宋体"/>
          <w:b/>
          <w:sz w:val="24"/>
          <w:szCs w:val="24"/>
        </w:rPr>
      </w:pPr>
      <w:bookmarkStart w:id="69" w:name="_Toc29343"/>
      <w:r>
        <w:rPr>
          <w:rFonts w:hint="eastAsia" w:ascii="宋体" w:hAnsi="宋体" w:eastAsia="宋体" w:cs="宋体"/>
          <w:b/>
          <w:sz w:val="24"/>
          <w:szCs w:val="24"/>
        </w:rPr>
        <w:t>合同公告及备案</w:t>
      </w:r>
      <w:bookmarkEnd w:id="69"/>
    </w:p>
    <w:p>
      <w:pPr>
        <w:pStyle w:val="11"/>
        <w:keepNext w:val="0"/>
        <w:keepLines w:val="0"/>
        <w:pageBreakBefore w:val="0"/>
        <w:numPr>
          <w:ilvl w:val="0"/>
          <w:numId w:val="34"/>
        </w:numPr>
        <w:kinsoku/>
        <w:wordWrap/>
        <w:overflowPunct/>
        <w:topLinePunct w:val="0"/>
        <w:bidi w:val="0"/>
        <w:adjustRightInd/>
        <w:snapToGrid/>
        <w:spacing w:after="0"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采购人应当自合同签订之日起2个工作日内，</w:t>
      </w:r>
      <w:r>
        <w:rPr>
          <w:rFonts w:hint="eastAsia" w:ascii="宋体" w:hAnsi="宋体" w:eastAsia="宋体" w:cs="宋体"/>
          <w:kern w:val="0"/>
          <w:sz w:val="24"/>
          <w:szCs w:val="24"/>
        </w:rPr>
        <w:t>在浙江政府采购网</w:t>
      </w:r>
      <w:r>
        <w:rPr>
          <w:rFonts w:hint="eastAsia" w:ascii="宋体" w:hAnsi="宋体" w:eastAsia="宋体" w:cs="宋体"/>
          <w:kern w:val="0"/>
          <w:sz w:val="24"/>
          <w:szCs w:val="24"/>
          <w:lang w:val="en-US" w:eastAsia="zh-CN"/>
        </w:rPr>
        <w:t>进行合同</w:t>
      </w:r>
      <w:r>
        <w:rPr>
          <w:rFonts w:hint="eastAsia" w:ascii="宋体" w:hAnsi="宋体" w:eastAsia="宋体" w:cs="宋体"/>
          <w:kern w:val="0"/>
          <w:sz w:val="24"/>
          <w:szCs w:val="24"/>
        </w:rPr>
        <w:t>公告</w:t>
      </w:r>
      <w:r>
        <w:rPr>
          <w:rFonts w:hint="eastAsia" w:ascii="宋体" w:hAnsi="宋体" w:eastAsia="宋体" w:cs="宋体"/>
          <w:sz w:val="24"/>
          <w:szCs w:val="24"/>
        </w:rPr>
        <w:t>。</w:t>
      </w:r>
    </w:p>
    <w:p>
      <w:pPr>
        <w:pStyle w:val="8"/>
        <w:keepNext w:val="0"/>
        <w:keepLines w:val="0"/>
        <w:pageBreakBefore w:val="0"/>
        <w:numPr>
          <w:ilvl w:val="0"/>
          <w:numId w:val="34"/>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采购人应当自合同签订之日起7个工作日内，将合同通过政采云平台提交至同级人民政府财政部门备案存档。</w:t>
      </w:r>
    </w:p>
    <w:p>
      <w:pPr>
        <w:keepNext w:val="0"/>
        <w:keepLines w:val="0"/>
        <w:pageBreakBefore w:val="0"/>
        <w:kinsoku/>
        <w:wordWrap/>
        <w:overflowPunct/>
        <w:topLinePunct w:val="0"/>
        <w:bidi w:val="0"/>
        <w:adjustRightInd/>
        <w:snapToGrid/>
        <w:spacing w:before="0" w:after="0" w:line="360" w:lineRule="auto"/>
        <w:ind w:left="0" w:leftChars="0" w:right="0" w:firstLine="480" w:firstLineChars="200"/>
        <w:jc w:val="left"/>
        <w:textAlignment w:val="auto"/>
        <w:outlineLvl w:val="9"/>
        <w:rPr>
          <w:rFonts w:hint="eastAsia" w:ascii="宋体" w:hAnsi="宋体" w:eastAsia="宋体" w:cs="宋体"/>
          <w:sz w:val="24"/>
          <w:szCs w:val="24"/>
        </w:rPr>
      </w:pPr>
      <w:bookmarkStart w:id="70" w:name="_Toc10475"/>
      <w:r>
        <w:rPr>
          <w:rFonts w:hint="eastAsia" w:ascii="宋体" w:hAnsi="宋体" w:eastAsia="宋体" w:cs="宋体"/>
          <w:sz w:val="24"/>
          <w:szCs w:val="24"/>
        </w:rPr>
        <w:t>八、询问、质疑与投诉</w:t>
      </w:r>
      <w:bookmarkEnd w:id="70"/>
    </w:p>
    <w:p>
      <w:pPr>
        <w:pStyle w:val="8"/>
        <w:keepNext w:val="0"/>
        <w:keepLines w:val="0"/>
        <w:pageBreakBefore w:val="0"/>
        <w:numPr>
          <w:ilvl w:val="0"/>
          <w:numId w:val="35"/>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sz w:val="24"/>
          <w:szCs w:val="24"/>
        </w:rPr>
      </w:pPr>
      <w:bookmarkStart w:id="71" w:name="_Toc4736"/>
      <w:r>
        <w:rPr>
          <w:rFonts w:hint="eastAsia" w:ascii="宋体" w:hAnsi="宋体" w:eastAsia="宋体" w:cs="宋体"/>
          <w:b/>
          <w:bCs/>
          <w:sz w:val="24"/>
          <w:szCs w:val="24"/>
        </w:rPr>
        <w:t>询问</w:t>
      </w:r>
      <w:bookmarkEnd w:id="71"/>
    </w:p>
    <w:p>
      <w:pPr>
        <w:pStyle w:val="8"/>
        <w:keepNext w:val="0"/>
        <w:keepLines w:val="0"/>
        <w:pageBreakBefore w:val="0"/>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8"/>
        <w:keepNext w:val="0"/>
        <w:keepLines w:val="0"/>
        <w:pageBreakBefore w:val="0"/>
        <w:numPr>
          <w:ilvl w:val="0"/>
          <w:numId w:val="35"/>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sz w:val="24"/>
          <w:szCs w:val="24"/>
        </w:rPr>
      </w:pPr>
      <w:bookmarkStart w:id="72" w:name="_Toc6212"/>
      <w:r>
        <w:rPr>
          <w:rFonts w:hint="eastAsia" w:ascii="宋体" w:hAnsi="宋体" w:eastAsia="宋体" w:cs="宋体"/>
          <w:b/>
          <w:bCs/>
          <w:sz w:val="24"/>
          <w:szCs w:val="24"/>
        </w:rPr>
        <w:t>质疑</w:t>
      </w:r>
      <w:bookmarkEnd w:id="72"/>
    </w:p>
    <w:p>
      <w:pPr>
        <w:pStyle w:val="8"/>
        <w:keepNext w:val="0"/>
        <w:keepLines w:val="0"/>
        <w:pageBreakBefore w:val="0"/>
        <w:numPr>
          <w:ilvl w:val="0"/>
          <w:numId w:val="36"/>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报名本项目的投标人认为招标文件、采购过程和中标结果使自己的权益受到损害的，以书面形式或政采云平台的质疑系统一次性向采购人或采购组织机构提出质</w:t>
      </w:r>
      <w:r>
        <w:rPr>
          <w:rFonts w:hint="eastAsia" w:ascii="宋体" w:hAnsi="宋体" w:eastAsia="宋体" w:cs="宋体"/>
          <w:sz w:val="24"/>
          <w:szCs w:val="24"/>
          <w:highlight w:val="none"/>
        </w:rPr>
        <w:t>疑</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否则，被质疑人可不予接受。不符合要求的质疑函在法定质疑期内及时补充完整，否则</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被质疑人</w:t>
      </w:r>
      <w:r>
        <w:rPr>
          <w:rFonts w:hint="eastAsia" w:ascii="宋体" w:hAnsi="宋体" w:cs="宋体"/>
          <w:sz w:val="24"/>
          <w:szCs w:val="24"/>
          <w:highlight w:val="none"/>
          <w:lang w:val="en-US" w:eastAsia="zh-CN"/>
        </w:rPr>
        <w:t>有权</w:t>
      </w:r>
      <w:r>
        <w:rPr>
          <w:rFonts w:hint="eastAsia" w:ascii="宋体" w:hAnsi="宋体" w:eastAsia="宋体" w:cs="宋体"/>
          <w:sz w:val="24"/>
          <w:szCs w:val="24"/>
          <w:highlight w:val="none"/>
        </w:rPr>
        <w:t>作质疑不成立处理。质疑函范本请到浙江政府采购网下载专区下载：</w:t>
      </w:r>
    </w:p>
    <w:p>
      <w:pPr>
        <w:pStyle w:val="8"/>
        <w:keepNext w:val="0"/>
        <w:keepLines w:val="0"/>
        <w:pageBreakBefore w:val="0"/>
        <w:numPr>
          <w:ilvl w:val="0"/>
          <w:numId w:val="37"/>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投标人认为招标文件的内容损害其权益的，应当自获取采购文件之日或采购文件公告期限届满之日起7个工作日内提出质疑；</w:t>
      </w:r>
    </w:p>
    <w:p>
      <w:pPr>
        <w:pStyle w:val="8"/>
        <w:keepNext w:val="0"/>
        <w:keepLines w:val="0"/>
        <w:pageBreakBefore w:val="0"/>
        <w:numPr>
          <w:ilvl w:val="0"/>
          <w:numId w:val="37"/>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投标人对采购过程提出质疑的，应当在各采购程序环节结束之日起7个工作日内提出质疑；</w:t>
      </w:r>
    </w:p>
    <w:p>
      <w:pPr>
        <w:pStyle w:val="8"/>
        <w:keepNext w:val="0"/>
        <w:keepLines w:val="0"/>
        <w:pageBreakBefore w:val="0"/>
        <w:numPr>
          <w:ilvl w:val="0"/>
          <w:numId w:val="37"/>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投标人对中标结果提出质疑的，应当在中标结果公告期限届满之日起7个工作日内提出质疑；</w:t>
      </w:r>
    </w:p>
    <w:p>
      <w:pPr>
        <w:pStyle w:val="8"/>
        <w:keepNext w:val="0"/>
        <w:keepLines w:val="0"/>
        <w:pageBreakBefore w:val="0"/>
        <w:numPr>
          <w:ilvl w:val="0"/>
          <w:numId w:val="36"/>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采购人或采购组织机构在收到投标人的书面质疑后7个工作日内作出答复，并以书面形式或政采云平台回复质疑投标人和其他有关投标人，但答复内容不涉及商业秘密。</w:t>
      </w:r>
    </w:p>
    <w:p>
      <w:pPr>
        <w:pStyle w:val="8"/>
        <w:keepNext w:val="0"/>
        <w:keepLines w:val="0"/>
        <w:pageBreakBefore w:val="0"/>
        <w:numPr>
          <w:ilvl w:val="0"/>
          <w:numId w:val="36"/>
        </w:numPr>
        <w:kinsoku/>
        <w:wordWrap/>
        <w:overflowPunct/>
        <w:topLinePunct w:val="0"/>
        <w:bidi w:val="0"/>
        <w:adjustRightInd/>
        <w:snapToGrid/>
        <w:spacing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8"/>
        <w:keepNext w:val="0"/>
        <w:keepLines w:val="0"/>
        <w:pageBreakBefore w:val="0"/>
        <w:numPr>
          <w:ilvl w:val="0"/>
          <w:numId w:val="35"/>
        </w:numPr>
        <w:kinsoku/>
        <w:wordWrap/>
        <w:overflowPunct/>
        <w:topLinePunct w:val="0"/>
        <w:bidi w:val="0"/>
        <w:adjustRightInd/>
        <w:snapToGrid/>
        <w:spacing w:line="360" w:lineRule="auto"/>
        <w:ind w:left="0" w:leftChars="0" w:right="0" w:firstLine="482" w:firstLineChars="200"/>
        <w:jc w:val="left"/>
        <w:textAlignment w:val="auto"/>
        <w:outlineLvl w:val="9"/>
        <w:rPr>
          <w:rFonts w:hint="eastAsia" w:ascii="宋体" w:hAnsi="宋体" w:eastAsia="宋体" w:cs="宋体"/>
          <w:b/>
          <w:bCs/>
          <w:sz w:val="24"/>
          <w:szCs w:val="24"/>
        </w:rPr>
      </w:pPr>
      <w:bookmarkStart w:id="73" w:name="_Toc18331"/>
      <w:r>
        <w:rPr>
          <w:rFonts w:hint="eastAsia" w:ascii="宋体" w:hAnsi="宋体" w:eastAsia="宋体" w:cs="宋体"/>
          <w:b/>
          <w:bCs/>
          <w:sz w:val="24"/>
          <w:szCs w:val="24"/>
        </w:rPr>
        <w:t>投诉</w:t>
      </w:r>
      <w:bookmarkEnd w:id="73"/>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sz w:val="24"/>
          <w:szCs w:val="24"/>
        </w:rPr>
        <w:t>投标人对采购人或采购组织机构的质疑答复不满意或在规定时间内未得到答复的，可以在答复期满后15个工作日内，向同级政府采购监督管理机构投诉。</w:t>
      </w:r>
    </w:p>
    <w:p>
      <w:pPr>
        <w:spacing w:line="360" w:lineRule="auto"/>
        <w:rPr>
          <w:rFonts w:hint="eastAsia" w:ascii="宋体" w:hAnsi="宋体" w:eastAsia="宋体" w:cs="宋体"/>
          <w:b/>
          <w:sz w:val="28"/>
          <w:szCs w:val="28"/>
        </w:rPr>
      </w:pPr>
    </w:p>
    <w:p>
      <w:pPr>
        <w:rPr>
          <w:rFonts w:hint="eastAsia" w:ascii="宋体" w:hAnsi="宋体" w:eastAsia="宋体" w:cs="宋体"/>
          <w:b/>
          <w:sz w:val="36"/>
          <w:szCs w:val="36"/>
        </w:rPr>
      </w:pPr>
      <w:r>
        <w:rPr>
          <w:rFonts w:hint="eastAsia" w:ascii="宋体" w:hAnsi="宋体" w:eastAsia="宋体" w:cs="宋体"/>
          <w:b/>
          <w:sz w:val="36"/>
          <w:szCs w:val="36"/>
        </w:rPr>
        <w:br w:type="page"/>
      </w:r>
    </w:p>
    <w:p>
      <w:pPr>
        <w:numPr>
          <w:ilvl w:val="0"/>
          <w:numId w:val="10"/>
        </w:numPr>
        <w:spacing w:line="360" w:lineRule="auto"/>
        <w:jc w:val="center"/>
        <w:outlineLvl w:val="0"/>
        <w:rPr>
          <w:rFonts w:hint="eastAsia" w:ascii="宋体" w:hAnsi="宋体" w:eastAsia="宋体" w:cs="宋体"/>
          <w:b/>
          <w:sz w:val="36"/>
          <w:szCs w:val="36"/>
        </w:rPr>
      </w:pPr>
      <w:bookmarkStart w:id="74" w:name="_Toc8659"/>
      <w:bookmarkStart w:id="75" w:name="_Toc7966"/>
      <w:r>
        <w:rPr>
          <w:rFonts w:hint="eastAsia" w:ascii="宋体" w:hAnsi="宋体" w:eastAsia="宋体" w:cs="宋体"/>
          <w:b/>
          <w:sz w:val="36"/>
          <w:szCs w:val="36"/>
        </w:rPr>
        <w:t>评标办法及评分标准</w:t>
      </w:r>
      <w:bookmarkEnd w:id="74"/>
      <w:bookmarkEnd w:id="75"/>
    </w:p>
    <w:p>
      <w:pPr>
        <w:keepNext w:val="0"/>
        <w:keepLines w:val="0"/>
        <w:pageBreakBefore w:val="0"/>
        <w:numPr>
          <w:ilvl w:val="0"/>
          <w:numId w:val="38"/>
        </w:numPr>
        <w:kinsoku/>
        <w:wordWrap/>
        <w:overflowPunct/>
        <w:topLinePunct w:val="0"/>
        <w:bidi w:val="0"/>
        <w:adjustRightInd/>
        <w:snapToGrid/>
        <w:spacing w:line="360" w:lineRule="auto"/>
        <w:ind w:left="0" w:leftChars="0" w:right="0" w:firstLine="482" w:firstLineChars="200"/>
        <w:jc w:val="left"/>
        <w:textAlignment w:val="auto"/>
        <w:outlineLvl w:val="1"/>
        <w:rPr>
          <w:rFonts w:hint="eastAsia" w:ascii="宋体" w:hAnsi="宋体" w:eastAsia="宋体" w:cs="宋体"/>
          <w:b/>
          <w:bCs/>
          <w:sz w:val="24"/>
          <w:szCs w:val="24"/>
        </w:rPr>
      </w:pPr>
      <w:bookmarkStart w:id="76" w:name="_Toc12720"/>
      <w:r>
        <w:rPr>
          <w:rFonts w:hint="eastAsia" w:ascii="宋体" w:hAnsi="宋体" w:eastAsia="宋体" w:cs="宋体"/>
          <w:b/>
          <w:bCs/>
          <w:sz w:val="24"/>
          <w:szCs w:val="24"/>
        </w:rPr>
        <w:t>评标方法</w:t>
      </w:r>
      <w:bookmarkEnd w:id="76"/>
    </w:p>
    <w:p>
      <w:pPr>
        <w:keepNext w:val="0"/>
        <w:keepLines w:val="0"/>
        <w:pageBreakBefore w:val="0"/>
        <w:kinsoku/>
        <w:wordWrap/>
        <w:overflowPunct/>
        <w:topLinePunct w:val="0"/>
        <w:bidi w:val="0"/>
        <w:adjustRightInd/>
        <w:snapToGrid/>
        <w:spacing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本项目采用</w:t>
      </w:r>
      <w:r>
        <w:rPr>
          <w:rFonts w:hint="eastAsia" w:ascii="宋体" w:hAnsi="宋体" w:eastAsia="宋体" w:cs="宋体"/>
          <w:sz w:val="24"/>
          <w:szCs w:val="24"/>
        </w:rPr>
        <w:t>综合评分法。</w:t>
      </w:r>
    </w:p>
    <w:p>
      <w:pPr>
        <w:keepNext w:val="0"/>
        <w:keepLines w:val="0"/>
        <w:pageBreakBefore w:val="0"/>
        <w:numPr>
          <w:ilvl w:val="0"/>
          <w:numId w:val="38"/>
        </w:numPr>
        <w:kinsoku/>
        <w:wordWrap/>
        <w:overflowPunct/>
        <w:topLinePunct w:val="0"/>
        <w:bidi w:val="0"/>
        <w:adjustRightInd/>
        <w:snapToGrid/>
        <w:spacing w:line="360" w:lineRule="auto"/>
        <w:ind w:left="0" w:leftChars="0" w:right="0" w:firstLine="482" w:firstLineChars="200"/>
        <w:jc w:val="left"/>
        <w:textAlignment w:val="auto"/>
        <w:outlineLvl w:val="1"/>
        <w:rPr>
          <w:rFonts w:hint="eastAsia" w:ascii="宋体" w:hAnsi="宋体" w:eastAsia="宋体" w:cs="宋体"/>
          <w:b/>
          <w:bCs/>
          <w:sz w:val="24"/>
          <w:szCs w:val="24"/>
        </w:rPr>
      </w:pPr>
      <w:bookmarkStart w:id="77" w:name="_Toc4502"/>
      <w:r>
        <w:rPr>
          <w:rFonts w:hint="eastAsia" w:ascii="宋体" w:hAnsi="宋体" w:eastAsia="宋体" w:cs="宋体"/>
          <w:b/>
          <w:bCs/>
          <w:sz w:val="24"/>
          <w:szCs w:val="24"/>
        </w:rPr>
        <w:t>评标原则</w:t>
      </w:r>
      <w:bookmarkEnd w:id="77"/>
    </w:p>
    <w:p>
      <w:pPr>
        <w:keepNext w:val="0"/>
        <w:keepLines w:val="0"/>
        <w:pageBreakBefore w:val="0"/>
        <w:numPr>
          <w:ilvl w:val="0"/>
          <w:numId w:val="39"/>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评标活动遵循公平、公正、科学和择优的原则，以招标文件和投标文件为评标的基本依据，并按照招标文件规定的评标方法和评标标准进行评标。</w:t>
      </w:r>
    </w:p>
    <w:p>
      <w:pPr>
        <w:keepNext w:val="0"/>
        <w:keepLines w:val="0"/>
        <w:pageBreakBefore w:val="0"/>
        <w:numPr>
          <w:ilvl w:val="0"/>
          <w:numId w:val="39"/>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任何单位和个人不得干扰、影响评标的正常进行；评标委员会及有关工作人员应不带任何倾向性和启发性，不得向外界透露任何与评标有关的内容，不得私下与投标人接触。</w:t>
      </w:r>
    </w:p>
    <w:p>
      <w:pPr>
        <w:pStyle w:val="20"/>
        <w:keepNext w:val="0"/>
        <w:keepLines w:val="0"/>
        <w:pageBreakBefore w:val="0"/>
        <w:numPr>
          <w:ilvl w:val="0"/>
          <w:numId w:val="38"/>
        </w:numPr>
        <w:kinsoku/>
        <w:wordWrap/>
        <w:overflowPunct/>
        <w:topLinePunct w:val="0"/>
        <w:bidi w:val="0"/>
        <w:adjustRightInd/>
        <w:snapToGrid/>
        <w:spacing w:after="0" w:line="360" w:lineRule="auto"/>
        <w:ind w:left="0" w:leftChars="0" w:right="0" w:firstLine="482" w:firstLineChars="200"/>
        <w:jc w:val="left"/>
        <w:textAlignment w:val="auto"/>
        <w:outlineLvl w:val="1"/>
        <w:rPr>
          <w:rFonts w:hint="eastAsia" w:ascii="宋体" w:hAnsi="宋体" w:eastAsia="宋体" w:cs="宋体"/>
          <w:b/>
          <w:bCs/>
          <w:sz w:val="24"/>
          <w:szCs w:val="24"/>
        </w:rPr>
      </w:pPr>
      <w:bookmarkStart w:id="78" w:name="_Toc16962"/>
      <w:r>
        <w:rPr>
          <w:rFonts w:hint="eastAsia" w:ascii="宋体" w:hAnsi="宋体" w:eastAsia="宋体" w:cs="宋体"/>
          <w:b/>
          <w:bCs/>
          <w:sz w:val="24"/>
          <w:szCs w:val="24"/>
        </w:rPr>
        <w:t>评标委员会</w:t>
      </w:r>
      <w:bookmarkEnd w:id="78"/>
    </w:p>
    <w:p>
      <w:pPr>
        <w:pStyle w:val="2"/>
        <w:keepNext w:val="0"/>
        <w:keepLines w:val="0"/>
        <w:pageBreakBefore w:val="0"/>
        <w:numPr>
          <w:ilvl w:val="0"/>
          <w:numId w:val="40"/>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本项目评标委员会由采购人代表和评审专家组成。</w:t>
      </w:r>
    </w:p>
    <w:p>
      <w:pPr>
        <w:pStyle w:val="2"/>
        <w:keepNext w:val="0"/>
        <w:keepLines w:val="0"/>
        <w:pageBreakBefore w:val="0"/>
        <w:numPr>
          <w:ilvl w:val="0"/>
          <w:numId w:val="40"/>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评标委员会成员与参与投标的供应商有下列情形之一的，应当回避：</w:t>
      </w:r>
    </w:p>
    <w:p>
      <w:pPr>
        <w:pStyle w:val="2"/>
        <w:keepNext w:val="0"/>
        <w:keepLines w:val="0"/>
        <w:pageBreakBefore w:val="0"/>
        <w:numPr>
          <w:ilvl w:val="0"/>
          <w:numId w:val="41"/>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参加采购活动前3年内与供应商存在劳动关系；</w:t>
      </w:r>
    </w:p>
    <w:p>
      <w:pPr>
        <w:pStyle w:val="2"/>
        <w:keepNext w:val="0"/>
        <w:keepLines w:val="0"/>
        <w:pageBreakBefore w:val="0"/>
        <w:numPr>
          <w:ilvl w:val="0"/>
          <w:numId w:val="41"/>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参加采购活动前3年内担任供应商的董事、监事；</w:t>
      </w:r>
    </w:p>
    <w:p>
      <w:pPr>
        <w:pStyle w:val="2"/>
        <w:keepNext w:val="0"/>
        <w:keepLines w:val="0"/>
        <w:pageBreakBefore w:val="0"/>
        <w:numPr>
          <w:ilvl w:val="0"/>
          <w:numId w:val="41"/>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参加采购活动前3年内是供应商的控股股东或者实际控制人；</w:t>
      </w:r>
    </w:p>
    <w:p>
      <w:pPr>
        <w:pStyle w:val="2"/>
        <w:keepNext w:val="0"/>
        <w:keepLines w:val="0"/>
        <w:pageBreakBefore w:val="0"/>
        <w:numPr>
          <w:ilvl w:val="0"/>
          <w:numId w:val="41"/>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与供应商的</w:t>
      </w:r>
      <w:r>
        <w:rPr>
          <w:rFonts w:hint="eastAsia" w:ascii="宋体" w:hAnsi="宋体" w:cs="宋体"/>
          <w:sz w:val="24"/>
          <w:szCs w:val="24"/>
          <w:lang w:eastAsia="zh-CN"/>
        </w:rPr>
        <w:t>单位负责人</w:t>
      </w:r>
      <w:r>
        <w:rPr>
          <w:rFonts w:hint="eastAsia" w:ascii="宋体" w:hAnsi="宋体" w:eastAsia="宋体" w:cs="宋体"/>
          <w:sz w:val="24"/>
          <w:szCs w:val="24"/>
        </w:rPr>
        <w:t>或者负责人有夫妻、直系血亲、三代以内旁系血亲或者近姻亲关系；</w:t>
      </w:r>
    </w:p>
    <w:p>
      <w:pPr>
        <w:pStyle w:val="2"/>
        <w:keepNext w:val="0"/>
        <w:keepLines w:val="0"/>
        <w:pageBreakBefore w:val="0"/>
        <w:numPr>
          <w:ilvl w:val="0"/>
          <w:numId w:val="41"/>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与供应商有其他可能影响政府采购活动公平、公正进行的关系。</w:t>
      </w:r>
    </w:p>
    <w:p>
      <w:pPr>
        <w:pStyle w:val="2"/>
        <w:keepNext w:val="0"/>
        <w:keepLines w:val="0"/>
        <w:pageBreakBefore w:val="0"/>
        <w:numPr>
          <w:ilvl w:val="0"/>
          <w:numId w:val="40"/>
        </w:numPr>
        <w:kinsoku/>
        <w:wordWrap/>
        <w:overflowPunct/>
        <w:topLinePunct w:val="0"/>
        <w:bidi w:val="0"/>
        <w:adjustRightInd/>
        <w:snapToGrid/>
        <w:spacing w:line="360" w:lineRule="auto"/>
        <w:ind w:left="0" w:leftChars="0" w:right="0"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评标委员会负责具体评标事务，并独立履行下列职责：</w:t>
      </w:r>
    </w:p>
    <w:p>
      <w:pPr>
        <w:pStyle w:val="2"/>
        <w:keepNext w:val="0"/>
        <w:keepLines w:val="0"/>
        <w:pageBreakBefore w:val="0"/>
        <w:numPr>
          <w:ilvl w:val="0"/>
          <w:numId w:val="42"/>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审查、评价投标文件是否符合招标文件的商务、技术等实质性要求；</w:t>
      </w:r>
    </w:p>
    <w:p>
      <w:pPr>
        <w:pStyle w:val="2"/>
        <w:keepNext w:val="0"/>
        <w:keepLines w:val="0"/>
        <w:pageBreakBefore w:val="0"/>
        <w:numPr>
          <w:ilvl w:val="0"/>
          <w:numId w:val="42"/>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要求投标人对投标文件有关事项作出澄清或者说明；</w:t>
      </w:r>
    </w:p>
    <w:p>
      <w:pPr>
        <w:pStyle w:val="2"/>
        <w:keepNext w:val="0"/>
        <w:keepLines w:val="0"/>
        <w:pageBreakBefore w:val="0"/>
        <w:numPr>
          <w:ilvl w:val="0"/>
          <w:numId w:val="42"/>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对投标文件进行比较和评价；</w:t>
      </w:r>
    </w:p>
    <w:p>
      <w:pPr>
        <w:pStyle w:val="2"/>
        <w:keepNext w:val="0"/>
        <w:keepLines w:val="0"/>
        <w:pageBreakBefore w:val="0"/>
        <w:numPr>
          <w:ilvl w:val="0"/>
          <w:numId w:val="42"/>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确定中标候选人名单，以及根据采购人委托直接确定中标人；</w:t>
      </w:r>
    </w:p>
    <w:p>
      <w:pPr>
        <w:pStyle w:val="2"/>
        <w:keepNext w:val="0"/>
        <w:keepLines w:val="0"/>
        <w:pageBreakBefore w:val="0"/>
        <w:numPr>
          <w:ilvl w:val="0"/>
          <w:numId w:val="42"/>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向采购人、采购组织机构或者有关部门报告评标中发现的违法行为；</w:t>
      </w:r>
    </w:p>
    <w:p>
      <w:pPr>
        <w:pStyle w:val="2"/>
        <w:keepNext w:val="0"/>
        <w:keepLines w:val="0"/>
        <w:pageBreakBefore w:val="0"/>
        <w:numPr>
          <w:ilvl w:val="0"/>
          <w:numId w:val="42"/>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法律法规规定的其他职责。</w:t>
      </w:r>
    </w:p>
    <w:p>
      <w:pPr>
        <w:pStyle w:val="17"/>
        <w:keepNext w:val="0"/>
        <w:keepLines w:val="0"/>
        <w:pageBreakBefore w:val="0"/>
        <w:numPr>
          <w:ilvl w:val="0"/>
          <w:numId w:val="38"/>
        </w:numPr>
        <w:kinsoku/>
        <w:wordWrap/>
        <w:overflowPunct/>
        <w:topLinePunct w:val="0"/>
        <w:bidi w:val="0"/>
        <w:adjustRightInd/>
        <w:snapToGrid/>
        <w:spacing w:before="0" w:beforeAutospacing="0" w:after="0" w:afterAutospacing="0" w:line="360" w:lineRule="auto"/>
        <w:ind w:left="0" w:leftChars="0" w:right="0" w:firstLine="482" w:firstLineChars="200"/>
        <w:jc w:val="left"/>
        <w:textAlignment w:val="auto"/>
        <w:outlineLvl w:val="1"/>
        <w:rPr>
          <w:rFonts w:hint="eastAsia" w:ascii="宋体" w:hAnsi="宋体" w:eastAsia="宋体" w:cs="宋体"/>
          <w:b/>
          <w:bCs/>
          <w:sz w:val="24"/>
          <w:szCs w:val="24"/>
        </w:rPr>
      </w:pPr>
      <w:bookmarkStart w:id="79" w:name="_Toc14746"/>
      <w:r>
        <w:rPr>
          <w:rFonts w:hint="eastAsia" w:ascii="宋体" w:hAnsi="宋体" w:eastAsia="宋体" w:cs="宋体"/>
          <w:b/>
          <w:bCs/>
          <w:sz w:val="24"/>
          <w:szCs w:val="24"/>
        </w:rPr>
        <w:t>无效标情形</w:t>
      </w:r>
      <w:bookmarkEnd w:id="79"/>
    </w:p>
    <w:p>
      <w:pPr>
        <w:keepNext w:val="0"/>
        <w:keepLines w:val="0"/>
        <w:pageBreakBefore w:val="0"/>
        <w:numPr>
          <w:ilvl w:val="0"/>
          <w:numId w:val="43"/>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b/>
          <w:bCs/>
          <w:i w:val="0"/>
          <w:iCs w:val="0"/>
          <w:color w:val="auto"/>
          <w:sz w:val="24"/>
          <w:szCs w:val="24"/>
        </w:rPr>
      </w:pPr>
      <w:r>
        <w:rPr>
          <w:rFonts w:hint="eastAsia" w:ascii="宋体" w:hAnsi="宋体" w:eastAsia="宋体" w:cs="宋体"/>
          <w:b w:val="0"/>
          <w:bCs w:val="0"/>
          <w:i w:val="0"/>
          <w:iCs w:val="0"/>
          <w:color w:val="auto"/>
          <w:kern w:val="0"/>
          <w:sz w:val="24"/>
          <w:szCs w:val="24"/>
        </w:rPr>
        <w:t>在资格证明文件或商务与技术文件中出现投标报价的</w:t>
      </w:r>
      <w:r>
        <w:rPr>
          <w:rFonts w:hint="eastAsia" w:ascii="宋体" w:hAnsi="宋体" w:eastAsia="宋体" w:cs="宋体"/>
          <w:i w:val="0"/>
          <w:iCs w:val="0"/>
          <w:color w:val="auto"/>
          <w:kern w:val="0"/>
          <w:sz w:val="24"/>
          <w:szCs w:val="24"/>
        </w:rPr>
        <w:t>；</w:t>
      </w:r>
    </w:p>
    <w:p>
      <w:pPr>
        <w:pStyle w:val="17"/>
        <w:keepNext w:val="0"/>
        <w:keepLines w:val="0"/>
        <w:pageBreakBefore w:val="0"/>
        <w:numPr>
          <w:ilvl w:val="0"/>
          <w:numId w:val="43"/>
        </w:numPr>
        <w:tabs>
          <w:tab w:val="left" w:pos="7380"/>
        </w:tabs>
        <w:kinsoku/>
        <w:wordWrap/>
        <w:overflowPunct/>
        <w:topLinePunct w:val="0"/>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不具备招标文件中规定的资格要求的；</w:t>
      </w:r>
      <w:r>
        <w:rPr>
          <w:rFonts w:hint="eastAsia" w:ascii="宋体" w:hAnsi="宋体" w:eastAsia="宋体" w:cs="宋体"/>
          <w:sz w:val="24"/>
          <w:szCs w:val="24"/>
        </w:rPr>
        <w:tab/>
      </w:r>
    </w:p>
    <w:p>
      <w:pPr>
        <w:pStyle w:val="17"/>
        <w:keepNext w:val="0"/>
        <w:keepLines w:val="0"/>
        <w:pageBreakBefore w:val="0"/>
        <w:numPr>
          <w:ilvl w:val="0"/>
          <w:numId w:val="43"/>
        </w:numPr>
        <w:kinsoku/>
        <w:wordWrap/>
        <w:overflowPunct/>
        <w:topLinePunct w:val="0"/>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投标文件含有采购人不能接受的附加条件的；</w:t>
      </w:r>
    </w:p>
    <w:p>
      <w:pPr>
        <w:pStyle w:val="8"/>
        <w:keepNext w:val="0"/>
        <w:keepLines w:val="0"/>
        <w:pageBreakBefore w:val="0"/>
        <w:numPr>
          <w:ilvl w:val="0"/>
          <w:numId w:val="43"/>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kern w:val="0"/>
          <w:sz w:val="24"/>
          <w:szCs w:val="24"/>
          <w:lang w:val="en-US" w:eastAsia="zh-CN"/>
        </w:rPr>
      </w:pPr>
      <w:r>
        <w:rPr>
          <w:rFonts w:hint="eastAsia" w:ascii="宋体" w:hAnsi="宋体" w:eastAsia="宋体" w:cs="宋体"/>
          <w:sz w:val="24"/>
          <w:szCs w:val="24"/>
        </w:rPr>
        <w:t>投标代表人未能出具身份证明或与</w:t>
      </w:r>
      <w:r>
        <w:rPr>
          <w:rFonts w:hint="eastAsia" w:ascii="宋体" w:hAnsi="宋体" w:cs="宋体"/>
          <w:sz w:val="24"/>
          <w:szCs w:val="24"/>
          <w:lang w:eastAsia="zh-CN"/>
        </w:rPr>
        <w:t>单位负责人</w:t>
      </w:r>
      <w:r>
        <w:rPr>
          <w:rFonts w:hint="eastAsia" w:ascii="宋体" w:hAnsi="宋体" w:eastAsia="宋体" w:cs="宋体"/>
          <w:sz w:val="24"/>
          <w:szCs w:val="24"/>
        </w:rPr>
        <w:t>授权委托人身份不符的</w:t>
      </w:r>
      <w:r>
        <w:rPr>
          <w:rFonts w:hint="eastAsia" w:ascii="宋体" w:hAnsi="宋体" w:eastAsia="宋体" w:cs="宋体"/>
          <w:sz w:val="24"/>
          <w:szCs w:val="24"/>
          <w:lang w:val="en-US" w:eastAsia="zh-CN"/>
        </w:rPr>
        <w:t>；</w:t>
      </w:r>
    </w:p>
    <w:p>
      <w:pPr>
        <w:pStyle w:val="8"/>
        <w:keepNext w:val="0"/>
        <w:keepLines w:val="0"/>
        <w:pageBreakBefore w:val="0"/>
        <w:numPr>
          <w:ilvl w:val="0"/>
          <w:numId w:val="43"/>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bCs/>
          <w:color w:val="auto"/>
          <w:kern w:val="0"/>
          <w:sz w:val="24"/>
          <w:szCs w:val="24"/>
        </w:rPr>
      </w:pPr>
      <w:r>
        <w:rPr>
          <w:rFonts w:hint="eastAsia" w:ascii="宋体" w:hAnsi="宋体" w:eastAsia="宋体" w:cs="宋体"/>
          <w:color w:val="111F2C"/>
          <w:sz w:val="24"/>
          <w:szCs w:val="24"/>
          <w:shd w:val="clear" w:color="auto" w:fill="FFFFFF"/>
        </w:rPr>
        <w:t>评标委员会认为投标人的报价明显低于其他通过符合性审查投标人的报价，有可能影响产品质量或者不能</w:t>
      </w:r>
      <w:r>
        <w:rPr>
          <w:rFonts w:hint="eastAsia" w:ascii="宋体" w:hAnsi="宋体" w:eastAsia="宋体" w:cs="宋体"/>
          <w:color w:val="auto"/>
          <w:sz w:val="24"/>
          <w:szCs w:val="24"/>
          <w:shd w:val="clear" w:color="auto" w:fill="FFFFFF"/>
        </w:rPr>
        <w:t>诚信履约的，</w:t>
      </w:r>
      <w:r>
        <w:rPr>
          <w:rFonts w:ascii="宋体" w:hAnsi="宋体" w:cs="宋体"/>
          <w:sz w:val="24"/>
          <w:szCs w:val="24"/>
        </w:rPr>
        <w:t>应当要求其在评标现场合理的时间内提供书面说明，必要时提交相关证明材料；</w:t>
      </w:r>
      <w:r>
        <w:rPr>
          <w:rFonts w:hint="eastAsia" w:ascii="宋体" w:hAnsi="宋体" w:eastAsia="宋体" w:cs="宋体"/>
          <w:color w:val="auto"/>
          <w:sz w:val="24"/>
          <w:szCs w:val="24"/>
          <w:shd w:val="clear" w:color="auto" w:fill="FFFFFF"/>
        </w:rPr>
        <w:t>投标人在限定的时间内不能证明其报价合理性的，评标委员会应当将其作为无效投标处理；</w:t>
      </w:r>
    </w:p>
    <w:p>
      <w:pPr>
        <w:pStyle w:val="17"/>
        <w:keepNext w:val="0"/>
        <w:keepLines w:val="0"/>
        <w:pageBreakBefore w:val="0"/>
        <w:numPr>
          <w:ilvl w:val="0"/>
          <w:numId w:val="43"/>
        </w:numPr>
        <w:kinsoku/>
        <w:wordWrap/>
        <w:overflowPunct/>
        <w:topLinePunct w:val="0"/>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auto"/>
          <w:sz w:val="24"/>
          <w:szCs w:val="24"/>
        </w:rPr>
        <w:t>报价超过招标文件中规定的预算</w:t>
      </w:r>
      <w:r>
        <w:rPr>
          <w:rFonts w:hint="eastAsia" w:ascii="宋体" w:hAnsi="宋体" w:eastAsia="宋体" w:cs="宋体"/>
          <w:sz w:val="24"/>
          <w:szCs w:val="24"/>
        </w:rPr>
        <w:t>金额/最高限价</w:t>
      </w:r>
      <w:r>
        <w:rPr>
          <w:rFonts w:hint="eastAsia" w:ascii="宋体" w:hAnsi="宋体" w:eastAsia="宋体" w:cs="宋体"/>
          <w:sz w:val="24"/>
          <w:szCs w:val="24"/>
          <w:lang w:eastAsia="zh-CN"/>
        </w:rPr>
        <w:t>或未填写投标报价的</w:t>
      </w:r>
      <w:r>
        <w:rPr>
          <w:rFonts w:hint="eastAsia" w:ascii="宋体" w:hAnsi="宋体" w:eastAsia="宋体" w:cs="宋体"/>
          <w:sz w:val="24"/>
          <w:szCs w:val="24"/>
        </w:rPr>
        <w:t xml:space="preserve">； </w:t>
      </w:r>
    </w:p>
    <w:p>
      <w:pPr>
        <w:keepNext w:val="0"/>
        <w:keepLines w:val="0"/>
        <w:pageBreakBefore w:val="0"/>
        <w:numPr>
          <w:ilvl w:val="0"/>
          <w:numId w:val="43"/>
        </w:numPr>
        <w:tabs>
          <w:tab w:val="left" w:pos="1898"/>
        </w:tabs>
        <w:kinsoku/>
        <w:wordWrap/>
        <w:overflowPunct/>
        <w:topLinePunct w:val="0"/>
        <w:autoSpaceDE w:val="0"/>
        <w:autoSpaceDN w:val="0"/>
        <w:bidi w:val="0"/>
        <w:adjustRightInd/>
        <w:snapToGrid/>
        <w:spacing w:line="360" w:lineRule="auto"/>
        <w:ind w:left="0" w:leftChars="0" w:right="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投标文件存在虚假材料的； </w:t>
      </w:r>
    </w:p>
    <w:p>
      <w:pPr>
        <w:keepNext w:val="0"/>
        <w:keepLines w:val="0"/>
        <w:pageBreakBefore w:val="0"/>
        <w:numPr>
          <w:ilvl w:val="0"/>
          <w:numId w:val="43"/>
        </w:numPr>
        <w:tabs>
          <w:tab w:val="left" w:pos="1898"/>
        </w:tabs>
        <w:kinsoku/>
        <w:wordWrap/>
        <w:overflowPunct/>
        <w:topLinePunct w:val="0"/>
        <w:autoSpaceDE w:val="0"/>
        <w:autoSpaceDN w:val="0"/>
        <w:bidi w:val="0"/>
        <w:adjustRightInd/>
        <w:snapToGrid/>
        <w:spacing w:line="360" w:lineRule="auto"/>
        <w:ind w:left="0" w:leftChars="0" w:right="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有中华人民共和国财政部令第87号《政府采购货物和服务招标投标管理办法》第三十七条情形之一的，视为投标人串通投标，其投标无效，并移送采购监管部门：</w:t>
      </w:r>
    </w:p>
    <w:p>
      <w:pPr>
        <w:keepNext w:val="0"/>
        <w:keepLines w:val="0"/>
        <w:pageBreakBefore w:val="0"/>
        <w:numPr>
          <w:ilvl w:val="0"/>
          <w:numId w:val="44"/>
        </w:numPr>
        <w:tabs>
          <w:tab w:val="left" w:pos="1898"/>
        </w:tabs>
        <w:kinsoku/>
        <w:wordWrap/>
        <w:overflowPunct/>
        <w:topLinePunct w:val="0"/>
        <w:autoSpaceDE w:val="0"/>
        <w:autoSpaceDN w:val="0"/>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不同投标人的投标文件由同一单位或者个人编制；</w:t>
      </w:r>
    </w:p>
    <w:p>
      <w:pPr>
        <w:pStyle w:val="17"/>
        <w:keepNext w:val="0"/>
        <w:keepLines w:val="0"/>
        <w:pageBreakBefore w:val="0"/>
        <w:numPr>
          <w:ilvl w:val="0"/>
          <w:numId w:val="44"/>
        </w:numPr>
        <w:kinsoku/>
        <w:wordWrap/>
        <w:overflowPunct/>
        <w:topLinePunct w:val="0"/>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不同投标人委托同一单位或者个人办理投标事宜；</w:t>
      </w:r>
    </w:p>
    <w:p>
      <w:pPr>
        <w:pStyle w:val="17"/>
        <w:keepNext w:val="0"/>
        <w:keepLines w:val="0"/>
        <w:pageBreakBefore w:val="0"/>
        <w:numPr>
          <w:ilvl w:val="0"/>
          <w:numId w:val="44"/>
        </w:numPr>
        <w:kinsoku/>
        <w:wordWrap/>
        <w:overflowPunct/>
        <w:topLinePunct w:val="0"/>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不同投标人的投标文件载明的项目管理成员或者联系人员为同一人；</w:t>
      </w:r>
    </w:p>
    <w:p>
      <w:pPr>
        <w:pStyle w:val="17"/>
        <w:keepNext w:val="0"/>
        <w:keepLines w:val="0"/>
        <w:pageBreakBefore w:val="0"/>
        <w:numPr>
          <w:ilvl w:val="0"/>
          <w:numId w:val="44"/>
        </w:numPr>
        <w:kinsoku/>
        <w:wordWrap/>
        <w:overflowPunct/>
        <w:topLinePunct w:val="0"/>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不同投标人的投标文件异常一致或者投标报价呈规律性差异；</w:t>
      </w:r>
    </w:p>
    <w:p>
      <w:pPr>
        <w:pStyle w:val="17"/>
        <w:keepNext w:val="0"/>
        <w:keepLines w:val="0"/>
        <w:pageBreakBefore w:val="0"/>
        <w:numPr>
          <w:ilvl w:val="0"/>
          <w:numId w:val="44"/>
        </w:numPr>
        <w:kinsoku/>
        <w:wordWrap/>
        <w:overflowPunct/>
        <w:topLinePunct w:val="0"/>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111F2C"/>
          <w:sz w:val="24"/>
          <w:szCs w:val="24"/>
          <w:shd w:val="clear" w:color="auto" w:fill="FFFFFF"/>
        </w:rPr>
        <w:t>不同投标人的投标文件相互混装；</w:t>
      </w:r>
    </w:p>
    <w:p>
      <w:pPr>
        <w:keepNext w:val="0"/>
        <w:keepLines w:val="0"/>
        <w:pageBreakBefore w:val="0"/>
        <w:numPr>
          <w:ilvl w:val="0"/>
          <w:numId w:val="43"/>
        </w:numPr>
        <w:kinsoku/>
        <w:wordWrap/>
        <w:overflowPunct/>
        <w:topLinePunct w:val="0"/>
        <w:autoSpaceDE w:val="0"/>
        <w:autoSpaceDN w:val="0"/>
        <w:bidi w:val="0"/>
        <w:adjustRightInd/>
        <w:snapToGrid/>
        <w:spacing w:line="360" w:lineRule="auto"/>
        <w:ind w:left="0" w:leftChars="0" w:right="0"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不同供应商的投标文件制作机器码一致的；</w:t>
      </w:r>
    </w:p>
    <w:p>
      <w:pPr>
        <w:pStyle w:val="2"/>
        <w:keepNext w:val="0"/>
        <w:keepLines w:val="0"/>
        <w:pageBreakBefore w:val="0"/>
        <w:numPr>
          <w:ilvl w:val="0"/>
          <w:numId w:val="43"/>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color w:val="000000"/>
          <w:kern w:val="0"/>
          <w:sz w:val="24"/>
          <w:szCs w:val="24"/>
        </w:rPr>
        <w:t>不符合法律、法规和</w:t>
      </w:r>
      <w:r>
        <w:rPr>
          <w:rFonts w:hint="eastAsia" w:ascii="宋体" w:hAnsi="宋体" w:eastAsia="宋体" w:cs="宋体"/>
          <w:color w:val="000000"/>
          <w:kern w:val="0"/>
          <w:sz w:val="24"/>
          <w:szCs w:val="24"/>
          <w:lang w:eastAsia="zh-CN"/>
        </w:rPr>
        <w:t>采购文件</w:t>
      </w:r>
      <w:r>
        <w:rPr>
          <w:rFonts w:hint="eastAsia" w:ascii="宋体" w:hAnsi="宋体" w:eastAsia="宋体" w:cs="宋体"/>
          <w:color w:val="000000"/>
          <w:kern w:val="0"/>
          <w:sz w:val="24"/>
          <w:szCs w:val="24"/>
        </w:rPr>
        <w:t>中规定的其他实质性要求的（</w:t>
      </w:r>
      <w:r>
        <w:rPr>
          <w:rFonts w:hint="eastAsia" w:ascii="宋体" w:hAnsi="宋体" w:eastAsia="宋体" w:cs="宋体"/>
          <w:color w:val="000000"/>
          <w:kern w:val="0"/>
          <w:sz w:val="24"/>
          <w:szCs w:val="24"/>
          <w:lang w:eastAsia="zh-CN"/>
        </w:rPr>
        <w:t>采购文件</w:t>
      </w:r>
      <w:r>
        <w:rPr>
          <w:rFonts w:hint="eastAsia" w:ascii="宋体" w:hAnsi="宋体" w:eastAsia="宋体" w:cs="宋体"/>
          <w:color w:val="000000"/>
          <w:kern w:val="0"/>
          <w:sz w:val="24"/>
          <w:szCs w:val="24"/>
        </w:rPr>
        <w:t>中打“▲”内容及被拒绝的条款）</w:t>
      </w:r>
      <w:r>
        <w:rPr>
          <w:rFonts w:hint="eastAsia" w:ascii="宋体" w:hAnsi="宋体" w:eastAsia="宋体" w:cs="宋体"/>
          <w:sz w:val="24"/>
          <w:szCs w:val="24"/>
        </w:rPr>
        <w:t>。</w:t>
      </w:r>
    </w:p>
    <w:p>
      <w:pPr>
        <w:keepNext w:val="0"/>
        <w:keepLines w:val="0"/>
        <w:pageBreakBefore w:val="0"/>
        <w:numPr>
          <w:ilvl w:val="0"/>
          <w:numId w:val="38"/>
        </w:numPr>
        <w:kinsoku/>
        <w:wordWrap/>
        <w:overflowPunct/>
        <w:topLinePunct w:val="0"/>
        <w:autoSpaceDE w:val="0"/>
        <w:autoSpaceDN w:val="0"/>
        <w:bidi w:val="0"/>
        <w:adjustRightInd/>
        <w:snapToGrid/>
        <w:spacing w:line="360" w:lineRule="auto"/>
        <w:ind w:left="0" w:leftChars="0" w:right="0" w:firstLine="482" w:firstLineChars="200"/>
        <w:jc w:val="left"/>
        <w:textAlignment w:val="auto"/>
        <w:outlineLvl w:val="1"/>
        <w:rPr>
          <w:rFonts w:hint="eastAsia" w:ascii="宋体" w:hAnsi="宋体" w:eastAsia="宋体" w:cs="宋体"/>
          <w:b/>
          <w:bCs/>
          <w:kern w:val="0"/>
          <w:sz w:val="24"/>
          <w:szCs w:val="24"/>
        </w:rPr>
      </w:pPr>
      <w:bookmarkStart w:id="80" w:name="_Toc2091"/>
      <w:r>
        <w:rPr>
          <w:rFonts w:hint="eastAsia" w:ascii="宋体" w:hAnsi="宋体" w:eastAsia="宋体" w:cs="宋体"/>
          <w:b/>
          <w:bCs/>
          <w:kern w:val="0"/>
          <w:sz w:val="24"/>
          <w:szCs w:val="24"/>
        </w:rPr>
        <w:t>废标情形</w:t>
      </w:r>
      <w:bookmarkEnd w:id="80"/>
    </w:p>
    <w:p>
      <w:pPr>
        <w:pStyle w:val="17"/>
        <w:keepNext w:val="0"/>
        <w:keepLines w:val="0"/>
        <w:pageBreakBefore w:val="0"/>
        <w:numPr>
          <w:ilvl w:val="0"/>
          <w:numId w:val="45"/>
        </w:numPr>
        <w:kinsoku/>
        <w:wordWrap/>
        <w:overflowPunct/>
        <w:topLinePunct w:val="0"/>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出现影响采购公正的违法、违规行为的；</w:t>
      </w:r>
    </w:p>
    <w:p>
      <w:pPr>
        <w:pStyle w:val="17"/>
        <w:keepNext w:val="0"/>
        <w:keepLines w:val="0"/>
        <w:pageBreakBefore w:val="0"/>
        <w:numPr>
          <w:ilvl w:val="0"/>
          <w:numId w:val="45"/>
        </w:numPr>
        <w:kinsoku/>
        <w:wordWrap/>
        <w:overflowPunct/>
        <w:topLinePunct w:val="0"/>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b/>
          <w:bCs/>
          <w:sz w:val="24"/>
          <w:szCs w:val="24"/>
        </w:rPr>
      </w:pPr>
      <w:r>
        <w:rPr>
          <w:rFonts w:hint="eastAsia" w:ascii="宋体" w:hAnsi="宋体" w:eastAsia="宋体" w:cs="宋体"/>
          <w:sz w:val="24"/>
          <w:szCs w:val="24"/>
        </w:rPr>
        <w:t>评标委员会发现招标文件存在歧义、重大缺陷导致评标工作无法进行，或者招标文件内容违反国家有关强制性规定的；</w:t>
      </w:r>
    </w:p>
    <w:p>
      <w:pPr>
        <w:pStyle w:val="17"/>
        <w:keepNext w:val="0"/>
        <w:keepLines w:val="0"/>
        <w:pageBreakBefore w:val="0"/>
        <w:numPr>
          <w:ilvl w:val="0"/>
          <w:numId w:val="45"/>
        </w:numPr>
        <w:kinsoku/>
        <w:wordWrap/>
        <w:overflowPunct/>
        <w:topLinePunct w:val="0"/>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因重大变故，采购任务取消的；</w:t>
      </w:r>
    </w:p>
    <w:p>
      <w:pPr>
        <w:pStyle w:val="17"/>
        <w:keepNext w:val="0"/>
        <w:keepLines w:val="0"/>
        <w:pageBreakBefore w:val="0"/>
        <w:numPr>
          <w:ilvl w:val="0"/>
          <w:numId w:val="45"/>
        </w:numPr>
        <w:kinsoku/>
        <w:wordWrap/>
        <w:overflowPunct/>
        <w:topLinePunct w:val="0"/>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法律、法规和招标文件规定的其他导致评标结果无效的。</w:t>
      </w:r>
    </w:p>
    <w:p>
      <w:pPr>
        <w:pStyle w:val="12"/>
        <w:keepNext w:val="0"/>
        <w:keepLines w:val="0"/>
        <w:pageBreakBefore w:val="0"/>
        <w:numPr>
          <w:ilvl w:val="0"/>
          <w:numId w:val="38"/>
        </w:numPr>
        <w:kinsoku/>
        <w:wordWrap/>
        <w:overflowPunct/>
        <w:topLinePunct w:val="0"/>
        <w:bidi w:val="0"/>
        <w:adjustRightInd/>
        <w:snapToGrid/>
        <w:spacing w:line="360" w:lineRule="auto"/>
        <w:ind w:left="0" w:leftChars="0" w:right="0" w:firstLine="482" w:firstLineChars="200"/>
        <w:jc w:val="left"/>
        <w:textAlignment w:val="auto"/>
        <w:outlineLvl w:val="1"/>
        <w:rPr>
          <w:rFonts w:hint="eastAsia" w:ascii="宋体" w:hAnsi="宋体" w:eastAsia="宋体" w:cs="宋体"/>
          <w:b/>
          <w:bCs/>
          <w:sz w:val="24"/>
          <w:szCs w:val="24"/>
        </w:rPr>
      </w:pPr>
      <w:bookmarkStart w:id="81" w:name="_Toc19608"/>
      <w:r>
        <w:rPr>
          <w:rFonts w:hint="eastAsia" w:ascii="宋体" w:hAnsi="宋体" w:eastAsia="宋体" w:cs="宋体"/>
          <w:b/>
          <w:bCs/>
          <w:sz w:val="24"/>
          <w:szCs w:val="24"/>
        </w:rPr>
        <w:t>评标过程的监控</w:t>
      </w:r>
      <w:bookmarkEnd w:id="81"/>
    </w:p>
    <w:p>
      <w:pPr>
        <w:pStyle w:val="17"/>
        <w:keepNext w:val="0"/>
        <w:keepLines w:val="0"/>
        <w:pageBreakBefore w:val="0"/>
        <w:kinsoku/>
        <w:wordWrap/>
        <w:overflowPunct/>
        <w:topLinePunct w:val="0"/>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本项目评标过程实行全程录音、录像监控，政府采购监管部门视情进行现场监督，投标人在评标过程中所进行的试图影响评标结果的不公正活动，可能导致其投标被拒绝。</w:t>
      </w:r>
    </w:p>
    <w:p>
      <w:pPr>
        <w:pStyle w:val="12"/>
        <w:keepNext w:val="0"/>
        <w:keepLines w:val="0"/>
        <w:pageBreakBefore w:val="0"/>
        <w:numPr>
          <w:ilvl w:val="0"/>
          <w:numId w:val="38"/>
        </w:numPr>
        <w:kinsoku/>
        <w:wordWrap/>
        <w:overflowPunct/>
        <w:topLinePunct w:val="0"/>
        <w:bidi w:val="0"/>
        <w:adjustRightInd/>
        <w:snapToGrid/>
        <w:spacing w:line="360" w:lineRule="auto"/>
        <w:ind w:left="0" w:leftChars="0" w:right="0" w:firstLine="482" w:firstLineChars="200"/>
        <w:jc w:val="left"/>
        <w:textAlignment w:val="auto"/>
        <w:outlineLvl w:val="1"/>
        <w:rPr>
          <w:rFonts w:hint="eastAsia" w:ascii="宋体" w:hAnsi="宋体" w:eastAsia="宋体" w:cs="宋体"/>
          <w:b/>
          <w:bCs/>
          <w:sz w:val="24"/>
          <w:szCs w:val="24"/>
        </w:rPr>
      </w:pPr>
      <w:bookmarkStart w:id="82" w:name="_Toc18305"/>
      <w:r>
        <w:rPr>
          <w:rFonts w:hint="eastAsia" w:ascii="宋体" w:hAnsi="宋体" w:eastAsia="宋体" w:cs="宋体"/>
          <w:b/>
          <w:bCs/>
          <w:sz w:val="24"/>
          <w:szCs w:val="24"/>
        </w:rPr>
        <w:t>评标程序</w:t>
      </w:r>
      <w:bookmarkEnd w:id="82"/>
    </w:p>
    <w:p>
      <w:pPr>
        <w:keepNext w:val="0"/>
        <w:keepLines w:val="0"/>
        <w:pageBreakBefore w:val="0"/>
        <w:numPr>
          <w:ilvl w:val="0"/>
          <w:numId w:val="46"/>
        </w:numPr>
        <w:kinsoku/>
        <w:wordWrap/>
        <w:overflowPunct/>
        <w:topLinePunct w:val="0"/>
        <w:bidi w:val="0"/>
        <w:adjustRightInd/>
        <w:snapToGrid/>
        <w:spacing w:line="360" w:lineRule="auto"/>
        <w:ind w:left="0" w:leftChars="0" w:right="0"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资格性审查</w:t>
      </w:r>
    </w:p>
    <w:p>
      <w:pPr>
        <w:pStyle w:val="8"/>
        <w:keepNext w:val="0"/>
        <w:keepLines w:val="0"/>
        <w:pageBreakBefore w:val="0"/>
        <w:kinsoku/>
        <w:wordWrap/>
        <w:overflowPunct/>
        <w:topLinePunct w:val="0"/>
        <w:bidi w:val="0"/>
        <w:adjustRightInd/>
        <w:snapToGrid/>
        <w:spacing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投标文件解密后，采购人或采购组织机构依法对投标人的资格进行审查，对审查发现无效的进行必要的询标，在政采云平台公布无效投标的投标人名单、投标无效的原因。</w:t>
      </w:r>
    </w:p>
    <w:tbl>
      <w:tblPr>
        <w:tblStyle w:val="21"/>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88"/>
        <w:gridCol w:w="6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2488" w:type="dxa"/>
            <w:shd w:val="clear" w:color="auto" w:fill="auto"/>
            <w:vAlign w:val="center"/>
          </w:tcPr>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资格证明</w:t>
            </w:r>
            <w:r>
              <w:rPr>
                <w:rFonts w:hint="eastAsia" w:ascii="宋体" w:hAnsi="宋体" w:eastAsia="宋体" w:cs="宋体"/>
                <w:sz w:val="24"/>
                <w:szCs w:val="24"/>
              </w:rPr>
              <w:t>文件</w:t>
            </w:r>
          </w:p>
        </w:tc>
        <w:tc>
          <w:tcPr>
            <w:tcW w:w="6701" w:type="dxa"/>
            <w:shd w:val="clear" w:color="auto" w:fill="auto"/>
            <w:vAlign w:val="center"/>
          </w:tcPr>
          <w:p>
            <w:pPr>
              <w:bidi w:val="0"/>
              <w:rPr>
                <w:rFonts w:hint="eastAsia" w:ascii="宋体" w:hAnsi="宋体" w:eastAsia="宋体" w:cs="宋体"/>
                <w:sz w:val="24"/>
                <w:szCs w:val="24"/>
                <w:lang w:val="en-US" w:eastAsia="zh-CN"/>
              </w:rPr>
            </w:pPr>
            <w:r>
              <w:rPr>
                <w:rFonts w:hint="eastAsia" w:ascii="宋体" w:hAnsi="宋体" w:cs="宋体"/>
                <w:sz w:val="24"/>
                <w:szCs w:val="24"/>
                <w:lang w:eastAsia="zh-CN"/>
              </w:rPr>
              <w:t>按要求签署、盖章（指响应文件格式附件中明确注明签字、签章的内容）。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2488" w:type="dxa"/>
            <w:shd w:val="clear" w:color="auto" w:fill="auto"/>
            <w:vAlign w:val="center"/>
          </w:tcPr>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满足《中华人民共和国政府采购法》第二十二条规定</w:t>
            </w:r>
          </w:p>
        </w:tc>
        <w:tc>
          <w:tcPr>
            <w:tcW w:w="6701" w:type="dxa"/>
            <w:shd w:val="clear" w:color="auto" w:fill="auto"/>
            <w:vAlign w:val="center"/>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《投标声明函》、授权委托书（视情提供）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2488" w:type="dxa"/>
            <w:shd w:val="clear" w:color="auto" w:fill="auto"/>
            <w:vAlign w:val="center"/>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特殊资格</w:t>
            </w:r>
          </w:p>
        </w:tc>
        <w:tc>
          <w:tcPr>
            <w:tcW w:w="6701" w:type="dxa"/>
            <w:shd w:val="clear" w:color="auto" w:fill="auto"/>
            <w:vAlign w:val="center"/>
          </w:tcPr>
          <w:p>
            <w:pPr>
              <w:bidi w:val="0"/>
              <w:rPr>
                <w:rFonts w:hint="default" w:ascii="宋体" w:hAnsi="宋体" w:eastAsia="宋体" w:cs="宋体"/>
                <w:sz w:val="24"/>
                <w:szCs w:val="24"/>
                <w:lang w:val="en-US" w:eastAsia="zh-CN"/>
              </w:rPr>
            </w:pPr>
            <w:r>
              <w:rPr>
                <w:rFonts w:hint="eastAsia" w:ascii="宋体" w:hAnsi="宋体" w:cs="宋体"/>
                <w:sz w:val="24"/>
                <w:szCs w:val="24"/>
                <w:lang w:val="en-US" w:eastAsia="zh-CN"/>
              </w:rPr>
              <w:t>经营</w:t>
            </w:r>
            <w:r>
              <w:rPr>
                <w:rFonts w:hint="eastAsia" w:ascii="宋体" w:hAnsi="宋体" w:eastAsia="宋体" w:cs="宋体"/>
                <w:sz w:val="24"/>
                <w:szCs w:val="24"/>
              </w:rPr>
              <w:t>保险业务许可证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8" w:hRule="atLeast"/>
          <w:jc w:val="center"/>
        </w:trPr>
        <w:tc>
          <w:tcPr>
            <w:tcW w:w="2488" w:type="dxa"/>
            <w:shd w:val="clear" w:color="auto" w:fill="auto"/>
            <w:vAlign w:val="center"/>
          </w:tcPr>
          <w:p>
            <w:pPr>
              <w:bidi w:val="0"/>
              <w:rPr>
                <w:rFonts w:hint="eastAsia" w:ascii="宋体" w:hAnsi="宋体" w:eastAsia="宋体" w:cs="宋体"/>
                <w:sz w:val="24"/>
                <w:szCs w:val="24"/>
                <w:lang w:val="en-US" w:eastAsia="zh-CN"/>
              </w:rPr>
            </w:pPr>
            <w:r>
              <w:rPr>
                <w:rFonts w:hint="eastAsia" w:ascii="宋体" w:hAnsi="宋体" w:eastAsia="宋体" w:cs="宋体"/>
                <w:sz w:val="24"/>
                <w:szCs w:val="24"/>
              </w:rPr>
              <w:t>必须符合法律、行政法规规定的其他条件</w:t>
            </w:r>
          </w:p>
        </w:tc>
        <w:tc>
          <w:tcPr>
            <w:tcW w:w="6701" w:type="dxa"/>
            <w:shd w:val="clear" w:color="auto" w:fill="auto"/>
            <w:vAlign w:val="center"/>
          </w:tcPr>
          <w:p>
            <w:pPr>
              <w:bidi w:val="0"/>
              <w:rPr>
                <w:rFonts w:hint="eastAsia" w:ascii="宋体" w:hAnsi="宋体" w:eastAsia="宋体" w:cs="宋体"/>
                <w:sz w:val="24"/>
                <w:szCs w:val="24"/>
              </w:rPr>
            </w:pPr>
            <w:r>
              <w:rPr>
                <w:rFonts w:hint="eastAsia" w:ascii="宋体" w:hAnsi="宋体" w:eastAsia="宋体" w:cs="宋体"/>
                <w:sz w:val="24"/>
                <w:szCs w:val="24"/>
              </w:rPr>
              <w:t>1.单位负责人为同一人或者存在直接控股、管理关系的不同供应商，不得同时参加本项目投标。</w:t>
            </w:r>
          </w:p>
          <w:p>
            <w:pPr>
              <w:bidi w:val="0"/>
              <w:rPr>
                <w:rFonts w:hint="eastAsia" w:ascii="宋体" w:hAnsi="宋体" w:eastAsia="宋体" w:cs="宋体"/>
                <w:sz w:val="24"/>
                <w:szCs w:val="24"/>
                <w:lang w:val="en-US" w:eastAsia="zh-CN"/>
              </w:rPr>
            </w:pPr>
            <w:r>
              <w:rPr>
                <w:rFonts w:hint="eastAsia" w:ascii="宋体" w:hAnsi="宋体" w:eastAsia="宋体" w:cs="宋体"/>
                <w:sz w:val="24"/>
                <w:szCs w:val="24"/>
              </w:rPr>
              <w:t>2.为本项目提供整体设计、规范编制或者项目管理、监理、检测等服务的供应商，不得再参与本项目投标。</w:t>
            </w:r>
          </w:p>
        </w:tc>
      </w:tr>
    </w:tbl>
    <w:p>
      <w:pPr>
        <w:pStyle w:val="8"/>
        <w:keepNext w:val="0"/>
        <w:keepLines w:val="0"/>
        <w:pageBreakBefore w:val="0"/>
        <w:numPr>
          <w:ilvl w:val="0"/>
          <w:numId w:val="46"/>
        </w:numPr>
        <w:kinsoku/>
        <w:wordWrap/>
        <w:overflowPunct/>
        <w:topLinePunct w:val="0"/>
        <w:bidi w:val="0"/>
        <w:adjustRightInd/>
        <w:snapToGrid/>
        <w:spacing w:line="360" w:lineRule="auto"/>
        <w:ind w:left="0" w:leftChars="0" w:right="0"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符合性审查</w:t>
      </w:r>
    </w:p>
    <w:p>
      <w:pPr>
        <w:pStyle w:val="8"/>
        <w:keepNext w:val="0"/>
        <w:keepLines w:val="0"/>
        <w:pageBreakBefore w:val="0"/>
        <w:kinsoku/>
        <w:wordWrap/>
        <w:overflowPunct/>
        <w:topLinePunct w:val="0"/>
        <w:bidi w:val="0"/>
        <w:adjustRightInd/>
        <w:snapToGrid/>
        <w:spacing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评标委员会应当对符合资格的投标人的投标文件进行符合性审查，以确定其是否满足招标文件的实质性要求，对审查发现无效的进行必要的询标，在政采云平台公布无效投标的投标人名单、投标无效的原因。</w:t>
      </w:r>
    </w:p>
    <w:tbl>
      <w:tblPr>
        <w:tblStyle w:val="21"/>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87"/>
        <w:gridCol w:w="6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2287" w:type="dxa"/>
            <w:shd w:val="clear" w:color="auto" w:fill="auto"/>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lang w:eastAsia="zh-CN"/>
              </w:rPr>
              <w:t>响应文件</w:t>
            </w:r>
          </w:p>
        </w:tc>
        <w:tc>
          <w:tcPr>
            <w:tcW w:w="6891" w:type="dxa"/>
            <w:shd w:val="clear" w:color="auto" w:fill="auto"/>
            <w:vAlign w:val="center"/>
          </w:tcPr>
          <w:p>
            <w:pPr>
              <w:bidi w:val="0"/>
              <w:rPr>
                <w:rFonts w:hint="eastAsia" w:ascii="宋体" w:hAnsi="宋体" w:eastAsia="宋体" w:cs="宋体"/>
                <w:sz w:val="24"/>
                <w:szCs w:val="24"/>
                <w:lang w:eastAsia="zh-CN"/>
              </w:rPr>
            </w:pPr>
            <w:r>
              <w:rPr>
                <w:rFonts w:hint="eastAsia" w:ascii="宋体" w:hAnsi="宋体" w:cs="宋体"/>
                <w:sz w:val="24"/>
                <w:szCs w:val="24"/>
                <w:lang w:eastAsia="zh-CN"/>
              </w:rPr>
              <w:t>按要求签署、盖章（指响应文件格式附件中明确注明签字、签章的内容）。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2287" w:type="dxa"/>
            <w:shd w:val="clear" w:color="auto" w:fill="auto"/>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“▲”实质性条款</w:t>
            </w:r>
          </w:p>
        </w:tc>
        <w:tc>
          <w:tcPr>
            <w:tcW w:w="6891" w:type="dxa"/>
            <w:shd w:val="clear" w:color="auto" w:fill="auto"/>
            <w:vAlign w:val="center"/>
          </w:tcPr>
          <w:p>
            <w:pPr>
              <w:bidi w:val="0"/>
              <w:rPr>
                <w:rFonts w:hint="eastAsia" w:ascii="宋体" w:hAnsi="宋体" w:eastAsia="宋体" w:cs="宋体"/>
                <w:sz w:val="24"/>
                <w:szCs w:val="24"/>
              </w:rPr>
            </w:pPr>
            <w:r>
              <w:rPr>
                <w:rFonts w:hint="eastAsia" w:ascii="宋体" w:hAnsi="宋体" w:eastAsia="宋体" w:cs="宋体"/>
                <w:sz w:val="24"/>
                <w:szCs w:val="24"/>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2287" w:type="dxa"/>
            <w:shd w:val="clear" w:color="auto" w:fill="auto"/>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串通投标</w:t>
            </w:r>
          </w:p>
        </w:tc>
        <w:tc>
          <w:tcPr>
            <w:tcW w:w="6891" w:type="dxa"/>
            <w:shd w:val="clear" w:color="auto" w:fill="auto"/>
            <w:vAlign w:val="center"/>
          </w:tcPr>
          <w:p>
            <w:pPr>
              <w:bidi w:val="0"/>
              <w:rPr>
                <w:rFonts w:hint="eastAsia" w:ascii="宋体" w:hAnsi="宋体" w:eastAsia="宋体" w:cs="宋体"/>
                <w:sz w:val="24"/>
                <w:szCs w:val="24"/>
              </w:rPr>
            </w:pPr>
            <w:r>
              <w:rPr>
                <w:rFonts w:hint="eastAsia" w:ascii="宋体" w:hAnsi="宋体" w:eastAsia="宋体" w:cs="宋体"/>
                <w:sz w:val="24"/>
                <w:szCs w:val="24"/>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2287" w:type="dxa"/>
            <w:shd w:val="clear" w:color="auto" w:fill="auto"/>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附加条件</w:t>
            </w:r>
          </w:p>
        </w:tc>
        <w:tc>
          <w:tcPr>
            <w:tcW w:w="6891" w:type="dxa"/>
            <w:shd w:val="clear" w:color="auto" w:fill="auto"/>
            <w:vAlign w:val="center"/>
          </w:tcPr>
          <w:p>
            <w:pPr>
              <w:bidi w:val="0"/>
              <w:rPr>
                <w:rFonts w:hint="eastAsia" w:ascii="宋体" w:hAnsi="宋体" w:eastAsia="宋体" w:cs="宋体"/>
                <w:sz w:val="24"/>
                <w:szCs w:val="24"/>
              </w:rPr>
            </w:pPr>
            <w:r>
              <w:rPr>
                <w:rFonts w:hint="eastAsia" w:ascii="宋体" w:hAnsi="宋体" w:eastAsia="宋体" w:cs="宋体"/>
                <w:sz w:val="24"/>
                <w:szCs w:val="24"/>
              </w:rPr>
              <w:t>投标文件未含有采购人不可接受的附加条件。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2287" w:type="dxa"/>
            <w:shd w:val="clear" w:color="auto" w:fill="auto"/>
            <w:vAlign w:val="center"/>
          </w:tcPr>
          <w:p>
            <w:pPr>
              <w:jc w:val="center"/>
              <w:rPr>
                <w:rFonts w:hint="eastAsia" w:ascii="宋体" w:hAnsi="宋体" w:eastAsia="宋体" w:cs="宋体"/>
                <w:sz w:val="24"/>
                <w:szCs w:val="24"/>
              </w:rPr>
            </w:pPr>
            <w:r>
              <w:rPr>
                <w:rFonts w:hint="eastAsia"/>
                <w:sz w:val="24"/>
              </w:rPr>
              <w:t>其他要求</w:t>
            </w:r>
          </w:p>
        </w:tc>
        <w:tc>
          <w:tcPr>
            <w:tcW w:w="6891" w:type="dxa"/>
            <w:shd w:val="clear" w:color="auto" w:fill="auto"/>
            <w:vAlign w:val="center"/>
          </w:tcPr>
          <w:p>
            <w:pPr>
              <w:rPr>
                <w:rFonts w:hint="eastAsia" w:ascii="宋体" w:hAnsi="宋体" w:eastAsia="宋体" w:cs="宋体"/>
                <w:sz w:val="24"/>
                <w:szCs w:val="24"/>
              </w:rPr>
            </w:pPr>
            <w:r>
              <w:rPr>
                <w:rFonts w:hint="eastAsia"/>
                <w:sz w:val="24"/>
              </w:rPr>
              <w:t>不得存在法定或本文件规定的其他无效情形。</w:t>
            </w:r>
          </w:p>
        </w:tc>
      </w:tr>
    </w:tbl>
    <w:p>
      <w:pPr>
        <w:pStyle w:val="17"/>
        <w:keepNext w:val="0"/>
        <w:keepLines w:val="0"/>
        <w:pageBreakBefore w:val="0"/>
        <w:numPr>
          <w:ilvl w:val="0"/>
          <w:numId w:val="46"/>
        </w:numPr>
        <w:kinsoku/>
        <w:wordWrap/>
        <w:overflowPunct/>
        <w:topLinePunct w:val="0"/>
        <w:bidi w:val="0"/>
        <w:adjustRightInd/>
        <w:snapToGrid/>
        <w:spacing w:before="0" w:beforeAutospacing="0" w:after="0" w:afterAutospacing="0" w:line="360" w:lineRule="auto"/>
        <w:ind w:left="0" w:leftChars="0" w:right="0"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商务技术及价格评审</w:t>
      </w:r>
    </w:p>
    <w:p>
      <w:pPr>
        <w:keepNext w:val="0"/>
        <w:keepLines w:val="0"/>
        <w:pageBreakBefore w:val="0"/>
        <w:kinsoku/>
        <w:wordWrap/>
        <w:overflowPunct/>
        <w:topLinePunct w:val="0"/>
        <w:autoSpaceDE w:val="0"/>
        <w:autoSpaceDN w:val="0"/>
        <w:bidi w:val="0"/>
        <w:adjustRightInd/>
        <w:snapToGrid/>
        <w:spacing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u w:val="none"/>
          <w:lang w:val="en-US" w:eastAsia="zh-CN"/>
        </w:rPr>
        <w:t>本</w:t>
      </w:r>
      <w:r>
        <w:rPr>
          <w:rFonts w:hint="eastAsia" w:ascii="宋体" w:hAnsi="宋体" w:eastAsia="宋体" w:cs="宋体"/>
          <w:kern w:val="0"/>
          <w:sz w:val="24"/>
          <w:szCs w:val="24"/>
        </w:rPr>
        <w:t>项目评标方法为综合评分法，总计100分，评标按以下标准及要求进行：</w:t>
      </w:r>
    </w:p>
    <w:p>
      <w:pPr>
        <w:keepNext w:val="0"/>
        <w:keepLines w:val="0"/>
        <w:pageBreakBefore w:val="0"/>
        <w:numPr>
          <w:ilvl w:val="0"/>
          <w:numId w:val="47"/>
        </w:numPr>
        <w:kinsoku/>
        <w:wordWrap/>
        <w:overflowPunct/>
        <w:topLinePunct w:val="0"/>
        <w:autoSpaceDE w:val="0"/>
        <w:autoSpaceDN w:val="0"/>
        <w:bidi w:val="0"/>
        <w:adjustRightInd/>
        <w:snapToGrid/>
        <w:spacing w:line="360" w:lineRule="auto"/>
        <w:ind w:left="0" w:leftChars="0" w:right="0" w:firstLine="482" w:firstLineChars="200"/>
        <w:jc w:val="left"/>
        <w:textAlignment w:val="auto"/>
        <w:rPr>
          <w:rFonts w:hint="eastAsia" w:ascii="宋体" w:hAnsi="宋体" w:eastAsia="宋体" w:cs="宋体"/>
          <w:b/>
          <w:bCs/>
          <w:sz w:val="24"/>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numPr>
          <w:ilvl w:val="0"/>
          <w:numId w:val="47"/>
        </w:numPr>
        <w:kinsoku/>
        <w:wordWrap/>
        <w:overflowPunct/>
        <w:topLinePunct w:val="0"/>
        <w:autoSpaceDE w:val="0"/>
        <w:autoSpaceDN w:val="0"/>
        <w:bidi w:val="0"/>
        <w:adjustRightInd/>
        <w:snapToGrid/>
        <w:spacing w:line="360" w:lineRule="auto"/>
        <w:ind w:left="0" w:leftChars="0" w:right="0"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评分标准</w:t>
      </w:r>
    </w:p>
    <w:tbl>
      <w:tblPr>
        <w:tblStyle w:val="21"/>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491"/>
        <w:gridCol w:w="1118"/>
        <w:gridCol w:w="557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175" w:type="dxa"/>
            <w:shd w:val="clear" w:color="auto" w:fill="BEBEBE" w:themeFill="background1" w:themeFillShade="BF"/>
            <w:vAlign w:val="center"/>
          </w:tcPr>
          <w:p>
            <w:pPr>
              <w:bidi w:val="0"/>
              <w:rPr>
                <w:rFonts w:hint="eastAsia"/>
                <w:b/>
                <w:bCs/>
              </w:rPr>
            </w:pPr>
            <w:r>
              <w:rPr>
                <w:rFonts w:hint="eastAsia"/>
                <w:b/>
                <w:bCs/>
              </w:rPr>
              <w:t>分值构成</w:t>
            </w:r>
          </w:p>
        </w:tc>
        <w:tc>
          <w:tcPr>
            <w:tcW w:w="7179" w:type="dxa"/>
            <w:gridSpan w:val="3"/>
            <w:shd w:val="clear" w:color="auto" w:fill="BEBEBE" w:themeFill="background1" w:themeFillShade="BF"/>
            <w:vAlign w:val="center"/>
          </w:tcPr>
          <w:p>
            <w:pPr>
              <w:bidi w:val="0"/>
              <w:rPr>
                <w:rFonts w:hint="eastAsia"/>
                <w:b/>
                <w:bCs/>
              </w:rPr>
            </w:pPr>
            <w:r>
              <w:rPr>
                <w:rFonts w:hint="eastAsia"/>
                <w:b/>
                <w:bCs/>
              </w:rPr>
              <w:t>1.技术部分</w:t>
            </w:r>
            <w:r>
              <w:rPr>
                <w:rFonts w:hint="eastAsia"/>
                <w:b/>
                <w:bCs/>
                <w:lang w:val="en-US" w:eastAsia="zh-CN"/>
              </w:rPr>
              <w:t>60</w:t>
            </w:r>
            <w:r>
              <w:rPr>
                <w:rFonts w:hint="eastAsia"/>
                <w:b/>
                <w:bCs/>
              </w:rPr>
              <w:t>分2.商务部分</w:t>
            </w:r>
            <w:r>
              <w:rPr>
                <w:rFonts w:hint="eastAsia"/>
                <w:b/>
                <w:bCs/>
                <w:lang w:val="en-US" w:eastAsia="zh-CN"/>
              </w:rPr>
              <w:t>30</w:t>
            </w:r>
            <w:r>
              <w:rPr>
                <w:rFonts w:hint="eastAsia"/>
                <w:b/>
                <w:bCs/>
              </w:rPr>
              <w:t>分3.报价得分</w:t>
            </w:r>
            <w:r>
              <w:rPr>
                <w:rFonts w:hint="eastAsia"/>
                <w:b/>
                <w:bCs/>
                <w:lang w:val="en-US" w:eastAsia="zh-CN"/>
              </w:rPr>
              <w:t>10</w:t>
            </w:r>
            <w:r>
              <w:rPr>
                <w:rFonts w:hint="eastAsia"/>
                <w:b/>
                <w:bCs/>
              </w:rPr>
              <w:t>分</w:t>
            </w:r>
          </w:p>
        </w:tc>
        <w:tc>
          <w:tcPr>
            <w:tcW w:w="664" w:type="dxa"/>
            <w:shd w:val="clear" w:color="auto" w:fill="BEBEBE" w:themeFill="background1" w:themeFillShade="BF"/>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175" w:type="dxa"/>
            <w:shd w:val="clear" w:color="auto" w:fill="BEBEBE" w:themeFill="background1" w:themeFillShade="BF"/>
            <w:vAlign w:val="center"/>
          </w:tcPr>
          <w:p>
            <w:pPr>
              <w:bidi w:val="0"/>
              <w:rPr>
                <w:rFonts w:hint="eastAsia"/>
                <w:b/>
                <w:bCs/>
              </w:rPr>
            </w:pPr>
            <w:r>
              <w:rPr>
                <w:rFonts w:hint="eastAsia"/>
                <w:b/>
                <w:bCs/>
              </w:rPr>
              <w:t>评分项目</w:t>
            </w:r>
          </w:p>
        </w:tc>
        <w:tc>
          <w:tcPr>
            <w:tcW w:w="7179" w:type="dxa"/>
            <w:gridSpan w:val="3"/>
            <w:shd w:val="clear" w:color="auto" w:fill="BEBEBE" w:themeFill="background1" w:themeFillShade="BF"/>
            <w:vAlign w:val="center"/>
          </w:tcPr>
          <w:p>
            <w:pPr>
              <w:bidi w:val="0"/>
              <w:jc w:val="center"/>
              <w:rPr>
                <w:rFonts w:hint="eastAsia"/>
                <w:b/>
                <w:bCs/>
              </w:rPr>
            </w:pPr>
            <w:r>
              <w:rPr>
                <w:rFonts w:hint="eastAsia"/>
                <w:b/>
                <w:bCs/>
              </w:rPr>
              <w:t>评分细则</w:t>
            </w:r>
          </w:p>
        </w:tc>
        <w:tc>
          <w:tcPr>
            <w:tcW w:w="664" w:type="dxa"/>
            <w:shd w:val="clear" w:color="auto" w:fill="BEBEBE" w:themeFill="background1" w:themeFillShade="BF"/>
            <w:vAlign w:val="center"/>
          </w:tcPr>
          <w:p>
            <w:pPr>
              <w:bidi w:val="0"/>
              <w:jc w:val="center"/>
              <w:rPr>
                <w:rFonts w:hint="eastAsia"/>
              </w:rPr>
            </w:pPr>
            <w:r>
              <w:rPr>
                <w:rFonts w:hint="eastAsia"/>
                <w:b/>
                <w:bC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175" w:type="dxa"/>
            <w:vMerge w:val="restart"/>
            <w:vAlign w:val="center"/>
          </w:tcPr>
          <w:p>
            <w:pPr>
              <w:bidi w:val="0"/>
              <w:rPr>
                <w:rFonts w:hint="eastAsia"/>
              </w:rPr>
            </w:pPr>
            <w:r>
              <w:rPr>
                <w:rFonts w:hint="eastAsia"/>
              </w:rPr>
              <w:t>技术部分</w:t>
            </w:r>
          </w:p>
        </w:tc>
        <w:tc>
          <w:tcPr>
            <w:tcW w:w="491" w:type="dxa"/>
            <w:vAlign w:val="center"/>
          </w:tcPr>
          <w:p>
            <w:pPr>
              <w:bidi w:val="0"/>
              <w:jc w:val="center"/>
              <w:rPr>
                <w:rFonts w:hint="eastAsia"/>
                <w:lang w:val="en-US" w:eastAsia="zh-CN"/>
              </w:rPr>
            </w:pPr>
            <w:r>
              <w:rPr>
                <w:rFonts w:hint="eastAsia"/>
                <w:lang w:val="en-US" w:eastAsia="zh-CN"/>
              </w:rPr>
              <w:t>1</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服务</w:t>
            </w:r>
          </w:p>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lang w:val="en-US" w:eastAsia="zh-CN"/>
              </w:rPr>
            </w:pPr>
            <w:r>
              <w:rPr>
                <w:rFonts w:hint="eastAsia" w:ascii="宋体" w:hAnsi="宋体" w:eastAsia="宋体" w:cs="宋体"/>
                <w:kern w:val="0"/>
                <w:szCs w:val="21"/>
                <w:lang w:eastAsia="zh-CN"/>
              </w:rPr>
              <w:t>团队</w:t>
            </w:r>
          </w:p>
        </w:tc>
        <w:tc>
          <w:tcPr>
            <w:tcW w:w="55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lang w:val="en-US" w:eastAsia="zh-CN"/>
              </w:rPr>
              <w:t>1.</w:t>
            </w:r>
            <w:r>
              <w:rPr>
                <w:rFonts w:hint="eastAsia" w:ascii="宋体" w:hAnsi="宋体" w:eastAsia="宋体" w:cs="宋体"/>
                <w:spacing w:val="-6"/>
                <w:kern w:val="0"/>
                <w:sz w:val="21"/>
                <w:szCs w:val="21"/>
              </w:rPr>
              <w:t>投标人承诺针对本项目成立专业的服务部门，并由投标人副总经理职务及以上人员任负责人，指导全市开展本保险项目的，得</w:t>
            </w:r>
            <w:r>
              <w:rPr>
                <w:rFonts w:hint="eastAsia" w:ascii="宋体" w:hAnsi="宋体" w:eastAsia="宋体" w:cs="宋体"/>
                <w:spacing w:val="-6"/>
                <w:kern w:val="0"/>
                <w:sz w:val="21"/>
                <w:szCs w:val="21"/>
                <w:lang w:val="en-US" w:eastAsia="zh-CN"/>
              </w:rPr>
              <w:t>1</w:t>
            </w:r>
            <w:r>
              <w:rPr>
                <w:rFonts w:hint="eastAsia" w:ascii="宋体" w:hAnsi="宋体" w:eastAsia="宋体" w:cs="宋体"/>
                <w:spacing w:val="-6"/>
                <w:kern w:val="0"/>
                <w:sz w:val="21"/>
                <w:szCs w:val="21"/>
              </w:rPr>
              <w:t>分。如无则不得分。</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kern w:val="0"/>
                <w:szCs w:val="21"/>
              </w:rPr>
            </w:pPr>
            <w:r>
              <w:rPr>
                <w:rFonts w:hint="eastAsia" w:ascii="宋体" w:hAnsi="宋体" w:eastAsia="宋体" w:cs="宋体"/>
                <w:kern w:val="0"/>
                <w:szCs w:val="21"/>
                <w:lang w:val="en-US" w:eastAsia="zh-CN"/>
              </w:rPr>
              <w:t>2.</w:t>
            </w:r>
            <w:r>
              <w:rPr>
                <w:rFonts w:hint="eastAsia" w:ascii="宋体" w:hAnsi="宋体" w:eastAsia="宋体" w:cs="宋体"/>
                <w:kern w:val="0"/>
                <w:szCs w:val="21"/>
              </w:rPr>
              <w:t>投标人承诺在9个县市区分别建立服务小组，每个服务小组成员不少于4名，分别为1名负责人、1名项目管理员、1名承保人员、1名理赔员；负责人须为县级公司副经理及以上人员，每个服务小组少于四人的不能视为一组。上述人员必须已与投标人（或其下属分支机构）签订正式劳动合同（不含劳务派遣人员）。按上述要求建立的，得</w:t>
            </w:r>
            <w:r>
              <w:rPr>
                <w:rFonts w:hint="eastAsia" w:ascii="宋体" w:hAnsi="宋体" w:eastAsia="宋体" w:cs="宋体"/>
                <w:kern w:val="0"/>
                <w:szCs w:val="21"/>
                <w:lang w:val="en-US" w:eastAsia="zh-CN"/>
              </w:rPr>
              <w:t>5</w:t>
            </w:r>
            <w:r>
              <w:rPr>
                <w:rFonts w:hint="eastAsia" w:ascii="宋体" w:hAnsi="宋体" w:eastAsia="宋体" w:cs="宋体"/>
                <w:kern w:val="0"/>
                <w:szCs w:val="21"/>
              </w:rPr>
              <w:t>分；未按上述要求建立的，不得分。（人员不重复计分）</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bCs/>
                <w:kern w:val="0"/>
                <w:szCs w:val="21"/>
              </w:rPr>
            </w:pPr>
            <w:r>
              <w:rPr>
                <w:rFonts w:hint="eastAsia" w:ascii="宋体" w:hAnsi="宋体" w:eastAsia="宋体" w:cs="宋体"/>
                <w:b/>
                <w:bCs/>
                <w:kern w:val="0"/>
                <w:szCs w:val="21"/>
              </w:rPr>
              <w:t>投标人需提供服务小组成员名单、劳动合同。</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kern w:val="0"/>
                <w:szCs w:val="21"/>
              </w:rPr>
            </w:pPr>
            <w:r>
              <w:rPr>
                <w:rFonts w:hint="eastAsia" w:ascii="宋体" w:hAnsi="宋体" w:eastAsia="宋体" w:cs="宋体"/>
                <w:kern w:val="0"/>
                <w:szCs w:val="21"/>
                <w:lang w:val="en-US" w:eastAsia="zh-CN"/>
              </w:rPr>
              <w:t>3.</w:t>
            </w:r>
            <w:r>
              <w:rPr>
                <w:rFonts w:hint="eastAsia" w:ascii="宋体" w:hAnsi="宋体" w:eastAsia="宋体" w:cs="宋体"/>
                <w:kern w:val="0"/>
                <w:szCs w:val="21"/>
              </w:rPr>
              <w:t>服务团队（小组）负责人须从事保险行业工作年限10（含）年以上，其他成员保险从业年限须5（含）年以上。符合上述要求的，得</w:t>
            </w:r>
            <w:r>
              <w:rPr>
                <w:rFonts w:hint="eastAsia" w:ascii="宋体" w:hAnsi="宋体" w:eastAsia="宋体" w:cs="宋体"/>
                <w:kern w:val="0"/>
                <w:szCs w:val="21"/>
                <w:lang w:val="en-US" w:eastAsia="zh-CN"/>
              </w:rPr>
              <w:t>4</w:t>
            </w:r>
            <w:r>
              <w:rPr>
                <w:rFonts w:hint="eastAsia" w:ascii="宋体" w:hAnsi="宋体" w:eastAsia="宋体" w:cs="宋体"/>
                <w:kern w:val="0"/>
                <w:szCs w:val="21"/>
              </w:rPr>
              <w:t>分；未达到要求的，每个成员扣0.5分，扣完为止。</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eastAsia="宋体" w:cs="宋体"/>
                <w:lang w:val="en-US" w:eastAsia="zh-CN"/>
              </w:rPr>
            </w:pPr>
            <w:r>
              <w:rPr>
                <w:rFonts w:hint="eastAsia" w:ascii="宋体" w:hAnsi="宋体" w:eastAsia="宋体" w:cs="宋体"/>
                <w:b/>
                <w:bCs/>
                <w:kern w:val="0"/>
                <w:szCs w:val="21"/>
              </w:rPr>
              <w:t>投标人需提供相关人员的社保缴纳记录</w:t>
            </w:r>
            <w:r>
              <w:rPr>
                <w:rFonts w:hint="eastAsia" w:ascii="宋体" w:hAnsi="宋体" w:eastAsia="宋体" w:cs="宋体"/>
                <w:b/>
                <w:bCs/>
                <w:kern w:val="0"/>
                <w:szCs w:val="21"/>
                <w:lang w:eastAsia="zh-CN"/>
              </w:rPr>
              <w:t>，相关人员在从业期间被银保监机构处分的，该项不得分。</w:t>
            </w:r>
          </w:p>
        </w:tc>
        <w:tc>
          <w:tcPr>
            <w:tcW w:w="664"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175" w:type="dxa"/>
            <w:vMerge w:val="continue"/>
            <w:vAlign w:val="center"/>
          </w:tcPr>
          <w:p>
            <w:pPr>
              <w:bidi w:val="0"/>
              <w:rPr>
                <w:rFonts w:hint="eastAsia"/>
              </w:rPr>
            </w:pPr>
          </w:p>
        </w:tc>
        <w:tc>
          <w:tcPr>
            <w:tcW w:w="491" w:type="dxa"/>
            <w:vAlign w:val="center"/>
          </w:tcPr>
          <w:p>
            <w:pPr>
              <w:bidi w:val="0"/>
              <w:jc w:val="center"/>
              <w:rPr>
                <w:rFonts w:hint="eastAsia"/>
                <w:lang w:val="en-US" w:eastAsia="zh-CN"/>
              </w:rPr>
            </w:pPr>
            <w:r>
              <w:rPr>
                <w:rFonts w:hint="eastAsia"/>
                <w:lang w:val="en-US" w:eastAsia="zh-CN"/>
              </w:rPr>
              <w:t>2</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lang w:val="en-US" w:eastAsia="zh-CN"/>
              </w:rPr>
            </w:pPr>
            <w:r>
              <w:rPr>
                <w:rFonts w:hint="eastAsia" w:ascii="宋体" w:hAnsi="宋体" w:eastAsia="宋体" w:cs="宋体"/>
                <w:kern w:val="0"/>
                <w:szCs w:val="21"/>
              </w:rPr>
              <w:t>预付赔款承诺</w:t>
            </w:r>
          </w:p>
        </w:tc>
        <w:tc>
          <w:tcPr>
            <w:tcW w:w="55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lang w:val="en-US" w:eastAsia="zh-CN"/>
              </w:rPr>
            </w:pPr>
            <w:r>
              <w:rPr>
                <w:rFonts w:hint="eastAsia" w:ascii="宋体" w:hAnsi="宋体" w:eastAsia="宋体" w:cs="宋体"/>
                <w:kern w:val="0"/>
                <w:szCs w:val="21"/>
              </w:rPr>
              <w:t>根据投标人是否建立重大案件预赔付工作机制进行打分:承诺预付赔款比例达50%（含）以上得</w:t>
            </w:r>
            <w:r>
              <w:rPr>
                <w:rFonts w:hint="eastAsia" w:ascii="宋体" w:hAnsi="宋体" w:eastAsia="宋体" w:cs="宋体"/>
                <w:kern w:val="0"/>
                <w:szCs w:val="21"/>
                <w:lang w:val="en-US" w:eastAsia="zh-CN"/>
              </w:rPr>
              <w:t>7</w:t>
            </w:r>
            <w:r>
              <w:rPr>
                <w:rFonts w:hint="eastAsia" w:ascii="宋体" w:hAnsi="宋体" w:eastAsia="宋体" w:cs="宋体"/>
                <w:kern w:val="0"/>
                <w:szCs w:val="21"/>
              </w:rPr>
              <w:t>分；预付赔款比例30%（含）-50%（不含）得3分；预付赔款比例在30%以下得1分；不支持预付赔款或未提及此项不得分。</w:t>
            </w:r>
          </w:p>
        </w:tc>
        <w:tc>
          <w:tcPr>
            <w:tcW w:w="664"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lang w:val="en-US" w:eastAsia="zh-CN"/>
              </w:rPr>
            </w:pPr>
            <w:r>
              <w:rPr>
                <w:rFonts w:hint="eastAsia" w:ascii="宋体" w:hAnsi="宋体" w:eastAsia="宋体" w:cs="宋体"/>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175" w:type="dxa"/>
            <w:vMerge w:val="continue"/>
            <w:vAlign w:val="center"/>
          </w:tcPr>
          <w:p>
            <w:pPr>
              <w:bidi w:val="0"/>
              <w:rPr>
                <w:rFonts w:hint="eastAsia"/>
              </w:rPr>
            </w:pPr>
          </w:p>
        </w:tc>
        <w:tc>
          <w:tcPr>
            <w:tcW w:w="491" w:type="dxa"/>
            <w:vAlign w:val="center"/>
          </w:tcPr>
          <w:p>
            <w:pPr>
              <w:bidi w:val="0"/>
              <w:jc w:val="center"/>
              <w:rPr>
                <w:rFonts w:hint="eastAsia"/>
                <w:lang w:val="en-US" w:eastAsia="zh-CN"/>
              </w:rPr>
            </w:pPr>
            <w:r>
              <w:rPr>
                <w:rFonts w:hint="eastAsia"/>
                <w:lang w:val="en-US" w:eastAsia="zh-CN"/>
              </w:rPr>
              <w:t>3</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lang w:val="en-US" w:eastAsia="zh-CN"/>
              </w:rPr>
            </w:pPr>
            <w:r>
              <w:rPr>
                <w:rFonts w:hint="eastAsia" w:ascii="宋体" w:hAnsi="宋体" w:eastAsia="宋体" w:cs="宋体"/>
                <w:kern w:val="0"/>
                <w:szCs w:val="21"/>
              </w:rPr>
              <w:t>简化理赔手续</w:t>
            </w:r>
          </w:p>
        </w:tc>
        <w:tc>
          <w:tcPr>
            <w:tcW w:w="55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kern w:val="0"/>
                <w:szCs w:val="21"/>
              </w:rPr>
            </w:pPr>
            <w:r>
              <w:rPr>
                <w:rFonts w:hint="eastAsia" w:ascii="宋体" w:hAnsi="宋体" w:eastAsia="宋体" w:cs="宋体"/>
                <w:kern w:val="0"/>
                <w:szCs w:val="21"/>
                <w:lang w:val="en-US" w:eastAsia="zh-CN"/>
              </w:rPr>
              <w:t>投标人</w:t>
            </w:r>
            <w:r>
              <w:rPr>
                <w:rFonts w:hint="eastAsia" w:ascii="宋体" w:hAnsi="宋体" w:eastAsia="宋体" w:cs="宋体"/>
                <w:kern w:val="0"/>
                <w:szCs w:val="21"/>
              </w:rPr>
              <w:t>承诺被保险人仅提供最低、必须的理赔材料，</w:t>
            </w:r>
            <w:r>
              <w:rPr>
                <w:rFonts w:hint="eastAsia" w:ascii="宋体" w:hAnsi="宋体" w:eastAsia="宋体" w:cs="宋体"/>
                <w:kern w:val="0"/>
                <w:szCs w:val="21"/>
                <w:lang w:eastAsia="zh-CN"/>
              </w:rPr>
              <w:t>即：伤、亡证明与理赔调查表。</w:t>
            </w:r>
            <w:r>
              <w:rPr>
                <w:rFonts w:hint="eastAsia" w:ascii="宋体" w:hAnsi="宋体" w:eastAsia="宋体" w:cs="宋体"/>
                <w:kern w:val="0"/>
                <w:szCs w:val="21"/>
              </w:rPr>
              <w:t>承诺得</w:t>
            </w:r>
            <w:r>
              <w:rPr>
                <w:rFonts w:hint="eastAsia" w:ascii="宋体" w:hAnsi="宋体" w:eastAsia="宋体" w:cs="宋体"/>
                <w:kern w:val="0"/>
                <w:szCs w:val="21"/>
                <w:lang w:val="en-US" w:eastAsia="zh-CN"/>
              </w:rPr>
              <w:t>5</w:t>
            </w:r>
            <w:r>
              <w:rPr>
                <w:rFonts w:hint="eastAsia" w:ascii="宋体" w:hAnsi="宋体" w:eastAsia="宋体" w:cs="宋体"/>
                <w:kern w:val="0"/>
                <w:szCs w:val="21"/>
              </w:rPr>
              <w:t>分；</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lang w:val="en-US" w:eastAsia="zh-CN"/>
              </w:rPr>
            </w:pPr>
            <w:r>
              <w:rPr>
                <w:rFonts w:hint="eastAsia" w:ascii="宋体" w:hAnsi="宋体" w:eastAsia="宋体" w:cs="宋体"/>
                <w:kern w:val="0"/>
                <w:szCs w:val="21"/>
              </w:rPr>
              <w:t>此项无简化理赔承诺的不得分。</w:t>
            </w:r>
          </w:p>
        </w:tc>
        <w:tc>
          <w:tcPr>
            <w:tcW w:w="664"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175" w:type="dxa"/>
            <w:vMerge w:val="continue"/>
            <w:vAlign w:val="center"/>
          </w:tcPr>
          <w:p>
            <w:pPr>
              <w:bidi w:val="0"/>
              <w:rPr>
                <w:rFonts w:hint="eastAsia"/>
              </w:rPr>
            </w:pPr>
          </w:p>
        </w:tc>
        <w:tc>
          <w:tcPr>
            <w:tcW w:w="491" w:type="dxa"/>
            <w:vAlign w:val="center"/>
          </w:tcPr>
          <w:p>
            <w:pPr>
              <w:bidi w:val="0"/>
              <w:jc w:val="center"/>
              <w:rPr>
                <w:rFonts w:hint="eastAsia"/>
                <w:lang w:val="en-US" w:eastAsia="zh-CN"/>
              </w:rPr>
            </w:pPr>
            <w:r>
              <w:rPr>
                <w:rFonts w:hint="eastAsia"/>
                <w:lang w:val="en-US" w:eastAsia="zh-CN"/>
              </w:rPr>
              <w:t>4</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0"/>
                <w:szCs w:val="21"/>
                <w:lang w:eastAsia="zh-CN"/>
              </w:rPr>
            </w:pPr>
            <w:r>
              <w:rPr>
                <w:rFonts w:hint="eastAsia" w:ascii="宋体" w:hAnsi="宋体" w:eastAsia="宋体" w:cs="宋体"/>
                <w:kern w:val="0"/>
                <w:szCs w:val="21"/>
                <w:lang w:eastAsia="zh-CN"/>
              </w:rPr>
              <w:t>本地</w:t>
            </w:r>
          </w:p>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lang w:val="en-US" w:eastAsia="zh-CN"/>
              </w:rPr>
            </w:pPr>
            <w:r>
              <w:rPr>
                <w:rFonts w:hint="eastAsia" w:ascii="宋体" w:hAnsi="宋体" w:eastAsia="宋体" w:cs="宋体"/>
                <w:kern w:val="0"/>
                <w:szCs w:val="21"/>
                <w:lang w:eastAsia="zh-CN"/>
              </w:rPr>
              <w:t>化措施</w:t>
            </w:r>
          </w:p>
        </w:tc>
        <w:tc>
          <w:tcPr>
            <w:tcW w:w="5570" w:type="dxa"/>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lang w:val="en-US" w:eastAsia="zh-CN"/>
              </w:rPr>
            </w:pPr>
            <w:r>
              <w:rPr>
                <w:rFonts w:hint="eastAsia" w:ascii="宋体" w:hAnsi="宋体" w:eastAsia="宋体" w:cs="宋体"/>
              </w:rPr>
              <w:t>投标人具备或承诺的其他保障本地化服务的措施和办法。</w:t>
            </w:r>
          </w:p>
        </w:tc>
        <w:tc>
          <w:tcPr>
            <w:tcW w:w="664"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175" w:type="dxa"/>
            <w:vMerge w:val="continue"/>
            <w:vAlign w:val="center"/>
          </w:tcPr>
          <w:p>
            <w:pPr>
              <w:bidi w:val="0"/>
              <w:rPr>
                <w:rFonts w:hint="eastAsia"/>
              </w:rPr>
            </w:pPr>
          </w:p>
        </w:tc>
        <w:tc>
          <w:tcPr>
            <w:tcW w:w="491" w:type="dxa"/>
            <w:vAlign w:val="center"/>
          </w:tcPr>
          <w:p>
            <w:pPr>
              <w:bidi w:val="0"/>
              <w:jc w:val="center"/>
              <w:rPr>
                <w:rFonts w:hint="eastAsia"/>
                <w:lang w:val="en-US" w:eastAsia="zh-CN"/>
              </w:rPr>
            </w:pPr>
            <w:r>
              <w:rPr>
                <w:rFonts w:hint="eastAsia"/>
                <w:lang w:val="en-US" w:eastAsia="zh-CN"/>
              </w:rPr>
              <w:t>5</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lang w:val="en-US" w:eastAsia="zh-CN"/>
              </w:rPr>
            </w:pPr>
            <w:r>
              <w:rPr>
                <w:rFonts w:hint="eastAsia" w:ascii="宋体" w:hAnsi="宋体" w:eastAsia="宋体" w:cs="宋体"/>
                <w:kern w:val="0"/>
                <w:szCs w:val="21"/>
              </w:rPr>
              <w:t>上级公司承担风险承诺</w:t>
            </w:r>
          </w:p>
        </w:tc>
        <w:tc>
          <w:tcPr>
            <w:tcW w:w="55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rPr>
            </w:pPr>
            <w:r>
              <w:rPr>
                <w:rFonts w:hint="eastAsia"/>
              </w:rPr>
              <w:t>投标人上级公司承诺当投标人无能力为本项目提供服务和风险保障时，由上级公司提供服务和风险保障。提供承诺得 3分；不予承诺的，不得分。</w:t>
            </w:r>
          </w:p>
          <w:p>
            <w:pPr>
              <w:pStyle w:val="2"/>
              <w:ind w:left="0" w:leftChars="0" w:firstLine="0" w:firstLineChars="0"/>
              <w:rPr>
                <w:rFonts w:hint="eastAsia"/>
                <w:lang w:val="en-US" w:eastAsia="zh-CN"/>
              </w:rPr>
            </w:pPr>
            <w:r>
              <w:rPr>
                <w:rFonts w:hint="eastAsia"/>
                <w:b/>
                <w:bCs/>
                <w:lang w:val="en-US" w:eastAsia="zh-CN"/>
              </w:rPr>
              <w:t>需提供承诺函（经投标人上级公司盖章,请投标人考虑用章时间）。</w:t>
            </w:r>
          </w:p>
        </w:tc>
        <w:tc>
          <w:tcPr>
            <w:tcW w:w="664"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175" w:type="dxa"/>
            <w:vMerge w:val="continue"/>
            <w:vAlign w:val="center"/>
          </w:tcPr>
          <w:p>
            <w:pPr>
              <w:bidi w:val="0"/>
              <w:rPr>
                <w:rFonts w:hint="eastAsia"/>
              </w:rPr>
            </w:pPr>
          </w:p>
        </w:tc>
        <w:tc>
          <w:tcPr>
            <w:tcW w:w="491" w:type="dxa"/>
            <w:vAlign w:val="center"/>
          </w:tcPr>
          <w:p>
            <w:pPr>
              <w:bidi w:val="0"/>
              <w:jc w:val="center"/>
              <w:rPr>
                <w:rFonts w:hint="eastAsia"/>
                <w:lang w:val="en-US" w:eastAsia="zh-CN"/>
              </w:rPr>
            </w:pPr>
            <w:r>
              <w:rPr>
                <w:rFonts w:hint="eastAsia"/>
                <w:lang w:val="en-US" w:eastAsia="zh-CN"/>
              </w:rPr>
              <w:t>6</w:t>
            </w:r>
          </w:p>
        </w:tc>
        <w:tc>
          <w:tcPr>
            <w:tcW w:w="1118" w:type="dxa"/>
            <w:vAlign w:val="center"/>
          </w:tcPr>
          <w:p>
            <w:pPr>
              <w:bidi w:val="0"/>
              <w:jc w:val="center"/>
              <w:rPr>
                <w:rFonts w:hint="eastAsia"/>
              </w:rPr>
            </w:pPr>
            <w:r>
              <w:rPr>
                <w:rFonts w:hint="eastAsia"/>
              </w:rPr>
              <w:t>服务</w:t>
            </w:r>
          </w:p>
          <w:p>
            <w:pPr>
              <w:bidi w:val="0"/>
              <w:jc w:val="center"/>
              <w:rPr>
                <w:rFonts w:hint="eastAsia" w:eastAsia="宋体"/>
                <w:lang w:val="en-US" w:eastAsia="zh-CN"/>
              </w:rPr>
            </w:pPr>
            <w:r>
              <w:rPr>
                <w:rFonts w:hint="eastAsia"/>
              </w:rPr>
              <w:t>方案</w:t>
            </w:r>
          </w:p>
        </w:tc>
        <w:tc>
          <w:tcPr>
            <w:tcW w:w="55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lang w:val="en-US" w:eastAsia="zh-CN"/>
              </w:rPr>
            </w:pPr>
            <w:r>
              <w:rPr>
                <w:rFonts w:hint="eastAsia" w:ascii="宋体" w:hAnsi="宋体" w:eastAsia="宋体" w:cs="宋体"/>
                <w:kern w:val="0"/>
                <w:szCs w:val="21"/>
              </w:rPr>
              <w:t>投标人围绕优质服务、</w:t>
            </w:r>
            <w:r>
              <w:rPr>
                <w:rFonts w:hint="eastAsia" w:ascii="宋体" w:hAnsi="宋体" w:eastAsia="宋体" w:cs="宋体"/>
                <w:kern w:val="0"/>
                <w:szCs w:val="21"/>
                <w:lang w:eastAsia="zh-CN"/>
              </w:rPr>
              <w:t>保障范围</w:t>
            </w:r>
            <w:r>
              <w:rPr>
                <w:rFonts w:hint="eastAsia" w:ascii="宋体" w:hAnsi="宋体" w:eastAsia="宋体" w:cs="宋体"/>
                <w:kern w:val="0"/>
                <w:szCs w:val="21"/>
              </w:rPr>
              <w:t>、理赔</w:t>
            </w:r>
            <w:r>
              <w:rPr>
                <w:rFonts w:hint="eastAsia" w:ascii="宋体" w:hAnsi="宋体" w:eastAsia="宋体" w:cs="宋体"/>
                <w:kern w:val="0"/>
                <w:szCs w:val="21"/>
                <w:lang w:eastAsia="zh-CN"/>
              </w:rPr>
              <w:t>时效、</w:t>
            </w:r>
            <w:r>
              <w:rPr>
                <w:rFonts w:hint="eastAsia" w:ascii="宋体" w:hAnsi="宋体" w:eastAsia="宋体" w:cs="宋体"/>
                <w:kern w:val="0"/>
                <w:szCs w:val="21"/>
              </w:rPr>
              <w:t>培训计划、宣传措施、灾害数据统计分析等方面，设计本项目实施方案，并详细阐述。根据方案完整、优化合理、可操作程度等情况，分档打分，第一档1</w:t>
            </w:r>
            <w:r>
              <w:rPr>
                <w:rFonts w:hint="eastAsia" w:ascii="宋体" w:hAnsi="宋体" w:eastAsia="宋体" w:cs="宋体"/>
                <w:kern w:val="0"/>
                <w:szCs w:val="21"/>
                <w:lang w:val="en-US" w:eastAsia="zh-CN"/>
              </w:rPr>
              <w:t>6</w:t>
            </w:r>
            <w:r>
              <w:rPr>
                <w:rFonts w:hint="eastAsia" w:ascii="宋体" w:hAnsi="宋体" w:eastAsia="宋体" w:cs="宋体"/>
                <w:kern w:val="0"/>
                <w:szCs w:val="21"/>
              </w:rPr>
              <w:t>-</w:t>
            </w:r>
            <w:r>
              <w:rPr>
                <w:rFonts w:hint="eastAsia" w:ascii="宋体" w:hAnsi="宋体" w:eastAsia="宋体" w:cs="宋体"/>
                <w:kern w:val="0"/>
                <w:szCs w:val="21"/>
                <w:lang w:val="en-US" w:eastAsia="zh-CN"/>
              </w:rPr>
              <w:t>13.8</w:t>
            </w:r>
            <w:r>
              <w:rPr>
                <w:rFonts w:hint="eastAsia" w:ascii="宋体" w:hAnsi="宋体" w:eastAsia="宋体" w:cs="宋体"/>
                <w:kern w:val="0"/>
                <w:szCs w:val="21"/>
              </w:rPr>
              <w:t>分，第二档</w:t>
            </w:r>
            <w:r>
              <w:rPr>
                <w:rFonts w:hint="eastAsia" w:ascii="宋体" w:hAnsi="宋体" w:eastAsia="宋体" w:cs="宋体"/>
                <w:kern w:val="0"/>
                <w:szCs w:val="21"/>
                <w:lang w:val="en-US" w:eastAsia="zh-CN"/>
              </w:rPr>
              <w:t>13</w:t>
            </w:r>
            <w:r>
              <w:rPr>
                <w:rFonts w:hint="eastAsia" w:ascii="宋体" w:hAnsi="宋体" w:eastAsia="宋体" w:cs="宋体"/>
                <w:kern w:val="0"/>
                <w:szCs w:val="21"/>
              </w:rPr>
              <w:t>.7-</w:t>
            </w:r>
            <w:r>
              <w:rPr>
                <w:rFonts w:hint="eastAsia" w:ascii="宋体" w:hAnsi="宋体" w:eastAsia="宋体" w:cs="宋体"/>
                <w:kern w:val="0"/>
                <w:szCs w:val="21"/>
                <w:lang w:val="en-US" w:eastAsia="zh-CN"/>
              </w:rPr>
              <w:t>11</w:t>
            </w:r>
            <w:r>
              <w:rPr>
                <w:rFonts w:hint="eastAsia" w:ascii="宋体" w:hAnsi="宋体" w:eastAsia="宋体" w:cs="宋体"/>
                <w:kern w:val="0"/>
                <w:szCs w:val="21"/>
              </w:rPr>
              <w:t>.6分，第三档</w:t>
            </w:r>
            <w:r>
              <w:rPr>
                <w:rFonts w:hint="eastAsia" w:ascii="宋体" w:hAnsi="宋体" w:eastAsia="宋体" w:cs="宋体"/>
                <w:kern w:val="0"/>
                <w:szCs w:val="21"/>
                <w:lang w:val="en-US" w:eastAsia="zh-CN"/>
              </w:rPr>
              <w:t>11</w:t>
            </w:r>
            <w:r>
              <w:rPr>
                <w:rFonts w:hint="eastAsia" w:ascii="宋体" w:hAnsi="宋体" w:eastAsia="宋体" w:cs="宋体"/>
                <w:kern w:val="0"/>
                <w:szCs w:val="21"/>
              </w:rPr>
              <w:t>.5-</w:t>
            </w:r>
            <w:r>
              <w:rPr>
                <w:rFonts w:hint="eastAsia" w:ascii="宋体" w:hAnsi="宋体" w:eastAsia="宋体" w:cs="宋体"/>
                <w:kern w:val="0"/>
                <w:szCs w:val="21"/>
                <w:lang w:val="en-US" w:eastAsia="zh-CN"/>
              </w:rPr>
              <w:t>9</w:t>
            </w:r>
            <w:r>
              <w:rPr>
                <w:rFonts w:hint="eastAsia" w:ascii="宋体" w:hAnsi="宋体" w:eastAsia="宋体" w:cs="宋体"/>
                <w:kern w:val="0"/>
                <w:szCs w:val="21"/>
              </w:rPr>
              <w:t>.4分，第四档</w:t>
            </w:r>
            <w:r>
              <w:rPr>
                <w:rFonts w:hint="eastAsia" w:ascii="宋体" w:hAnsi="宋体" w:eastAsia="宋体" w:cs="宋体"/>
                <w:kern w:val="0"/>
                <w:szCs w:val="21"/>
                <w:lang w:val="en-US" w:eastAsia="zh-CN"/>
              </w:rPr>
              <w:t>9</w:t>
            </w:r>
            <w:r>
              <w:rPr>
                <w:rFonts w:hint="eastAsia" w:ascii="宋体" w:hAnsi="宋体" w:eastAsia="宋体" w:cs="宋体"/>
                <w:kern w:val="0"/>
                <w:szCs w:val="21"/>
              </w:rPr>
              <w:t>.3-</w:t>
            </w:r>
            <w:r>
              <w:rPr>
                <w:rFonts w:hint="eastAsia" w:ascii="宋体" w:hAnsi="宋体" w:eastAsia="宋体" w:cs="宋体"/>
                <w:kern w:val="0"/>
                <w:szCs w:val="21"/>
                <w:lang w:val="en-US" w:eastAsia="zh-CN"/>
              </w:rPr>
              <w:t>7</w:t>
            </w:r>
            <w:r>
              <w:rPr>
                <w:rFonts w:hint="eastAsia" w:ascii="宋体" w:hAnsi="宋体" w:eastAsia="宋体" w:cs="宋体"/>
                <w:kern w:val="0"/>
                <w:szCs w:val="21"/>
              </w:rPr>
              <w:t>.2分，第五档</w:t>
            </w:r>
            <w:r>
              <w:rPr>
                <w:rFonts w:hint="eastAsia" w:ascii="宋体" w:hAnsi="宋体" w:eastAsia="宋体" w:cs="宋体"/>
                <w:kern w:val="0"/>
                <w:szCs w:val="21"/>
                <w:lang w:val="en-US" w:eastAsia="zh-CN"/>
              </w:rPr>
              <w:t>7</w:t>
            </w:r>
            <w:r>
              <w:rPr>
                <w:rFonts w:hint="eastAsia" w:ascii="宋体" w:hAnsi="宋体" w:eastAsia="宋体" w:cs="宋体"/>
                <w:kern w:val="0"/>
                <w:szCs w:val="21"/>
              </w:rPr>
              <w:t>.1-0分。（阐述时间不超过</w:t>
            </w:r>
            <w:r>
              <w:rPr>
                <w:rFonts w:hint="eastAsia" w:ascii="宋体" w:hAnsi="宋体" w:eastAsia="宋体" w:cs="宋体"/>
                <w:kern w:val="0"/>
                <w:szCs w:val="21"/>
                <w:lang w:val="en-US" w:eastAsia="zh-CN"/>
              </w:rPr>
              <w:t>4</w:t>
            </w:r>
            <w:r>
              <w:rPr>
                <w:rFonts w:hint="eastAsia" w:ascii="宋体" w:hAnsi="宋体" w:eastAsia="宋体" w:cs="宋体"/>
                <w:kern w:val="0"/>
                <w:szCs w:val="21"/>
              </w:rPr>
              <w:t>分钟）</w:t>
            </w:r>
          </w:p>
        </w:tc>
        <w:tc>
          <w:tcPr>
            <w:tcW w:w="664"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Cs w:val="21"/>
              </w:rPr>
              <w:t>1</w:t>
            </w:r>
            <w:r>
              <w:rPr>
                <w:rFonts w:hint="eastAsia" w:ascii="宋体" w:hAnsi="宋体" w:eastAsia="宋体" w:cs="宋体"/>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175" w:type="dxa"/>
            <w:vMerge w:val="continue"/>
            <w:vAlign w:val="center"/>
          </w:tcPr>
          <w:p>
            <w:pPr>
              <w:bidi w:val="0"/>
              <w:rPr>
                <w:rFonts w:hint="eastAsia"/>
              </w:rPr>
            </w:pPr>
          </w:p>
        </w:tc>
        <w:tc>
          <w:tcPr>
            <w:tcW w:w="491" w:type="dxa"/>
            <w:vAlign w:val="center"/>
          </w:tcPr>
          <w:p>
            <w:pPr>
              <w:bidi w:val="0"/>
              <w:jc w:val="center"/>
              <w:rPr>
                <w:rFonts w:hint="eastAsia"/>
                <w:lang w:val="en-US" w:eastAsia="zh-CN"/>
              </w:rPr>
            </w:pPr>
            <w:r>
              <w:rPr>
                <w:rFonts w:hint="eastAsia"/>
                <w:lang w:val="en-US" w:eastAsia="zh-CN"/>
              </w:rPr>
              <w:t>7</w:t>
            </w:r>
          </w:p>
        </w:tc>
        <w:tc>
          <w:tcPr>
            <w:tcW w:w="1118" w:type="dxa"/>
            <w:vAlign w:val="center"/>
          </w:tcPr>
          <w:p>
            <w:pPr>
              <w:bidi w:val="0"/>
              <w:jc w:val="center"/>
              <w:rPr>
                <w:rFonts w:hint="eastAsia"/>
              </w:rPr>
            </w:pPr>
            <w:r>
              <w:rPr>
                <w:rFonts w:hint="eastAsia"/>
              </w:rPr>
              <w:t>创新</w:t>
            </w:r>
          </w:p>
          <w:p>
            <w:pPr>
              <w:bidi w:val="0"/>
              <w:jc w:val="center"/>
              <w:rPr>
                <w:rFonts w:hint="eastAsia"/>
                <w:lang w:val="en-US" w:eastAsia="zh-CN"/>
              </w:rPr>
            </w:pPr>
            <w:r>
              <w:rPr>
                <w:rFonts w:hint="eastAsia"/>
              </w:rPr>
              <w:t>措施</w:t>
            </w:r>
          </w:p>
        </w:tc>
        <w:tc>
          <w:tcPr>
            <w:tcW w:w="55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lang w:val="en-US" w:eastAsia="zh-CN"/>
              </w:rPr>
            </w:pPr>
            <w:r>
              <w:rPr>
                <w:rFonts w:hint="eastAsia" w:ascii="宋体" w:hAnsi="宋体" w:eastAsia="宋体" w:cs="宋体"/>
                <w:kern w:val="0"/>
                <w:szCs w:val="21"/>
              </w:rPr>
              <w:t>投标人根据对本项目的理解，从保费成本控制，推进可持续发展角度对本项目提出创新措施的总体思路及具体操作方案，内容包括但不限于盈余贡献、保险责任扩展等，投标人可针对以上内容的一项或几项提出措施方案，并详细阐述。根据具体措施的创新程度、可操作性及对本项目实施的有利程度等情况，分档打分，第一档</w:t>
            </w:r>
            <w:r>
              <w:rPr>
                <w:rFonts w:hint="eastAsia" w:ascii="宋体" w:hAnsi="宋体" w:eastAsia="宋体" w:cs="宋体"/>
                <w:kern w:val="0"/>
                <w:szCs w:val="21"/>
                <w:lang w:val="en-US" w:eastAsia="zh-CN"/>
              </w:rPr>
              <w:t>17</w:t>
            </w:r>
            <w:r>
              <w:rPr>
                <w:rFonts w:hint="eastAsia" w:ascii="宋体" w:hAnsi="宋体" w:eastAsia="宋体" w:cs="宋体"/>
                <w:kern w:val="0"/>
                <w:szCs w:val="21"/>
              </w:rPr>
              <w:t>-1</w:t>
            </w:r>
            <w:r>
              <w:rPr>
                <w:rFonts w:hint="eastAsia" w:ascii="宋体" w:hAnsi="宋体" w:eastAsia="宋体" w:cs="宋体"/>
                <w:kern w:val="0"/>
                <w:szCs w:val="21"/>
                <w:lang w:val="en-US" w:eastAsia="zh-CN"/>
              </w:rPr>
              <w:t>5</w:t>
            </w:r>
            <w:r>
              <w:rPr>
                <w:rFonts w:hint="eastAsia" w:ascii="宋体" w:hAnsi="宋体" w:eastAsia="宋体" w:cs="宋体"/>
                <w:kern w:val="0"/>
                <w:szCs w:val="21"/>
              </w:rPr>
              <w:t>分，第二档1</w:t>
            </w:r>
            <w:r>
              <w:rPr>
                <w:rFonts w:hint="eastAsia" w:ascii="宋体" w:hAnsi="宋体" w:eastAsia="宋体" w:cs="宋体"/>
                <w:kern w:val="0"/>
                <w:szCs w:val="21"/>
                <w:lang w:val="en-US" w:eastAsia="zh-CN"/>
              </w:rPr>
              <w:t>4</w:t>
            </w:r>
            <w:r>
              <w:rPr>
                <w:rFonts w:hint="eastAsia" w:ascii="宋体" w:hAnsi="宋体" w:eastAsia="宋体" w:cs="宋体"/>
                <w:kern w:val="0"/>
                <w:szCs w:val="21"/>
              </w:rPr>
              <w:t>.9-12分，第三档11.9-8分，第四档7.9-4分，第五档3.9-0分。（阐述时间不超过</w:t>
            </w:r>
            <w:r>
              <w:rPr>
                <w:rFonts w:hint="eastAsia" w:ascii="宋体" w:hAnsi="宋体" w:eastAsia="宋体" w:cs="宋体"/>
                <w:kern w:val="0"/>
                <w:szCs w:val="21"/>
                <w:lang w:val="en-US" w:eastAsia="zh-CN"/>
              </w:rPr>
              <w:t>6</w:t>
            </w:r>
            <w:r>
              <w:rPr>
                <w:rFonts w:hint="eastAsia" w:ascii="宋体" w:hAnsi="宋体" w:eastAsia="宋体" w:cs="宋体"/>
                <w:kern w:val="0"/>
                <w:szCs w:val="21"/>
              </w:rPr>
              <w:t>分钟）</w:t>
            </w:r>
          </w:p>
        </w:tc>
        <w:tc>
          <w:tcPr>
            <w:tcW w:w="664"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175" w:type="dxa"/>
            <w:vMerge w:val="restart"/>
            <w:vAlign w:val="center"/>
          </w:tcPr>
          <w:p>
            <w:pPr>
              <w:bidi w:val="0"/>
              <w:rPr>
                <w:rFonts w:hint="eastAsia"/>
              </w:rPr>
            </w:pPr>
            <w:r>
              <w:rPr>
                <w:rFonts w:hint="eastAsia"/>
              </w:rPr>
              <w:t>商务部分</w:t>
            </w:r>
          </w:p>
        </w:tc>
        <w:tc>
          <w:tcPr>
            <w:tcW w:w="491" w:type="dxa"/>
            <w:vAlign w:val="center"/>
          </w:tcPr>
          <w:p>
            <w:pPr>
              <w:bidi w:val="0"/>
              <w:jc w:val="center"/>
              <w:rPr>
                <w:rFonts w:hint="eastAsia"/>
                <w:lang w:val="en-US" w:eastAsia="zh-CN"/>
              </w:rPr>
            </w:pPr>
            <w:r>
              <w:rPr>
                <w:rFonts w:hint="eastAsia"/>
                <w:lang w:val="en-US" w:eastAsia="zh-CN"/>
              </w:rPr>
              <w:t>8</w:t>
            </w:r>
          </w:p>
        </w:tc>
        <w:tc>
          <w:tcPr>
            <w:tcW w:w="1118"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lang w:val="en-US" w:eastAsia="zh-CN"/>
              </w:rPr>
            </w:pPr>
            <w:r>
              <w:rPr>
                <w:rFonts w:hint="eastAsia" w:ascii="宋体" w:hAnsi="宋体" w:eastAsia="宋体" w:cs="宋体"/>
                <w:sz w:val="22"/>
                <w:szCs w:val="22"/>
                <w:shd w:val="clear" w:color="auto" w:fill="FFFFFF"/>
              </w:rPr>
              <w:t>运营服务水平</w:t>
            </w:r>
          </w:p>
        </w:tc>
        <w:tc>
          <w:tcPr>
            <w:tcW w:w="5570" w:type="dxa"/>
            <w:vAlign w:val="center"/>
          </w:tcPr>
          <w:p>
            <w:pPr>
              <w:keepNext w:val="0"/>
              <w:keepLines w:val="0"/>
              <w:pageBreakBefore w:val="0"/>
              <w:widowControl w:val="0"/>
              <w:numPr>
                <w:ilvl w:val="0"/>
                <w:numId w:val="48"/>
              </w:numPr>
              <w:kinsoku/>
              <w:wordWrap/>
              <w:overflowPunct/>
              <w:topLinePunct w:val="0"/>
              <w:autoSpaceDE/>
              <w:autoSpaceDN/>
              <w:bidi w:val="0"/>
              <w:spacing w:line="320" w:lineRule="exact"/>
              <w:textAlignment w:val="auto"/>
              <w:rPr>
                <w:rFonts w:hint="eastAsia" w:ascii="宋体" w:hAnsi="宋体" w:eastAsia="宋体" w:cs="宋体"/>
              </w:rPr>
            </w:pPr>
            <w:r>
              <w:rPr>
                <w:rFonts w:hint="eastAsia" w:ascii="宋体" w:hAnsi="宋体" w:eastAsia="宋体" w:cs="宋体"/>
                <w:kern w:val="2"/>
                <w:sz w:val="21"/>
                <w:szCs w:val="24"/>
                <w:lang w:val="en-US" w:eastAsia="zh-CN" w:bidi="ar-SA"/>
              </w:rPr>
              <w:t>受保险监管部门处罚情况，未受处罚得6分，受到处罚不得分。</w:t>
            </w:r>
          </w:p>
          <w:p>
            <w:pPr>
              <w:pStyle w:val="2"/>
              <w:numPr>
                <w:ilvl w:val="0"/>
                <w:numId w:val="0"/>
              </w:numPr>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w:t>
            </w:r>
            <w:r>
              <w:rPr>
                <w:rFonts w:hint="eastAsia" w:ascii="宋体" w:hAnsi="宋体" w:eastAsia="宋体" w:cs="宋体"/>
              </w:rPr>
              <w:t>具备良好的运营服务水平，根据投标人20</w:t>
            </w:r>
            <w:r>
              <w:rPr>
                <w:rFonts w:hint="eastAsia" w:ascii="宋体" w:hAnsi="宋体" w:eastAsia="宋体" w:cs="宋体"/>
                <w:lang w:val="en-US" w:eastAsia="zh-CN"/>
              </w:rPr>
              <w:t>20</w:t>
            </w:r>
            <w:r>
              <w:rPr>
                <w:rFonts w:hint="eastAsia" w:ascii="宋体" w:hAnsi="宋体" w:eastAsia="宋体" w:cs="宋体"/>
              </w:rPr>
              <w:t>-202</w:t>
            </w:r>
            <w:r>
              <w:rPr>
                <w:rFonts w:hint="eastAsia" w:ascii="宋体" w:hAnsi="宋体" w:eastAsia="宋体" w:cs="宋体"/>
                <w:lang w:val="en-US" w:eastAsia="zh-CN"/>
              </w:rPr>
              <w:t>1</w:t>
            </w:r>
            <w:r>
              <w:rPr>
                <w:rFonts w:hint="eastAsia" w:ascii="宋体" w:hAnsi="宋体" w:eastAsia="宋体" w:cs="宋体"/>
              </w:rPr>
              <w:t>年度亿元保费投诉量（台州口径）的平均数，亿元投诉量≤2件的，得8分；2件＜亿元投诉量≤5件的，得6分；5件＜亿元投诉量≤10件的，得4分；10件＜亿元投诉量≤20件的，得2分，其他不得分。</w:t>
            </w:r>
          </w:p>
          <w:p>
            <w:pPr>
              <w:keepNext w:val="0"/>
              <w:keepLines w:val="0"/>
              <w:pageBreakBefore w:val="0"/>
              <w:widowControl w:val="0"/>
              <w:kinsoku/>
              <w:wordWrap/>
              <w:overflowPunct/>
              <w:topLinePunct w:val="0"/>
              <w:autoSpaceDE/>
              <w:autoSpaceDN/>
              <w:bidi w:val="0"/>
              <w:spacing w:line="320" w:lineRule="exact"/>
              <w:textAlignment w:val="auto"/>
              <w:rPr>
                <w:rFonts w:hint="eastAsia" w:ascii="宋体" w:hAnsi="宋体" w:eastAsia="宋体" w:cs="宋体"/>
                <w:lang w:val="en-US" w:eastAsia="zh-CN"/>
              </w:rPr>
            </w:pPr>
            <w:r>
              <w:rPr>
                <w:rFonts w:hint="eastAsia" w:ascii="宋体" w:hAnsi="宋体" w:eastAsia="宋体" w:cs="宋体"/>
                <w:b/>
                <w:bCs/>
              </w:rPr>
              <w:t>以台州银保监分局提供数据为准。</w:t>
            </w:r>
          </w:p>
        </w:tc>
        <w:tc>
          <w:tcPr>
            <w:tcW w:w="664"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175" w:type="dxa"/>
            <w:vMerge w:val="continue"/>
            <w:vAlign w:val="center"/>
          </w:tcPr>
          <w:p>
            <w:pPr>
              <w:bidi w:val="0"/>
              <w:rPr>
                <w:rFonts w:hint="eastAsia"/>
              </w:rPr>
            </w:pPr>
          </w:p>
        </w:tc>
        <w:tc>
          <w:tcPr>
            <w:tcW w:w="491" w:type="dxa"/>
            <w:vAlign w:val="center"/>
          </w:tcPr>
          <w:p>
            <w:pPr>
              <w:bidi w:val="0"/>
              <w:jc w:val="center"/>
              <w:rPr>
                <w:rFonts w:hint="eastAsia"/>
                <w:lang w:val="en-US" w:eastAsia="zh-CN"/>
              </w:rPr>
            </w:pPr>
            <w:r>
              <w:rPr>
                <w:rFonts w:hint="eastAsia"/>
                <w:lang w:val="en-US" w:eastAsia="zh-CN"/>
              </w:rPr>
              <w:t>9</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项目</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lang w:val="en-US" w:eastAsia="zh-CN"/>
              </w:rPr>
            </w:pPr>
            <w:r>
              <w:rPr>
                <w:rFonts w:hint="eastAsia" w:ascii="宋体" w:hAnsi="宋体" w:eastAsia="宋体" w:cs="宋体"/>
                <w:kern w:val="0"/>
                <w:szCs w:val="21"/>
              </w:rPr>
              <w:t>经验</w:t>
            </w:r>
          </w:p>
        </w:tc>
        <w:tc>
          <w:tcPr>
            <w:tcW w:w="557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kern w:val="0"/>
                <w:szCs w:val="21"/>
              </w:rPr>
            </w:pPr>
            <w:r>
              <w:rPr>
                <w:rFonts w:hint="eastAsia" w:ascii="宋体" w:hAnsi="宋体" w:eastAsia="宋体" w:cs="宋体"/>
                <w:kern w:val="0"/>
                <w:szCs w:val="21"/>
                <w:lang w:val="en-US" w:eastAsia="zh-CN"/>
              </w:rPr>
              <w:t>1.</w:t>
            </w:r>
            <w:r>
              <w:rPr>
                <w:rFonts w:hint="eastAsia" w:ascii="宋体" w:hAnsi="宋体" w:eastAsia="宋体" w:cs="宋体"/>
                <w:kern w:val="0"/>
                <w:szCs w:val="21"/>
              </w:rPr>
              <w:t>根据投标人201</w:t>
            </w:r>
            <w:r>
              <w:rPr>
                <w:rFonts w:hint="eastAsia" w:ascii="宋体" w:hAnsi="宋体" w:eastAsia="宋体" w:cs="宋体"/>
                <w:kern w:val="0"/>
                <w:szCs w:val="21"/>
                <w:lang w:val="en-US" w:eastAsia="zh-CN"/>
              </w:rPr>
              <w:t>9</w:t>
            </w:r>
            <w:r>
              <w:rPr>
                <w:rFonts w:hint="eastAsia" w:ascii="宋体" w:hAnsi="宋体" w:eastAsia="宋体" w:cs="宋体"/>
                <w:kern w:val="0"/>
                <w:szCs w:val="21"/>
              </w:rPr>
              <w:t>年8月以来，承保的类似项目，根据类似程度每个项目得</w:t>
            </w:r>
            <w:r>
              <w:rPr>
                <w:rFonts w:hint="eastAsia" w:ascii="宋体" w:hAnsi="宋体" w:eastAsia="宋体" w:cs="宋体"/>
                <w:kern w:val="0"/>
                <w:szCs w:val="21"/>
                <w:lang w:val="en-US" w:eastAsia="zh-CN"/>
              </w:rPr>
              <w:t>1</w:t>
            </w:r>
            <w:r>
              <w:rPr>
                <w:rFonts w:hint="eastAsia" w:ascii="宋体" w:hAnsi="宋体" w:eastAsia="宋体" w:cs="宋体"/>
                <w:kern w:val="0"/>
                <w:szCs w:val="21"/>
              </w:rPr>
              <w:t>分，</w:t>
            </w:r>
            <w:r>
              <w:rPr>
                <w:rFonts w:hint="eastAsia" w:ascii="宋体" w:hAnsi="宋体" w:eastAsia="宋体" w:cs="宋体"/>
                <w:kern w:val="0"/>
                <w:szCs w:val="21"/>
                <w:lang w:eastAsia="zh-CN"/>
              </w:rPr>
              <w:t>最高得</w:t>
            </w:r>
            <w:r>
              <w:rPr>
                <w:rFonts w:hint="eastAsia" w:ascii="宋体" w:hAnsi="宋体" w:eastAsia="宋体" w:cs="宋体"/>
                <w:kern w:val="0"/>
                <w:szCs w:val="21"/>
                <w:lang w:val="en-US" w:eastAsia="zh-CN"/>
              </w:rPr>
              <w:t>3分。</w:t>
            </w:r>
            <w:r>
              <w:rPr>
                <w:rFonts w:hint="eastAsia" w:ascii="宋体" w:hAnsi="宋体" w:eastAsia="宋体" w:cs="宋体"/>
                <w:kern w:val="0"/>
                <w:szCs w:val="21"/>
              </w:rPr>
              <w:t>没有项目的不得分。</w:t>
            </w:r>
            <w:r>
              <w:rPr>
                <w:rFonts w:hint="eastAsia" w:ascii="宋体" w:hAnsi="宋体" w:eastAsia="宋体" w:cs="宋体"/>
                <w:b/>
                <w:bCs/>
                <w:kern w:val="0"/>
                <w:szCs w:val="21"/>
              </w:rPr>
              <w:t>投标人需提供合同或中标通知书及保单作为评分依据。</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2.</w:t>
            </w:r>
            <w:r>
              <w:rPr>
                <w:rFonts w:hint="eastAsia" w:ascii="宋体" w:hAnsi="宋体" w:eastAsia="宋体" w:cs="宋体"/>
                <w:kern w:val="0"/>
                <w:szCs w:val="21"/>
              </w:rPr>
              <w:t>根据自201</w:t>
            </w:r>
            <w:r>
              <w:rPr>
                <w:rFonts w:hint="eastAsia" w:ascii="宋体" w:hAnsi="宋体" w:eastAsia="宋体" w:cs="宋体"/>
                <w:kern w:val="0"/>
                <w:szCs w:val="21"/>
                <w:lang w:val="en-US" w:eastAsia="zh-CN"/>
              </w:rPr>
              <w:t>9</w:t>
            </w:r>
            <w:r>
              <w:rPr>
                <w:rFonts w:hint="eastAsia" w:ascii="宋体" w:hAnsi="宋体" w:eastAsia="宋体" w:cs="宋体"/>
                <w:kern w:val="0"/>
                <w:szCs w:val="21"/>
              </w:rPr>
              <w:t>年8月以来，与政府部门合作其他项目，每提供一项得1分</w:t>
            </w:r>
            <w:r>
              <w:rPr>
                <w:rFonts w:hint="eastAsia" w:ascii="宋体" w:hAnsi="宋体" w:eastAsia="宋体" w:cs="宋体"/>
                <w:kern w:val="0"/>
                <w:szCs w:val="21"/>
                <w:lang w:eastAsia="zh-CN"/>
              </w:rPr>
              <w:t>，最高得</w:t>
            </w:r>
            <w:r>
              <w:rPr>
                <w:rFonts w:hint="eastAsia" w:ascii="宋体" w:hAnsi="宋体" w:eastAsia="宋体" w:cs="宋体"/>
                <w:kern w:val="0"/>
                <w:szCs w:val="21"/>
                <w:lang w:val="en-US" w:eastAsia="zh-CN"/>
              </w:rPr>
              <w:t>2分。</w:t>
            </w:r>
            <w:r>
              <w:rPr>
                <w:rFonts w:hint="eastAsia" w:ascii="宋体" w:hAnsi="宋体" w:eastAsia="宋体" w:cs="宋体"/>
                <w:kern w:val="0"/>
                <w:szCs w:val="21"/>
                <w:lang w:eastAsia="zh-CN"/>
              </w:rPr>
              <w:t>（与第</w:t>
            </w:r>
            <w:r>
              <w:rPr>
                <w:rFonts w:hint="eastAsia" w:ascii="宋体" w:hAnsi="宋体" w:eastAsia="宋体" w:cs="宋体"/>
                <w:kern w:val="0"/>
                <w:szCs w:val="21"/>
                <w:lang w:val="en-US" w:eastAsia="zh-CN"/>
              </w:rPr>
              <w:t>1点不得重复）</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bCs/>
                <w:kern w:val="0"/>
                <w:szCs w:val="21"/>
              </w:rPr>
            </w:pPr>
            <w:r>
              <w:rPr>
                <w:rFonts w:hint="eastAsia" w:ascii="宋体" w:hAnsi="宋体" w:eastAsia="宋体" w:cs="宋体"/>
                <w:b/>
                <w:bCs/>
                <w:kern w:val="0"/>
                <w:szCs w:val="21"/>
              </w:rPr>
              <w:t>投标人需提供合同或中标通知书及保单作为评分依据。</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lang w:val="en-US" w:eastAsia="zh-CN"/>
              </w:rPr>
            </w:pPr>
            <w:r>
              <w:rPr>
                <w:rFonts w:hint="eastAsia" w:ascii="宋体" w:hAnsi="宋体" w:eastAsia="宋体" w:cs="宋体"/>
                <w:b/>
                <w:bCs/>
                <w:kern w:val="0"/>
                <w:szCs w:val="21"/>
                <w:lang w:val="en-US" w:eastAsia="zh-CN"/>
              </w:rPr>
              <w:t>以往合作过程中存在重大合同纠纷的，该项不得分。</w:t>
            </w:r>
          </w:p>
        </w:tc>
        <w:tc>
          <w:tcPr>
            <w:tcW w:w="664"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b w:val="0"/>
                <w:bCs w:val="0"/>
                <w:lang w:val="en-US" w:eastAsia="zh-CN"/>
              </w:rPr>
            </w:pPr>
            <w:r>
              <w:rPr>
                <w:rFonts w:hint="eastAsia" w:ascii="宋体" w:hAnsi="宋体" w:eastAsia="宋体" w:cs="宋体"/>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175" w:type="dxa"/>
            <w:vMerge w:val="continue"/>
            <w:vAlign w:val="center"/>
          </w:tcPr>
          <w:p>
            <w:pPr>
              <w:bidi w:val="0"/>
              <w:rPr>
                <w:rFonts w:hint="eastAsia"/>
              </w:rPr>
            </w:pPr>
          </w:p>
        </w:tc>
        <w:tc>
          <w:tcPr>
            <w:tcW w:w="491" w:type="dxa"/>
            <w:vAlign w:val="center"/>
          </w:tcPr>
          <w:p>
            <w:pPr>
              <w:bidi w:val="0"/>
              <w:jc w:val="center"/>
              <w:rPr>
                <w:rFonts w:hint="eastAsia"/>
                <w:lang w:val="en-US" w:eastAsia="zh-CN"/>
              </w:rPr>
            </w:pPr>
            <w:r>
              <w:rPr>
                <w:rFonts w:hint="eastAsia"/>
                <w:lang w:val="en-US" w:eastAsia="zh-CN"/>
              </w:rPr>
              <w:t>10</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lang w:val="en-US" w:eastAsia="zh-CN"/>
              </w:rPr>
            </w:pPr>
            <w:r>
              <w:rPr>
                <w:rFonts w:hint="eastAsia" w:ascii="宋体" w:hAnsi="宋体" w:eastAsia="宋体" w:cs="宋体"/>
                <w:kern w:val="0"/>
                <w:szCs w:val="21"/>
              </w:rPr>
              <w:t>保险责任匹配度</w:t>
            </w:r>
          </w:p>
        </w:tc>
        <w:tc>
          <w:tcPr>
            <w:tcW w:w="557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lang w:val="en-US" w:eastAsia="zh-CN"/>
              </w:rPr>
            </w:pPr>
            <w:r>
              <w:rPr>
                <w:rFonts w:hint="eastAsia" w:ascii="宋体" w:hAnsi="宋体" w:eastAsia="宋体" w:cs="宋体"/>
                <w:kern w:val="0"/>
                <w:szCs w:val="21"/>
              </w:rPr>
              <w:t>投标人能够完全满足本项目招标需求，对招标需求中的保险责任能够逐一提供完全匹配的保险条款，得5分。</w:t>
            </w:r>
          </w:p>
        </w:tc>
        <w:tc>
          <w:tcPr>
            <w:tcW w:w="664"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175" w:type="dxa"/>
            <w:vMerge w:val="continue"/>
            <w:vAlign w:val="center"/>
          </w:tcPr>
          <w:p>
            <w:pPr>
              <w:bidi w:val="0"/>
              <w:rPr>
                <w:rFonts w:hint="eastAsia"/>
              </w:rPr>
            </w:pPr>
          </w:p>
        </w:tc>
        <w:tc>
          <w:tcPr>
            <w:tcW w:w="491" w:type="dxa"/>
            <w:vAlign w:val="center"/>
          </w:tcPr>
          <w:p>
            <w:pPr>
              <w:bidi w:val="0"/>
              <w:jc w:val="center"/>
              <w:rPr>
                <w:rFonts w:hint="eastAsia"/>
                <w:lang w:val="en-US" w:eastAsia="zh-CN"/>
              </w:rPr>
            </w:pPr>
            <w:r>
              <w:rPr>
                <w:rFonts w:hint="eastAsia"/>
                <w:lang w:val="en-US" w:eastAsia="zh-CN"/>
              </w:rPr>
              <w:t>11</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lang w:val="en-US" w:eastAsia="zh-CN"/>
              </w:rPr>
            </w:pPr>
            <w:r>
              <w:rPr>
                <w:rFonts w:hint="eastAsia" w:ascii="宋体" w:hAnsi="宋体" w:eastAsia="宋体" w:cs="宋体"/>
                <w:kern w:val="0"/>
                <w:szCs w:val="21"/>
              </w:rPr>
              <w:t>偿付能力充足率</w:t>
            </w:r>
          </w:p>
        </w:tc>
        <w:tc>
          <w:tcPr>
            <w:tcW w:w="557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6"/>
                <w:kern w:val="0"/>
                <w:szCs w:val="21"/>
              </w:rPr>
            </w:pPr>
            <w:r>
              <w:rPr>
                <w:rFonts w:hint="eastAsia" w:ascii="宋体" w:hAnsi="宋体" w:eastAsia="宋体" w:cs="宋体"/>
                <w:spacing w:val="-6"/>
                <w:kern w:val="0"/>
                <w:szCs w:val="21"/>
              </w:rPr>
              <w:t>根据投标人总公司20</w:t>
            </w:r>
            <w:r>
              <w:rPr>
                <w:rFonts w:hint="eastAsia" w:ascii="宋体" w:hAnsi="宋体" w:eastAsia="宋体" w:cs="宋体"/>
                <w:spacing w:val="-6"/>
                <w:kern w:val="0"/>
                <w:szCs w:val="21"/>
                <w:lang w:val="en-US" w:eastAsia="zh-CN"/>
              </w:rPr>
              <w:t>20</w:t>
            </w:r>
            <w:r>
              <w:rPr>
                <w:rFonts w:hint="eastAsia" w:ascii="宋体" w:hAnsi="宋体" w:eastAsia="宋体" w:cs="宋体"/>
                <w:spacing w:val="-6"/>
                <w:kern w:val="0"/>
                <w:szCs w:val="21"/>
              </w:rPr>
              <w:t>年-202</w:t>
            </w:r>
            <w:r>
              <w:rPr>
                <w:rFonts w:hint="eastAsia" w:ascii="宋体" w:hAnsi="宋体" w:eastAsia="宋体" w:cs="宋体"/>
                <w:spacing w:val="-6"/>
                <w:kern w:val="0"/>
                <w:szCs w:val="21"/>
                <w:lang w:val="en-US" w:eastAsia="zh-CN"/>
              </w:rPr>
              <w:t>1</w:t>
            </w:r>
            <w:r>
              <w:rPr>
                <w:rFonts w:hint="eastAsia" w:ascii="宋体" w:hAnsi="宋体" w:eastAsia="宋体" w:cs="宋体"/>
                <w:spacing w:val="-6"/>
                <w:kern w:val="0"/>
                <w:szCs w:val="21"/>
              </w:rPr>
              <w:t>年的综合偿付能力充足率进行打分，每一年度偿付能力充足率≥200%，得3分（两年偿付能力充足率≥200%，得6分。下同）；200%＞每一年度偿付能力充足率≥150%，得2分；150%＞一年度偿付能力充足率≥100%，得1分。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lang w:val="en-US" w:eastAsia="zh-CN"/>
              </w:rPr>
            </w:pPr>
            <w:r>
              <w:rPr>
                <w:rFonts w:hint="eastAsia" w:ascii="宋体" w:hAnsi="宋体" w:eastAsia="宋体" w:cs="宋体"/>
                <w:b/>
                <w:bCs/>
                <w:kern w:val="0"/>
                <w:szCs w:val="21"/>
              </w:rPr>
              <w:t>投标人需提供总公司20</w:t>
            </w:r>
            <w:r>
              <w:rPr>
                <w:rFonts w:hint="eastAsia" w:ascii="宋体" w:hAnsi="宋体" w:eastAsia="宋体" w:cs="宋体"/>
                <w:b/>
                <w:bCs/>
                <w:kern w:val="0"/>
                <w:szCs w:val="21"/>
                <w:lang w:val="en-US" w:eastAsia="zh-CN"/>
              </w:rPr>
              <w:t>20</w:t>
            </w:r>
            <w:r>
              <w:rPr>
                <w:rFonts w:hint="eastAsia" w:ascii="宋体" w:hAnsi="宋体" w:eastAsia="宋体" w:cs="宋体"/>
                <w:b/>
                <w:bCs/>
                <w:kern w:val="0"/>
                <w:szCs w:val="21"/>
              </w:rPr>
              <w:t>-202</w:t>
            </w:r>
            <w:r>
              <w:rPr>
                <w:rFonts w:hint="eastAsia" w:ascii="宋体" w:hAnsi="宋体" w:eastAsia="宋体" w:cs="宋体"/>
                <w:b/>
                <w:bCs/>
                <w:kern w:val="0"/>
                <w:szCs w:val="21"/>
                <w:lang w:val="en-US" w:eastAsia="zh-CN"/>
              </w:rPr>
              <w:t>1</w:t>
            </w:r>
            <w:r>
              <w:rPr>
                <w:rFonts w:hint="eastAsia" w:ascii="宋体" w:hAnsi="宋体" w:eastAsia="宋体" w:cs="宋体"/>
                <w:b/>
                <w:bCs/>
                <w:kern w:val="0"/>
                <w:szCs w:val="21"/>
              </w:rPr>
              <w:t>年经第三方审计的财务报告相关页，未提供或无法证明的不得分。</w:t>
            </w:r>
          </w:p>
        </w:tc>
        <w:tc>
          <w:tcPr>
            <w:tcW w:w="664"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175" w:type="dxa"/>
            <w:vAlign w:val="center"/>
          </w:tcPr>
          <w:p>
            <w:pPr>
              <w:bidi w:val="0"/>
              <w:rPr>
                <w:rFonts w:hint="eastAsia"/>
              </w:rPr>
            </w:pPr>
            <w:r>
              <w:rPr>
                <w:rFonts w:hint="eastAsia"/>
              </w:rPr>
              <w:t>报价得分</w:t>
            </w:r>
          </w:p>
        </w:tc>
        <w:tc>
          <w:tcPr>
            <w:tcW w:w="7179" w:type="dxa"/>
            <w:gridSpan w:val="3"/>
            <w:vAlign w:val="center"/>
          </w:tcPr>
          <w:p>
            <w:pPr>
              <w:bidi w:val="0"/>
              <w:rPr>
                <w:rFonts w:hint="eastAsia" w:eastAsia="宋体"/>
                <w:lang w:eastAsia="zh-CN"/>
              </w:rPr>
            </w:pPr>
            <w:r>
              <w:rPr>
                <w:rFonts w:hint="eastAsia"/>
              </w:rPr>
              <w:t>以合格投标人有效投标总报价中的最低价为基准价，基准价为</w:t>
            </w:r>
            <w:r>
              <w:rPr>
                <w:rFonts w:hint="eastAsia"/>
                <w:lang w:val="en-US" w:eastAsia="zh-CN"/>
              </w:rPr>
              <w:t>10</w:t>
            </w:r>
            <w:r>
              <w:rPr>
                <w:rFonts w:hint="eastAsia"/>
              </w:rPr>
              <w:t>分。投标报价得分＝（评标基准价/最终投标报价）×</w:t>
            </w:r>
            <w:r>
              <w:rPr>
                <w:rFonts w:hint="eastAsia"/>
                <w:lang w:val="en-US" w:eastAsia="zh-CN"/>
              </w:rPr>
              <w:t>10</w:t>
            </w:r>
            <w:r>
              <w:rPr>
                <w:rFonts w:hint="eastAsia"/>
              </w:rPr>
              <w:t>%×100（小数点后保留2位小数）。</w:t>
            </w:r>
          </w:p>
        </w:tc>
        <w:tc>
          <w:tcPr>
            <w:tcW w:w="664" w:type="dxa"/>
            <w:vAlign w:val="center"/>
          </w:tcPr>
          <w:p>
            <w:pPr>
              <w:bidi w:val="0"/>
              <w:jc w:val="center"/>
              <w:rPr>
                <w:rFonts w:hint="default" w:eastAsia="宋体"/>
                <w:lang w:val="en-US" w:eastAsia="zh-CN"/>
              </w:rPr>
            </w:pPr>
            <w:r>
              <w:rPr>
                <w:rFonts w:hint="eastAsia"/>
                <w:lang w:val="en-US" w:eastAsia="zh-CN"/>
              </w:rPr>
              <w:t>10</w:t>
            </w:r>
          </w:p>
        </w:tc>
      </w:tr>
    </w:tbl>
    <w:p>
      <w:pPr>
        <w:keepNext w:val="0"/>
        <w:keepLines w:val="0"/>
        <w:pageBreakBefore w:val="0"/>
        <w:kinsoku/>
        <w:wordWrap/>
        <w:overflowPunct/>
        <w:topLinePunct w:val="0"/>
        <w:bidi w:val="0"/>
        <w:adjustRightInd/>
        <w:snapToGrid/>
        <w:spacing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注：</w:t>
      </w:r>
    </w:p>
    <w:p>
      <w:pPr>
        <w:keepNext w:val="0"/>
        <w:keepLines w:val="0"/>
        <w:pageBreakBefore w:val="0"/>
        <w:numPr>
          <w:ilvl w:val="0"/>
          <w:numId w:val="49"/>
        </w:numPr>
        <w:kinsoku/>
        <w:wordWrap/>
        <w:overflowPunct/>
        <w:topLinePunct w:val="0"/>
        <w:bidi w:val="0"/>
        <w:adjustRightInd/>
        <w:snapToGrid/>
        <w:spacing w:line="360" w:lineRule="auto"/>
        <w:ind w:left="425" w:leftChars="0" w:right="0" w:hanging="425" w:firstLineChars="0"/>
        <w:jc w:val="left"/>
        <w:textAlignment w:val="auto"/>
        <w:rPr>
          <w:rFonts w:hint="eastAsia" w:ascii="宋体" w:hAnsi="宋体" w:eastAsia="宋体" w:cs="宋体"/>
          <w:b w:val="0"/>
          <w:bCs w:val="0"/>
          <w:i w:val="0"/>
          <w:iCs w:val="0"/>
          <w:color w:val="FF0000"/>
          <w:kern w:val="0"/>
          <w:sz w:val="24"/>
          <w:szCs w:val="24"/>
          <w:lang w:val="en-US" w:eastAsia="zh-CN"/>
        </w:rPr>
      </w:pPr>
      <w:r>
        <w:rPr>
          <w:rFonts w:hint="eastAsia" w:ascii="宋体" w:hAnsi="宋体" w:eastAsia="宋体" w:cs="宋体"/>
          <w:b w:val="0"/>
          <w:bCs w:val="0"/>
          <w:i w:val="0"/>
          <w:iCs w:val="0"/>
          <w:color w:val="auto"/>
          <w:kern w:val="0"/>
          <w:sz w:val="24"/>
          <w:szCs w:val="24"/>
          <w:lang w:val="en-US" w:eastAsia="zh-CN"/>
        </w:rPr>
        <w:t>分支机构参与投标的，总公司的人员、业绩、荣誉不计入评审。</w:t>
      </w:r>
    </w:p>
    <w:p>
      <w:pPr>
        <w:keepNext w:val="0"/>
        <w:keepLines w:val="0"/>
        <w:pageBreakBefore w:val="0"/>
        <w:numPr>
          <w:ilvl w:val="0"/>
          <w:numId w:val="49"/>
        </w:numPr>
        <w:kinsoku/>
        <w:wordWrap/>
        <w:overflowPunct/>
        <w:topLinePunct w:val="0"/>
        <w:bidi w:val="0"/>
        <w:adjustRightInd/>
        <w:snapToGrid/>
        <w:spacing w:line="360" w:lineRule="auto"/>
        <w:ind w:left="425" w:leftChars="0" w:right="0" w:hanging="425" w:firstLineChars="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lang w:val="en-US" w:eastAsia="zh-CN"/>
        </w:rPr>
        <w:t>由于疫情防控的需要导致认证证书到期后无法办理更新、审核等情况，需提供相关证明（如：认证机构出具的说明）。具体依据《市场监管总局办公厅关于在新型冠状病毒感染肺炎疫情防控期间实施好质量认证相关工作的通知》(市监认证〔2020〕9号)文件执行</w:t>
      </w:r>
      <w:r>
        <w:rPr>
          <w:rFonts w:hint="eastAsia" w:ascii="宋体" w:hAnsi="宋体" w:eastAsia="宋体" w:cs="宋体"/>
          <w:b w:val="0"/>
          <w:bCs w:val="0"/>
          <w:i w:val="0"/>
          <w:iCs w:val="0"/>
          <w:color w:val="auto"/>
          <w:sz w:val="24"/>
          <w:szCs w:val="24"/>
        </w:rPr>
        <w:t>。</w:t>
      </w:r>
    </w:p>
    <w:p>
      <w:pPr>
        <w:pStyle w:val="12"/>
        <w:keepNext w:val="0"/>
        <w:keepLines w:val="0"/>
        <w:pageBreakBefore w:val="0"/>
        <w:numPr>
          <w:ilvl w:val="0"/>
          <w:numId w:val="47"/>
        </w:numPr>
        <w:kinsoku/>
        <w:wordWrap/>
        <w:overflowPunct/>
        <w:topLinePunct w:val="0"/>
        <w:bidi w:val="0"/>
        <w:adjustRightInd/>
        <w:snapToGrid/>
        <w:spacing w:line="360" w:lineRule="auto"/>
        <w:ind w:left="0" w:leftChars="0" w:right="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评审要求</w:t>
      </w:r>
    </w:p>
    <w:p>
      <w:pPr>
        <w:keepNext w:val="0"/>
        <w:keepLines w:val="0"/>
        <w:pageBreakBefore w:val="0"/>
        <w:widowControl w:val="0"/>
        <w:numPr>
          <w:ilvl w:val="0"/>
          <w:numId w:val="50"/>
        </w:numPr>
        <w:kinsoku/>
        <w:wordWrap/>
        <w:overflowPunct/>
        <w:topLinePunct w:val="0"/>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评标委员会应当按照招标文件中规定的评标方法和标准，对符合性审查合格的投标文件的商务部分和技术部分进行综合比较与评价，其中</w:t>
      </w:r>
      <w:r>
        <w:rPr>
          <w:rFonts w:hint="eastAsia" w:ascii="宋体" w:hAnsi="宋体" w:eastAsia="宋体" w:cs="宋体"/>
          <w:bCs/>
          <w:sz w:val="24"/>
          <w:szCs w:val="24"/>
          <w:lang w:val="zh-CN"/>
        </w:rPr>
        <w:t>客观</w:t>
      </w:r>
      <w:r>
        <w:rPr>
          <w:rFonts w:hint="eastAsia" w:ascii="宋体" w:hAnsi="宋体" w:eastAsia="宋体" w:cs="宋体"/>
          <w:bCs/>
          <w:sz w:val="24"/>
          <w:szCs w:val="24"/>
        </w:rPr>
        <w:t>评分项的分值</w:t>
      </w:r>
      <w:r>
        <w:rPr>
          <w:rFonts w:hint="eastAsia" w:ascii="宋体" w:hAnsi="宋体" w:eastAsia="宋体" w:cs="宋体"/>
          <w:bCs/>
          <w:sz w:val="24"/>
          <w:szCs w:val="24"/>
          <w:lang w:val="zh-CN"/>
        </w:rPr>
        <w:t>应当一致。</w:t>
      </w:r>
    </w:p>
    <w:p>
      <w:pPr>
        <w:keepNext w:val="0"/>
        <w:keepLines w:val="0"/>
        <w:pageBreakBefore w:val="0"/>
        <w:widowControl w:val="0"/>
        <w:numPr>
          <w:ilvl w:val="0"/>
          <w:numId w:val="50"/>
        </w:numPr>
        <w:kinsoku/>
        <w:wordWrap/>
        <w:overflowPunct/>
        <w:topLinePunct w:val="0"/>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对于投标文件报价出现前后不一致的，除招标文件另有规定外，按照下列规定修正：</w:t>
      </w:r>
    </w:p>
    <w:p>
      <w:pPr>
        <w:keepNext w:val="0"/>
        <w:keepLines w:val="0"/>
        <w:pageBreakBefore w:val="0"/>
        <w:numPr>
          <w:ilvl w:val="0"/>
          <w:numId w:val="51"/>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shd w:val="clear"/>
          <w:lang w:eastAsia="zh-CN"/>
        </w:rPr>
        <w:t>“政府采购云平台”上开启的投标报价与电子投标文件中开标一览表（报价表）内容不一致的，以电子投标文件中开标一览表（报价表）为准</w:t>
      </w:r>
      <w:r>
        <w:rPr>
          <w:rFonts w:hint="eastAsia" w:ascii="宋体" w:hAnsi="宋体" w:eastAsia="宋体" w:cs="宋体"/>
          <w:sz w:val="24"/>
          <w:szCs w:val="24"/>
          <w:shd w:val="clear"/>
          <w:lang w:val="en-US" w:eastAsia="zh-CN"/>
        </w:rPr>
        <w:t>；</w:t>
      </w:r>
    </w:p>
    <w:p>
      <w:pPr>
        <w:keepNext w:val="0"/>
        <w:keepLines w:val="0"/>
        <w:pageBreakBefore w:val="0"/>
        <w:numPr>
          <w:ilvl w:val="0"/>
          <w:numId w:val="51"/>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投标文件中开标一览表（报价表）内容与投标文件中相应内容不一致的，以开标一览表（报价表）为准；</w:t>
      </w:r>
    </w:p>
    <w:p>
      <w:pPr>
        <w:keepNext w:val="0"/>
        <w:keepLines w:val="0"/>
        <w:pageBreakBefore w:val="0"/>
        <w:numPr>
          <w:ilvl w:val="0"/>
          <w:numId w:val="51"/>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大写金额和小写金额不一致的，以大写金额为准；</w:t>
      </w:r>
    </w:p>
    <w:p>
      <w:pPr>
        <w:keepNext w:val="0"/>
        <w:keepLines w:val="0"/>
        <w:pageBreakBefore w:val="0"/>
        <w:numPr>
          <w:ilvl w:val="0"/>
          <w:numId w:val="51"/>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单价金额小数点或者百分比有明显错位的，以开标一览表的总价为准，并修改单价。</w:t>
      </w:r>
    </w:p>
    <w:p>
      <w:pPr>
        <w:keepNext w:val="0"/>
        <w:keepLines w:val="0"/>
        <w:pageBreakBefore w:val="0"/>
        <w:kinsoku/>
        <w:wordWrap/>
        <w:overflowPunct/>
        <w:topLinePunct w:val="0"/>
        <w:bidi w:val="0"/>
        <w:adjustRightInd/>
        <w:snapToGrid/>
        <w:spacing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同时出现两种以上不一致的，按照前款规定的顺序修正。修正应当采用电子询标的形式，并加盖公章（</w:t>
      </w:r>
      <w:r>
        <w:rPr>
          <w:rFonts w:hint="eastAsia" w:ascii="宋体" w:hAnsi="宋体" w:eastAsia="宋体" w:cs="宋体"/>
          <w:sz w:val="24"/>
          <w:szCs w:val="24"/>
          <w:lang w:eastAsia="zh-CN"/>
        </w:rPr>
        <w:t>CA签章</w:t>
      </w:r>
      <w:r>
        <w:rPr>
          <w:rFonts w:hint="eastAsia" w:ascii="宋体" w:hAnsi="宋体" w:eastAsia="宋体" w:cs="宋体"/>
          <w:sz w:val="24"/>
          <w:szCs w:val="24"/>
        </w:rPr>
        <w:t>）。</w:t>
      </w:r>
    </w:p>
    <w:p>
      <w:pPr>
        <w:keepNext w:val="0"/>
        <w:keepLines w:val="0"/>
        <w:pageBreakBefore w:val="0"/>
        <w:widowControl w:val="0"/>
        <w:numPr>
          <w:ilvl w:val="0"/>
          <w:numId w:val="50"/>
        </w:numPr>
        <w:kinsoku/>
        <w:wordWrap/>
        <w:overflowPunct/>
        <w:topLinePunct w:val="0"/>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对于投标文件中含义不明确、同类问题表述不一致或者有明显文字和计算错误的内容，评标委员会应当要求投标人作出必要的澄清、说明或者补正。</w:t>
      </w:r>
    </w:p>
    <w:p>
      <w:pPr>
        <w:keepNext w:val="0"/>
        <w:keepLines w:val="0"/>
        <w:pageBreakBefore w:val="0"/>
        <w:widowControl w:val="0"/>
        <w:numPr>
          <w:ilvl w:val="0"/>
          <w:numId w:val="50"/>
        </w:numPr>
        <w:kinsoku/>
        <w:wordWrap/>
        <w:overflowPunct/>
        <w:topLinePunct w:val="0"/>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投标人的澄清、说明或者补正采用书面形式，并加盖公章（</w:t>
      </w:r>
      <w:r>
        <w:rPr>
          <w:rFonts w:hint="eastAsia" w:ascii="宋体" w:hAnsi="宋体" w:eastAsia="宋体" w:cs="宋体"/>
          <w:sz w:val="24"/>
          <w:szCs w:val="24"/>
          <w:lang w:eastAsia="zh-CN"/>
        </w:rPr>
        <w:t>CA签章</w:t>
      </w:r>
      <w:r>
        <w:rPr>
          <w:rFonts w:hint="eastAsia" w:ascii="宋体" w:hAnsi="宋体" w:eastAsia="宋体" w:cs="宋体"/>
          <w:sz w:val="24"/>
          <w:szCs w:val="24"/>
        </w:rPr>
        <w:t>）或者由</w:t>
      </w:r>
      <w:r>
        <w:rPr>
          <w:rFonts w:hint="eastAsia" w:ascii="宋体" w:hAnsi="宋体" w:cs="宋体"/>
          <w:sz w:val="24"/>
          <w:szCs w:val="24"/>
          <w:lang w:eastAsia="zh-CN"/>
        </w:rPr>
        <w:t>单位负责人</w:t>
      </w:r>
      <w:r>
        <w:rPr>
          <w:rFonts w:hint="eastAsia" w:ascii="宋体" w:hAnsi="宋体" w:eastAsia="宋体" w:cs="宋体"/>
          <w:sz w:val="24"/>
          <w:szCs w:val="24"/>
        </w:rPr>
        <w:t>或授权代表签字，且不得超出投标文件的范围或者改变投标文件的实质性内容。</w:t>
      </w:r>
    </w:p>
    <w:p>
      <w:pPr>
        <w:keepNext w:val="0"/>
        <w:keepLines w:val="0"/>
        <w:pageBreakBefore w:val="0"/>
        <w:numPr>
          <w:ilvl w:val="0"/>
          <w:numId w:val="46"/>
        </w:numPr>
        <w:kinsoku/>
        <w:wordWrap/>
        <w:overflowPunct/>
        <w:topLinePunct w:val="0"/>
        <w:bidi w:val="0"/>
        <w:adjustRightInd/>
        <w:snapToGrid/>
        <w:spacing w:line="360" w:lineRule="auto"/>
        <w:ind w:left="0" w:leftChars="0" w:right="0"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结果汇总及排序</w:t>
      </w:r>
    </w:p>
    <w:p>
      <w:pPr>
        <w:keepNext w:val="0"/>
        <w:keepLines w:val="0"/>
        <w:pageBreakBefore w:val="0"/>
        <w:kinsoku/>
        <w:wordWrap/>
        <w:overflowPunct/>
        <w:topLinePunct w:val="0"/>
        <w:bidi w:val="0"/>
        <w:adjustRightInd/>
        <w:snapToGrid/>
        <w:spacing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评标委员会各成员应当独立对每个投标人的投标文件进行评价，并汇总每个投标人的得分。</w:t>
      </w:r>
    </w:p>
    <w:p>
      <w:pPr>
        <w:keepNext w:val="0"/>
        <w:keepLines w:val="0"/>
        <w:pageBreakBefore w:val="0"/>
        <w:numPr>
          <w:ilvl w:val="-1"/>
          <w:numId w:val="0"/>
        </w:numPr>
        <w:kinsoku/>
        <w:wordWrap/>
        <w:overflowPunct/>
        <w:topLinePunct w:val="0"/>
        <w:bidi w:val="0"/>
        <w:adjustRightInd/>
        <w:snapToGrid/>
        <w:spacing w:line="360" w:lineRule="auto"/>
        <w:ind w:left="0" w:leftChars="0" w:right="0"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rPr>
        <w:t>评标结果按评审后综合得分由高到低顺序排列。</w:t>
      </w:r>
      <w:r>
        <w:rPr>
          <w:rFonts w:hint="eastAsia" w:ascii="宋体" w:hAnsi="宋体" w:eastAsia="宋体" w:cs="宋体"/>
          <w:sz w:val="24"/>
          <w:szCs w:val="24"/>
          <w:lang w:val="en-US" w:eastAsia="zh-CN"/>
        </w:rPr>
        <w:t>综合</w:t>
      </w:r>
      <w:r>
        <w:rPr>
          <w:rFonts w:hint="eastAsia" w:ascii="宋体" w:hAnsi="宋体" w:eastAsia="宋体" w:cs="宋体"/>
          <w:sz w:val="24"/>
          <w:szCs w:val="24"/>
          <w:lang w:val="zh-CN"/>
        </w:rPr>
        <w:t>得分相同</w:t>
      </w:r>
      <w:r>
        <w:rPr>
          <w:rFonts w:hint="eastAsia" w:ascii="宋体" w:hAnsi="宋体" w:eastAsia="宋体" w:cs="宋体"/>
          <w:sz w:val="24"/>
          <w:szCs w:val="24"/>
        </w:rPr>
        <w:t>的</w:t>
      </w:r>
      <w:r>
        <w:rPr>
          <w:rFonts w:hint="eastAsia" w:ascii="宋体" w:hAnsi="宋体" w:eastAsia="宋体" w:cs="宋体"/>
          <w:sz w:val="24"/>
          <w:szCs w:val="24"/>
          <w:lang w:val="zh-CN"/>
        </w:rPr>
        <w:t>，</w:t>
      </w:r>
      <w:r>
        <w:rPr>
          <w:rFonts w:hint="eastAsia" w:ascii="宋体" w:hAnsi="宋体" w:eastAsia="宋体" w:cs="宋体"/>
          <w:sz w:val="24"/>
          <w:szCs w:val="24"/>
        </w:rPr>
        <w:t>按</w:t>
      </w:r>
      <w:r>
        <w:rPr>
          <w:rFonts w:hint="eastAsia" w:ascii="宋体" w:hAnsi="宋体" w:eastAsia="宋体" w:cs="宋体"/>
          <w:sz w:val="24"/>
          <w:szCs w:val="24"/>
          <w:lang w:val="zh-CN"/>
        </w:rPr>
        <w:t>投标报价</w:t>
      </w:r>
      <w:r>
        <w:rPr>
          <w:rFonts w:hint="eastAsia" w:ascii="宋体" w:hAnsi="宋体" w:eastAsia="宋体" w:cs="宋体"/>
          <w:sz w:val="24"/>
          <w:szCs w:val="24"/>
        </w:rPr>
        <w:t>由</w:t>
      </w:r>
      <w:r>
        <w:rPr>
          <w:rFonts w:hint="eastAsia" w:ascii="宋体" w:hAnsi="宋体" w:eastAsia="宋体" w:cs="宋体"/>
          <w:sz w:val="24"/>
          <w:szCs w:val="24"/>
          <w:lang w:val="zh-CN"/>
        </w:rPr>
        <w:t>低</w:t>
      </w:r>
      <w:r>
        <w:rPr>
          <w:rFonts w:hint="eastAsia" w:ascii="宋体" w:hAnsi="宋体" w:eastAsia="宋体" w:cs="宋体"/>
          <w:sz w:val="24"/>
          <w:szCs w:val="24"/>
        </w:rPr>
        <w:t>到高顺序排列。</w:t>
      </w:r>
      <w:r>
        <w:rPr>
          <w:rFonts w:hint="eastAsia" w:ascii="宋体" w:hAnsi="宋体" w:eastAsia="宋体" w:cs="宋体"/>
          <w:sz w:val="24"/>
          <w:szCs w:val="24"/>
          <w:lang w:val="en-US" w:eastAsia="zh-CN"/>
        </w:rPr>
        <w:t>综合</w:t>
      </w:r>
      <w:r>
        <w:rPr>
          <w:rFonts w:hint="eastAsia" w:ascii="宋体" w:hAnsi="宋体" w:eastAsia="宋体" w:cs="宋体"/>
          <w:sz w:val="24"/>
          <w:szCs w:val="24"/>
          <w:lang w:val="zh-CN"/>
        </w:rPr>
        <w:t>得分且投标报价相同的</w:t>
      </w:r>
      <w:r>
        <w:rPr>
          <w:rFonts w:hint="eastAsia" w:ascii="宋体" w:hAnsi="宋体" w:eastAsia="宋体" w:cs="宋体"/>
          <w:sz w:val="24"/>
          <w:szCs w:val="24"/>
          <w:lang w:eastAsia="zh-CN"/>
        </w:rPr>
        <w:t>，</w:t>
      </w:r>
      <w:r>
        <w:rPr>
          <w:rFonts w:hint="eastAsia" w:ascii="宋体" w:hAnsi="宋体" w:eastAsia="宋体" w:cs="宋体"/>
          <w:color w:val="000000"/>
          <w:sz w:val="24"/>
          <w:szCs w:val="24"/>
          <w:lang w:val="zh-CN"/>
        </w:rPr>
        <w:t>由</w:t>
      </w:r>
      <w:r>
        <w:rPr>
          <w:rFonts w:hint="eastAsia" w:ascii="宋体" w:hAnsi="宋体" w:eastAsia="宋体" w:cs="宋体"/>
          <w:color w:val="000000"/>
          <w:sz w:val="24"/>
          <w:szCs w:val="24"/>
          <w:lang w:val="en-US" w:eastAsia="zh-CN"/>
        </w:rPr>
        <w:t>采购人</w:t>
      </w:r>
      <w:r>
        <w:rPr>
          <w:rFonts w:hint="eastAsia" w:ascii="宋体" w:hAnsi="宋体" w:eastAsia="宋体" w:cs="宋体"/>
          <w:color w:val="auto"/>
          <w:sz w:val="24"/>
          <w:szCs w:val="24"/>
          <w:lang w:val="zh-CN"/>
        </w:rPr>
        <w:t>抽签确定</w:t>
      </w:r>
      <w:r>
        <w:rPr>
          <w:rFonts w:hint="eastAsia" w:ascii="宋体" w:hAnsi="宋体" w:eastAsia="宋体" w:cs="宋体"/>
          <w:sz w:val="24"/>
          <w:szCs w:val="24"/>
          <w:lang w:val="zh-CN"/>
        </w:rPr>
        <w:t>。</w:t>
      </w:r>
      <w:r>
        <w:rPr>
          <w:rFonts w:hint="eastAsia" w:ascii="宋体" w:hAnsi="宋体" w:eastAsia="宋体" w:cs="宋体"/>
          <w:sz w:val="24"/>
          <w:szCs w:val="24"/>
        </w:rPr>
        <w:t>在投标文件满足招标文件全部实质性要求前提下，评标委员会按照评审因素的量化指标进行综合评审，以评标总得分由高到低的顺序推荐2名中标候选人</w:t>
      </w:r>
      <w:r>
        <w:rPr>
          <w:rFonts w:hint="eastAsia" w:ascii="宋体" w:hAnsi="宋体" w:eastAsia="宋体" w:cs="宋体"/>
          <w:sz w:val="24"/>
          <w:szCs w:val="24"/>
          <w:lang w:val="zh-CN"/>
        </w:rPr>
        <w:t>。</w:t>
      </w:r>
    </w:p>
    <w:p>
      <w:pPr>
        <w:keepNext w:val="0"/>
        <w:keepLines w:val="0"/>
        <w:pageBreakBefore w:val="0"/>
        <w:numPr>
          <w:ilvl w:val="0"/>
          <w:numId w:val="46"/>
        </w:numPr>
        <w:kinsoku/>
        <w:wordWrap/>
        <w:overflowPunct/>
        <w:topLinePunct w:val="0"/>
        <w:bidi w:val="0"/>
        <w:adjustRightInd/>
        <w:snapToGrid/>
        <w:spacing w:line="360" w:lineRule="auto"/>
        <w:ind w:left="0" w:leftChars="0" w:right="0"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评标报告撰写</w:t>
      </w:r>
    </w:p>
    <w:p>
      <w:pPr>
        <w:pStyle w:val="9"/>
        <w:keepNext w:val="0"/>
        <w:keepLines w:val="0"/>
        <w:pageBreakBefore w:val="0"/>
        <w:kinsoku/>
        <w:wordWrap/>
        <w:overflowPunct/>
        <w:topLinePunct w:val="0"/>
        <w:bidi w:val="0"/>
        <w:adjustRightInd/>
        <w:snapToGrid/>
        <w:spacing w:line="360" w:lineRule="auto"/>
        <w:ind w:left="0" w:right="0" w:firstLine="480" w:firstLineChars="200"/>
        <w:jc w:val="left"/>
        <w:textAlignment w:val="auto"/>
        <w:rPr>
          <w:rFonts w:hint="eastAsia" w:ascii="宋体" w:hAnsi="宋体" w:eastAsia="宋体" w:cs="宋体"/>
          <w:b/>
          <w:sz w:val="30"/>
          <w:szCs w:val="30"/>
        </w:rPr>
      </w:pPr>
      <w:r>
        <w:rPr>
          <w:rFonts w:hint="eastAsia" w:ascii="宋体" w:hAnsi="宋体" w:eastAsia="宋体" w:cs="宋体"/>
          <w:sz w:val="24"/>
          <w:szCs w:val="24"/>
        </w:rPr>
        <w:t>评标委员会根据全体评标成员签字的原始评标记录和评标结果编写评标报告。</w:t>
      </w:r>
    </w:p>
    <w:p>
      <w:pPr>
        <w:rPr>
          <w:rFonts w:hint="eastAsia" w:ascii="宋体" w:hAnsi="宋体" w:eastAsia="宋体" w:cs="宋体"/>
          <w:b/>
          <w:sz w:val="36"/>
          <w:szCs w:val="36"/>
        </w:rPr>
      </w:pPr>
      <w:r>
        <w:rPr>
          <w:rFonts w:hint="eastAsia" w:ascii="宋体" w:hAnsi="宋体" w:eastAsia="宋体" w:cs="宋体"/>
          <w:b/>
          <w:sz w:val="36"/>
          <w:szCs w:val="36"/>
        </w:rPr>
        <w:br w:type="page"/>
      </w:r>
    </w:p>
    <w:p>
      <w:pPr>
        <w:numPr>
          <w:ilvl w:val="0"/>
          <w:numId w:val="10"/>
        </w:numPr>
        <w:spacing w:line="360" w:lineRule="auto"/>
        <w:jc w:val="center"/>
        <w:outlineLvl w:val="0"/>
        <w:rPr>
          <w:rFonts w:hint="eastAsia" w:ascii="宋体" w:hAnsi="宋体" w:eastAsia="宋体" w:cs="宋体"/>
          <w:b/>
          <w:sz w:val="36"/>
          <w:szCs w:val="36"/>
        </w:rPr>
      </w:pPr>
      <w:bookmarkStart w:id="83" w:name="_Toc11290"/>
      <w:bookmarkStart w:id="84" w:name="_Toc18707"/>
      <w:r>
        <w:rPr>
          <w:rFonts w:hint="eastAsia" w:ascii="宋体" w:hAnsi="宋体" w:eastAsia="宋体" w:cs="宋体"/>
          <w:b/>
          <w:sz w:val="36"/>
          <w:szCs w:val="36"/>
        </w:rPr>
        <w:t>公开招标需求</w:t>
      </w:r>
      <w:bookmarkEnd w:id="83"/>
      <w:bookmarkEnd w:id="84"/>
    </w:p>
    <w:p>
      <w:pPr>
        <w:tabs>
          <w:tab w:val="left" w:pos="8280"/>
        </w:tabs>
        <w:autoSpaceDE w:val="0"/>
        <w:autoSpaceDN w:val="0"/>
        <w:adjustRightInd w:val="0"/>
        <w:spacing w:line="360" w:lineRule="auto"/>
        <w:ind w:right="25"/>
        <w:outlineLvl w:val="1"/>
        <w:rPr>
          <w:rFonts w:hint="default" w:ascii="宋体" w:hAnsi="宋体" w:cs="宋体"/>
          <w:b/>
          <w:sz w:val="24"/>
          <w:szCs w:val="24"/>
          <w:lang w:val="en-US" w:eastAsia="zh-CN"/>
        </w:rPr>
      </w:pPr>
      <w:bookmarkStart w:id="85" w:name="_Toc24545"/>
      <w:r>
        <w:rPr>
          <w:rFonts w:hint="eastAsia" w:ascii="宋体" w:hAnsi="宋体" w:cs="宋体"/>
          <w:b/>
          <w:sz w:val="24"/>
          <w:szCs w:val="24"/>
          <w:lang w:val="en-US" w:eastAsia="zh-CN"/>
        </w:rPr>
        <w:t>前附表</w:t>
      </w:r>
      <w:bookmarkEnd w:id="85"/>
    </w:p>
    <w:tbl>
      <w:tblPr>
        <w:tblStyle w:val="21"/>
        <w:tblW w:w="8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769"/>
        <w:gridCol w:w="4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widowControl w:val="0"/>
              <w:adjustRightInd/>
              <w:spacing w:line="360" w:lineRule="auto"/>
              <w:ind w:left="0" w:leftChars="0" w:firstLine="0" w:firstLine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p>
        </w:tc>
        <w:tc>
          <w:tcPr>
            <w:tcW w:w="2769" w:type="dxa"/>
            <w:vAlign w:val="center"/>
          </w:tcPr>
          <w:p>
            <w:pPr>
              <w:widowControl w:val="0"/>
              <w:adjustRightInd/>
              <w:spacing w:line="360" w:lineRule="auto"/>
              <w:ind w:left="0" w:firstLine="0"/>
              <w:jc w:val="both"/>
              <w:textAlignment w:val="baseline"/>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需实现的功能或者目标</w:t>
            </w:r>
          </w:p>
        </w:tc>
        <w:tc>
          <w:tcPr>
            <w:tcW w:w="4699" w:type="dxa"/>
            <w:vAlign w:val="center"/>
          </w:tcPr>
          <w:p>
            <w:pPr>
              <w:widowControl w:val="0"/>
              <w:adjustRightInd/>
              <w:spacing w:line="360" w:lineRule="auto"/>
              <w:ind w:left="0" w:firstLine="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2" w:type="dxa"/>
            <w:vAlign w:val="center"/>
          </w:tcPr>
          <w:p>
            <w:pPr>
              <w:widowControl w:val="0"/>
              <w:adjustRightInd/>
              <w:spacing w:line="360" w:lineRule="auto"/>
              <w:ind w:left="0" w:leftChars="0" w:firstLine="0" w:firstLine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w:t>
            </w:r>
          </w:p>
        </w:tc>
        <w:tc>
          <w:tcPr>
            <w:tcW w:w="2769" w:type="dxa"/>
            <w:vAlign w:val="center"/>
          </w:tcPr>
          <w:p>
            <w:pPr>
              <w:widowControl w:val="0"/>
              <w:adjustRightInd/>
              <w:spacing w:line="360" w:lineRule="auto"/>
              <w:ind w:left="0" w:firstLine="0"/>
              <w:jc w:val="both"/>
              <w:textAlignment w:val="baseline"/>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执行标准</w:t>
            </w:r>
          </w:p>
        </w:tc>
        <w:tc>
          <w:tcPr>
            <w:tcW w:w="4699" w:type="dxa"/>
            <w:vAlign w:val="center"/>
          </w:tcPr>
          <w:p>
            <w:pPr>
              <w:widowControl w:val="0"/>
              <w:adjustRightInd/>
              <w:spacing w:line="360" w:lineRule="auto"/>
              <w:ind w:left="0" w:firstLine="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执行</w:t>
            </w:r>
            <w:r>
              <w:rPr>
                <w:rFonts w:hint="eastAsia" w:ascii="宋体" w:hAnsi="宋体" w:eastAsia="宋体" w:cs="宋体"/>
                <w:color w:val="auto"/>
                <w:kern w:val="2"/>
                <w:sz w:val="21"/>
                <w:szCs w:val="21"/>
                <w:highlight w:val="none"/>
                <w:lang w:val="en-US" w:eastAsia="zh-CN"/>
              </w:rPr>
              <w:t>最新的</w:t>
            </w:r>
            <w:r>
              <w:rPr>
                <w:rFonts w:hint="eastAsia" w:ascii="宋体" w:hAnsi="宋体" w:eastAsia="宋体" w:cs="宋体"/>
                <w:color w:val="auto"/>
                <w:kern w:val="2"/>
                <w:sz w:val="21"/>
                <w:szCs w:val="21"/>
                <w:highlight w:val="none"/>
              </w:rPr>
              <w:t>国家相关标准、行业标准、地方标准或者其它标准、规范（如有）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widowControl w:val="0"/>
              <w:adjustRightInd/>
              <w:spacing w:line="360" w:lineRule="auto"/>
              <w:ind w:left="0" w:leftChars="0" w:firstLine="0" w:firstLine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w:t>
            </w:r>
          </w:p>
        </w:tc>
        <w:tc>
          <w:tcPr>
            <w:tcW w:w="2769" w:type="dxa"/>
            <w:vAlign w:val="center"/>
          </w:tcPr>
          <w:p>
            <w:pPr>
              <w:widowControl w:val="0"/>
              <w:adjustRightInd/>
              <w:spacing w:line="360" w:lineRule="auto"/>
              <w:ind w:left="0" w:firstLine="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技术规格要求</w:t>
            </w:r>
          </w:p>
        </w:tc>
        <w:tc>
          <w:tcPr>
            <w:tcW w:w="4699" w:type="dxa"/>
            <w:vAlign w:val="center"/>
          </w:tcPr>
          <w:p>
            <w:pPr>
              <w:widowControl w:val="0"/>
              <w:adjustRightInd/>
              <w:spacing w:line="360" w:lineRule="auto"/>
              <w:ind w:left="0" w:firstLine="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widowControl w:val="0"/>
              <w:adjustRightInd/>
              <w:spacing w:line="360" w:lineRule="auto"/>
              <w:ind w:left="0" w:leftChars="0" w:firstLine="0" w:firstLine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w:t>
            </w:r>
          </w:p>
        </w:tc>
        <w:tc>
          <w:tcPr>
            <w:tcW w:w="2769" w:type="dxa"/>
            <w:vAlign w:val="center"/>
          </w:tcPr>
          <w:p>
            <w:pPr>
              <w:widowControl w:val="0"/>
              <w:adjustRightInd/>
              <w:spacing w:line="360" w:lineRule="auto"/>
              <w:ind w:left="0" w:firstLine="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物理特性要求</w:t>
            </w:r>
          </w:p>
        </w:tc>
        <w:tc>
          <w:tcPr>
            <w:tcW w:w="4699" w:type="dxa"/>
            <w:vAlign w:val="center"/>
          </w:tcPr>
          <w:p>
            <w:pPr>
              <w:widowControl w:val="0"/>
              <w:adjustRightInd/>
              <w:spacing w:line="360" w:lineRule="auto"/>
              <w:ind w:left="0" w:firstLine="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widowControl w:val="0"/>
              <w:adjustRightInd/>
              <w:spacing w:line="360" w:lineRule="auto"/>
              <w:ind w:left="0" w:leftChars="0" w:firstLine="0" w:firstLine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5</w:t>
            </w:r>
          </w:p>
        </w:tc>
        <w:tc>
          <w:tcPr>
            <w:tcW w:w="2769" w:type="dxa"/>
            <w:vAlign w:val="center"/>
          </w:tcPr>
          <w:p>
            <w:pPr>
              <w:widowControl w:val="0"/>
              <w:adjustRightInd/>
              <w:spacing w:line="360" w:lineRule="auto"/>
              <w:ind w:left="0" w:firstLine="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质量、安全要求</w:t>
            </w:r>
          </w:p>
        </w:tc>
        <w:tc>
          <w:tcPr>
            <w:tcW w:w="4699" w:type="dxa"/>
            <w:vAlign w:val="center"/>
          </w:tcPr>
          <w:p>
            <w:pPr>
              <w:widowControl w:val="0"/>
              <w:adjustRightInd/>
              <w:spacing w:line="360" w:lineRule="auto"/>
              <w:ind w:left="0" w:firstLine="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widowControl w:val="0"/>
              <w:adjustRightInd/>
              <w:spacing w:line="360" w:lineRule="auto"/>
              <w:ind w:left="0" w:leftChars="0" w:firstLine="0" w:firstLine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6</w:t>
            </w:r>
          </w:p>
        </w:tc>
        <w:tc>
          <w:tcPr>
            <w:tcW w:w="2769" w:type="dxa"/>
            <w:vAlign w:val="center"/>
          </w:tcPr>
          <w:p>
            <w:pPr>
              <w:widowControl w:val="0"/>
              <w:adjustRightInd/>
              <w:spacing w:line="360" w:lineRule="auto"/>
              <w:ind w:left="0" w:firstLine="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服务标准、期限、效率</w:t>
            </w:r>
          </w:p>
        </w:tc>
        <w:tc>
          <w:tcPr>
            <w:tcW w:w="4699" w:type="dxa"/>
            <w:vAlign w:val="center"/>
          </w:tcPr>
          <w:p>
            <w:pPr>
              <w:widowControl w:val="0"/>
              <w:adjustRightInd/>
              <w:spacing w:line="360" w:lineRule="auto"/>
              <w:ind w:left="0" w:firstLine="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widowControl w:val="0"/>
              <w:adjustRightInd/>
              <w:spacing w:line="360" w:lineRule="auto"/>
              <w:ind w:left="0" w:leftChars="0" w:firstLine="0" w:firstLine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7</w:t>
            </w:r>
          </w:p>
        </w:tc>
        <w:tc>
          <w:tcPr>
            <w:tcW w:w="2769" w:type="dxa"/>
            <w:vAlign w:val="center"/>
          </w:tcPr>
          <w:p>
            <w:pPr>
              <w:widowControl w:val="0"/>
              <w:adjustRightInd/>
              <w:spacing w:line="360" w:lineRule="auto"/>
              <w:ind w:left="0" w:firstLine="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验收标准</w:t>
            </w:r>
          </w:p>
        </w:tc>
        <w:tc>
          <w:tcPr>
            <w:tcW w:w="4699" w:type="dxa"/>
            <w:vAlign w:val="center"/>
          </w:tcPr>
          <w:p>
            <w:pPr>
              <w:widowControl w:val="0"/>
              <w:adjustRightInd/>
              <w:spacing w:line="360" w:lineRule="auto"/>
              <w:ind w:left="0" w:firstLine="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bCs/>
                <w:color w:val="auto"/>
                <w:sz w:val="21"/>
                <w:szCs w:val="21"/>
                <w:highlight w:val="none"/>
                <w:lang w:val="en-US" w:eastAsia="zh-CN"/>
              </w:rPr>
              <w:t>按国家、省、市验收规范结合本项目</w:t>
            </w:r>
            <w:r>
              <w:rPr>
                <w:rFonts w:hint="eastAsia" w:ascii="宋体" w:hAnsi="宋体" w:eastAsia="宋体" w:cs="宋体"/>
                <w:bCs/>
                <w:color w:val="auto"/>
                <w:sz w:val="21"/>
                <w:szCs w:val="21"/>
                <w:highlight w:val="none"/>
              </w:rPr>
              <w:t>招标文件要求、</w:t>
            </w:r>
            <w:r>
              <w:rPr>
                <w:rFonts w:hint="eastAsia" w:ascii="宋体" w:hAnsi="宋体" w:eastAsia="宋体" w:cs="宋体"/>
                <w:bCs/>
                <w:color w:val="auto"/>
                <w:sz w:val="21"/>
                <w:szCs w:val="21"/>
                <w:highlight w:val="none"/>
                <w:lang w:eastAsia="zh-CN"/>
              </w:rPr>
              <w:t>中标供应商</w:t>
            </w:r>
            <w:r>
              <w:rPr>
                <w:rFonts w:hint="eastAsia" w:ascii="宋体" w:hAnsi="宋体" w:eastAsia="宋体" w:cs="宋体"/>
                <w:bCs/>
                <w:color w:val="auto"/>
                <w:sz w:val="21"/>
                <w:szCs w:val="21"/>
                <w:highlight w:val="none"/>
              </w:rPr>
              <w:t>提供的投标文件及</w:t>
            </w:r>
            <w:r>
              <w:rPr>
                <w:rFonts w:hint="eastAsia" w:ascii="宋体" w:hAnsi="宋体" w:eastAsia="宋体" w:cs="宋体"/>
                <w:bCs/>
                <w:color w:val="auto"/>
                <w:sz w:val="21"/>
                <w:szCs w:val="21"/>
                <w:highlight w:val="none"/>
                <w:lang w:eastAsia="zh-CN"/>
              </w:rPr>
              <w:t>中标供应商</w:t>
            </w:r>
            <w:r>
              <w:rPr>
                <w:rFonts w:hint="eastAsia" w:ascii="宋体" w:hAnsi="宋体" w:eastAsia="宋体" w:cs="宋体"/>
                <w:bCs/>
                <w:color w:val="auto"/>
                <w:sz w:val="21"/>
                <w:szCs w:val="21"/>
                <w:highlight w:val="none"/>
              </w:rPr>
              <w:t>和采购人签订的政府采购合同为标准进行验收</w:t>
            </w:r>
          </w:p>
        </w:tc>
      </w:tr>
    </w:tbl>
    <w:p>
      <w:pPr>
        <w:rPr>
          <w:rFonts w:hint="eastAsia" w:ascii="宋体" w:hAnsi="宋体" w:eastAsia="宋体" w:cs="宋体"/>
          <w:b/>
          <w:sz w:val="24"/>
          <w:szCs w:val="24"/>
        </w:rPr>
      </w:pPr>
      <w:r>
        <w:rPr>
          <w:rFonts w:hint="eastAsia" w:ascii="宋体" w:hAnsi="宋体" w:eastAsia="宋体" w:cs="宋体"/>
          <w:b/>
          <w:sz w:val="24"/>
          <w:szCs w:val="24"/>
        </w:rPr>
        <w:br w:type="page"/>
      </w:r>
    </w:p>
    <w:p>
      <w:pPr>
        <w:tabs>
          <w:tab w:val="left" w:pos="8280"/>
        </w:tabs>
        <w:autoSpaceDE w:val="0"/>
        <w:autoSpaceDN w:val="0"/>
        <w:adjustRightInd w:val="0"/>
        <w:spacing w:line="360" w:lineRule="auto"/>
        <w:ind w:right="25"/>
        <w:outlineLvl w:val="1"/>
        <w:rPr>
          <w:rFonts w:hint="eastAsia" w:ascii="宋体" w:hAnsi="宋体" w:eastAsia="宋体" w:cs="宋体"/>
          <w:sz w:val="24"/>
          <w:szCs w:val="24"/>
        </w:rPr>
      </w:pPr>
      <w:bookmarkStart w:id="86" w:name="_Toc12726"/>
      <w:bookmarkStart w:id="87" w:name="_Toc3178"/>
      <w:r>
        <w:rPr>
          <w:rFonts w:hint="eastAsia" w:ascii="宋体" w:hAnsi="宋体" w:eastAsia="宋体" w:cs="宋体"/>
          <w:b/>
          <w:sz w:val="24"/>
          <w:szCs w:val="24"/>
        </w:rPr>
        <w:t>一、招标项目一览表</w:t>
      </w:r>
      <w:bookmarkEnd w:id="86"/>
      <w:bookmarkEnd w:id="87"/>
    </w:p>
    <w:p>
      <w:pPr>
        <w:tabs>
          <w:tab w:val="left" w:pos="8280"/>
        </w:tabs>
        <w:autoSpaceDE w:val="0"/>
        <w:autoSpaceDN w:val="0"/>
        <w:adjustRightInd w:val="0"/>
        <w:spacing w:line="360" w:lineRule="auto"/>
        <w:ind w:right="25" w:firstLine="280"/>
        <w:rPr>
          <w:rFonts w:hint="eastAsia" w:ascii="宋体" w:hAnsi="宋体" w:eastAsia="宋体" w:cs="宋体"/>
          <w:color w:val="33CCCC"/>
          <w:sz w:val="24"/>
          <w:szCs w:val="24"/>
        </w:rPr>
      </w:pPr>
      <w:r>
        <w:rPr>
          <w:rFonts w:hint="eastAsia" w:ascii="宋体" w:hAnsi="宋体" w:eastAsia="宋体" w:cs="宋体"/>
          <w:sz w:val="24"/>
          <w:szCs w:val="24"/>
        </w:rPr>
        <w:t>本次招标共</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1</w:t>
      </w:r>
      <w:r>
        <w:rPr>
          <w:rFonts w:hint="eastAsia" w:ascii="宋体" w:hAnsi="宋体" w:eastAsia="宋体" w:cs="宋体"/>
          <w:color w:val="auto"/>
          <w:sz w:val="24"/>
          <w:szCs w:val="24"/>
          <w:u w:val="single"/>
        </w:rPr>
        <w:t xml:space="preserve"> </w:t>
      </w:r>
      <w:r>
        <w:rPr>
          <w:rFonts w:hint="eastAsia" w:ascii="宋体" w:hAnsi="宋体" w:eastAsia="宋体" w:cs="宋体"/>
          <w:sz w:val="24"/>
          <w:szCs w:val="24"/>
        </w:rPr>
        <w:t>个标段，具体内容如下表：</w:t>
      </w:r>
    </w:p>
    <w:tbl>
      <w:tblPr>
        <w:tblStyle w:val="21"/>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2309"/>
        <w:gridCol w:w="1391"/>
        <w:gridCol w:w="1385"/>
        <w:gridCol w:w="980"/>
        <w:gridCol w:w="1148"/>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106" w:type="dxa"/>
            <w:tcMar>
              <w:left w:w="57" w:type="dxa"/>
              <w:right w:w="57" w:type="dxa"/>
            </w:tcMar>
            <w:vAlign w:val="center"/>
          </w:tcPr>
          <w:p>
            <w:pPr>
              <w:tabs>
                <w:tab w:val="left" w:pos="8280"/>
              </w:tabs>
              <w:autoSpaceDE w:val="0"/>
              <w:autoSpaceDN w:val="0"/>
              <w:adjustRightInd w:val="0"/>
              <w:spacing w:line="300" w:lineRule="exact"/>
              <w:ind w:right="23"/>
              <w:jc w:val="center"/>
              <w:rPr>
                <w:rFonts w:hint="eastAsia" w:ascii="黑体" w:hAnsi="黑体" w:eastAsia="黑体" w:cs="黑体"/>
                <w:b w:val="0"/>
                <w:bCs/>
                <w:color w:val="000000"/>
                <w:sz w:val="24"/>
              </w:rPr>
            </w:pPr>
            <w:bookmarkStart w:id="88" w:name="_Toc25444"/>
            <w:bookmarkStart w:id="89" w:name="_Toc19090"/>
            <w:r>
              <w:rPr>
                <w:rFonts w:hint="eastAsia" w:ascii="黑体" w:hAnsi="黑体" w:eastAsia="黑体" w:cs="黑体"/>
                <w:b w:val="0"/>
                <w:bCs/>
                <w:color w:val="000000"/>
                <w:sz w:val="24"/>
              </w:rPr>
              <w:t>顶目名称</w:t>
            </w:r>
          </w:p>
        </w:tc>
        <w:tc>
          <w:tcPr>
            <w:tcW w:w="2309" w:type="dxa"/>
            <w:tcMar>
              <w:left w:w="57" w:type="dxa"/>
              <w:right w:w="57" w:type="dxa"/>
            </w:tcMar>
            <w:vAlign w:val="center"/>
          </w:tcPr>
          <w:p>
            <w:pPr>
              <w:tabs>
                <w:tab w:val="left" w:pos="8280"/>
              </w:tabs>
              <w:autoSpaceDE w:val="0"/>
              <w:autoSpaceDN w:val="0"/>
              <w:adjustRightInd w:val="0"/>
              <w:spacing w:line="300" w:lineRule="exact"/>
              <w:ind w:right="23" w:firstLine="120" w:firstLineChars="50"/>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服务内容</w:t>
            </w:r>
          </w:p>
        </w:tc>
        <w:tc>
          <w:tcPr>
            <w:tcW w:w="1391" w:type="dxa"/>
            <w:tcMar>
              <w:left w:w="57" w:type="dxa"/>
              <w:right w:w="57" w:type="dxa"/>
            </w:tcMar>
            <w:vAlign w:val="center"/>
          </w:tcPr>
          <w:p>
            <w:pPr>
              <w:tabs>
                <w:tab w:val="left" w:pos="8280"/>
              </w:tabs>
              <w:autoSpaceDE w:val="0"/>
              <w:autoSpaceDN w:val="0"/>
              <w:adjustRightInd w:val="0"/>
              <w:spacing w:line="300" w:lineRule="exact"/>
              <w:ind w:right="23"/>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当年</w:t>
            </w:r>
          </w:p>
          <w:p>
            <w:pPr>
              <w:tabs>
                <w:tab w:val="left" w:pos="8280"/>
              </w:tabs>
              <w:autoSpaceDE w:val="0"/>
              <w:autoSpaceDN w:val="0"/>
              <w:adjustRightInd w:val="0"/>
              <w:spacing w:line="300" w:lineRule="exact"/>
              <w:ind w:right="23"/>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参保人数</w:t>
            </w:r>
          </w:p>
        </w:tc>
        <w:tc>
          <w:tcPr>
            <w:tcW w:w="1385" w:type="dxa"/>
            <w:tcMar>
              <w:left w:w="57" w:type="dxa"/>
              <w:right w:w="57" w:type="dxa"/>
            </w:tcMar>
            <w:vAlign w:val="center"/>
          </w:tcPr>
          <w:p>
            <w:pPr>
              <w:tabs>
                <w:tab w:val="left" w:pos="8280"/>
              </w:tabs>
              <w:autoSpaceDE w:val="0"/>
              <w:autoSpaceDN w:val="0"/>
              <w:adjustRightInd w:val="0"/>
              <w:spacing w:line="300" w:lineRule="exact"/>
              <w:ind w:right="23"/>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人均</w:t>
            </w:r>
          </w:p>
          <w:p>
            <w:pPr>
              <w:tabs>
                <w:tab w:val="left" w:pos="8280"/>
              </w:tabs>
              <w:autoSpaceDE w:val="0"/>
              <w:autoSpaceDN w:val="0"/>
              <w:adjustRightInd w:val="0"/>
              <w:spacing w:line="300" w:lineRule="exact"/>
              <w:ind w:right="23"/>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保费限价</w:t>
            </w:r>
          </w:p>
        </w:tc>
        <w:tc>
          <w:tcPr>
            <w:tcW w:w="980" w:type="dxa"/>
            <w:tcMar>
              <w:left w:w="57" w:type="dxa"/>
              <w:right w:w="57" w:type="dxa"/>
            </w:tcMar>
            <w:vAlign w:val="center"/>
          </w:tcPr>
          <w:p>
            <w:pPr>
              <w:tabs>
                <w:tab w:val="left" w:pos="8280"/>
              </w:tabs>
              <w:autoSpaceDE w:val="0"/>
              <w:autoSpaceDN w:val="0"/>
              <w:adjustRightInd w:val="0"/>
              <w:spacing w:line="300" w:lineRule="exact"/>
              <w:ind w:right="23"/>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总保费</w:t>
            </w:r>
          </w:p>
        </w:tc>
        <w:tc>
          <w:tcPr>
            <w:tcW w:w="1148" w:type="dxa"/>
            <w:tcMar>
              <w:left w:w="57" w:type="dxa"/>
              <w:right w:w="57" w:type="dxa"/>
            </w:tcMar>
            <w:vAlign w:val="center"/>
          </w:tcPr>
          <w:p>
            <w:pPr>
              <w:tabs>
                <w:tab w:val="left" w:pos="8280"/>
              </w:tabs>
              <w:autoSpaceDE w:val="0"/>
              <w:autoSpaceDN w:val="0"/>
              <w:adjustRightInd w:val="0"/>
              <w:spacing w:line="300" w:lineRule="exact"/>
              <w:ind w:right="23"/>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服务期</w:t>
            </w:r>
          </w:p>
        </w:tc>
        <w:tc>
          <w:tcPr>
            <w:tcW w:w="686" w:type="dxa"/>
            <w:tcMar>
              <w:left w:w="57" w:type="dxa"/>
              <w:right w:w="57" w:type="dxa"/>
            </w:tcMar>
            <w:vAlign w:val="center"/>
          </w:tcPr>
          <w:p>
            <w:pPr>
              <w:tabs>
                <w:tab w:val="left" w:pos="8280"/>
              </w:tabs>
              <w:autoSpaceDE w:val="0"/>
              <w:autoSpaceDN w:val="0"/>
              <w:adjustRightInd w:val="0"/>
              <w:spacing w:line="300" w:lineRule="exact"/>
              <w:ind w:right="23"/>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106" w:type="dxa"/>
            <w:tcMar>
              <w:left w:w="57" w:type="dxa"/>
              <w:right w:w="57" w:type="dxa"/>
            </w:tcMar>
            <w:vAlign w:val="center"/>
          </w:tcPr>
          <w:p>
            <w:pPr>
              <w:tabs>
                <w:tab w:val="left" w:pos="8280"/>
              </w:tabs>
              <w:autoSpaceDE w:val="0"/>
              <w:autoSpaceDN w:val="0"/>
              <w:adjustRightInd w:val="0"/>
              <w:ind w:right="25"/>
              <w:rPr>
                <w:rFonts w:hint="eastAsia" w:ascii="仿宋_GB2312" w:hAnsi="仿宋_GB2312" w:eastAsia="仿宋_GB2312" w:cs="仿宋_GB2312"/>
                <w:sz w:val="24"/>
              </w:rPr>
            </w:pPr>
            <w:r>
              <w:rPr>
                <w:rFonts w:hint="eastAsia" w:ascii="仿宋_GB2312" w:hAnsi="仿宋_GB2312" w:eastAsia="仿宋_GB2312" w:cs="仿宋_GB2312"/>
                <w:sz w:val="24"/>
              </w:rPr>
              <w:t>台州市公共安全综合保险项目</w:t>
            </w:r>
          </w:p>
        </w:tc>
        <w:tc>
          <w:tcPr>
            <w:tcW w:w="2309" w:type="dxa"/>
            <w:tcMar>
              <w:left w:w="57" w:type="dxa"/>
              <w:right w:w="57" w:type="dxa"/>
            </w:tcMar>
            <w:vAlign w:val="center"/>
          </w:tcPr>
          <w:p>
            <w:pPr>
              <w:tabs>
                <w:tab w:val="left" w:pos="8280"/>
              </w:tabs>
              <w:autoSpaceDE w:val="0"/>
              <w:autoSpaceDN w:val="0"/>
              <w:adjustRightInd w:val="0"/>
              <w:ind w:right="25"/>
              <w:rPr>
                <w:rFonts w:hint="eastAsia" w:ascii="仿宋_GB2312" w:hAnsi="仿宋_GB2312" w:eastAsia="仿宋_GB2312" w:cs="仿宋_GB2312"/>
                <w:sz w:val="24"/>
              </w:rPr>
            </w:pPr>
            <w:r>
              <w:rPr>
                <w:rFonts w:hint="eastAsia" w:ascii="仿宋_GB2312" w:hAnsi="仿宋_GB2312" w:eastAsia="仿宋_GB2312" w:cs="仿宋_GB2312"/>
                <w:sz w:val="24"/>
                <w:lang w:val="zh-TW" w:eastAsia="zh-TW"/>
              </w:rPr>
              <w:t>台州市行政区域范围内的所有人员在台州市行政区域内，因</w:t>
            </w:r>
            <w:r>
              <w:rPr>
                <w:rFonts w:hint="eastAsia" w:ascii="仿宋_GB2312" w:hAnsi="仿宋_GB2312" w:eastAsia="仿宋_GB2312" w:cs="仿宋_GB2312"/>
                <w:sz w:val="24"/>
                <w:lang w:val="zh-TW"/>
              </w:rPr>
              <w:t>火灾爆炸等保险责任</w:t>
            </w:r>
            <w:r>
              <w:rPr>
                <w:rFonts w:hint="eastAsia" w:ascii="仿宋_GB2312" w:hAnsi="仿宋_GB2312" w:eastAsia="仿宋_GB2312" w:cs="仿宋_GB2312"/>
                <w:sz w:val="24"/>
                <w:lang w:val="zh-TW" w:eastAsia="zh-TW"/>
              </w:rPr>
              <w:t>造成人身伤害，且无法明确责任主体或责任主体无力赔偿或需由政府救助（赔付）的，由保险公司按约定的</w:t>
            </w:r>
            <w:r>
              <w:rPr>
                <w:rFonts w:hint="eastAsia" w:ascii="仿宋_GB2312" w:hAnsi="仿宋_GB2312" w:eastAsia="仿宋_GB2312" w:cs="仿宋_GB2312"/>
                <w:sz w:val="24"/>
                <w:lang w:val="zh-TW"/>
              </w:rPr>
              <w:t>保障标准</w:t>
            </w:r>
            <w:r>
              <w:rPr>
                <w:rFonts w:hint="eastAsia" w:ascii="仿宋_GB2312" w:hAnsi="仿宋_GB2312" w:eastAsia="仿宋_GB2312" w:cs="仿宋_GB2312"/>
                <w:sz w:val="24"/>
                <w:lang w:val="zh-TW" w:eastAsia="zh-TW"/>
              </w:rPr>
              <w:t>给予赔付</w:t>
            </w:r>
            <w:r>
              <w:rPr>
                <w:rFonts w:hint="eastAsia" w:ascii="仿宋_GB2312" w:hAnsi="仿宋_GB2312" w:eastAsia="仿宋_GB2312" w:cs="仿宋_GB2312"/>
                <w:sz w:val="24"/>
                <w:lang w:val="zh-TW"/>
              </w:rPr>
              <w:t>。</w:t>
            </w:r>
          </w:p>
        </w:tc>
        <w:tc>
          <w:tcPr>
            <w:tcW w:w="1391" w:type="dxa"/>
            <w:tcMar>
              <w:left w:w="57" w:type="dxa"/>
              <w:right w:w="57" w:type="dxa"/>
            </w:tcMar>
            <w:vAlign w:val="center"/>
          </w:tcPr>
          <w:p>
            <w:pPr>
              <w:tabs>
                <w:tab w:val="left" w:pos="8280"/>
              </w:tabs>
              <w:autoSpaceDE w:val="0"/>
              <w:autoSpaceDN w:val="0"/>
              <w:adjustRightInd w:val="0"/>
              <w:ind w:right="25"/>
              <w:rPr>
                <w:rFonts w:hint="eastAsia" w:ascii="仿宋_GB2312" w:hAnsi="仿宋_GB2312" w:eastAsia="仿宋_GB2312" w:cs="仿宋_GB2312"/>
                <w:sz w:val="24"/>
              </w:rPr>
            </w:pPr>
            <w:r>
              <w:rPr>
                <w:rFonts w:hint="eastAsia" w:ascii="仿宋_GB2312" w:hAnsi="仿宋_GB2312" w:eastAsia="仿宋_GB2312" w:cs="仿宋_GB2312"/>
                <w:sz w:val="24"/>
              </w:rPr>
              <w:t>按台州市统计局公布的上一年度全市常住人口数量为基数。</w:t>
            </w:r>
          </w:p>
        </w:tc>
        <w:tc>
          <w:tcPr>
            <w:tcW w:w="1385" w:type="dxa"/>
            <w:tcMar>
              <w:left w:w="57" w:type="dxa"/>
              <w:right w:w="57" w:type="dxa"/>
            </w:tcMar>
            <w:vAlign w:val="center"/>
          </w:tcPr>
          <w:p>
            <w:pPr>
              <w:tabs>
                <w:tab w:val="left" w:pos="8280"/>
              </w:tabs>
              <w:autoSpaceDE w:val="0"/>
              <w:autoSpaceDN w:val="0"/>
              <w:adjustRightInd w:val="0"/>
              <w:ind w:right="25"/>
              <w:jc w:val="center"/>
              <w:rPr>
                <w:rFonts w:hint="eastAsia" w:ascii="仿宋_GB2312" w:hAnsi="仿宋_GB2312" w:eastAsia="仿宋_GB2312" w:cs="仿宋_GB2312"/>
                <w:sz w:val="24"/>
              </w:rPr>
            </w:pPr>
            <w:r>
              <w:rPr>
                <w:rFonts w:hint="eastAsia" w:ascii="仿宋_GB2312" w:hAnsi="仿宋_GB2312" w:eastAsia="仿宋_GB2312" w:cs="仿宋_GB2312"/>
                <w:sz w:val="24"/>
              </w:rPr>
              <w:t>2元/人/年</w:t>
            </w:r>
          </w:p>
        </w:tc>
        <w:tc>
          <w:tcPr>
            <w:tcW w:w="980" w:type="dxa"/>
            <w:tcMar>
              <w:left w:w="57" w:type="dxa"/>
              <w:right w:w="57" w:type="dxa"/>
            </w:tcMar>
            <w:vAlign w:val="center"/>
          </w:tcPr>
          <w:p>
            <w:pPr>
              <w:tabs>
                <w:tab w:val="left" w:pos="8280"/>
              </w:tabs>
              <w:autoSpaceDE w:val="0"/>
              <w:autoSpaceDN w:val="0"/>
              <w:adjustRightInd w:val="0"/>
              <w:ind w:right="25"/>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1332.2</w:t>
            </w:r>
            <w:bookmarkStart w:id="148" w:name="_GoBack"/>
            <w:bookmarkEnd w:id="148"/>
            <w:r>
              <w:rPr>
                <w:rFonts w:hint="eastAsia" w:ascii="仿宋_GB2312" w:hAnsi="仿宋_GB2312" w:eastAsia="仿宋_GB2312" w:cs="仿宋_GB2312"/>
                <w:sz w:val="24"/>
              </w:rPr>
              <w:t>万元</w:t>
            </w:r>
          </w:p>
        </w:tc>
        <w:tc>
          <w:tcPr>
            <w:tcW w:w="1148" w:type="dxa"/>
            <w:tcMar>
              <w:left w:w="57" w:type="dxa"/>
              <w:right w:w="57" w:type="dxa"/>
            </w:tcMar>
            <w:vAlign w:val="center"/>
          </w:tcPr>
          <w:p>
            <w:pPr>
              <w:tabs>
                <w:tab w:val="left" w:pos="8280"/>
              </w:tabs>
              <w:autoSpaceDE w:val="0"/>
              <w:autoSpaceDN w:val="0"/>
              <w:adjustRightInd w:val="0"/>
              <w:ind w:right="25"/>
              <w:rPr>
                <w:rFonts w:hint="eastAsia" w:ascii="仿宋_GB2312" w:hAnsi="仿宋_GB2312" w:eastAsia="仿宋_GB2312" w:cs="仿宋_GB2312"/>
                <w:sz w:val="24"/>
              </w:rPr>
            </w:pPr>
            <w:r>
              <w:rPr>
                <w:rFonts w:hint="eastAsia" w:ascii="仿宋_GB2312" w:hAnsi="仿宋_GB2312" w:eastAsia="仿宋_GB2312" w:cs="仿宋_GB2312"/>
                <w:sz w:val="24"/>
              </w:rPr>
              <w:t>一年，且本保单遗留索赔事件处理完成为止。</w:t>
            </w:r>
          </w:p>
        </w:tc>
        <w:tc>
          <w:tcPr>
            <w:tcW w:w="686" w:type="dxa"/>
            <w:tcMar>
              <w:left w:w="57" w:type="dxa"/>
              <w:right w:w="57" w:type="dxa"/>
            </w:tcMar>
            <w:vAlign w:val="center"/>
          </w:tcPr>
          <w:p>
            <w:pPr>
              <w:tabs>
                <w:tab w:val="left" w:pos="8280"/>
              </w:tabs>
              <w:autoSpaceDE w:val="0"/>
              <w:autoSpaceDN w:val="0"/>
              <w:adjustRightInd w:val="0"/>
              <w:ind w:right="25"/>
              <w:jc w:val="center"/>
              <w:rPr>
                <w:rFonts w:hint="eastAsia" w:ascii="仿宋_GB2312" w:hAnsi="仿宋_GB2312" w:eastAsia="仿宋_GB2312" w:cs="仿宋_GB2312"/>
                <w:sz w:val="24"/>
              </w:rPr>
            </w:pPr>
            <w:r>
              <w:rPr>
                <w:rFonts w:hint="eastAsia" w:ascii="仿宋_GB2312" w:hAnsi="仿宋_GB2312" w:eastAsia="仿宋_GB2312" w:cs="仿宋_GB2312"/>
                <w:sz w:val="24"/>
              </w:rPr>
              <w:t>台州</w:t>
            </w:r>
          </w:p>
        </w:tc>
      </w:tr>
    </w:tbl>
    <w:p>
      <w:pPr>
        <w:pStyle w:val="4"/>
        <w:tabs>
          <w:tab w:val="left" w:pos="8280"/>
        </w:tabs>
        <w:spacing w:afterLines="50" w:line="500" w:lineRule="exact"/>
        <w:rPr>
          <w:rFonts w:hint="eastAsia" w:ascii="黑体" w:hAnsi="黑体" w:eastAsia="黑体" w:cs="黑体"/>
          <w:b w:val="0"/>
          <w:bCs/>
          <w:color w:val="000000"/>
          <w:sz w:val="24"/>
        </w:rPr>
      </w:pPr>
      <w:r>
        <w:rPr>
          <w:rFonts w:hint="eastAsia" w:ascii="黑体" w:hAnsi="黑体" w:eastAsia="黑体" w:cs="黑体"/>
          <w:b w:val="0"/>
          <w:bCs/>
          <w:color w:val="000000"/>
          <w:sz w:val="24"/>
        </w:rPr>
        <w:t>202</w:t>
      </w:r>
      <w:r>
        <w:rPr>
          <w:rFonts w:hint="eastAsia" w:ascii="黑体" w:hAnsi="黑体" w:eastAsia="黑体" w:cs="黑体"/>
          <w:b w:val="0"/>
          <w:bCs/>
          <w:color w:val="000000"/>
          <w:sz w:val="24"/>
          <w:lang w:val="en-US" w:eastAsia="zh-CN"/>
        </w:rPr>
        <w:t>1</w:t>
      </w:r>
      <w:r>
        <w:rPr>
          <w:rFonts w:hint="eastAsia" w:ascii="黑体" w:hAnsi="黑体" w:eastAsia="黑体" w:cs="黑体"/>
          <w:b w:val="0"/>
          <w:bCs/>
          <w:color w:val="000000"/>
          <w:sz w:val="24"/>
        </w:rPr>
        <w:t>年台州市区及各县（市）常住人口统计表（供参考）</w:t>
      </w:r>
    </w:p>
    <w:tbl>
      <w:tblPr>
        <w:tblStyle w:val="21"/>
        <w:tblW w:w="99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0"/>
        <w:gridCol w:w="920"/>
        <w:gridCol w:w="920"/>
        <w:gridCol w:w="921"/>
        <w:gridCol w:w="917"/>
        <w:gridCol w:w="868"/>
        <w:gridCol w:w="942"/>
        <w:gridCol w:w="892"/>
        <w:gridCol w:w="884"/>
        <w:gridCol w:w="875"/>
        <w:gridCol w:w="8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81" w:type="dxa"/>
            <w:gridSpan w:val="4"/>
            <w:tcBorders>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台州市区</w:t>
            </w:r>
          </w:p>
        </w:tc>
        <w:tc>
          <w:tcPr>
            <w:tcW w:w="917" w:type="dxa"/>
            <w:vMerge w:val="restart"/>
            <w:tcBorders>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临海</w:t>
            </w:r>
          </w:p>
        </w:tc>
        <w:tc>
          <w:tcPr>
            <w:tcW w:w="868" w:type="dxa"/>
            <w:vMerge w:val="restart"/>
            <w:tcBorders>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温岭</w:t>
            </w:r>
          </w:p>
        </w:tc>
        <w:tc>
          <w:tcPr>
            <w:tcW w:w="942" w:type="dxa"/>
            <w:vMerge w:val="restart"/>
            <w:tcBorders>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玉环</w:t>
            </w:r>
          </w:p>
        </w:tc>
        <w:tc>
          <w:tcPr>
            <w:tcW w:w="892" w:type="dxa"/>
            <w:vMerge w:val="restart"/>
            <w:tcBorders>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天台</w:t>
            </w:r>
          </w:p>
        </w:tc>
        <w:tc>
          <w:tcPr>
            <w:tcW w:w="884" w:type="dxa"/>
            <w:vMerge w:val="restart"/>
            <w:tcBorders>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仙居</w:t>
            </w:r>
          </w:p>
        </w:tc>
        <w:tc>
          <w:tcPr>
            <w:tcW w:w="875" w:type="dxa"/>
            <w:vMerge w:val="restart"/>
            <w:tcBorders>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三门</w:t>
            </w:r>
          </w:p>
        </w:tc>
        <w:tc>
          <w:tcPr>
            <w:tcW w:w="859" w:type="dxa"/>
            <w:vMerge w:val="restart"/>
            <w:tcBorders>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b/>
                <w:bCs/>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0" w:type="dxa"/>
            <w:tcBorders>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椒江</w:t>
            </w:r>
          </w:p>
        </w:tc>
        <w:tc>
          <w:tcPr>
            <w:tcW w:w="920" w:type="dxa"/>
            <w:tcBorders>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黄岩</w:t>
            </w:r>
          </w:p>
        </w:tc>
        <w:tc>
          <w:tcPr>
            <w:tcW w:w="920" w:type="dxa"/>
            <w:tcBorders>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路桥</w:t>
            </w:r>
          </w:p>
        </w:tc>
        <w:tc>
          <w:tcPr>
            <w:tcW w:w="921" w:type="dxa"/>
            <w:tcBorders>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b/>
                <w:bCs/>
              </w:rPr>
              <w:t>小计</w:t>
            </w:r>
          </w:p>
        </w:tc>
        <w:tc>
          <w:tcPr>
            <w:tcW w:w="917" w:type="dxa"/>
            <w:vMerge w:val="continue"/>
            <w:tcBorders>
              <w:tl2br w:val="nil"/>
              <w:tr2bl w:val="nil"/>
            </w:tcBorders>
            <w:vAlign w:val="center"/>
          </w:tcPr>
          <w:p>
            <w:pPr>
              <w:jc w:val="center"/>
              <w:rPr>
                <w:rFonts w:hint="eastAsia" w:ascii="仿宋_GB2312" w:hAnsi="仿宋_GB2312" w:eastAsia="仿宋_GB2312" w:cs="仿宋_GB2312"/>
              </w:rPr>
            </w:pPr>
          </w:p>
        </w:tc>
        <w:tc>
          <w:tcPr>
            <w:tcW w:w="868" w:type="dxa"/>
            <w:vMerge w:val="continue"/>
            <w:tcBorders>
              <w:tl2br w:val="nil"/>
              <w:tr2bl w:val="nil"/>
            </w:tcBorders>
            <w:vAlign w:val="center"/>
          </w:tcPr>
          <w:p>
            <w:pPr>
              <w:jc w:val="center"/>
              <w:rPr>
                <w:rFonts w:hint="eastAsia" w:ascii="仿宋_GB2312" w:hAnsi="仿宋_GB2312" w:eastAsia="仿宋_GB2312" w:cs="仿宋_GB2312"/>
              </w:rPr>
            </w:pPr>
          </w:p>
        </w:tc>
        <w:tc>
          <w:tcPr>
            <w:tcW w:w="942" w:type="dxa"/>
            <w:vMerge w:val="continue"/>
            <w:tcBorders>
              <w:tl2br w:val="nil"/>
              <w:tr2bl w:val="nil"/>
            </w:tcBorders>
            <w:vAlign w:val="center"/>
          </w:tcPr>
          <w:p>
            <w:pPr>
              <w:jc w:val="center"/>
              <w:rPr>
                <w:rFonts w:hint="eastAsia" w:ascii="仿宋_GB2312" w:hAnsi="仿宋_GB2312" w:eastAsia="仿宋_GB2312" w:cs="仿宋_GB2312"/>
              </w:rPr>
            </w:pPr>
          </w:p>
        </w:tc>
        <w:tc>
          <w:tcPr>
            <w:tcW w:w="892" w:type="dxa"/>
            <w:vMerge w:val="continue"/>
            <w:tcBorders>
              <w:tl2br w:val="nil"/>
              <w:tr2bl w:val="nil"/>
            </w:tcBorders>
            <w:vAlign w:val="center"/>
          </w:tcPr>
          <w:p>
            <w:pPr>
              <w:jc w:val="center"/>
              <w:rPr>
                <w:rFonts w:hint="eastAsia" w:ascii="仿宋_GB2312" w:hAnsi="仿宋_GB2312" w:eastAsia="仿宋_GB2312" w:cs="仿宋_GB2312"/>
              </w:rPr>
            </w:pPr>
          </w:p>
        </w:tc>
        <w:tc>
          <w:tcPr>
            <w:tcW w:w="884" w:type="dxa"/>
            <w:vMerge w:val="continue"/>
            <w:tcBorders>
              <w:tl2br w:val="nil"/>
              <w:tr2bl w:val="nil"/>
            </w:tcBorders>
            <w:vAlign w:val="center"/>
          </w:tcPr>
          <w:p>
            <w:pPr>
              <w:jc w:val="center"/>
              <w:rPr>
                <w:rFonts w:hint="eastAsia" w:ascii="仿宋_GB2312" w:hAnsi="仿宋_GB2312" w:eastAsia="仿宋_GB2312" w:cs="仿宋_GB2312"/>
              </w:rPr>
            </w:pPr>
          </w:p>
        </w:tc>
        <w:tc>
          <w:tcPr>
            <w:tcW w:w="875" w:type="dxa"/>
            <w:vMerge w:val="continue"/>
            <w:tcBorders>
              <w:tl2br w:val="nil"/>
              <w:tr2bl w:val="nil"/>
            </w:tcBorders>
            <w:vAlign w:val="center"/>
          </w:tcPr>
          <w:p>
            <w:pPr>
              <w:jc w:val="center"/>
              <w:rPr>
                <w:rFonts w:hint="eastAsia" w:ascii="仿宋_GB2312" w:hAnsi="仿宋_GB2312" w:eastAsia="仿宋_GB2312" w:cs="仿宋_GB2312"/>
              </w:rPr>
            </w:pPr>
          </w:p>
        </w:tc>
        <w:tc>
          <w:tcPr>
            <w:tcW w:w="859" w:type="dxa"/>
            <w:vMerge w:val="continue"/>
            <w:tcBorders>
              <w:tl2br w:val="nil"/>
              <w:tr2bl w:val="nil"/>
            </w:tcBorders>
            <w:vAlign w:val="center"/>
          </w:tcPr>
          <w:p>
            <w:pPr>
              <w:jc w:val="center"/>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0" w:type="dxa"/>
            <w:tcBorders>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b/>
              </w:rPr>
              <w:t>8</w:t>
            </w:r>
            <w:r>
              <w:rPr>
                <w:rFonts w:hint="eastAsia" w:ascii="仿宋_GB2312" w:hAnsi="仿宋_GB2312" w:eastAsia="仿宋_GB2312" w:cs="仿宋_GB2312"/>
                <w:b/>
                <w:lang w:val="en-US" w:eastAsia="zh-CN"/>
              </w:rPr>
              <w:t>4</w:t>
            </w:r>
            <w:r>
              <w:rPr>
                <w:rFonts w:hint="eastAsia" w:ascii="仿宋_GB2312" w:hAnsi="仿宋_GB2312" w:eastAsia="仿宋_GB2312" w:cs="仿宋_GB2312"/>
                <w:b/>
              </w:rPr>
              <w:t>.6</w:t>
            </w:r>
          </w:p>
        </w:tc>
        <w:tc>
          <w:tcPr>
            <w:tcW w:w="920"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b/>
                <w:lang w:val="en-US" w:eastAsia="zh-CN"/>
              </w:rPr>
              <w:t>71.3</w:t>
            </w:r>
          </w:p>
        </w:tc>
        <w:tc>
          <w:tcPr>
            <w:tcW w:w="920"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b/>
                <w:lang w:val="en-US" w:eastAsia="zh-CN"/>
              </w:rPr>
              <w:t>63.3</w:t>
            </w:r>
          </w:p>
        </w:tc>
        <w:tc>
          <w:tcPr>
            <w:tcW w:w="921" w:type="dxa"/>
            <w:tcBorders>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b/>
                <w:bCs/>
              </w:rPr>
              <w:t>21</w:t>
            </w:r>
            <w:r>
              <w:rPr>
                <w:rFonts w:hint="eastAsia" w:ascii="仿宋_GB2312" w:hAnsi="仿宋_GB2312" w:eastAsia="仿宋_GB2312" w:cs="仿宋_GB2312"/>
                <w:b/>
                <w:bCs/>
                <w:lang w:val="en-US" w:eastAsia="zh-CN"/>
              </w:rPr>
              <w:t>9</w:t>
            </w:r>
            <w:r>
              <w:rPr>
                <w:rFonts w:hint="eastAsia" w:ascii="仿宋_GB2312" w:hAnsi="仿宋_GB2312" w:eastAsia="仿宋_GB2312" w:cs="仿宋_GB2312"/>
                <w:b/>
                <w:bCs/>
              </w:rPr>
              <w:t>.2</w:t>
            </w:r>
          </w:p>
        </w:tc>
        <w:tc>
          <w:tcPr>
            <w:tcW w:w="917" w:type="dxa"/>
            <w:tcBorders>
              <w:tl2br w:val="nil"/>
              <w:tr2bl w:val="nil"/>
            </w:tcBorders>
            <w:vAlign w:val="center"/>
          </w:tcPr>
          <w:p>
            <w:pPr>
              <w:jc w:val="center"/>
              <w:rPr>
                <w:rFonts w:hint="eastAsia" w:ascii="仿宋_GB2312" w:hAnsi="仿宋_GB2312" w:eastAsia="仿宋_GB2312" w:cs="仿宋_GB2312"/>
                <w:lang w:eastAsia="zh-CN"/>
              </w:rPr>
            </w:pPr>
            <w:r>
              <w:rPr>
                <w:rFonts w:hint="eastAsia" w:ascii="仿宋_GB2312" w:hAnsi="仿宋_GB2312" w:eastAsia="仿宋_GB2312" w:cs="仿宋_GB2312"/>
                <w:b/>
              </w:rPr>
              <w:t>111.</w:t>
            </w:r>
            <w:r>
              <w:rPr>
                <w:rFonts w:hint="eastAsia" w:ascii="仿宋_GB2312" w:hAnsi="仿宋_GB2312" w:eastAsia="仿宋_GB2312" w:cs="仿宋_GB2312"/>
                <w:b/>
                <w:lang w:val="en-US" w:eastAsia="zh-CN"/>
              </w:rPr>
              <w:t>7</w:t>
            </w:r>
          </w:p>
        </w:tc>
        <w:tc>
          <w:tcPr>
            <w:tcW w:w="868"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b/>
              </w:rPr>
              <w:t>14</w:t>
            </w:r>
            <w:r>
              <w:rPr>
                <w:rFonts w:hint="eastAsia" w:ascii="仿宋_GB2312" w:hAnsi="仿宋_GB2312" w:eastAsia="仿宋_GB2312" w:cs="仿宋_GB2312"/>
                <w:b/>
                <w:lang w:val="en-US" w:eastAsia="zh-CN"/>
              </w:rPr>
              <w:t>2.5</w:t>
            </w:r>
          </w:p>
        </w:tc>
        <w:tc>
          <w:tcPr>
            <w:tcW w:w="942" w:type="dxa"/>
            <w:tcBorders>
              <w:tl2br w:val="nil"/>
              <w:tr2bl w:val="nil"/>
            </w:tcBorders>
            <w:vAlign w:val="center"/>
          </w:tcPr>
          <w:p>
            <w:pPr>
              <w:jc w:val="center"/>
              <w:rPr>
                <w:rFonts w:hint="eastAsia" w:ascii="仿宋_GB2312" w:hAnsi="仿宋_GB2312" w:eastAsia="仿宋_GB2312" w:cs="仿宋_GB2312"/>
                <w:lang w:eastAsia="zh-CN"/>
              </w:rPr>
            </w:pPr>
            <w:r>
              <w:rPr>
                <w:rFonts w:hint="eastAsia" w:ascii="仿宋_GB2312" w:hAnsi="仿宋_GB2312" w:eastAsia="仿宋_GB2312" w:cs="仿宋_GB2312"/>
                <w:b/>
              </w:rPr>
              <w:t>64.</w:t>
            </w:r>
            <w:r>
              <w:rPr>
                <w:rFonts w:hint="eastAsia" w:ascii="仿宋_GB2312" w:hAnsi="仿宋_GB2312" w:eastAsia="仿宋_GB2312" w:cs="仿宋_GB2312"/>
                <w:b/>
                <w:lang w:val="en-US" w:eastAsia="zh-CN"/>
              </w:rPr>
              <w:t>8</w:t>
            </w:r>
          </w:p>
        </w:tc>
        <w:tc>
          <w:tcPr>
            <w:tcW w:w="892"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b/>
              </w:rPr>
              <w:t>47</w:t>
            </w:r>
            <w:r>
              <w:rPr>
                <w:rFonts w:hint="eastAsia" w:ascii="仿宋_GB2312" w:hAnsi="仿宋_GB2312" w:eastAsia="仿宋_GB2312" w:cs="仿宋_GB2312"/>
                <w:b/>
                <w:lang w:val="en-US" w:eastAsia="zh-CN"/>
              </w:rPr>
              <w:t>.0</w:t>
            </w:r>
          </w:p>
        </w:tc>
        <w:tc>
          <w:tcPr>
            <w:tcW w:w="884"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b/>
              </w:rPr>
              <w:t>43</w:t>
            </w:r>
            <w:r>
              <w:rPr>
                <w:rFonts w:hint="eastAsia" w:ascii="仿宋_GB2312" w:hAnsi="仿宋_GB2312" w:eastAsia="仿宋_GB2312" w:cs="仿宋_GB2312"/>
                <w:b/>
                <w:lang w:val="en-US" w:eastAsia="zh-CN"/>
              </w:rPr>
              <w:t>.0</w:t>
            </w:r>
          </w:p>
        </w:tc>
        <w:tc>
          <w:tcPr>
            <w:tcW w:w="875" w:type="dxa"/>
            <w:tcBorders>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b/>
              </w:rPr>
              <w:t>37.9</w:t>
            </w:r>
          </w:p>
        </w:tc>
        <w:tc>
          <w:tcPr>
            <w:tcW w:w="859"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b/>
                <w:bCs/>
              </w:rPr>
              <w:t>66</w:t>
            </w:r>
            <w:r>
              <w:rPr>
                <w:rFonts w:hint="eastAsia" w:ascii="仿宋_GB2312" w:hAnsi="仿宋_GB2312" w:eastAsia="仿宋_GB2312" w:cs="仿宋_GB2312"/>
                <w:b/>
                <w:bCs/>
                <w:lang w:val="en-US" w:eastAsia="zh-CN"/>
              </w:rPr>
              <w:t>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18" w:type="dxa"/>
            <w:gridSpan w:val="11"/>
            <w:tcBorders>
              <w:tl2br w:val="nil"/>
              <w:tr2bl w:val="nil"/>
            </w:tcBorders>
            <w:vAlign w:val="center"/>
          </w:tcPr>
          <w:p>
            <w:pPr>
              <w:jc w:val="right"/>
            </w:pPr>
            <w:r>
              <w:rPr>
                <w:rFonts w:hint="eastAsia"/>
              </w:rPr>
              <w:t>数据来源：台州市统计局</w:t>
            </w:r>
          </w:p>
        </w:tc>
      </w:tr>
    </w:tbl>
    <w:p>
      <w:pPr>
        <w:tabs>
          <w:tab w:val="left" w:pos="8280"/>
        </w:tabs>
        <w:autoSpaceDE w:val="0"/>
        <w:autoSpaceDN w:val="0"/>
        <w:adjustRightInd w:val="0"/>
        <w:spacing w:line="360" w:lineRule="auto"/>
        <w:ind w:right="25"/>
        <w:outlineLvl w:val="1"/>
        <w:rPr>
          <w:rFonts w:hint="eastAsia" w:ascii="宋体" w:hAnsi="宋体" w:eastAsia="宋体" w:cs="宋体"/>
          <w:b/>
          <w:sz w:val="24"/>
          <w:szCs w:val="24"/>
        </w:rPr>
      </w:pPr>
      <w:r>
        <w:rPr>
          <w:rFonts w:hint="eastAsia" w:ascii="宋体" w:hAnsi="宋体" w:eastAsia="宋体" w:cs="宋体"/>
          <w:b/>
          <w:sz w:val="24"/>
          <w:szCs w:val="24"/>
        </w:rPr>
        <w:t>二、</w:t>
      </w:r>
      <w:bookmarkEnd w:id="88"/>
      <w:bookmarkEnd w:id="89"/>
      <w:r>
        <w:rPr>
          <w:rFonts w:hint="eastAsia" w:ascii="宋体" w:hAnsi="宋体" w:eastAsia="宋体" w:cs="宋体"/>
          <w:b/>
          <w:sz w:val="24"/>
          <w:szCs w:val="24"/>
        </w:rPr>
        <w:t>采购项目情况说明</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（一）</w:t>
      </w:r>
      <w:r>
        <w:rPr>
          <w:rFonts w:hint="eastAsia" w:ascii="宋体" w:hAnsi="宋体" w:eastAsia="宋体" w:cs="宋体"/>
          <w:sz w:val="24"/>
          <w:szCs w:val="24"/>
        </w:rPr>
        <w:t>保险责任范围</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保险保障对象为台州市行政区域范围内的所有人员，包括常住人口、部队驻军以及来台州出差、旅游、探亲、就学、工作、抢险救灾等其他人员。</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在台州市行政区域内，因下列原因造成人身伤害，且无法明确责任主体或责任主体无力赔偿或需由政府救助（赔付）的，</w:t>
      </w:r>
      <w:r>
        <w:rPr>
          <w:rFonts w:hint="eastAsia" w:ascii="宋体" w:hAnsi="宋体" w:eastAsia="宋体" w:cs="宋体"/>
          <w:sz w:val="24"/>
          <w:szCs w:val="24"/>
          <w:lang w:eastAsia="zh-CN"/>
        </w:rPr>
        <w:t>中标人</w:t>
      </w:r>
      <w:r>
        <w:rPr>
          <w:rFonts w:hint="eastAsia" w:ascii="宋体" w:hAnsi="宋体" w:eastAsia="宋体" w:cs="宋体"/>
          <w:sz w:val="24"/>
          <w:szCs w:val="24"/>
        </w:rPr>
        <w:t>应按约定的赔偿金额给予赔付：</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火灾爆炸。因公共场所及居民住宅发生火灾、爆炸事故导致人身伤亡。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自然灾害（含窨井盖吞噬）。因台风、大风（龙卷风）、暴雨、雷电、洪水、暴雪、风暴潮、山洪、地质灾害、冰雹灾害造成人身伤亡。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恶性公共事件。因发生危害公共安全的犯罪事件导致人身伤亡。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恐怖活动。因发生恐怖袭击事件导致人身伤亡。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拥挤踩踏。在群众性活动中因发生拥挤、踩踏事故导致人身伤亡。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高空坠物伤人。在机关事业单位及其他政府公共设施和区域因高空坠物导致人身伤亡。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rPr>
        <w:t>精神病人伤人。因遭受精神病人伤害导致人身伤亡。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w:t>
      </w:r>
      <w:r>
        <w:rPr>
          <w:rFonts w:hint="eastAsia" w:ascii="宋体" w:hAnsi="宋体" w:eastAsia="宋体" w:cs="宋体"/>
          <w:sz w:val="24"/>
          <w:szCs w:val="24"/>
        </w:rPr>
        <w:t>野生动物伤害。因遭受野生动物伤害导致人身伤亡（野生动物园动物伤害除外）。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w:t>
      </w:r>
      <w:r>
        <w:rPr>
          <w:rFonts w:hint="eastAsia" w:ascii="宋体" w:hAnsi="宋体" w:eastAsia="宋体" w:cs="宋体"/>
          <w:sz w:val="24"/>
          <w:szCs w:val="24"/>
        </w:rPr>
        <w:t>渡船交通事故。因渡船发生碰撞、倾覆、沉没等导致人身伤亡。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w:t>
      </w:r>
      <w:r>
        <w:rPr>
          <w:rFonts w:hint="eastAsia" w:ascii="宋体" w:hAnsi="宋体" w:eastAsia="宋体" w:cs="宋体"/>
          <w:sz w:val="24"/>
          <w:szCs w:val="24"/>
        </w:rPr>
        <w:t>抢险救灾（含见义勇为）。因见义勇为行为导致人身伤亡（经县级及以上公安机关认定）；或在上述灾害事件中抢险救灾、灾情处置人员因抢险救灾和灾情处置导致人身伤亡。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11</w:t>
      </w:r>
      <w:r>
        <w:rPr>
          <w:rFonts w:hint="eastAsia" w:ascii="宋体" w:hAnsi="宋体" w:eastAsia="宋体" w:cs="宋体"/>
          <w:sz w:val="24"/>
          <w:szCs w:val="24"/>
          <w:lang w:eastAsia="zh-CN"/>
        </w:rPr>
        <w:t>）</w:t>
      </w:r>
      <w:r>
        <w:rPr>
          <w:rFonts w:hint="eastAsia" w:ascii="宋体" w:hAnsi="宋体" w:eastAsia="宋体" w:cs="宋体"/>
          <w:sz w:val="24"/>
          <w:szCs w:val="24"/>
        </w:rPr>
        <w:t>执法伤害。公职人员在执行公务过程中</w:t>
      </w:r>
      <w:r>
        <w:rPr>
          <w:rFonts w:hint="eastAsia" w:ascii="宋体" w:hAnsi="宋体" w:eastAsia="宋体" w:cs="宋体"/>
          <w:sz w:val="24"/>
          <w:szCs w:val="24"/>
          <w:lang w:eastAsia="zh-CN"/>
        </w:rPr>
        <w:t>因意外或疏忽，造成</w:t>
      </w:r>
      <w:r>
        <w:rPr>
          <w:rFonts w:hint="eastAsia" w:ascii="宋体" w:hAnsi="宋体" w:cs="宋体"/>
          <w:sz w:val="24"/>
          <w:szCs w:val="24"/>
          <w:lang w:eastAsia="zh-CN"/>
        </w:rPr>
        <w:t>本人或他人</w:t>
      </w:r>
      <w:r>
        <w:rPr>
          <w:rFonts w:hint="eastAsia" w:ascii="宋体" w:hAnsi="宋体" w:cs="宋体"/>
          <w:sz w:val="24"/>
          <w:szCs w:val="24"/>
          <w:lang w:val="en-US" w:eastAsia="zh-CN"/>
        </w:rPr>
        <w:t>人身</w:t>
      </w:r>
      <w:r>
        <w:rPr>
          <w:rFonts w:hint="eastAsia" w:ascii="宋体" w:hAnsi="宋体" w:eastAsia="宋体" w:cs="宋体"/>
          <w:sz w:val="24"/>
          <w:szCs w:val="24"/>
          <w:lang w:eastAsia="zh-CN"/>
        </w:rPr>
        <w:t>伤亡或财产损失</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（12）</w:t>
      </w:r>
      <w:r>
        <w:rPr>
          <w:rFonts w:hint="eastAsia" w:ascii="宋体" w:hAnsi="宋体" w:eastAsia="宋体" w:cs="宋体"/>
          <w:kern w:val="2"/>
          <w:sz w:val="24"/>
          <w:szCs w:val="24"/>
          <w:lang w:val="en-US" w:eastAsia="zh-CN" w:bidi="ar-SA"/>
        </w:rPr>
        <w:t>重大矛盾纠纷调解。因发生非正常伤亡而产生重大矛盾纠纷的。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（13）其他重大公共安全风险。重大矛盾纠纷经评估可能引发重大公共安全风险的。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en-US" w:eastAsia="zh-CN" w:bidi="ar-SA"/>
        </w:rPr>
        <w:t>（14）</w:t>
      </w:r>
      <w:r>
        <w:rPr>
          <w:rFonts w:hint="eastAsia" w:ascii="宋体" w:hAnsi="宋体" w:eastAsia="宋体" w:cs="宋体"/>
          <w:kern w:val="2"/>
          <w:sz w:val="24"/>
          <w:szCs w:val="24"/>
          <w:lang w:val="zh-CN" w:eastAsia="zh-CN" w:bidi="ar-SA"/>
        </w:rPr>
        <w:t>项目保障。中标人不得将本项目非法分包或转包给任何单位和个人，否则，采购人有权即刻终止合同，并要求中标人赔偿相应损失。</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本保险责任范围涉及“公共场所”、“重大恶性公共事件”、“恐怖袭击”、“政府公共设施和区域”、“渡船”等相关概念按照</w:t>
      </w:r>
      <w:r>
        <w:rPr>
          <w:rFonts w:hint="eastAsia" w:ascii="宋体" w:hAnsi="宋体" w:eastAsia="宋体" w:cs="宋体"/>
          <w:sz w:val="24"/>
          <w:szCs w:val="24"/>
          <w:lang w:eastAsia="zh-CN"/>
        </w:rPr>
        <w:t>“</w:t>
      </w:r>
      <w:r>
        <w:rPr>
          <w:rFonts w:hint="eastAsia" w:ascii="宋体" w:hAnsi="宋体" w:eastAsia="宋体" w:cs="宋体"/>
          <w:sz w:val="24"/>
          <w:szCs w:val="24"/>
        </w:rPr>
        <w:t>附件一</w:t>
      </w:r>
      <w:r>
        <w:rPr>
          <w:rFonts w:hint="eastAsia" w:ascii="宋体" w:hAnsi="宋体" w:eastAsia="宋体" w:cs="宋体"/>
          <w:sz w:val="24"/>
          <w:szCs w:val="24"/>
          <w:lang w:eastAsia="zh-CN"/>
        </w:rPr>
        <w:t>”</w:t>
      </w:r>
      <w:r>
        <w:rPr>
          <w:rFonts w:hint="eastAsia" w:ascii="宋体" w:hAnsi="宋体" w:eastAsia="宋体" w:cs="宋体"/>
          <w:sz w:val="24"/>
          <w:szCs w:val="24"/>
        </w:rPr>
        <w:t>说明。</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保险保障水平</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人身伤亡保障金额最高每人20万元；医疗费用保障金额最高每人2万元，其中免赔额为2000元。人员残疾的，按照中国保险行业协会发布的《人身保险伤残评定标准》（中保协发〔2013〕88号）规定的等级进行偿付。</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保险期内，单次事故保障总额最高为2000万元，全年累计保障总额为5亿元。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本保险赔偿具有救助、补偿性质，死亡、伤残赔偿不影响其他商业性保险赔偿；医疗费用的赔偿按照损失补偿原则予以赔偿。</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（三）</w:t>
      </w:r>
      <w:r>
        <w:rPr>
          <w:rFonts w:hint="eastAsia" w:ascii="宋体" w:hAnsi="宋体" w:eastAsia="宋体" w:cs="宋体"/>
          <w:sz w:val="24"/>
          <w:szCs w:val="24"/>
        </w:rPr>
        <w:t>理赔</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1.出险报案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本保险可由投保人报案，也可由乡镇（街道）综治机构直接报案</w:t>
      </w:r>
      <w:r>
        <w:rPr>
          <w:rFonts w:hint="eastAsia" w:ascii="宋体" w:hAnsi="宋体" w:eastAsia="宋体" w:cs="宋体"/>
          <w:sz w:val="24"/>
          <w:szCs w:val="24"/>
          <w:lang w:val="zh-TW"/>
        </w:rPr>
        <w:t>，</w:t>
      </w:r>
      <w:r>
        <w:rPr>
          <w:rFonts w:hint="eastAsia" w:ascii="宋体" w:hAnsi="宋体" w:eastAsia="宋体" w:cs="宋体"/>
          <w:sz w:val="24"/>
          <w:szCs w:val="24"/>
          <w:lang w:val="zh-TW" w:eastAsia="zh-TW"/>
        </w:rPr>
        <w:t>重大事故可由县（市、区）</w:t>
      </w:r>
      <w:r>
        <w:rPr>
          <w:rFonts w:hint="eastAsia" w:ascii="宋体" w:hAnsi="宋体" w:eastAsia="宋体" w:cs="宋体"/>
          <w:sz w:val="24"/>
          <w:szCs w:val="24"/>
        </w:rPr>
        <w:t>委政法委</w:t>
      </w:r>
      <w:r>
        <w:rPr>
          <w:rFonts w:hint="eastAsia" w:ascii="宋体" w:hAnsi="宋体" w:eastAsia="宋体" w:cs="宋体"/>
          <w:sz w:val="24"/>
          <w:szCs w:val="24"/>
          <w:lang w:val="zh-TW" w:eastAsia="zh-TW"/>
        </w:rPr>
        <w:t>直接向保险公司报案。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保险人严格执行365天、24小时的全天候接报案制度。接报案后保险人理赔服务团队成员接到报案后，将马上给出处理意见，并回复是否需要前往现场查勘、是否需要保留现场。若无法保留第一现场，保险人告知出险单位拍摄较为全面的事故现场照片或录像，准备书面事故报告等，</w:t>
      </w:r>
      <w:r>
        <w:rPr>
          <w:rFonts w:hint="eastAsia" w:ascii="宋体" w:hAnsi="宋体" w:eastAsia="宋体" w:cs="宋体"/>
          <w:sz w:val="24"/>
          <w:szCs w:val="24"/>
          <w:lang w:val="en-US" w:eastAsia="zh-CN"/>
        </w:rPr>
        <w:t>以</w:t>
      </w:r>
      <w:r>
        <w:rPr>
          <w:rFonts w:hint="eastAsia" w:ascii="宋体" w:hAnsi="宋体" w:eastAsia="宋体" w:cs="宋体"/>
          <w:sz w:val="24"/>
          <w:szCs w:val="24"/>
          <w:lang w:val="zh-TW" w:eastAsia="zh-TW"/>
        </w:rPr>
        <w:t>备后期赔案处理使用。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eastAsia="zh-TW"/>
        </w:rPr>
      </w:pPr>
      <w:r>
        <w:rPr>
          <w:rFonts w:hint="eastAsia" w:ascii="宋体" w:hAnsi="宋体" w:eastAsia="宋体" w:cs="宋体"/>
          <w:sz w:val="24"/>
          <w:szCs w:val="24"/>
        </w:rPr>
        <w:t>2.现场</w:t>
      </w:r>
      <w:r>
        <w:rPr>
          <w:rFonts w:hint="eastAsia" w:ascii="宋体" w:hAnsi="宋体" w:eastAsia="宋体" w:cs="宋体"/>
          <w:sz w:val="24"/>
          <w:szCs w:val="24"/>
          <w:lang w:eastAsia="zh-CN"/>
        </w:rPr>
        <w:t>查</w:t>
      </w:r>
      <w:r>
        <w:rPr>
          <w:rFonts w:hint="eastAsia" w:ascii="宋体" w:hAnsi="宋体" w:eastAsia="宋体" w:cs="宋体"/>
          <w:sz w:val="24"/>
          <w:szCs w:val="24"/>
        </w:rPr>
        <w:t>勘</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本保险理赔应适用快速处理程序。</w:t>
      </w:r>
      <w:r>
        <w:rPr>
          <w:rFonts w:hint="eastAsia" w:ascii="宋体" w:hAnsi="宋体" w:eastAsia="宋体" w:cs="宋体"/>
          <w:sz w:val="24"/>
          <w:szCs w:val="24"/>
          <w:lang w:val="en-US" w:eastAsia="zh-CN"/>
        </w:rPr>
        <w:t>对社会敏感案件、容易扩大舆情的案件</w:t>
      </w:r>
      <w:r>
        <w:rPr>
          <w:rFonts w:hint="eastAsia" w:ascii="宋体" w:hAnsi="宋体" w:eastAsia="宋体" w:cs="宋体"/>
          <w:sz w:val="24"/>
          <w:szCs w:val="24"/>
          <w:lang w:val="zh-TW" w:eastAsia="zh-CN"/>
        </w:rPr>
        <w:t>中标人</w:t>
      </w:r>
      <w:r>
        <w:rPr>
          <w:rFonts w:hint="eastAsia" w:ascii="宋体" w:hAnsi="宋体" w:eastAsia="宋体" w:cs="宋体"/>
          <w:sz w:val="24"/>
          <w:szCs w:val="24"/>
          <w:lang w:val="en-US" w:eastAsia="zh-CN"/>
        </w:rPr>
        <w:t>以事发地综治机构或市政法委及其下级相关单位出具的情况证明给与理赔，不再进行现场查勘，未经允许不与受害人（或家属）接触。采购人要求中标人主动介入的案件，中标人应积极配合采购人做好案件调查和调解工作。</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3.提供理赔资料</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en-US" w:eastAsia="zh-CN"/>
        </w:rPr>
        <w:t>采购人向中标人提供全市统一的《公共安全综合保险理赔调查表》，详细说明案件情况，政府认定的责任情形，索赔诉求以及接收赔款的账户信息，并加盖公章。盖章单位为市政法委及其下级相关单位（事发地综治机构没有独立印章的，认可所在街道、乡镇行政印章）。涉及人员死亡的一并提供死亡证明。中标人应根据上述资料完成理赔，特殊案件需要其他资料的，采购人将根据案情、舆情等情况酌情提供，中标人不得以索赔资料不全拖延赔付、拒绝赔付。</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4.索赔处理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本保险合同下发生赔案，</w:t>
      </w:r>
      <w:r>
        <w:rPr>
          <w:rFonts w:hint="eastAsia" w:ascii="宋体" w:hAnsi="宋体" w:eastAsia="宋体" w:cs="宋体"/>
          <w:sz w:val="24"/>
          <w:szCs w:val="24"/>
          <w:lang w:val="en-US" w:eastAsia="zh-CN"/>
        </w:rPr>
        <w:t>赔款</w:t>
      </w:r>
      <w:r>
        <w:rPr>
          <w:rFonts w:hint="eastAsia" w:ascii="宋体" w:hAnsi="宋体" w:eastAsia="宋体" w:cs="宋体"/>
          <w:sz w:val="24"/>
          <w:szCs w:val="24"/>
          <w:lang w:val="zh-TW" w:eastAsia="zh-TW"/>
        </w:rPr>
        <w:t>金额由保险人</w:t>
      </w:r>
      <w:r>
        <w:rPr>
          <w:rFonts w:hint="eastAsia" w:ascii="宋体" w:hAnsi="宋体" w:eastAsia="宋体" w:cs="宋体"/>
          <w:sz w:val="24"/>
          <w:szCs w:val="24"/>
          <w:lang w:val="en-US" w:eastAsia="zh-CN"/>
        </w:rPr>
        <w:t>根据采购人要求</w:t>
      </w:r>
      <w:r>
        <w:rPr>
          <w:rFonts w:hint="eastAsia" w:ascii="宋体" w:hAnsi="宋体" w:eastAsia="宋体" w:cs="宋体"/>
          <w:sz w:val="24"/>
          <w:szCs w:val="24"/>
          <w:lang w:val="zh-TW" w:eastAsia="zh-TW"/>
        </w:rPr>
        <w:t>支付给</w:t>
      </w:r>
      <w:r>
        <w:rPr>
          <w:rFonts w:hint="eastAsia" w:ascii="宋体" w:hAnsi="宋体" w:eastAsia="宋体" w:cs="宋体"/>
          <w:sz w:val="24"/>
          <w:szCs w:val="24"/>
          <w:lang w:val="zh-TW" w:eastAsia="zh-CN"/>
        </w:rPr>
        <w:t>采购人</w:t>
      </w:r>
      <w:r>
        <w:rPr>
          <w:rFonts w:hint="eastAsia" w:ascii="宋体" w:hAnsi="宋体" w:eastAsia="宋体" w:cs="宋体"/>
          <w:sz w:val="24"/>
          <w:szCs w:val="24"/>
          <w:lang w:val="zh-TW"/>
        </w:rPr>
        <w:t>指定的单位</w:t>
      </w:r>
      <w:r>
        <w:rPr>
          <w:rFonts w:hint="eastAsia" w:ascii="宋体" w:hAnsi="宋体" w:eastAsia="宋体" w:cs="宋体"/>
          <w:sz w:val="24"/>
          <w:szCs w:val="24"/>
          <w:lang w:val="zh-TW" w:eastAsia="zh-CN"/>
        </w:rPr>
        <w:t>或个人</w:t>
      </w:r>
      <w:r>
        <w:rPr>
          <w:rFonts w:hint="eastAsia" w:ascii="宋体" w:hAnsi="宋体" w:eastAsia="宋体" w:cs="宋体"/>
          <w:sz w:val="24"/>
          <w:szCs w:val="24"/>
          <w:lang w:val="zh-TW" w:eastAsia="zh-TW"/>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rPr>
        <w:t>5.</w:t>
      </w:r>
      <w:r>
        <w:rPr>
          <w:rFonts w:hint="eastAsia" w:ascii="宋体" w:hAnsi="宋体" w:eastAsia="宋体" w:cs="宋体"/>
          <w:sz w:val="24"/>
          <w:szCs w:val="24"/>
          <w:lang w:val="zh-TW" w:eastAsia="zh-TW"/>
        </w:rPr>
        <w:t>限时赔付承诺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当保险责任明确、损失金额明确，</w:t>
      </w:r>
      <w:r>
        <w:rPr>
          <w:rFonts w:hint="eastAsia" w:ascii="宋体" w:hAnsi="宋体" w:eastAsia="宋体" w:cs="宋体"/>
          <w:sz w:val="24"/>
          <w:szCs w:val="24"/>
          <w:lang w:val="zh-TW" w:eastAsia="zh-CN"/>
        </w:rPr>
        <w:t>中标人</w:t>
      </w:r>
      <w:r>
        <w:rPr>
          <w:rFonts w:hint="eastAsia" w:ascii="宋体" w:hAnsi="宋体" w:eastAsia="宋体" w:cs="宋体"/>
          <w:sz w:val="24"/>
          <w:szCs w:val="24"/>
          <w:lang w:val="zh-TW" w:eastAsia="zh-TW"/>
        </w:rPr>
        <w:t>应在理赔资料完备后</w:t>
      </w:r>
      <w:r>
        <w:rPr>
          <w:rFonts w:hint="eastAsia" w:ascii="宋体" w:hAnsi="宋体" w:eastAsia="宋体" w:cs="宋体"/>
          <w:sz w:val="24"/>
          <w:szCs w:val="24"/>
          <w:lang w:val="en-US" w:eastAsia="zh-CN"/>
        </w:rPr>
        <w:t>3</w:t>
      </w:r>
      <w:r>
        <w:rPr>
          <w:rFonts w:hint="eastAsia" w:ascii="宋体" w:hAnsi="宋体" w:eastAsia="宋体" w:cs="宋体"/>
          <w:sz w:val="24"/>
          <w:szCs w:val="24"/>
          <w:lang w:val="zh-TW" w:eastAsia="zh-TW"/>
        </w:rPr>
        <w:t>个工作日内支付赔款。涉及伤残的案件，</w:t>
      </w:r>
      <w:r>
        <w:rPr>
          <w:rFonts w:hint="eastAsia" w:ascii="宋体" w:hAnsi="宋体" w:eastAsia="宋体" w:cs="宋体"/>
          <w:sz w:val="24"/>
          <w:szCs w:val="24"/>
          <w:lang w:val="zh-TW"/>
        </w:rPr>
        <w:t>按照</w:t>
      </w:r>
      <w:r>
        <w:rPr>
          <w:rFonts w:hint="eastAsia" w:ascii="宋体" w:hAnsi="宋体" w:eastAsia="宋体" w:cs="宋体"/>
          <w:sz w:val="24"/>
          <w:szCs w:val="24"/>
          <w:lang w:val="zh-TW" w:eastAsia="zh-TW"/>
        </w:rPr>
        <w:t>中国保险行业协会发布的《人身保险伤残评定标准》（中保协发【2013】88号）规定的等级进行赔付；涉及死亡的案件，根据死亡证明赔付；</w:t>
      </w:r>
      <w:r>
        <w:rPr>
          <w:rFonts w:hint="eastAsia" w:ascii="宋体" w:hAnsi="宋体" w:eastAsia="宋体" w:cs="宋体"/>
          <w:sz w:val="24"/>
          <w:szCs w:val="24"/>
          <w:lang w:val="en-US" w:eastAsia="zh-CN"/>
        </w:rPr>
        <w:t>其他</w:t>
      </w:r>
      <w:r>
        <w:rPr>
          <w:rFonts w:hint="eastAsia" w:ascii="宋体" w:hAnsi="宋体" w:eastAsia="宋体" w:cs="宋体"/>
          <w:sz w:val="24"/>
          <w:szCs w:val="24"/>
          <w:lang w:val="zh-TW" w:eastAsia="zh-TW"/>
        </w:rPr>
        <w:t>需要条件认定的，经条件认定后赔付</w:t>
      </w:r>
      <w:r>
        <w:rPr>
          <w:rFonts w:hint="eastAsia" w:ascii="宋体" w:hAnsi="宋体" w:eastAsia="宋体" w:cs="宋体"/>
          <w:sz w:val="24"/>
          <w:szCs w:val="24"/>
          <w:lang w:val="zh-TW"/>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如</w:t>
      </w:r>
      <w:r>
        <w:rPr>
          <w:rFonts w:hint="eastAsia" w:ascii="宋体" w:hAnsi="宋体" w:eastAsia="宋体" w:cs="宋体"/>
          <w:sz w:val="24"/>
          <w:szCs w:val="24"/>
          <w:lang w:val="zh-TW" w:eastAsia="zh-CN"/>
        </w:rPr>
        <w:t>中标人</w:t>
      </w:r>
      <w:r>
        <w:rPr>
          <w:rFonts w:hint="eastAsia" w:ascii="宋体" w:hAnsi="宋体" w:eastAsia="宋体" w:cs="宋体"/>
          <w:sz w:val="24"/>
          <w:szCs w:val="24"/>
          <w:lang w:val="zh-TW" w:eastAsia="zh-TW"/>
        </w:rPr>
        <w:t>未能在上述约定的期限内履行赔付义务，则</w:t>
      </w:r>
      <w:r>
        <w:rPr>
          <w:rFonts w:hint="eastAsia" w:ascii="宋体" w:hAnsi="宋体" w:eastAsia="宋体" w:cs="宋体"/>
          <w:sz w:val="24"/>
          <w:szCs w:val="24"/>
          <w:lang w:val="zh-TW" w:eastAsia="zh-CN"/>
        </w:rPr>
        <w:t>采购人</w:t>
      </w:r>
      <w:r>
        <w:rPr>
          <w:rFonts w:hint="eastAsia" w:ascii="宋体" w:hAnsi="宋体" w:eastAsia="宋体" w:cs="宋体"/>
          <w:sz w:val="24"/>
          <w:szCs w:val="24"/>
          <w:lang w:val="zh-TW" w:eastAsia="zh-TW"/>
        </w:rPr>
        <w:t>可按照赔款金额的一定比例收取违约金，具体比例为每延迟一天收取赔款金额的1％。</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rPr>
        <w:t>6.</w:t>
      </w:r>
      <w:r>
        <w:rPr>
          <w:rFonts w:hint="eastAsia" w:ascii="宋体" w:hAnsi="宋体" w:eastAsia="宋体" w:cs="宋体"/>
          <w:sz w:val="24"/>
          <w:szCs w:val="24"/>
          <w:lang w:val="zh-TW" w:eastAsia="zh-TW"/>
        </w:rPr>
        <w:t>预付赔款支付</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因工作需要，下列情形，本保险应先行预付赔款。</w:t>
      </w:r>
    </w:p>
    <w:p>
      <w:pPr>
        <w:keepNext w:val="0"/>
        <w:keepLines w:val="0"/>
        <w:pageBreakBefore w:val="0"/>
        <w:widowControl w:val="0"/>
        <w:numPr>
          <w:ilvl w:val="0"/>
          <w:numId w:val="5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保险责任明确但赔偿金额暂时不能确定的案件，</w:t>
      </w:r>
      <w:r>
        <w:rPr>
          <w:rFonts w:hint="eastAsia" w:ascii="宋体" w:hAnsi="宋体" w:eastAsia="宋体" w:cs="宋体"/>
          <w:sz w:val="24"/>
          <w:szCs w:val="24"/>
          <w:lang w:val="zh-TW" w:eastAsia="zh-CN"/>
        </w:rPr>
        <w:t>中标人</w:t>
      </w:r>
      <w:r>
        <w:rPr>
          <w:rFonts w:hint="eastAsia" w:ascii="宋体" w:hAnsi="宋体" w:eastAsia="宋体" w:cs="宋体"/>
          <w:sz w:val="24"/>
          <w:szCs w:val="24"/>
          <w:lang w:val="zh-TW" w:eastAsia="zh-TW"/>
        </w:rPr>
        <w:t>根据已有证明和资料可以确定的数额预付赔款，待最终确定赔偿金额后再赔付相应的差额。</w:t>
      </w:r>
    </w:p>
    <w:p>
      <w:pPr>
        <w:keepNext w:val="0"/>
        <w:keepLines w:val="0"/>
        <w:pageBreakBefore w:val="0"/>
        <w:widowControl w:val="0"/>
        <w:numPr>
          <w:ilvl w:val="0"/>
          <w:numId w:val="5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保险责任、赔偿金额均明确但理赔资料一时难以完备的案件，凭事发地综治或公安部门的情况说明，保险公司先行预付赔款，所需相关资料事后补交。</w:t>
      </w:r>
    </w:p>
    <w:p>
      <w:pPr>
        <w:keepNext w:val="0"/>
        <w:keepLines w:val="0"/>
        <w:pageBreakBefore w:val="0"/>
        <w:widowControl w:val="0"/>
        <w:numPr>
          <w:ilvl w:val="0"/>
          <w:numId w:val="5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对于死亡3人及以上的重大事故，</w:t>
      </w:r>
      <w:r>
        <w:rPr>
          <w:rFonts w:hint="eastAsia" w:ascii="宋体" w:hAnsi="宋体" w:eastAsia="宋体" w:cs="宋体"/>
          <w:sz w:val="24"/>
          <w:szCs w:val="24"/>
          <w:lang w:val="zh-TW" w:eastAsia="zh-CN"/>
        </w:rPr>
        <w:t>中标人</w:t>
      </w:r>
      <w:r>
        <w:rPr>
          <w:rFonts w:hint="eastAsia" w:ascii="宋体" w:hAnsi="宋体" w:eastAsia="宋体" w:cs="宋体"/>
          <w:sz w:val="24"/>
          <w:szCs w:val="24"/>
          <w:lang w:val="zh-TW" w:eastAsia="zh-TW"/>
        </w:rPr>
        <w:t>应立即启动应急机制，会同事发地政府相关部门确定预付赔款方案，先行预付赔款。</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预付部分赔偿后，</w:t>
      </w:r>
      <w:r>
        <w:rPr>
          <w:rFonts w:hint="eastAsia" w:ascii="宋体" w:hAnsi="宋体" w:eastAsia="宋体" w:cs="宋体"/>
          <w:sz w:val="24"/>
          <w:szCs w:val="24"/>
          <w:lang w:val="zh-TW"/>
        </w:rPr>
        <w:t>甲乙双方</w:t>
      </w:r>
      <w:r>
        <w:rPr>
          <w:rFonts w:hint="eastAsia" w:ascii="宋体" w:hAnsi="宋体" w:eastAsia="宋体" w:cs="宋体"/>
          <w:sz w:val="24"/>
          <w:szCs w:val="24"/>
          <w:lang w:val="zh-TW" w:eastAsia="zh-TW"/>
        </w:rPr>
        <w:t>应积极合作，继续取证、鉴定等工作，一旦双方对最终赔偿金额达成一致，</w:t>
      </w:r>
      <w:r>
        <w:rPr>
          <w:rFonts w:hint="eastAsia" w:ascii="宋体" w:hAnsi="宋体" w:eastAsia="宋体" w:cs="宋体"/>
          <w:sz w:val="24"/>
          <w:szCs w:val="24"/>
          <w:lang w:val="zh-TW" w:eastAsia="zh-CN"/>
        </w:rPr>
        <w:t>中标人</w:t>
      </w:r>
      <w:r>
        <w:rPr>
          <w:rFonts w:hint="eastAsia" w:ascii="宋体" w:hAnsi="宋体" w:eastAsia="宋体" w:cs="宋体"/>
          <w:sz w:val="24"/>
          <w:szCs w:val="24"/>
          <w:lang w:val="zh-TW" w:eastAsia="zh-TW"/>
        </w:rPr>
        <w:t>应在收到</w:t>
      </w:r>
      <w:r>
        <w:rPr>
          <w:rFonts w:hint="eastAsia" w:ascii="宋体" w:hAnsi="宋体" w:eastAsia="宋体" w:cs="宋体"/>
          <w:sz w:val="24"/>
          <w:szCs w:val="24"/>
          <w:lang w:val="zh-TW" w:eastAsia="zh-CN"/>
        </w:rPr>
        <w:t>采购人</w:t>
      </w:r>
      <w:r>
        <w:rPr>
          <w:rFonts w:hint="eastAsia" w:ascii="宋体" w:hAnsi="宋体" w:eastAsia="宋体" w:cs="宋体"/>
          <w:sz w:val="24"/>
          <w:szCs w:val="24"/>
          <w:lang w:val="zh-TW" w:eastAsia="zh-TW"/>
        </w:rPr>
        <w:t>齐全的索赔单证后立即支付其余赔款。</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rPr>
        <w:t>7.</w:t>
      </w:r>
      <w:r>
        <w:rPr>
          <w:rFonts w:hint="eastAsia" w:ascii="宋体" w:hAnsi="宋体" w:eastAsia="宋体" w:cs="宋体"/>
          <w:sz w:val="24"/>
          <w:szCs w:val="24"/>
          <w:lang w:val="zh-TW" w:eastAsia="zh-TW"/>
        </w:rPr>
        <w:t>责任主体明确但又无力赔偿</w:t>
      </w:r>
      <w:r>
        <w:rPr>
          <w:rFonts w:hint="eastAsia" w:ascii="宋体" w:hAnsi="宋体" w:eastAsia="宋体" w:cs="宋体"/>
          <w:sz w:val="24"/>
          <w:szCs w:val="24"/>
          <w:lang w:val="zh-TW"/>
        </w:rPr>
        <w:t>的情况处理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对责任主体明确但又无力赔偿的，由事发地综治机构或市政法委及其下级相关单位出具证明，本保险结合善后调解情况予以赔偿。</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rPr>
        <w:t>8.</w:t>
      </w:r>
      <w:r>
        <w:rPr>
          <w:rFonts w:hint="eastAsia" w:ascii="宋体" w:hAnsi="宋体" w:eastAsia="宋体" w:cs="宋体"/>
          <w:sz w:val="24"/>
          <w:szCs w:val="24"/>
          <w:lang w:val="zh-TW" w:eastAsia="zh-TW"/>
        </w:rPr>
        <w:t>保险赔款支付</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保险赔偿金额经</w:t>
      </w:r>
      <w:r>
        <w:rPr>
          <w:rFonts w:hint="eastAsia" w:ascii="宋体" w:hAnsi="宋体" w:eastAsia="宋体" w:cs="宋体"/>
          <w:sz w:val="24"/>
          <w:szCs w:val="24"/>
          <w:lang w:val="zh-TW"/>
        </w:rPr>
        <w:t>甲、乙</w:t>
      </w:r>
      <w:r>
        <w:rPr>
          <w:rFonts w:hint="eastAsia" w:ascii="宋体" w:hAnsi="宋体" w:eastAsia="宋体" w:cs="宋体"/>
          <w:sz w:val="24"/>
          <w:szCs w:val="24"/>
          <w:lang w:val="zh-TW" w:eastAsia="zh-TW"/>
        </w:rPr>
        <w:t>双方确认后，保险公司应在规定时间内将赔款划付到</w:t>
      </w:r>
      <w:r>
        <w:rPr>
          <w:rFonts w:hint="eastAsia" w:ascii="宋体" w:hAnsi="宋体" w:eastAsia="宋体" w:cs="宋体"/>
          <w:sz w:val="24"/>
          <w:szCs w:val="24"/>
          <w:lang w:val="zh-TW" w:eastAsia="zh-CN"/>
        </w:rPr>
        <w:t>采购人</w:t>
      </w:r>
      <w:r>
        <w:rPr>
          <w:rFonts w:hint="eastAsia" w:ascii="宋体" w:hAnsi="宋体" w:eastAsia="宋体" w:cs="宋体"/>
          <w:sz w:val="24"/>
          <w:szCs w:val="24"/>
          <w:lang w:val="zh-TW" w:eastAsia="zh-TW"/>
        </w:rPr>
        <w:t>指定的账户，由</w:t>
      </w:r>
      <w:r>
        <w:rPr>
          <w:rFonts w:hint="eastAsia" w:ascii="宋体" w:hAnsi="宋体" w:eastAsia="宋体" w:cs="宋体"/>
          <w:sz w:val="24"/>
          <w:szCs w:val="24"/>
          <w:lang w:val="zh-TW" w:eastAsia="zh-CN"/>
        </w:rPr>
        <w:t>采购人</w:t>
      </w:r>
      <w:r>
        <w:rPr>
          <w:rFonts w:hint="eastAsia" w:ascii="宋体" w:hAnsi="宋体" w:eastAsia="宋体" w:cs="宋体"/>
          <w:sz w:val="24"/>
          <w:szCs w:val="24"/>
          <w:lang w:val="zh-TW" w:eastAsia="zh-TW"/>
        </w:rPr>
        <w:t>（或该事故协调处理单位）转付；或者经</w:t>
      </w:r>
      <w:r>
        <w:rPr>
          <w:rFonts w:hint="eastAsia" w:ascii="宋体" w:hAnsi="宋体" w:eastAsia="宋体" w:cs="宋体"/>
          <w:sz w:val="24"/>
          <w:szCs w:val="24"/>
          <w:lang w:val="zh-TW" w:eastAsia="zh-CN"/>
        </w:rPr>
        <w:t>采购人</w:t>
      </w:r>
      <w:r>
        <w:rPr>
          <w:rFonts w:hint="eastAsia" w:ascii="宋体" w:hAnsi="宋体" w:eastAsia="宋体" w:cs="宋体"/>
          <w:sz w:val="24"/>
          <w:szCs w:val="24"/>
          <w:lang w:val="zh-TW" w:eastAsia="zh-TW"/>
        </w:rPr>
        <w:t>授权，向</w:t>
      </w:r>
      <w:r>
        <w:rPr>
          <w:rFonts w:hint="eastAsia" w:ascii="宋体" w:hAnsi="宋体" w:eastAsia="宋体" w:cs="宋体"/>
          <w:sz w:val="24"/>
          <w:szCs w:val="24"/>
          <w:lang w:val="zh-TW" w:eastAsia="zh-CN"/>
        </w:rPr>
        <w:t>采购人指定的单位或个人</w:t>
      </w:r>
      <w:r>
        <w:rPr>
          <w:rFonts w:hint="eastAsia" w:ascii="宋体" w:hAnsi="宋体" w:eastAsia="宋体" w:cs="宋体"/>
          <w:sz w:val="24"/>
          <w:szCs w:val="24"/>
          <w:lang w:val="zh-TW" w:eastAsia="zh-TW"/>
        </w:rPr>
        <w:t>支付赔款。</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en-US" w:eastAsia="zh-CN"/>
        </w:rPr>
        <w:t>9</w:t>
      </w:r>
      <w:r>
        <w:rPr>
          <w:rFonts w:hint="eastAsia" w:ascii="宋体" w:hAnsi="宋体" w:eastAsia="宋体" w:cs="宋体"/>
          <w:sz w:val="24"/>
          <w:szCs w:val="24"/>
          <w:lang w:val="zh-TW"/>
        </w:rPr>
        <w:t>.</w:t>
      </w:r>
      <w:r>
        <w:rPr>
          <w:rFonts w:hint="eastAsia" w:ascii="宋体" w:hAnsi="宋体" w:eastAsia="宋体" w:cs="宋体"/>
          <w:sz w:val="24"/>
          <w:szCs w:val="24"/>
          <w:lang w:val="zh-TW" w:eastAsia="zh-TW"/>
        </w:rPr>
        <w:t>追偿权利行使</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对于责任方属于经营性主体（从事公共服务的单位除外）或个人的事故，</w:t>
      </w:r>
      <w:r>
        <w:rPr>
          <w:rFonts w:hint="eastAsia" w:ascii="宋体" w:hAnsi="宋体" w:eastAsia="宋体" w:cs="宋体"/>
          <w:sz w:val="24"/>
          <w:szCs w:val="24"/>
          <w:lang w:val="zh-TW" w:eastAsia="zh-CN"/>
        </w:rPr>
        <w:t>中标人</w:t>
      </w:r>
      <w:r>
        <w:rPr>
          <w:rFonts w:hint="eastAsia" w:ascii="宋体" w:hAnsi="宋体" w:eastAsia="宋体" w:cs="宋体"/>
          <w:sz w:val="24"/>
          <w:szCs w:val="24"/>
          <w:lang w:val="zh-TW" w:eastAsia="zh-TW"/>
        </w:rPr>
        <w:t>若先行赔偿的</w:t>
      </w:r>
      <w:r>
        <w:rPr>
          <w:rFonts w:hint="eastAsia" w:ascii="宋体" w:hAnsi="宋体" w:eastAsia="宋体" w:cs="宋体"/>
          <w:sz w:val="24"/>
          <w:szCs w:val="24"/>
          <w:lang w:val="zh-TW"/>
        </w:rPr>
        <w:t>，</w:t>
      </w:r>
      <w:r>
        <w:rPr>
          <w:rFonts w:hint="eastAsia" w:ascii="宋体" w:hAnsi="宋体" w:eastAsia="宋体" w:cs="宋体"/>
          <w:sz w:val="24"/>
          <w:szCs w:val="24"/>
          <w:lang w:val="zh-TW" w:eastAsia="zh-TW"/>
        </w:rPr>
        <w:t>有权向责任方追偿。精神病人伤人事故及市县两级</w:t>
      </w:r>
      <w:r>
        <w:rPr>
          <w:rFonts w:hint="eastAsia" w:ascii="宋体" w:hAnsi="宋体" w:eastAsia="宋体" w:cs="宋体"/>
          <w:sz w:val="24"/>
          <w:szCs w:val="24"/>
          <w:lang w:val="zh-TW"/>
        </w:rPr>
        <w:t>政法委</w:t>
      </w:r>
      <w:r>
        <w:rPr>
          <w:rFonts w:hint="eastAsia" w:ascii="宋体" w:hAnsi="宋体" w:eastAsia="宋体" w:cs="宋体"/>
          <w:sz w:val="24"/>
          <w:szCs w:val="24"/>
          <w:lang w:val="zh-TW" w:eastAsia="zh-TW"/>
        </w:rPr>
        <w:t>认为应免于追偿的情形，</w:t>
      </w:r>
      <w:r>
        <w:rPr>
          <w:rFonts w:hint="eastAsia" w:ascii="宋体" w:hAnsi="宋体" w:eastAsia="宋体" w:cs="宋体"/>
          <w:sz w:val="24"/>
          <w:szCs w:val="24"/>
          <w:lang w:val="zh-TW" w:eastAsia="zh-CN"/>
        </w:rPr>
        <w:t>中标人</w:t>
      </w:r>
      <w:r>
        <w:rPr>
          <w:rFonts w:hint="eastAsia" w:ascii="宋体" w:hAnsi="宋体" w:eastAsia="宋体" w:cs="宋体"/>
          <w:sz w:val="24"/>
          <w:szCs w:val="24"/>
          <w:lang w:val="zh-TW" w:eastAsia="zh-TW"/>
        </w:rPr>
        <w:t>不予追偿。</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rPr>
        <w:t>1</w:t>
      </w:r>
      <w:r>
        <w:rPr>
          <w:rFonts w:hint="eastAsia" w:ascii="宋体" w:hAnsi="宋体" w:eastAsia="宋体" w:cs="宋体"/>
          <w:sz w:val="24"/>
          <w:szCs w:val="24"/>
          <w:lang w:val="en-US" w:eastAsia="zh-CN"/>
        </w:rPr>
        <w:t>0</w:t>
      </w:r>
      <w:r>
        <w:rPr>
          <w:rFonts w:hint="eastAsia" w:ascii="宋体" w:hAnsi="宋体" w:eastAsia="宋体" w:cs="宋体"/>
          <w:sz w:val="24"/>
          <w:szCs w:val="24"/>
          <w:lang w:val="zh-TW"/>
        </w:rPr>
        <w:t>.</w:t>
      </w:r>
      <w:r>
        <w:rPr>
          <w:rFonts w:hint="eastAsia" w:ascii="宋体" w:hAnsi="宋体" w:eastAsia="宋体" w:cs="宋体"/>
          <w:sz w:val="24"/>
          <w:szCs w:val="24"/>
          <w:lang w:val="zh-TW" w:eastAsia="zh-TW"/>
        </w:rPr>
        <w:t>其他理赔增值服务计划</w:t>
      </w:r>
    </w:p>
    <w:p>
      <w:pPr>
        <w:tabs>
          <w:tab w:val="left" w:pos="8280"/>
        </w:tabs>
        <w:autoSpaceDE w:val="0"/>
        <w:autoSpaceDN w:val="0"/>
        <w:adjustRightInd w:val="0"/>
        <w:spacing w:line="360" w:lineRule="auto"/>
        <w:ind w:right="0" w:firstLine="480" w:firstLineChars="200"/>
        <w:rPr>
          <w:rFonts w:hint="eastAsia"/>
          <w:sz w:val="24"/>
          <w:szCs w:val="24"/>
        </w:rPr>
      </w:pPr>
      <w:r>
        <w:rPr>
          <w:rFonts w:hint="eastAsia" w:ascii="宋体" w:hAnsi="宋体" w:eastAsia="宋体" w:cs="宋体"/>
          <w:sz w:val="24"/>
          <w:szCs w:val="24"/>
        </w:rPr>
        <w:t>配合政府有关部门做好灾后的善后工作和矛盾调处工作，帮助受灾群众尽快恢复生活秩序。</w:t>
      </w:r>
    </w:p>
    <w:p>
      <w:pPr>
        <w:spacing w:line="360" w:lineRule="auto"/>
        <w:outlineLvl w:val="1"/>
        <w:rPr>
          <w:rFonts w:hint="eastAsia" w:ascii="宋体" w:hAnsi="宋体" w:eastAsia="宋体" w:cs="宋体"/>
          <w:b/>
          <w:sz w:val="24"/>
          <w:szCs w:val="24"/>
        </w:rPr>
      </w:pPr>
      <w:bookmarkStart w:id="90" w:name="_Toc772"/>
      <w:bookmarkStart w:id="91" w:name="_Toc19655"/>
      <w:r>
        <w:rPr>
          <w:rFonts w:hint="eastAsia" w:ascii="宋体" w:hAnsi="宋体" w:eastAsia="宋体" w:cs="宋体"/>
          <w:b/>
          <w:sz w:val="24"/>
          <w:szCs w:val="24"/>
        </w:rPr>
        <w:t>三、商务需求</w:t>
      </w:r>
      <w:bookmarkEnd w:id="90"/>
      <w:bookmarkEnd w:id="91"/>
    </w:p>
    <w:tbl>
      <w:tblPr>
        <w:tblStyle w:val="21"/>
        <w:tblW w:w="845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01"/>
        <w:gridCol w:w="70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bCs/>
                <w:kern w:val="0"/>
                <w:sz w:val="21"/>
                <w:szCs w:val="21"/>
                <w:highlight w:val="none"/>
                <w:lang w:val="en-US" w:eastAsia="zh-CN"/>
              </w:rPr>
            </w:pPr>
            <w:r>
              <w:rPr>
                <w:rFonts w:hint="eastAsia" w:ascii="宋体" w:hAnsi="宋体" w:eastAsia="宋体" w:cs="宋体"/>
                <w:b/>
                <w:bCs/>
                <w:kern w:val="0"/>
                <w:sz w:val="21"/>
                <w:szCs w:val="21"/>
                <w:highlight w:val="none"/>
                <w:lang w:val="en-US" w:eastAsia="zh-CN"/>
              </w:rPr>
              <w:t>事项</w:t>
            </w:r>
          </w:p>
        </w:tc>
        <w:tc>
          <w:tcPr>
            <w:tcW w:w="70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01"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center"/>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w:t>
            </w:r>
            <w:r>
              <w:rPr>
                <w:rFonts w:hint="eastAsia" w:ascii="宋体" w:hAnsi="宋体" w:cs="宋体"/>
                <w:b/>
                <w:bCs/>
                <w:kern w:val="0"/>
                <w:sz w:val="21"/>
                <w:szCs w:val="21"/>
                <w:highlight w:val="none"/>
                <w:lang w:val="en-US" w:eastAsia="zh-CN"/>
              </w:rPr>
              <w:t>服务</w:t>
            </w:r>
            <w:r>
              <w:rPr>
                <w:rFonts w:hint="eastAsia" w:ascii="宋体" w:hAnsi="宋体" w:eastAsia="宋体" w:cs="宋体"/>
                <w:b/>
                <w:bCs/>
                <w:kern w:val="0"/>
                <w:sz w:val="21"/>
                <w:szCs w:val="21"/>
                <w:highlight w:val="none"/>
              </w:rPr>
              <w:t>期</w:t>
            </w:r>
          </w:p>
        </w:tc>
        <w:tc>
          <w:tcPr>
            <w:tcW w:w="7057"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1年，自合同</w:t>
            </w:r>
            <w:r>
              <w:rPr>
                <w:rFonts w:hint="eastAsia" w:ascii="宋体" w:hAnsi="宋体" w:cs="宋体"/>
                <w:b/>
                <w:bCs/>
                <w:sz w:val="21"/>
                <w:szCs w:val="21"/>
                <w:lang w:val="en-US" w:eastAsia="zh-CN"/>
              </w:rPr>
              <w:t>生效</w:t>
            </w:r>
            <w:r>
              <w:rPr>
                <w:rFonts w:hint="eastAsia" w:ascii="宋体" w:hAnsi="宋体" w:cs="宋体"/>
                <w:b/>
                <w:bCs/>
                <w:color w:val="auto"/>
                <w:sz w:val="21"/>
                <w:szCs w:val="21"/>
                <w:lang w:val="en-US" w:eastAsia="zh-CN"/>
              </w:rPr>
              <w:t>之日</w:t>
            </w:r>
            <w:r>
              <w:rPr>
                <w:rFonts w:hint="eastAsia" w:ascii="宋体" w:hAnsi="宋体" w:eastAsia="宋体" w:cs="宋体"/>
                <w:b/>
                <w:bCs/>
                <w:color w:val="auto"/>
                <w:sz w:val="21"/>
                <w:szCs w:val="21"/>
                <w:lang w:eastAsia="zh-CN"/>
              </w:rPr>
              <w:t>起算</w:t>
            </w:r>
            <w:r>
              <w:rPr>
                <w:rFonts w:hint="eastAsia" w:ascii="宋体" w:hAnsi="宋体" w:cs="宋体"/>
                <w:b/>
                <w:bCs/>
                <w:color w:val="auto"/>
                <w:sz w:val="21"/>
                <w:szCs w:val="21"/>
                <w:lang w:eastAsia="zh-CN"/>
              </w:rPr>
              <w:t>（</w:t>
            </w:r>
            <w:r>
              <w:rPr>
                <w:rFonts w:hint="eastAsia" w:ascii="宋体" w:hAnsi="宋体" w:cs="宋体"/>
                <w:b/>
                <w:bCs/>
                <w:color w:val="auto"/>
                <w:sz w:val="21"/>
                <w:szCs w:val="21"/>
                <w:lang w:val="en-US" w:eastAsia="zh-CN"/>
              </w:rPr>
              <w:t>原合同未到期的，以原合同到期日的24时起算</w:t>
            </w:r>
            <w:r>
              <w:rPr>
                <w:rFonts w:hint="eastAsia" w:ascii="宋体" w:hAnsi="宋体" w:cs="宋体"/>
                <w:b/>
                <w:bCs/>
                <w:color w:val="auto"/>
                <w:sz w:val="21"/>
                <w:szCs w:val="21"/>
                <w:lang w:eastAsia="zh-CN"/>
              </w:rPr>
              <w:t>）</w:t>
            </w:r>
            <w:r>
              <w:rPr>
                <w:rFonts w:hint="eastAsia" w:ascii="宋体" w:hAnsi="宋体" w:eastAsia="宋体" w:cs="宋体"/>
                <w:b/>
                <w:bCs/>
                <w:color w:val="auto"/>
                <w:sz w:val="21"/>
                <w:szCs w:val="21"/>
                <w:lang w:eastAsia="zh-CN"/>
              </w:rPr>
              <w:t>，且本保单遗留索赔</w:t>
            </w:r>
            <w:r>
              <w:rPr>
                <w:rFonts w:hint="eastAsia" w:ascii="宋体" w:hAnsi="宋体" w:eastAsia="宋体" w:cs="宋体"/>
                <w:b/>
                <w:bCs/>
                <w:sz w:val="21"/>
                <w:szCs w:val="21"/>
                <w:lang w:eastAsia="zh-CN"/>
              </w:rPr>
              <w:t>事件处理完成为止。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01"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center"/>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w:t>
            </w:r>
            <w:r>
              <w:rPr>
                <w:rFonts w:hint="eastAsia" w:ascii="宋体" w:hAnsi="宋体" w:cs="宋体"/>
                <w:b/>
                <w:bCs/>
                <w:kern w:val="0"/>
                <w:sz w:val="21"/>
                <w:szCs w:val="21"/>
                <w:highlight w:val="none"/>
                <w:lang w:val="en-US" w:eastAsia="zh-CN"/>
              </w:rPr>
              <w:t>服务</w:t>
            </w:r>
            <w:r>
              <w:rPr>
                <w:rFonts w:hint="eastAsia" w:ascii="宋体" w:hAnsi="宋体" w:eastAsia="宋体" w:cs="宋体"/>
                <w:b/>
                <w:bCs/>
                <w:kern w:val="0"/>
                <w:sz w:val="21"/>
                <w:szCs w:val="21"/>
                <w:highlight w:val="none"/>
              </w:rPr>
              <w:t>地点</w:t>
            </w:r>
          </w:p>
        </w:tc>
        <w:tc>
          <w:tcPr>
            <w:tcW w:w="7057"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台州各县（市、区）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01"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center"/>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▲付款条件</w:t>
            </w:r>
          </w:p>
        </w:tc>
        <w:tc>
          <w:tcPr>
            <w:tcW w:w="7057"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合同生效之日起</w:t>
            </w:r>
            <w:r>
              <w:rPr>
                <w:rFonts w:hint="eastAsia" w:ascii="宋体" w:hAnsi="宋体" w:eastAsia="宋体" w:cs="宋体"/>
                <w:b/>
                <w:bCs/>
                <w:sz w:val="21"/>
                <w:szCs w:val="21"/>
                <w:lang w:val="en-US" w:eastAsia="zh-CN"/>
              </w:rPr>
              <w:t>7个工作日内支付合同金额的30%作为预付款；</w:t>
            </w:r>
          </w:p>
          <w:p>
            <w:pPr>
              <w:widowControl/>
              <w:spacing w:line="312" w:lineRule="auto"/>
              <w:jc w:val="left"/>
              <w:rPr>
                <w:rFonts w:hint="eastAsia" w:ascii="宋体" w:hAnsi="宋体" w:eastAsia="宋体" w:cs="宋体"/>
                <w:b/>
                <w:bCs/>
                <w:sz w:val="21"/>
                <w:szCs w:val="21"/>
              </w:rPr>
            </w:pPr>
            <w:r>
              <w:rPr>
                <w:rFonts w:hint="eastAsia" w:ascii="宋体" w:hAnsi="宋体" w:eastAsia="宋体" w:cs="宋体"/>
                <w:b/>
                <w:bCs/>
                <w:sz w:val="21"/>
                <w:szCs w:val="21"/>
              </w:rPr>
              <w:t>有效服务满半年支付合同价款的50%；</w:t>
            </w:r>
          </w:p>
          <w:p>
            <w:pPr>
              <w:widowControl/>
              <w:spacing w:line="312" w:lineRule="auto"/>
              <w:jc w:val="left"/>
              <w:rPr>
                <w:rFonts w:hint="eastAsia" w:ascii="宋体" w:hAnsi="宋体" w:eastAsia="宋体" w:cs="宋体"/>
                <w:b/>
                <w:bCs/>
                <w:kern w:val="0"/>
                <w:sz w:val="21"/>
                <w:szCs w:val="21"/>
                <w:highlight w:val="none"/>
              </w:rPr>
            </w:pPr>
            <w:r>
              <w:rPr>
                <w:rFonts w:hint="eastAsia" w:ascii="宋体" w:hAnsi="宋体" w:eastAsia="宋体" w:cs="宋体"/>
                <w:b/>
                <w:bCs/>
                <w:sz w:val="21"/>
                <w:szCs w:val="21"/>
              </w:rPr>
              <w:t>合同</w:t>
            </w:r>
            <w:r>
              <w:rPr>
                <w:rFonts w:hint="eastAsia" w:ascii="宋体" w:hAnsi="宋体" w:cs="宋体"/>
                <w:b/>
                <w:bCs/>
                <w:sz w:val="21"/>
                <w:szCs w:val="21"/>
                <w:lang w:val="en-US" w:eastAsia="zh-CN"/>
              </w:rPr>
              <w:t>服务期</w:t>
            </w:r>
            <w:r>
              <w:rPr>
                <w:rFonts w:hint="eastAsia" w:ascii="宋体" w:hAnsi="宋体" w:eastAsia="宋体" w:cs="宋体"/>
                <w:b/>
                <w:bCs/>
                <w:sz w:val="21"/>
                <w:szCs w:val="21"/>
              </w:rPr>
              <w:t>满且无遗留索赔事件后，支付合同价款的20%。</w:t>
            </w:r>
          </w:p>
        </w:tc>
      </w:tr>
    </w:tbl>
    <w:p>
      <w:pPr>
        <w:jc w:val="left"/>
        <w:rPr>
          <w:rFonts w:cs="宋体"/>
          <w:b/>
          <w:bCs/>
          <w:sz w:val="28"/>
          <w:szCs w:val="36"/>
        </w:rPr>
      </w:pPr>
      <w:r>
        <w:rPr>
          <w:rFonts w:hint="eastAsia" w:cs="宋体"/>
          <w:b/>
          <w:bCs/>
          <w:sz w:val="28"/>
          <w:szCs w:val="36"/>
        </w:rPr>
        <w:t>附件一</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cs="宋体"/>
          <w:b/>
          <w:bCs/>
          <w:sz w:val="32"/>
          <w:szCs w:val="40"/>
        </w:rPr>
      </w:pPr>
      <w:bookmarkStart w:id="92" w:name="_Toc27646"/>
      <w:r>
        <w:rPr>
          <w:rFonts w:hint="eastAsia" w:cs="宋体"/>
          <w:b/>
          <w:bCs/>
          <w:sz w:val="32"/>
          <w:szCs w:val="40"/>
        </w:rPr>
        <w:t>保险责任相关概念说明</w:t>
      </w:r>
      <w:bookmarkEnd w:id="92"/>
    </w:p>
    <w:p>
      <w:pPr>
        <w:pStyle w:val="60"/>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宋体" w:hAnsi="宋体" w:eastAsia="宋体" w:cs="仿宋"/>
          <w:sz w:val="24"/>
          <w:szCs w:val="24"/>
          <w:lang w:val="zh-TW" w:eastAsia="zh-TW"/>
        </w:rPr>
      </w:pPr>
      <w:r>
        <w:rPr>
          <w:rFonts w:ascii="宋体" w:hAnsi="宋体" w:eastAsia="宋体" w:cs="仿宋"/>
          <w:sz w:val="24"/>
          <w:szCs w:val="24"/>
          <w:lang w:val="zh-TW" w:eastAsia="zh-TW"/>
        </w:rPr>
        <w:t>（一）“公共场所”是指人群经常聚集、供公众使用或提供公众服务的活动场所，是指提供公众进行工作、学习、经济、文化、社交、娱乐、体育、参观、医疗、卫生、休息、旅游和满足部分生活需求所使用的一切公用建筑物、场所及其设施的总称。具体包括但不限于如下场所：</w:t>
      </w:r>
    </w:p>
    <w:p>
      <w:pPr>
        <w:pStyle w:val="60"/>
        <w:keepNext w:val="0"/>
        <w:keepLines w:val="0"/>
        <w:pageBreakBefore w:val="0"/>
        <w:widowControl w:val="0"/>
        <w:numPr>
          <w:ilvl w:val="0"/>
          <w:numId w:val="53"/>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eastAsia="宋体" w:cs="仿宋"/>
          <w:sz w:val="24"/>
          <w:szCs w:val="24"/>
          <w:lang w:val="zh-TW" w:eastAsia="zh-TW"/>
        </w:rPr>
      </w:pPr>
      <w:r>
        <w:rPr>
          <w:rFonts w:ascii="宋体" w:hAnsi="宋体" w:eastAsia="宋体" w:cs="仿宋"/>
          <w:sz w:val="24"/>
          <w:szCs w:val="24"/>
          <w:lang w:val="zh-TW" w:eastAsia="zh-TW"/>
        </w:rPr>
        <w:t>住宿与交际场所，例如宾馆、酒店、招待所、客栈、民宿、咖啡馆、酒吧、茶座；</w:t>
      </w:r>
    </w:p>
    <w:p>
      <w:pPr>
        <w:pStyle w:val="60"/>
        <w:keepNext w:val="0"/>
        <w:keepLines w:val="0"/>
        <w:pageBreakBefore w:val="0"/>
        <w:widowControl w:val="0"/>
        <w:numPr>
          <w:ilvl w:val="0"/>
          <w:numId w:val="53"/>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eastAsia="宋体" w:cs="仿宋"/>
          <w:sz w:val="24"/>
          <w:szCs w:val="24"/>
          <w:lang w:val="zh-TW" w:eastAsia="zh-TW"/>
        </w:rPr>
      </w:pPr>
      <w:r>
        <w:rPr>
          <w:rFonts w:ascii="宋体" w:hAnsi="宋体" w:eastAsia="宋体" w:cs="仿宋"/>
          <w:sz w:val="24"/>
          <w:szCs w:val="24"/>
          <w:lang w:val="zh-TW" w:eastAsia="zh-TW"/>
        </w:rPr>
        <w:t>洗浴与美容场所，例如公共浴室、理发店、美容店、足浴店；</w:t>
      </w:r>
    </w:p>
    <w:p>
      <w:pPr>
        <w:pStyle w:val="60"/>
        <w:keepNext w:val="0"/>
        <w:keepLines w:val="0"/>
        <w:pageBreakBefore w:val="0"/>
        <w:widowControl w:val="0"/>
        <w:numPr>
          <w:ilvl w:val="0"/>
          <w:numId w:val="53"/>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eastAsia="宋体" w:cs="仿宋"/>
          <w:sz w:val="24"/>
          <w:szCs w:val="24"/>
          <w:lang w:val="zh-TW" w:eastAsia="zh-TW"/>
        </w:rPr>
      </w:pPr>
      <w:r>
        <w:rPr>
          <w:rFonts w:ascii="宋体" w:hAnsi="宋体" w:eastAsia="宋体" w:cs="仿宋"/>
          <w:sz w:val="24"/>
          <w:szCs w:val="24"/>
          <w:lang w:val="zh-TW" w:eastAsia="zh-TW"/>
        </w:rPr>
        <w:t>文化娱乐场所，例如影剧院、录像放映点、游艺厅（室）、音乐厅（茶座）、卡拉ok厅、曲艺厅、舞厅（场）、游艺室、游乐场、电子游戏室；</w:t>
      </w:r>
    </w:p>
    <w:p>
      <w:pPr>
        <w:pStyle w:val="60"/>
        <w:keepNext w:val="0"/>
        <w:keepLines w:val="0"/>
        <w:pageBreakBefore w:val="0"/>
        <w:widowControl w:val="0"/>
        <w:numPr>
          <w:ilvl w:val="0"/>
          <w:numId w:val="53"/>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eastAsia="宋体" w:cs="仿宋"/>
          <w:sz w:val="24"/>
          <w:szCs w:val="24"/>
          <w:lang w:val="zh-TW" w:eastAsia="zh-TW"/>
        </w:rPr>
      </w:pPr>
      <w:r>
        <w:rPr>
          <w:rFonts w:ascii="宋体" w:hAnsi="宋体" w:eastAsia="宋体" w:cs="仿宋"/>
          <w:sz w:val="24"/>
          <w:szCs w:val="24"/>
          <w:lang w:val="zh-TW" w:eastAsia="zh-TW"/>
        </w:rPr>
        <w:t>体育和游乐场所，例如体育场（馆）、游泳场（馆）、溜冰场、健身房、台球场（室）、保龄球场；</w:t>
      </w:r>
    </w:p>
    <w:p>
      <w:pPr>
        <w:pStyle w:val="60"/>
        <w:keepNext w:val="0"/>
        <w:keepLines w:val="0"/>
        <w:pageBreakBefore w:val="0"/>
        <w:widowControl w:val="0"/>
        <w:numPr>
          <w:ilvl w:val="0"/>
          <w:numId w:val="53"/>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eastAsia="宋体" w:cs="仿宋"/>
          <w:sz w:val="24"/>
          <w:szCs w:val="24"/>
          <w:lang w:val="zh-TW" w:eastAsia="zh-TW"/>
        </w:rPr>
      </w:pPr>
      <w:r>
        <w:rPr>
          <w:rFonts w:ascii="宋体" w:hAnsi="宋体" w:eastAsia="宋体" w:cs="仿宋"/>
          <w:sz w:val="24"/>
          <w:szCs w:val="24"/>
          <w:lang w:val="zh-TW" w:eastAsia="zh-TW"/>
        </w:rPr>
        <w:t>文化和交流场所，例如学校、图书馆、亲少年宫、展览馆、博物馆、美术馆；</w:t>
      </w:r>
    </w:p>
    <w:p>
      <w:pPr>
        <w:pStyle w:val="60"/>
        <w:keepNext w:val="0"/>
        <w:keepLines w:val="0"/>
        <w:pageBreakBefore w:val="0"/>
        <w:widowControl w:val="0"/>
        <w:numPr>
          <w:ilvl w:val="0"/>
          <w:numId w:val="53"/>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eastAsia="宋体" w:cs="仿宋"/>
          <w:sz w:val="24"/>
          <w:szCs w:val="24"/>
          <w:lang w:val="zh-TW" w:eastAsia="zh-TW"/>
        </w:rPr>
      </w:pPr>
      <w:r>
        <w:rPr>
          <w:rFonts w:ascii="宋体" w:hAnsi="宋体" w:eastAsia="宋体" w:cs="仿宋"/>
          <w:sz w:val="24"/>
          <w:szCs w:val="24"/>
          <w:lang w:val="zh-TW" w:eastAsia="zh-TW"/>
        </w:rPr>
        <w:t>公园、广场、风景游览区；</w:t>
      </w:r>
    </w:p>
    <w:p>
      <w:pPr>
        <w:pStyle w:val="60"/>
        <w:keepNext w:val="0"/>
        <w:keepLines w:val="0"/>
        <w:pageBreakBefore w:val="0"/>
        <w:widowControl w:val="0"/>
        <w:numPr>
          <w:ilvl w:val="0"/>
          <w:numId w:val="53"/>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eastAsia="宋体" w:cs="仿宋"/>
          <w:sz w:val="24"/>
          <w:szCs w:val="24"/>
          <w:lang w:val="zh-TW" w:eastAsia="zh-TW"/>
        </w:rPr>
      </w:pPr>
      <w:r>
        <w:rPr>
          <w:rFonts w:ascii="宋体" w:hAnsi="宋体" w:eastAsia="宋体" w:cs="仿宋"/>
          <w:sz w:val="24"/>
          <w:szCs w:val="24"/>
          <w:lang w:val="zh-TW" w:eastAsia="zh-TW"/>
        </w:rPr>
        <w:t>购物场所，例如商场（店）、书店、贸易市场；</w:t>
      </w:r>
    </w:p>
    <w:p>
      <w:pPr>
        <w:keepNext w:val="0"/>
        <w:keepLines w:val="0"/>
        <w:pageBreakBefore w:val="0"/>
        <w:widowControl w:val="0"/>
        <w:numPr>
          <w:ilvl w:val="0"/>
          <w:numId w:val="53"/>
        </w:numPr>
        <w:kinsoku/>
        <w:wordWrap/>
        <w:overflowPunct/>
        <w:topLinePunct w:val="0"/>
        <w:autoSpaceDE/>
        <w:autoSpaceDN/>
        <w:bidi w:val="0"/>
        <w:adjustRightInd/>
        <w:snapToGrid/>
        <w:spacing w:line="360" w:lineRule="auto"/>
        <w:ind w:left="0" w:leftChars="0" w:firstLine="480" w:firstLineChars="200"/>
        <w:textAlignment w:val="auto"/>
        <w:rPr>
          <w:rFonts w:cs="仿宋"/>
          <w:sz w:val="24"/>
          <w:szCs w:val="24"/>
          <w:lang w:val="zh-TW" w:eastAsia="zh-TW"/>
        </w:rPr>
      </w:pPr>
      <w:r>
        <w:rPr>
          <w:rFonts w:cs="仿宋"/>
          <w:sz w:val="24"/>
          <w:szCs w:val="24"/>
          <w:lang w:val="zh-TW" w:eastAsia="zh-TW"/>
        </w:rPr>
        <w:t>就诊与交通场所，例如医院、诊所、车站、码头、渡口、民用机场、公共交通工具；</w:t>
      </w:r>
    </w:p>
    <w:p>
      <w:pPr>
        <w:pStyle w:val="60"/>
        <w:keepNext w:val="0"/>
        <w:keepLines w:val="0"/>
        <w:pageBreakBefore w:val="0"/>
        <w:widowControl w:val="0"/>
        <w:numPr>
          <w:ilvl w:val="0"/>
          <w:numId w:val="53"/>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eastAsia="宋体" w:cs="仿宋"/>
          <w:sz w:val="24"/>
          <w:szCs w:val="24"/>
          <w:lang w:val="zh-TW" w:eastAsia="zh-TW"/>
        </w:rPr>
      </w:pPr>
      <w:r>
        <w:rPr>
          <w:rFonts w:ascii="宋体" w:hAnsi="宋体" w:eastAsia="宋体" w:cs="仿宋"/>
          <w:sz w:val="24"/>
          <w:szCs w:val="24"/>
          <w:lang w:val="zh-TW" w:eastAsia="zh-TW"/>
        </w:rPr>
        <w:t>用于举办大型定货会、展览（销）会、物资交流会、灯会、庙会、体育比赛、文化演出的临时场所；</w:t>
      </w:r>
    </w:p>
    <w:p>
      <w:pPr>
        <w:keepNext w:val="0"/>
        <w:keepLines w:val="0"/>
        <w:pageBreakBefore w:val="0"/>
        <w:widowControl w:val="0"/>
        <w:numPr>
          <w:ilvl w:val="0"/>
          <w:numId w:val="53"/>
        </w:numPr>
        <w:kinsoku/>
        <w:wordWrap/>
        <w:overflowPunct/>
        <w:topLinePunct w:val="0"/>
        <w:autoSpaceDE/>
        <w:autoSpaceDN/>
        <w:bidi w:val="0"/>
        <w:adjustRightInd/>
        <w:snapToGrid/>
        <w:spacing w:line="360" w:lineRule="auto"/>
        <w:ind w:left="0" w:leftChars="0" w:firstLine="480" w:firstLineChars="200"/>
        <w:textAlignment w:val="auto"/>
        <w:rPr>
          <w:rFonts w:cs="仿宋"/>
          <w:sz w:val="24"/>
          <w:szCs w:val="24"/>
          <w:lang w:val="zh-TW" w:eastAsia="zh-TW"/>
        </w:rPr>
      </w:pPr>
      <w:r>
        <w:rPr>
          <w:rFonts w:cs="仿宋"/>
          <w:sz w:val="24"/>
          <w:szCs w:val="24"/>
          <w:lang w:val="zh-TW" w:eastAsia="zh-TW"/>
        </w:rPr>
        <w:t>政府部门认可的其他公共场所；</w:t>
      </w:r>
    </w:p>
    <w:p>
      <w:pPr>
        <w:pStyle w:val="60"/>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宋体" w:hAnsi="宋体" w:eastAsia="宋体" w:cs="仿宋"/>
          <w:sz w:val="24"/>
          <w:szCs w:val="24"/>
          <w:lang w:val="zh-TW" w:eastAsia="zh-TW"/>
        </w:rPr>
      </w:pPr>
      <w:r>
        <w:rPr>
          <w:rFonts w:ascii="宋体" w:hAnsi="宋体" w:eastAsia="宋体" w:cs="仿宋"/>
          <w:sz w:val="24"/>
          <w:szCs w:val="24"/>
          <w:lang w:val="zh-TW" w:eastAsia="zh-TW"/>
        </w:rPr>
        <w:t>（二）“重大恶性公共事件”是指突然发生，造成重大人员伤亡、财产损失和严重社会危害，危及公共安全的犯罪事件，经县级以上公安机关认定，或由政府部门及相关行业专家组成的事故认定委员会认定。</w:t>
      </w:r>
    </w:p>
    <w:p>
      <w:pPr>
        <w:pStyle w:val="60"/>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宋体" w:hAnsi="宋体" w:eastAsia="宋体" w:cs="仿宋"/>
          <w:sz w:val="24"/>
          <w:szCs w:val="24"/>
          <w:lang w:val="zh-TW" w:eastAsia="zh-TW"/>
        </w:rPr>
      </w:pPr>
      <w:r>
        <w:rPr>
          <w:rFonts w:ascii="宋体" w:hAnsi="宋体" w:eastAsia="宋体" w:cs="仿宋"/>
          <w:sz w:val="24"/>
          <w:szCs w:val="24"/>
          <w:lang w:val="zh-TW" w:eastAsia="zh-TW"/>
        </w:rPr>
        <w:t>（三）“恐怖袭击”是指以制造社会恐慌、危害公共安全或者胁迫国家机关、国际组织为目的，采取暴力、破坏、恐吓等手段，造成或者意图造成人员伤亡、重大财产损失、公共设施破坏、社会秩序混乱等严重社会危害的行为。</w:t>
      </w:r>
    </w:p>
    <w:p>
      <w:pPr>
        <w:pStyle w:val="60"/>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宋体" w:hAnsi="宋体" w:eastAsia="宋体" w:cs="仿宋"/>
          <w:sz w:val="24"/>
          <w:szCs w:val="24"/>
          <w:lang w:val="zh-TW" w:eastAsia="zh-TW"/>
        </w:rPr>
      </w:pPr>
      <w:r>
        <w:rPr>
          <w:rFonts w:ascii="宋体" w:hAnsi="宋体" w:eastAsia="宋体" w:cs="仿宋"/>
          <w:sz w:val="24"/>
          <w:szCs w:val="24"/>
          <w:lang w:val="zh-TW" w:eastAsia="zh-TW"/>
        </w:rPr>
        <w:t>（四）“政府公共设施和区域”是指政府为社会公众提供服务或供社会公众使用的各类公共建筑、设备和场所。具体包括但不限于如下场所：学校、医院、体育场（馆）、游泳场（馆）、公园、广场、风景区（免费）、图书馆、展览馆、博物馆、美术馆、青少年宫、车站、码头、渡口、民用机场及政府部门认可的其他公共设施和场所。</w:t>
      </w:r>
    </w:p>
    <w:p>
      <w:pPr>
        <w:pStyle w:val="60"/>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b/>
          <w:sz w:val="24"/>
          <w:szCs w:val="24"/>
        </w:rPr>
      </w:pPr>
      <w:r>
        <w:rPr>
          <w:rFonts w:ascii="宋体" w:hAnsi="宋体" w:eastAsia="宋体" w:cs="仿宋"/>
          <w:sz w:val="24"/>
          <w:szCs w:val="24"/>
          <w:lang w:val="zh-TW" w:eastAsia="zh-TW"/>
        </w:rPr>
        <w:t>（五）“渡船”是指经政府相关部门批准，参与渡口航线营运的的各类客渡船。</w:t>
      </w:r>
    </w:p>
    <w:p>
      <w:pPr>
        <w:rPr>
          <w:rFonts w:hint="eastAsia" w:ascii="宋体" w:hAnsi="宋体" w:eastAsia="宋体" w:cs="宋体"/>
          <w:b/>
          <w:sz w:val="36"/>
          <w:szCs w:val="36"/>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b/>
          <w:sz w:val="36"/>
          <w:szCs w:val="36"/>
        </w:rPr>
        <w:br w:type="page"/>
      </w:r>
    </w:p>
    <w:p>
      <w:pPr>
        <w:numPr>
          <w:ilvl w:val="0"/>
          <w:numId w:val="10"/>
        </w:numPr>
        <w:spacing w:line="360" w:lineRule="auto"/>
        <w:jc w:val="center"/>
        <w:outlineLvl w:val="0"/>
        <w:rPr>
          <w:rFonts w:hint="eastAsia" w:ascii="宋体" w:hAnsi="宋体" w:eastAsia="宋体" w:cs="宋体"/>
          <w:b/>
          <w:sz w:val="36"/>
          <w:szCs w:val="36"/>
        </w:rPr>
      </w:pPr>
      <w:bookmarkStart w:id="93" w:name="_Toc7835"/>
      <w:bookmarkStart w:id="94" w:name="_Toc31114"/>
      <w:r>
        <w:rPr>
          <w:rFonts w:hint="eastAsia" w:ascii="宋体" w:hAnsi="宋体" w:eastAsia="宋体" w:cs="宋体"/>
          <w:b/>
          <w:sz w:val="36"/>
          <w:szCs w:val="36"/>
        </w:rPr>
        <w:t>政府采购合同主要条款指引</w:t>
      </w:r>
      <w:bookmarkEnd w:id="93"/>
      <w:bookmarkEnd w:id="94"/>
    </w:p>
    <w:p>
      <w:pPr>
        <w:pStyle w:val="12"/>
        <w:snapToGrid w:val="0"/>
        <w:spacing w:before="120" w:after="120"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甲方：（采购</w:t>
      </w:r>
      <w:r>
        <w:rPr>
          <w:rFonts w:hint="eastAsia" w:hAnsi="宋体" w:cs="宋体"/>
          <w:color w:val="000000"/>
          <w:sz w:val="24"/>
          <w:szCs w:val="24"/>
          <w:lang w:val="en-US" w:eastAsia="zh-CN"/>
        </w:rPr>
        <w:t>人</w:t>
      </w:r>
      <w:r>
        <w:rPr>
          <w:rFonts w:hint="eastAsia" w:ascii="宋体" w:hAnsi="宋体" w:eastAsia="宋体" w:cs="宋体"/>
          <w:color w:val="000000"/>
          <w:sz w:val="24"/>
          <w:szCs w:val="24"/>
        </w:rPr>
        <w:t xml:space="preserve">）                                                          </w:t>
      </w:r>
    </w:p>
    <w:p>
      <w:pPr>
        <w:pStyle w:val="12"/>
        <w:snapToGrid w:val="0"/>
        <w:spacing w:before="120" w:after="120"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乙方：（中标</w:t>
      </w:r>
      <w:r>
        <w:rPr>
          <w:rFonts w:hint="eastAsia" w:hAnsi="宋体" w:cs="宋体"/>
          <w:color w:val="000000"/>
          <w:sz w:val="24"/>
          <w:szCs w:val="24"/>
          <w:lang w:val="en-US" w:eastAsia="zh-CN"/>
        </w:rPr>
        <w:t>人</w:t>
      </w:r>
      <w:r>
        <w:rPr>
          <w:rFonts w:hint="eastAsia" w:ascii="宋体" w:hAnsi="宋体" w:eastAsia="宋体" w:cs="宋体"/>
          <w:color w:val="000000"/>
          <w:sz w:val="24"/>
          <w:szCs w:val="24"/>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甲、乙双方根据</w:t>
      </w:r>
      <w:r>
        <w:rPr>
          <w:rFonts w:hint="eastAsia" w:ascii="宋体" w:hAnsi="宋体" w:cs="宋体"/>
          <w:b/>
          <w:bCs/>
          <w:sz w:val="24"/>
          <w:szCs w:val="24"/>
          <w:lang w:eastAsia="zh-CN"/>
        </w:rPr>
        <w:t>台州市公共安全综合保险项目（</w:t>
      </w:r>
      <w:r>
        <w:rPr>
          <w:rFonts w:hint="eastAsia" w:ascii="宋体" w:hAnsi="宋体" w:cs="宋体"/>
          <w:b/>
          <w:bCs/>
          <w:sz w:val="24"/>
          <w:szCs w:val="24"/>
          <w:lang w:val="en-US" w:eastAsia="zh-CN"/>
        </w:rPr>
        <w:t>项目编号：TZYY-2208-004号</w:t>
      </w:r>
      <w:r>
        <w:rPr>
          <w:rFonts w:hint="eastAsia" w:ascii="宋体" w:hAnsi="宋体" w:cs="宋体"/>
          <w:b/>
          <w:bCs/>
          <w:sz w:val="24"/>
          <w:szCs w:val="24"/>
          <w:lang w:eastAsia="zh-CN"/>
        </w:rPr>
        <w:t>）</w:t>
      </w:r>
      <w:r>
        <w:rPr>
          <w:rFonts w:hint="eastAsia" w:ascii="宋体" w:hAnsi="宋体" w:eastAsia="宋体" w:cs="宋体"/>
          <w:sz w:val="24"/>
          <w:szCs w:val="24"/>
        </w:rPr>
        <w:t>公开招标的结果，签署本合同。</w:t>
      </w:r>
      <w:r>
        <w:rPr>
          <w:rFonts w:hint="eastAsia" w:ascii="宋体" w:hAnsi="宋体" w:cs="宋体"/>
          <w:color w:val="FF0000"/>
          <w:sz w:val="24"/>
          <w:szCs w:val="24"/>
          <w:u w:val="none"/>
          <w:lang w:eastAsia="zh-CN"/>
        </w:rPr>
        <w:t>（</w:t>
      </w:r>
      <w:r>
        <w:rPr>
          <w:rFonts w:hint="eastAsia" w:ascii="宋体" w:hAnsi="宋体" w:cs="宋体"/>
          <w:color w:val="FF0000"/>
          <w:sz w:val="24"/>
          <w:szCs w:val="24"/>
          <w:u w:val="none"/>
          <w:lang w:val="en-US" w:eastAsia="zh-CN"/>
        </w:rPr>
        <w:t>注：</w:t>
      </w:r>
      <w:r>
        <w:rPr>
          <w:rFonts w:hint="eastAsia" w:cs="宋体"/>
          <w:bCs/>
          <w:color w:val="FF0000"/>
          <w:sz w:val="24"/>
          <w:u w:val="none"/>
        </w:rPr>
        <w:t>由</w:t>
      </w:r>
      <w:r>
        <w:rPr>
          <w:rFonts w:hint="eastAsia" w:cs="宋体"/>
          <w:bCs/>
          <w:color w:val="FF0000"/>
          <w:sz w:val="24"/>
          <w:u w:val="none"/>
          <w:lang w:val="en-US" w:eastAsia="zh-CN"/>
        </w:rPr>
        <w:t>甲方</w:t>
      </w:r>
      <w:r>
        <w:rPr>
          <w:rFonts w:hint="eastAsia" w:cs="宋体"/>
          <w:bCs/>
          <w:color w:val="FF0000"/>
          <w:sz w:val="24"/>
          <w:u w:val="none"/>
        </w:rPr>
        <w:t>签订总合同进行归档备案，各县（市）可签订分合同，合同条款需与本文本一致。其中市本级（含三区</w:t>
      </w:r>
      <w:r>
        <w:rPr>
          <w:rFonts w:hint="eastAsia" w:cs="宋体"/>
          <w:bCs/>
          <w:color w:val="FF0000"/>
          <w:sz w:val="24"/>
          <w:u w:val="none"/>
          <w:lang w:eastAsia="zh-CN"/>
        </w:rPr>
        <w:t>、</w:t>
      </w:r>
      <w:r>
        <w:rPr>
          <w:rFonts w:hint="eastAsia" w:cs="宋体"/>
          <w:bCs/>
          <w:color w:val="FF0000"/>
          <w:sz w:val="24"/>
          <w:u w:val="none"/>
          <w:lang w:val="en-US" w:eastAsia="zh-CN"/>
        </w:rPr>
        <w:t>台州湾新区</w:t>
      </w:r>
      <w:r>
        <w:rPr>
          <w:rFonts w:hint="eastAsia" w:cs="宋体"/>
          <w:bCs/>
          <w:color w:val="FF0000"/>
          <w:sz w:val="24"/>
          <w:u w:val="none"/>
        </w:rPr>
        <w:t>）由</w:t>
      </w:r>
      <w:r>
        <w:rPr>
          <w:rFonts w:hint="eastAsia" w:cs="宋体"/>
          <w:bCs/>
          <w:color w:val="FF0000"/>
          <w:sz w:val="24"/>
          <w:u w:val="none"/>
          <w:lang w:val="en-US" w:eastAsia="zh-CN"/>
        </w:rPr>
        <w:t>甲方</w:t>
      </w:r>
      <w:r>
        <w:rPr>
          <w:rFonts w:hint="eastAsia" w:cs="宋体"/>
          <w:bCs/>
          <w:color w:val="FF0000"/>
          <w:sz w:val="24"/>
          <w:u w:val="none"/>
        </w:rPr>
        <w:t>作为投保人，各县（市）由各县（市）委政法委作为投保人，分别与乙方签订保险合同。</w:t>
      </w:r>
      <w:r>
        <w:rPr>
          <w:rFonts w:hint="eastAsia" w:ascii="宋体" w:hAnsi="宋体" w:cs="宋体"/>
          <w:color w:val="FF0000"/>
          <w:sz w:val="24"/>
          <w:szCs w:val="24"/>
          <w:u w:val="none"/>
          <w:lang w:eastAsia="zh-CN"/>
        </w:rPr>
        <w:t>）</w:t>
      </w:r>
    </w:p>
    <w:p>
      <w:pPr>
        <w:keepNext w:val="0"/>
        <w:keepLines w:val="0"/>
        <w:pageBreakBefore w:val="0"/>
        <w:numPr>
          <w:ilvl w:val="0"/>
          <w:numId w:val="54"/>
        </w:numPr>
        <w:kinsoku/>
        <w:wordWrap/>
        <w:overflowPunct/>
        <w:topLinePunct w:val="0"/>
        <w:autoSpaceDE/>
        <w:autoSpaceDN/>
        <w:bidi w:val="0"/>
        <w:snapToGrid/>
        <w:spacing w:line="360" w:lineRule="auto"/>
        <w:ind w:left="0" w:leftChars="0" w:firstLine="482" w:firstLineChars="200"/>
        <w:textAlignment w:val="auto"/>
        <w:outlineLvl w:val="1"/>
        <w:rPr>
          <w:rFonts w:ascii="宋体"/>
          <w:b/>
          <w:bCs w:val="0"/>
          <w:color w:val="000000"/>
          <w:sz w:val="24"/>
          <w:szCs w:val="24"/>
          <w:lang w:val="zh-CN"/>
        </w:rPr>
      </w:pPr>
      <w:bookmarkStart w:id="95" w:name="_Toc14348"/>
      <w:bookmarkStart w:id="96" w:name="_Toc14053"/>
      <w:r>
        <w:rPr>
          <w:rFonts w:hint="eastAsia" w:ascii="宋体"/>
          <w:b/>
          <w:bCs w:val="0"/>
          <w:color w:val="000000"/>
          <w:sz w:val="24"/>
          <w:szCs w:val="24"/>
          <w:lang w:val="zh-CN"/>
        </w:rPr>
        <w:t>合同文件：</w:t>
      </w:r>
      <w:bookmarkEnd w:id="95"/>
      <w:bookmarkEnd w:id="96"/>
      <w:r>
        <w:rPr>
          <w:rFonts w:hint="eastAsia" w:ascii="宋体"/>
          <w:b/>
          <w:bCs w:val="0"/>
          <w:color w:val="000000"/>
          <w:sz w:val="24"/>
          <w:szCs w:val="24"/>
          <w:lang w:val="zh-CN"/>
        </w:rPr>
        <w:t xml:space="preserve"> </w:t>
      </w:r>
    </w:p>
    <w:p>
      <w:pPr>
        <w:keepNext w:val="0"/>
        <w:keepLines w:val="0"/>
        <w:pageBreakBefore w:val="0"/>
        <w:numPr>
          <w:ilvl w:val="0"/>
          <w:numId w:val="55"/>
        </w:numPr>
        <w:kinsoku/>
        <w:wordWrap/>
        <w:overflowPunct/>
        <w:topLinePunct w:val="0"/>
        <w:autoSpaceDE/>
        <w:autoSpaceDN/>
        <w:bidi w:val="0"/>
        <w:snapToGrid/>
        <w:spacing w:line="360" w:lineRule="auto"/>
        <w:ind w:left="0" w:leftChars="0" w:firstLine="480" w:firstLineChars="200"/>
        <w:textAlignment w:val="auto"/>
        <w:rPr>
          <w:rFonts w:ascii="宋体"/>
          <w:color w:val="000000"/>
          <w:sz w:val="24"/>
          <w:szCs w:val="24"/>
          <w:highlight w:val="none"/>
          <w:lang w:val="zh-CN"/>
        </w:rPr>
      </w:pPr>
      <w:r>
        <w:rPr>
          <w:rFonts w:hint="eastAsia" w:ascii="宋体"/>
          <w:color w:val="000000"/>
          <w:sz w:val="24"/>
          <w:szCs w:val="24"/>
          <w:highlight w:val="none"/>
          <w:lang w:val="zh-CN"/>
        </w:rPr>
        <w:t>合同条款。</w:t>
      </w:r>
    </w:p>
    <w:p>
      <w:pPr>
        <w:keepNext w:val="0"/>
        <w:keepLines w:val="0"/>
        <w:pageBreakBefore w:val="0"/>
        <w:numPr>
          <w:ilvl w:val="0"/>
          <w:numId w:val="55"/>
        </w:numPr>
        <w:kinsoku/>
        <w:wordWrap/>
        <w:overflowPunct/>
        <w:topLinePunct w:val="0"/>
        <w:autoSpaceDE/>
        <w:autoSpaceDN/>
        <w:bidi w:val="0"/>
        <w:snapToGrid/>
        <w:spacing w:line="360" w:lineRule="auto"/>
        <w:ind w:left="0" w:leftChars="0" w:firstLine="480" w:firstLineChars="200"/>
        <w:textAlignment w:val="auto"/>
        <w:rPr>
          <w:rFonts w:ascii="宋体"/>
          <w:color w:val="000000"/>
          <w:sz w:val="24"/>
          <w:szCs w:val="24"/>
          <w:lang w:val="zh-CN"/>
        </w:rPr>
      </w:pPr>
      <w:r>
        <w:rPr>
          <w:rFonts w:hint="eastAsia" w:ascii="宋体"/>
          <w:color w:val="000000"/>
          <w:sz w:val="24"/>
          <w:szCs w:val="24"/>
          <w:lang w:val="zh-CN"/>
        </w:rPr>
        <w:t>中标通知书。</w:t>
      </w:r>
    </w:p>
    <w:p>
      <w:pPr>
        <w:keepNext w:val="0"/>
        <w:keepLines w:val="0"/>
        <w:pageBreakBefore w:val="0"/>
        <w:numPr>
          <w:ilvl w:val="0"/>
          <w:numId w:val="55"/>
        </w:numPr>
        <w:kinsoku/>
        <w:wordWrap/>
        <w:overflowPunct/>
        <w:topLinePunct w:val="0"/>
        <w:autoSpaceDE/>
        <w:autoSpaceDN/>
        <w:bidi w:val="0"/>
        <w:snapToGrid/>
        <w:spacing w:line="360" w:lineRule="auto"/>
        <w:ind w:left="0" w:leftChars="0" w:firstLine="480" w:firstLineChars="200"/>
        <w:textAlignment w:val="auto"/>
        <w:rPr>
          <w:rFonts w:ascii="宋体"/>
          <w:color w:val="000000"/>
          <w:sz w:val="24"/>
          <w:szCs w:val="24"/>
          <w:lang w:val="zh-CN"/>
        </w:rPr>
      </w:pPr>
      <w:r>
        <w:rPr>
          <w:rFonts w:hint="eastAsia" w:ascii="宋体"/>
          <w:color w:val="000000"/>
          <w:sz w:val="24"/>
          <w:szCs w:val="24"/>
          <w:lang w:val="zh-CN"/>
        </w:rPr>
        <w:t>更正补充文件。</w:t>
      </w:r>
    </w:p>
    <w:p>
      <w:pPr>
        <w:keepNext w:val="0"/>
        <w:keepLines w:val="0"/>
        <w:pageBreakBefore w:val="0"/>
        <w:numPr>
          <w:ilvl w:val="0"/>
          <w:numId w:val="55"/>
        </w:numPr>
        <w:kinsoku/>
        <w:wordWrap/>
        <w:overflowPunct/>
        <w:topLinePunct w:val="0"/>
        <w:autoSpaceDE/>
        <w:autoSpaceDN/>
        <w:bidi w:val="0"/>
        <w:snapToGrid/>
        <w:spacing w:line="360" w:lineRule="auto"/>
        <w:ind w:left="0" w:leftChars="0" w:firstLine="480" w:firstLineChars="200"/>
        <w:textAlignment w:val="auto"/>
        <w:rPr>
          <w:rFonts w:ascii="宋体"/>
          <w:color w:val="000000"/>
          <w:sz w:val="24"/>
          <w:szCs w:val="24"/>
          <w:lang w:val="zh-CN"/>
        </w:rPr>
      </w:pPr>
      <w:r>
        <w:rPr>
          <w:rFonts w:hint="eastAsia" w:ascii="宋体"/>
          <w:color w:val="000000"/>
          <w:sz w:val="24"/>
          <w:szCs w:val="24"/>
          <w:lang w:val="zh-CN"/>
        </w:rPr>
        <w:t>招标文件。</w:t>
      </w:r>
    </w:p>
    <w:p>
      <w:pPr>
        <w:keepNext w:val="0"/>
        <w:keepLines w:val="0"/>
        <w:pageBreakBefore w:val="0"/>
        <w:numPr>
          <w:ilvl w:val="0"/>
          <w:numId w:val="55"/>
        </w:numPr>
        <w:kinsoku/>
        <w:wordWrap/>
        <w:overflowPunct/>
        <w:topLinePunct w:val="0"/>
        <w:autoSpaceDE/>
        <w:autoSpaceDN/>
        <w:bidi w:val="0"/>
        <w:snapToGrid/>
        <w:spacing w:line="360" w:lineRule="auto"/>
        <w:ind w:left="0" w:leftChars="0" w:firstLine="480" w:firstLineChars="200"/>
        <w:textAlignment w:val="auto"/>
        <w:rPr>
          <w:rFonts w:ascii="宋体"/>
          <w:color w:val="000000"/>
          <w:sz w:val="24"/>
          <w:szCs w:val="24"/>
          <w:lang w:val="zh-CN"/>
        </w:rPr>
      </w:pPr>
      <w:r>
        <w:rPr>
          <w:rFonts w:hint="eastAsia" w:ascii="宋体"/>
          <w:color w:val="000000"/>
          <w:sz w:val="24"/>
          <w:szCs w:val="24"/>
          <w:lang w:val="zh-CN"/>
        </w:rPr>
        <w:t>中标供应商投标文件。</w:t>
      </w:r>
    </w:p>
    <w:p>
      <w:pPr>
        <w:keepNext w:val="0"/>
        <w:keepLines w:val="0"/>
        <w:pageBreakBefore w:val="0"/>
        <w:numPr>
          <w:ilvl w:val="0"/>
          <w:numId w:val="55"/>
        </w:numPr>
        <w:kinsoku/>
        <w:wordWrap/>
        <w:overflowPunct/>
        <w:topLinePunct w:val="0"/>
        <w:autoSpaceDE/>
        <w:autoSpaceDN/>
        <w:bidi w:val="0"/>
        <w:snapToGrid/>
        <w:spacing w:line="360" w:lineRule="auto"/>
        <w:ind w:left="0" w:leftChars="0" w:firstLine="480" w:firstLineChars="200"/>
        <w:textAlignment w:val="auto"/>
        <w:rPr>
          <w:rFonts w:ascii="宋体"/>
          <w:color w:val="000000"/>
          <w:sz w:val="24"/>
          <w:szCs w:val="24"/>
          <w:lang w:val="zh-CN"/>
        </w:rPr>
      </w:pPr>
      <w:r>
        <w:rPr>
          <w:rFonts w:hint="eastAsia" w:ascii="宋体"/>
          <w:color w:val="000000"/>
          <w:sz w:val="24"/>
          <w:szCs w:val="24"/>
          <w:lang w:val="zh-CN"/>
        </w:rPr>
        <w:t>其他。</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
          <w:color w:val="333333"/>
          <w:kern w:val="0"/>
          <w:sz w:val="24"/>
          <w:szCs w:val="24"/>
        </w:rPr>
      </w:pPr>
      <w:r>
        <w:rPr>
          <w:rFonts w:hint="eastAsia"/>
          <w:color w:val="000000"/>
          <w:sz w:val="24"/>
          <w:szCs w:val="24"/>
          <w:lang w:val="zh-CN"/>
        </w:rPr>
        <w:t>上述所指合同文件应认为是互相补充和解释的，但是有模棱两可或互相矛盾之处，以其所列内容顺序为准。</w:t>
      </w:r>
    </w:p>
    <w:p>
      <w:pPr>
        <w:pStyle w:val="60"/>
        <w:keepNext w:val="0"/>
        <w:keepLines w:val="0"/>
        <w:pageBreakBefore w:val="0"/>
        <w:widowControl w:val="0"/>
        <w:numPr>
          <w:ilvl w:val="0"/>
          <w:numId w:val="54"/>
        </w:numPr>
        <w:kinsoku/>
        <w:wordWrap/>
        <w:overflowPunct/>
        <w:topLinePunct w:val="0"/>
        <w:autoSpaceDE/>
        <w:autoSpaceDN/>
        <w:bidi w:val="0"/>
        <w:adjustRightInd/>
        <w:snapToGrid/>
        <w:spacing w:line="360" w:lineRule="auto"/>
        <w:ind w:left="0" w:leftChars="0" w:firstLine="482" w:firstLineChars="200"/>
        <w:textAlignment w:val="auto"/>
        <w:rPr>
          <w:rFonts w:ascii="宋体" w:hAnsi="宋体" w:eastAsia="宋体" w:cs="仿宋"/>
          <w:b/>
          <w:bCs/>
          <w:sz w:val="24"/>
          <w:szCs w:val="24"/>
          <w:lang w:val="zh-TW" w:eastAsia="zh-TW"/>
        </w:rPr>
      </w:pPr>
      <w:bookmarkStart w:id="97" w:name="_Toc23103"/>
      <w:bookmarkStart w:id="98" w:name="_Toc26657"/>
      <w:bookmarkStart w:id="99" w:name="_Toc25574"/>
      <w:r>
        <w:rPr>
          <w:rFonts w:ascii="宋体" w:hAnsi="宋体" w:eastAsia="宋体" w:cs="仿宋"/>
          <w:b/>
          <w:bCs/>
          <w:sz w:val="24"/>
          <w:szCs w:val="24"/>
          <w:lang w:val="zh-TW" w:eastAsia="zh-TW"/>
        </w:rPr>
        <w:t>保险责任范围</w:t>
      </w:r>
      <w:bookmarkEnd w:id="97"/>
    </w:p>
    <w:p>
      <w:pPr>
        <w:pStyle w:val="60"/>
        <w:keepNext w:val="0"/>
        <w:keepLines w:val="0"/>
        <w:pageBreakBefore w:val="0"/>
        <w:widowControl w:val="0"/>
        <w:numPr>
          <w:ilvl w:val="0"/>
          <w:numId w:val="5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仿宋"/>
          <w:sz w:val="24"/>
          <w:szCs w:val="24"/>
          <w:lang w:val="zh-TW" w:eastAsia="zh-TW"/>
        </w:rPr>
      </w:pPr>
      <w:r>
        <w:rPr>
          <w:rFonts w:hint="eastAsia" w:ascii="宋体" w:hAnsi="宋体" w:eastAsia="宋体" w:cs="仿宋"/>
          <w:sz w:val="24"/>
          <w:szCs w:val="24"/>
          <w:lang w:val="zh-TW" w:eastAsia="zh-TW"/>
        </w:rPr>
        <w:t>保险保障对象为台州市行政区域范围内的所有人员，包括常住人口、部队驻军以及来台州出差、旅游、探亲、就学、工作、抢险救灾等其他人员。</w:t>
      </w:r>
    </w:p>
    <w:p>
      <w:pPr>
        <w:pStyle w:val="60"/>
        <w:keepNext w:val="0"/>
        <w:keepLines w:val="0"/>
        <w:pageBreakBefore w:val="0"/>
        <w:widowControl w:val="0"/>
        <w:numPr>
          <w:ilvl w:val="0"/>
          <w:numId w:val="5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仿宋"/>
          <w:sz w:val="24"/>
          <w:szCs w:val="24"/>
          <w:lang w:val="zh-TW" w:eastAsia="zh-TW"/>
        </w:rPr>
      </w:pPr>
      <w:r>
        <w:rPr>
          <w:rFonts w:hint="eastAsia" w:ascii="宋体" w:hAnsi="宋体" w:eastAsia="宋体" w:cs="仿宋"/>
          <w:sz w:val="24"/>
          <w:szCs w:val="24"/>
          <w:lang w:val="zh-TW" w:eastAsia="zh-TW"/>
        </w:rPr>
        <w:t>在台州市行政区域内，因下列原因造成人身伤害，且无法明确责任主体或责任主体无力赔偿或需由政府救助（赔付）的，</w:t>
      </w:r>
      <w:r>
        <w:rPr>
          <w:rFonts w:hint="eastAsia" w:ascii="宋体" w:hAnsi="宋体" w:eastAsia="宋体" w:cs="仿宋"/>
          <w:sz w:val="24"/>
          <w:szCs w:val="24"/>
          <w:lang w:val="zh-TW" w:eastAsia="zh-CN"/>
        </w:rPr>
        <w:t>乙方</w:t>
      </w:r>
      <w:r>
        <w:rPr>
          <w:rFonts w:hint="eastAsia" w:ascii="宋体" w:hAnsi="宋体" w:eastAsia="宋体" w:cs="仿宋"/>
          <w:sz w:val="24"/>
          <w:szCs w:val="24"/>
          <w:lang w:val="zh-TW" w:eastAsia="zh-TW"/>
        </w:rPr>
        <w:t>应按约定的赔偿金额给予赔付：</w:t>
      </w:r>
    </w:p>
    <w:p>
      <w:pPr>
        <w:pStyle w:val="60"/>
        <w:keepNext w:val="0"/>
        <w:keepLines w:val="0"/>
        <w:pageBreakBefore w:val="0"/>
        <w:widowControl w:val="0"/>
        <w:numPr>
          <w:ilvl w:val="0"/>
          <w:numId w:val="5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仿宋"/>
          <w:sz w:val="24"/>
          <w:szCs w:val="24"/>
          <w:lang w:val="zh-TW" w:eastAsia="zh-TW"/>
        </w:rPr>
      </w:pPr>
      <w:r>
        <w:rPr>
          <w:rFonts w:hint="eastAsia" w:ascii="宋体" w:hAnsi="宋体" w:eastAsia="宋体" w:cs="仿宋"/>
          <w:sz w:val="24"/>
          <w:szCs w:val="24"/>
          <w:lang w:val="zh-TW" w:eastAsia="zh-TW"/>
        </w:rPr>
        <w:t>火灾爆炸。因公共场所及居民住宅发生火灾、爆炸事故导致人身伤亡。</w:t>
      </w:r>
    </w:p>
    <w:p>
      <w:pPr>
        <w:pStyle w:val="60"/>
        <w:keepNext w:val="0"/>
        <w:keepLines w:val="0"/>
        <w:pageBreakBefore w:val="0"/>
        <w:widowControl w:val="0"/>
        <w:numPr>
          <w:ilvl w:val="0"/>
          <w:numId w:val="5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仿宋"/>
          <w:sz w:val="24"/>
          <w:szCs w:val="24"/>
          <w:lang w:val="zh-TW" w:eastAsia="zh-TW"/>
        </w:rPr>
      </w:pPr>
      <w:r>
        <w:rPr>
          <w:rFonts w:hint="eastAsia" w:ascii="宋体" w:hAnsi="宋体" w:eastAsia="宋体" w:cs="仿宋"/>
          <w:sz w:val="24"/>
          <w:szCs w:val="24"/>
          <w:lang w:val="zh-TW" w:eastAsia="zh-TW"/>
        </w:rPr>
        <w:t>自然灾害（含窨井盖吞噬）。因台风、大风（龙卷风）、暴雨、雷电、洪水、暴雪、风暴潮、山洪、地质灾害、冰雹灾害造成人身伤亡。</w:t>
      </w:r>
    </w:p>
    <w:p>
      <w:pPr>
        <w:pStyle w:val="60"/>
        <w:keepNext w:val="0"/>
        <w:keepLines w:val="0"/>
        <w:pageBreakBefore w:val="0"/>
        <w:widowControl w:val="0"/>
        <w:numPr>
          <w:ilvl w:val="0"/>
          <w:numId w:val="5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仿宋"/>
          <w:sz w:val="24"/>
          <w:szCs w:val="24"/>
          <w:lang w:val="zh-TW" w:eastAsia="zh-TW"/>
        </w:rPr>
      </w:pPr>
      <w:r>
        <w:rPr>
          <w:rFonts w:hint="eastAsia" w:ascii="宋体" w:hAnsi="宋体" w:eastAsia="宋体" w:cs="仿宋"/>
          <w:sz w:val="24"/>
          <w:szCs w:val="24"/>
          <w:lang w:val="zh-TW" w:eastAsia="zh-TW"/>
        </w:rPr>
        <w:t>恶性公共事件。因发生危害公共安全的犯罪事件导致人身伤亡。</w:t>
      </w:r>
    </w:p>
    <w:p>
      <w:pPr>
        <w:pStyle w:val="60"/>
        <w:keepNext w:val="0"/>
        <w:keepLines w:val="0"/>
        <w:pageBreakBefore w:val="0"/>
        <w:widowControl w:val="0"/>
        <w:numPr>
          <w:ilvl w:val="0"/>
          <w:numId w:val="5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仿宋"/>
          <w:sz w:val="24"/>
          <w:szCs w:val="24"/>
          <w:lang w:val="zh-TW" w:eastAsia="zh-TW"/>
        </w:rPr>
      </w:pPr>
      <w:r>
        <w:rPr>
          <w:rFonts w:hint="eastAsia" w:ascii="宋体" w:hAnsi="宋体" w:eastAsia="宋体" w:cs="仿宋"/>
          <w:sz w:val="24"/>
          <w:szCs w:val="24"/>
          <w:lang w:val="zh-TW" w:eastAsia="zh-TW"/>
        </w:rPr>
        <w:t>恐怖活动。因发生恐怖袭击事件导致人身伤亡。</w:t>
      </w:r>
    </w:p>
    <w:p>
      <w:pPr>
        <w:pStyle w:val="60"/>
        <w:keepNext w:val="0"/>
        <w:keepLines w:val="0"/>
        <w:pageBreakBefore w:val="0"/>
        <w:widowControl w:val="0"/>
        <w:numPr>
          <w:ilvl w:val="0"/>
          <w:numId w:val="5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仿宋"/>
          <w:sz w:val="24"/>
          <w:szCs w:val="24"/>
          <w:lang w:val="zh-TW" w:eastAsia="zh-TW"/>
        </w:rPr>
      </w:pPr>
      <w:r>
        <w:rPr>
          <w:rFonts w:hint="eastAsia" w:ascii="宋体" w:hAnsi="宋体" w:eastAsia="宋体" w:cs="仿宋"/>
          <w:sz w:val="24"/>
          <w:szCs w:val="24"/>
          <w:lang w:val="zh-TW" w:eastAsia="zh-TW"/>
        </w:rPr>
        <w:t>拥挤踩踏。在群众性活动中因发生拥挤、踩踏事故导致人身伤亡。</w:t>
      </w:r>
    </w:p>
    <w:p>
      <w:pPr>
        <w:pStyle w:val="60"/>
        <w:keepNext w:val="0"/>
        <w:keepLines w:val="0"/>
        <w:pageBreakBefore w:val="0"/>
        <w:widowControl w:val="0"/>
        <w:numPr>
          <w:ilvl w:val="0"/>
          <w:numId w:val="5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仿宋"/>
          <w:sz w:val="24"/>
          <w:szCs w:val="24"/>
          <w:lang w:val="zh-TW" w:eastAsia="zh-TW"/>
        </w:rPr>
      </w:pPr>
      <w:r>
        <w:rPr>
          <w:rFonts w:hint="eastAsia" w:ascii="宋体" w:hAnsi="宋体" w:eastAsia="宋体" w:cs="仿宋"/>
          <w:sz w:val="24"/>
          <w:szCs w:val="24"/>
          <w:lang w:val="zh-TW" w:eastAsia="zh-TW"/>
        </w:rPr>
        <w:t>高空坠物伤人。在机关事业单位及其他政府公共设施和区域因高空坠物导致人身伤亡。</w:t>
      </w:r>
    </w:p>
    <w:p>
      <w:pPr>
        <w:pStyle w:val="60"/>
        <w:keepNext w:val="0"/>
        <w:keepLines w:val="0"/>
        <w:pageBreakBefore w:val="0"/>
        <w:widowControl w:val="0"/>
        <w:numPr>
          <w:ilvl w:val="0"/>
          <w:numId w:val="5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仿宋"/>
          <w:sz w:val="24"/>
          <w:szCs w:val="24"/>
          <w:lang w:val="zh-TW" w:eastAsia="zh-TW"/>
        </w:rPr>
      </w:pPr>
      <w:r>
        <w:rPr>
          <w:rFonts w:hint="eastAsia" w:ascii="宋体" w:hAnsi="宋体" w:eastAsia="宋体" w:cs="仿宋"/>
          <w:sz w:val="24"/>
          <w:szCs w:val="24"/>
          <w:lang w:val="zh-TW" w:eastAsia="zh-TW"/>
        </w:rPr>
        <w:t>精神病人伤人。因遭受精神病人伤害导致人身伤亡。</w:t>
      </w:r>
    </w:p>
    <w:p>
      <w:pPr>
        <w:pStyle w:val="60"/>
        <w:keepNext w:val="0"/>
        <w:keepLines w:val="0"/>
        <w:pageBreakBefore w:val="0"/>
        <w:widowControl w:val="0"/>
        <w:numPr>
          <w:ilvl w:val="0"/>
          <w:numId w:val="5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仿宋"/>
          <w:sz w:val="24"/>
          <w:szCs w:val="24"/>
          <w:lang w:val="zh-TW" w:eastAsia="zh-TW"/>
        </w:rPr>
      </w:pPr>
      <w:r>
        <w:rPr>
          <w:rFonts w:hint="eastAsia" w:ascii="宋体" w:hAnsi="宋体" w:eastAsia="宋体" w:cs="仿宋"/>
          <w:sz w:val="24"/>
          <w:szCs w:val="24"/>
          <w:lang w:val="zh-TW" w:eastAsia="zh-TW"/>
        </w:rPr>
        <w:t>野生动物伤害。因遭受野生动物伤害导致人身伤亡（野生动物园动物伤害除外）。</w:t>
      </w:r>
    </w:p>
    <w:p>
      <w:pPr>
        <w:pStyle w:val="60"/>
        <w:keepNext w:val="0"/>
        <w:keepLines w:val="0"/>
        <w:pageBreakBefore w:val="0"/>
        <w:widowControl w:val="0"/>
        <w:numPr>
          <w:ilvl w:val="0"/>
          <w:numId w:val="5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仿宋"/>
          <w:sz w:val="24"/>
          <w:szCs w:val="24"/>
          <w:lang w:val="zh-TW" w:eastAsia="zh-TW"/>
        </w:rPr>
      </w:pPr>
      <w:r>
        <w:rPr>
          <w:rFonts w:hint="eastAsia" w:ascii="宋体" w:hAnsi="宋体" w:eastAsia="宋体" w:cs="仿宋"/>
          <w:sz w:val="24"/>
          <w:szCs w:val="24"/>
          <w:lang w:val="zh-TW" w:eastAsia="zh-TW"/>
        </w:rPr>
        <w:t>渡船交通事故。因渡船发生碰撞、倾覆、沉没等导致人身伤亡。</w:t>
      </w:r>
    </w:p>
    <w:p>
      <w:pPr>
        <w:pStyle w:val="60"/>
        <w:keepNext w:val="0"/>
        <w:keepLines w:val="0"/>
        <w:pageBreakBefore w:val="0"/>
        <w:widowControl w:val="0"/>
        <w:numPr>
          <w:ilvl w:val="0"/>
          <w:numId w:val="5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仿宋"/>
          <w:sz w:val="24"/>
          <w:szCs w:val="24"/>
          <w:lang w:val="zh-TW" w:eastAsia="zh-TW"/>
        </w:rPr>
      </w:pPr>
      <w:r>
        <w:rPr>
          <w:rFonts w:hint="eastAsia" w:ascii="宋体" w:hAnsi="宋体" w:eastAsia="宋体" w:cs="仿宋"/>
          <w:sz w:val="24"/>
          <w:szCs w:val="24"/>
          <w:lang w:val="zh-TW" w:eastAsia="zh-TW"/>
        </w:rPr>
        <w:t>抢险救灾（含见义勇为）。因见义勇为行为导致人身伤亡（经县级及以上公安机关认定）；或在上述灾害事件中抢险救灾、灾情处置人员因抢险救灾和灾情处置导致人身伤亡。</w:t>
      </w:r>
    </w:p>
    <w:p>
      <w:pPr>
        <w:pStyle w:val="60"/>
        <w:keepNext w:val="0"/>
        <w:keepLines w:val="0"/>
        <w:pageBreakBefore w:val="0"/>
        <w:widowControl w:val="0"/>
        <w:numPr>
          <w:ilvl w:val="0"/>
          <w:numId w:val="5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仿宋"/>
          <w:sz w:val="24"/>
          <w:szCs w:val="24"/>
          <w:lang w:val="zh-TW" w:eastAsia="zh-TW"/>
        </w:rPr>
      </w:pPr>
      <w:r>
        <w:rPr>
          <w:rFonts w:hint="eastAsia" w:ascii="宋体" w:hAnsi="宋体" w:eastAsia="宋体" w:cs="仿宋"/>
          <w:sz w:val="24"/>
          <w:szCs w:val="24"/>
          <w:lang w:val="zh-TW" w:eastAsia="zh-TW"/>
        </w:rPr>
        <w:t>执法伤害。公职人员在执行公务过程中因意外或疏忽，造成</w:t>
      </w:r>
      <w:r>
        <w:rPr>
          <w:rFonts w:hint="eastAsia" w:ascii="宋体" w:hAnsi="宋体" w:eastAsia="宋体" w:cs="仿宋"/>
          <w:sz w:val="24"/>
          <w:szCs w:val="24"/>
          <w:lang w:val="zh-TW" w:eastAsia="zh-CN"/>
        </w:rPr>
        <w:t>本人或他人</w:t>
      </w:r>
      <w:r>
        <w:rPr>
          <w:rFonts w:hint="eastAsia" w:ascii="宋体" w:hAnsi="宋体" w:eastAsia="宋体" w:cs="仿宋"/>
          <w:sz w:val="24"/>
          <w:szCs w:val="24"/>
          <w:lang w:val="zh-TW" w:eastAsia="zh-TW"/>
        </w:rPr>
        <w:t>人身伤亡或财产损失。</w:t>
      </w:r>
    </w:p>
    <w:p>
      <w:pPr>
        <w:pStyle w:val="60"/>
        <w:keepNext w:val="0"/>
        <w:keepLines w:val="0"/>
        <w:pageBreakBefore w:val="0"/>
        <w:widowControl w:val="0"/>
        <w:numPr>
          <w:ilvl w:val="0"/>
          <w:numId w:val="5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仿宋"/>
          <w:sz w:val="24"/>
          <w:szCs w:val="24"/>
          <w:lang w:val="zh-TW" w:eastAsia="zh-TW"/>
        </w:rPr>
      </w:pPr>
      <w:r>
        <w:rPr>
          <w:rFonts w:hint="eastAsia" w:ascii="宋体" w:hAnsi="宋体" w:eastAsia="宋体" w:cs="仿宋"/>
          <w:sz w:val="24"/>
          <w:szCs w:val="24"/>
          <w:lang w:val="zh-TW" w:eastAsia="zh-TW"/>
        </w:rPr>
        <w:t>重大矛盾纠纷调解。因发生非正常伤亡而产生重大矛盾纠纷的。</w:t>
      </w:r>
    </w:p>
    <w:p>
      <w:pPr>
        <w:pStyle w:val="60"/>
        <w:keepNext w:val="0"/>
        <w:keepLines w:val="0"/>
        <w:pageBreakBefore w:val="0"/>
        <w:widowControl w:val="0"/>
        <w:numPr>
          <w:ilvl w:val="0"/>
          <w:numId w:val="5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仿宋"/>
          <w:sz w:val="24"/>
          <w:szCs w:val="24"/>
          <w:lang w:val="zh-TW" w:eastAsia="zh-TW"/>
        </w:rPr>
      </w:pPr>
      <w:r>
        <w:rPr>
          <w:rFonts w:hint="eastAsia" w:ascii="宋体" w:hAnsi="宋体" w:eastAsia="宋体" w:cs="仿宋"/>
          <w:sz w:val="24"/>
          <w:szCs w:val="24"/>
          <w:lang w:val="zh-TW" w:eastAsia="zh-TW"/>
        </w:rPr>
        <w:t>其他重大公共安全风险。重大矛盾纠纷经评估可能引发重大公共安全风险的。</w:t>
      </w:r>
    </w:p>
    <w:p>
      <w:pPr>
        <w:pStyle w:val="60"/>
        <w:keepNext w:val="0"/>
        <w:keepLines w:val="0"/>
        <w:pageBreakBefore w:val="0"/>
        <w:widowControl w:val="0"/>
        <w:numPr>
          <w:ilvl w:val="0"/>
          <w:numId w:val="5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仿宋"/>
          <w:sz w:val="24"/>
          <w:szCs w:val="24"/>
          <w:lang w:val="zh-TW" w:eastAsia="zh-TW"/>
        </w:rPr>
      </w:pPr>
      <w:r>
        <w:rPr>
          <w:rFonts w:hint="eastAsia" w:ascii="宋体" w:hAnsi="宋体" w:eastAsia="宋体" w:cs="仿宋"/>
          <w:sz w:val="24"/>
          <w:szCs w:val="24"/>
          <w:lang w:val="zh-TW" w:eastAsia="zh-TW"/>
        </w:rPr>
        <w:t>项目保障。</w:t>
      </w:r>
      <w:r>
        <w:rPr>
          <w:rFonts w:hint="eastAsia" w:ascii="宋体" w:hAnsi="宋体" w:eastAsia="宋体" w:cs="仿宋"/>
          <w:sz w:val="24"/>
          <w:szCs w:val="24"/>
          <w:lang w:val="en-US" w:eastAsia="zh-CN"/>
        </w:rPr>
        <w:t>乙方</w:t>
      </w:r>
      <w:r>
        <w:rPr>
          <w:rFonts w:hint="eastAsia" w:ascii="宋体" w:hAnsi="宋体" w:eastAsia="宋体" w:cs="仿宋"/>
          <w:sz w:val="24"/>
          <w:szCs w:val="24"/>
          <w:lang w:val="zh-TW" w:eastAsia="zh-TW"/>
        </w:rPr>
        <w:t>不得将本项目非法分包或转包给任何单位和个人，否则，</w:t>
      </w:r>
      <w:r>
        <w:rPr>
          <w:rFonts w:hint="eastAsia" w:ascii="宋体" w:hAnsi="宋体" w:eastAsia="宋体" w:cs="仿宋"/>
          <w:sz w:val="24"/>
          <w:szCs w:val="24"/>
          <w:lang w:val="zh-TW" w:eastAsia="zh-CN"/>
        </w:rPr>
        <w:t>甲方</w:t>
      </w:r>
      <w:r>
        <w:rPr>
          <w:rFonts w:hint="eastAsia" w:ascii="宋体" w:hAnsi="宋体" w:eastAsia="宋体" w:cs="仿宋"/>
          <w:sz w:val="24"/>
          <w:szCs w:val="24"/>
          <w:lang w:val="zh-TW" w:eastAsia="zh-TW"/>
        </w:rPr>
        <w:t>有权即刻终止合同，并要求</w:t>
      </w:r>
      <w:r>
        <w:rPr>
          <w:rFonts w:hint="eastAsia" w:ascii="宋体" w:hAnsi="宋体" w:eastAsia="宋体" w:cs="仿宋"/>
          <w:sz w:val="24"/>
          <w:szCs w:val="24"/>
          <w:lang w:val="en-US" w:eastAsia="zh-CN"/>
        </w:rPr>
        <w:t>乙方</w:t>
      </w:r>
      <w:r>
        <w:rPr>
          <w:rFonts w:hint="eastAsia" w:ascii="宋体" w:hAnsi="宋体" w:eastAsia="宋体" w:cs="仿宋"/>
          <w:sz w:val="24"/>
          <w:szCs w:val="24"/>
          <w:lang w:val="zh-TW" w:eastAsia="zh-TW"/>
        </w:rPr>
        <w:t>赔偿相应损失。</w:t>
      </w:r>
    </w:p>
    <w:p>
      <w:pPr>
        <w:pStyle w:val="60"/>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宋体" w:hAnsi="宋体" w:eastAsia="宋体" w:cs="仿宋"/>
          <w:sz w:val="24"/>
          <w:szCs w:val="24"/>
          <w:lang w:val="zh-TW" w:eastAsia="zh-TW"/>
        </w:rPr>
      </w:pPr>
      <w:r>
        <w:rPr>
          <w:rFonts w:hint="eastAsia" w:ascii="宋体" w:hAnsi="宋体" w:eastAsia="宋体" w:cs="仿宋"/>
          <w:sz w:val="24"/>
          <w:szCs w:val="24"/>
          <w:lang w:val="zh-TW" w:eastAsia="zh-TW"/>
        </w:rPr>
        <w:t>本保险责任范围涉及“公共场所”、“重大恶性公共事件”、“恐怖袭击”、“政府公共设施和区域”、“渡船”等相关概念按照附件一说明</w:t>
      </w:r>
      <w:r>
        <w:rPr>
          <w:rFonts w:ascii="宋体" w:hAnsi="宋体" w:eastAsia="宋体" w:cs="仿宋"/>
          <w:sz w:val="24"/>
          <w:szCs w:val="24"/>
          <w:lang w:val="zh-TW" w:eastAsia="zh-TW"/>
        </w:rPr>
        <w:t>。</w:t>
      </w:r>
    </w:p>
    <w:p>
      <w:pPr>
        <w:pStyle w:val="60"/>
        <w:keepNext w:val="0"/>
        <w:keepLines w:val="0"/>
        <w:pageBreakBefore w:val="0"/>
        <w:widowControl w:val="0"/>
        <w:numPr>
          <w:ilvl w:val="0"/>
          <w:numId w:val="54"/>
        </w:numPr>
        <w:kinsoku/>
        <w:wordWrap/>
        <w:overflowPunct/>
        <w:topLinePunct w:val="0"/>
        <w:autoSpaceDE/>
        <w:autoSpaceDN/>
        <w:bidi w:val="0"/>
        <w:adjustRightInd/>
        <w:snapToGrid/>
        <w:spacing w:line="360" w:lineRule="auto"/>
        <w:ind w:left="0" w:leftChars="0" w:firstLine="482" w:firstLineChars="200"/>
        <w:textAlignment w:val="auto"/>
        <w:rPr>
          <w:rFonts w:ascii="宋体" w:hAnsi="宋体" w:eastAsia="宋体" w:cs="仿宋"/>
          <w:b/>
          <w:bCs/>
          <w:sz w:val="24"/>
          <w:szCs w:val="24"/>
          <w:lang w:val="zh-TW" w:eastAsia="zh-TW"/>
        </w:rPr>
      </w:pPr>
      <w:r>
        <w:rPr>
          <w:rFonts w:ascii="宋体" w:hAnsi="宋体" w:eastAsia="宋体" w:cs="仿宋"/>
          <w:b/>
          <w:bCs/>
          <w:sz w:val="24"/>
          <w:szCs w:val="24"/>
          <w:lang w:val="zh-TW" w:eastAsia="zh-TW"/>
        </w:rPr>
        <w:t>保险保障水平</w:t>
      </w:r>
    </w:p>
    <w:p>
      <w:pPr>
        <w:pStyle w:val="60"/>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仿宋"/>
          <w:sz w:val="24"/>
          <w:szCs w:val="24"/>
          <w:lang w:val="zh-TW" w:eastAsia="zh-TW"/>
        </w:rPr>
      </w:pPr>
      <w:r>
        <w:rPr>
          <w:rFonts w:hint="eastAsia" w:ascii="宋体" w:hAnsi="宋体" w:eastAsia="宋体" w:cs="仿宋"/>
          <w:sz w:val="24"/>
          <w:szCs w:val="24"/>
          <w:lang w:val="zh-TW" w:eastAsia="zh-TW"/>
        </w:rPr>
        <w:t>人身伤亡保障金额最高每人20万元；医疗费用保障金额最高每人2万元，其中免赔额为2000元。人员残疾的，按照中国保险行业协会发布的《人身保险伤残评定标准》（中保协发〔2013〕88号）规定的等级进行偿付。</w:t>
      </w:r>
    </w:p>
    <w:p>
      <w:pPr>
        <w:pStyle w:val="60"/>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仿宋"/>
          <w:sz w:val="24"/>
          <w:szCs w:val="24"/>
          <w:lang w:val="zh-TW" w:eastAsia="zh-TW"/>
        </w:rPr>
      </w:pPr>
      <w:r>
        <w:rPr>
          <w:rFonts w:hint="eastAsia" w:ascii="宋体" w:hAnsi="宋体" w:eastAsia="宋体" w:cs="仿宋"/>
          <w:sz w:val="24"/>
          <w:szCs w:val="24"/>
          <w:lang w:val="zh-TW" w:eastAsia="zh-TW"/>
        </w:rPr>
        <w:t>保险期内，单次事故保障总额最高为2000万元，全年累计保障总额为5亿元。</w:t>
      </w:r>
    </w:p>
    <w:p>
      <w:pPr>
        <w:pStyle w:val="60"/>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宋体" w:hAnsi="宋体" w:eastAsia="宋体" w:cs="仿宋"/>
          <w:sz w:val="24"/>
          <w:szCs w:val="24"/>
          <w:lang w:val="zh-TW" w:eastAsia="zh-TW"/>
        </w:rPr>
      </w:pPr>
      <w:r>
        <w:rPr>
          <w:rFonts w:hint="eastAsia" w:ascii="宋体" w:hAnsi="宋体" w:eastAsia="宋体" w:cs="仿宋"/>
          <w:sz w:val="24"/>
          <w:szCs w:val="24"/>
          <w:lang w:val="zh-TW" w:eastAsia="zh-TW"/>
        </w:rPr>
        <w:t>本保险赔偿具有救助、补偿性质，死亡、伤残赔偿不影响其他商业性保险赔偿；医疗费用的赔偿按照损失补偿原则予以赔偿</w:t>
      </w:r>
      <w:r>
        <w:rPr>
          <w:rFonts w:ascii="宋体" w:hAnsi="宋体" w:eastAsia="宋体" w:cs="仿宋"/>
          <w:sz w:val="24"/>
          <w:szCs w:val="24"/>
          <w:lang w:val="zh-TW" w:eastAsia="zh-TW"/>
        </w:rPr>
        <w:t>。</w:t>
      </w:r>
    </w:p>
    <w:p>
      <w:pPr>
        <w:pStyle w:val="60"/>
        <w:keepNext w:val="0"/>
        <w:keepLines w:val="0"/>
        <w:pageBreakBefore w:val="0"/>
        <w:widowControl w:val="0"/>
        <w:numPr>
          <w:ilvl w:val="0"/>
          <w:numId w:val="54"/>
        </w:numPr>
        <w:kinsoku/>
        <w:wordWrap/>
        <w:overflowPunct/>
        <w:topLinePunct w:val="0"/>
        <w:autoSpaceDE/>
        <w:autoSpaceDN/>
        <w:bidi w:val="0"/>
        <w:adjustRightInd/>
        <w:snapToGrid/>
        <w:spacing w:line="360" w:lineRule="auto"/>
        <w:ind w:left="0" w:leftChars="0" w:firstLine="482" w:firstLineChars="200"/>
        <w:textAlignment w:val="auto"/>
        <w:rPr>
          <w:rFonts w:ascii="宋体" w:hAnsi="宋体" w:eastAsia="宋体" w:cs="仿宋"/>
          <w:sz w:val="24"/>
          <w:szCs w:val="24"/>
          <w:lang w:val="zh-TW" w:eastAsia="zh-TW"/>
        </w:rPr>
      </w:pPr>
      <w:r>
        <w:rPr>
          <w:rFonts w:ascii="宋体" w:hAnsi="宋体" w:eastAsia="宋体" w:cs="仿宋"/>
          <w:b/>
          <w:bCs/>
          <w:sz w:val="24"/>
          <w:szCs w:val="24"/>
          <w:lang w:val="zh-TW" w:eastAsia="zh-TW"/>
        </w:rPr>
        <w:t>保险期限</w:t>
      </w:r>
    </w:p>
    <w:p>
      <w:pPr>
        <w:pStyle w:val="60"/>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eastAsia="宋体" w:cs="仿宋"/>
          <w:sz w:val="24"/>
          <w:szCs w:val="24"/>
          <w:lang w:val="zh-TW" w:eastAsia="zh-TW"/>
        </w:rPr>
      </w:pPr>
      <w:r>
        <w:rPr>
          <w:rFonts w:hint="eastAsia" w:ascii="宋体" w:hAnsi="宋体" w:eastAsia="宋体" w:cs="仿宋"/>
          <w:sz w:val="24"/>
          <w:szCs w:val="24"/>
          <w:lang w:val="en-US" w:eastAsia="zh-CN"/>
        </w:rPr>
        <w:t>2022年  月  日0时至2023年  月  日24时，</w:t>
      </w:r>
      <w:r>
        <w:rPr>
          <w:rFonts w:hint="eastAsia" w:asciiTheme="majorEastAsia" w:hAnsiTheme="majorEastAsia" w:eastAsiaTheme="majorEastAsia" w:cstheme="majorEastAsia"/>
          <w:color w:val="auto"/>
          <w:sz w:val="24"/>
          <w:szCs w:val="24"/>
        </w:rPr>
        <w:t>且本保单遗留索赔事件处理完成为止。</w:t>
      </w:r>
    </w:p>
    <w:p>
      <w:pPr>
        <w:pStyle w:val="60"/>
        <w:keepNext w:val="0"/>
        <w:keepLines w:val="0"/>
        <w:pageBreakBefore w:val="0"/>
        <w:widowControl w:val="0"/>
        <w:numPr>
          <w:ilvl w:val="0"/>
          <w:numId w:val="54"/>
        </w:numPr>
        <w:kinsoku/>
        <w:wordWrap/>
        <w:overflowPunct/>
        <w:topLinePunct w:val="0"/>
        <w:autoSpaceDE/>
        <w:autoSpaceDN/>
        <w:bidi w:val="0"/>
        <w:adjustRightInd/>
        <w:snapToGrid/>
        <w:spacing w:line="360" w:lineRule="auto"/>
        <w:ind w:left="0" w:leftChars="0" w:firstLine="482" w:firstLineChars="200"/>
        <w:textAlignment w:val="auto"/>
        <w:rPr>
          <w:rFonts w:ascii="宋体" w:hAnsi="宋体" w:eastAsia="宋体" w:cs="仿宋"/>
          <w:sz w:val="24"/>
          <w:szCs w:val="24"/>
          <w:lang w:val="zh-TW" w:eastAsia="zh-TW"/>
        </w:rPr>
      </w:pPr>
      <w:r>
        <w:rPr>
          <w:rFonts w:ascii="宋体" w:hAnsi="宋体" w:eastAsia="宋体" w:cs="仿宋"/>
          <w:b/>
          <w:bCs/>
          <w:sz w:val="24"/>
          <w:szCs w:val="24"/>
        </w:rPr>
        <w:t>保险费</w:t>
      </w:r>
    </w:p>
    <w:p>
      <w:pPr>
        <w:pStyle w:val="60"/>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eastAsia="宋体" w:cs="仿宋"/>
          <w:b w:val="0"/>
          <w:bCs w:val="0"/>
          <w:sz w:val="24"/>
          <w:szCs w:val="24"/>
          <w:lang w:val="zh-TW" w:eastAsia="zh-TW"/>
        </w:rPr>
      </w:pPr>
      <w:r>
        <w:rPr>
          <w:rFonts w:ascii="宋体" w:hAnsi="宋体" w:eastAsia="宋体" w:cs="仿宋"/>
          <w:b w:val="0"/>
          <w:bCs w:val="0"/>
          <w:sz w:val="24"/>
          <w:szCs w:val="24"/>
        </w:rPr>
        <w:t>人均保险费：    元/人</w:t>
      </w:r>
    </w:p>
    <w:p>
      <w:pPr>
        <w:pStyle w:val="60"/>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eastAsia="宋体" w:cs="仿宋"/>
          <w:b w:val="0"/>
          <w:bCs w:val="0"/>
          <w:sz w:val="24"/>
          <w:szCs w:val="24"/>
        </w:rPr>
      </w:pPr>
      <w:r>
        <w:rPr>
          <w:rFonts w:ascii="宋体" w:hAnsi="宋体" w:eastAsia="宋体" w:cs="仿宋"/>
          <w:b w:val="0"/>
          <w:bCs w:val="0"/>
          <w:sz w:val="24"/>
          <w:szCs w:val="24"/>
        </w:rPr>
        <w:t>参保人数</w:t>
      </w:r>
      <w:r>
        <w:rPr>
          <w:rFonts w:hint="eastAsia" w:ascii="宋体" w:hAnsi="宋体" w:eastAsia="宋体" w:cs="仿宋"/>
          <w:b w:val="0"/>
          <w:bCs w:val="0"/>
          <w:sz w:val="24"/>
          <w:szCs w:val="24"/>
          <w:lang w:val="en-US" w:eastAsia="zh-CN"/>
        </w:rPr>
        <w:t>:以</w:t>
      </w:r>
      <w:r>
        <w:rPr>
          <w:rFonts w:ascii="宋体" w:hAnsi="宋体" w:eastAsia="宋体" w:cs="仿宋"/>
          <w:b w:val="0"/>
          <w:bCs w:val="0"/>
          <w:sz w:val="24"/>
          <w:szCs w:val="24"/>
        </w:rPr>
        <w:t>当年参保人数按台州市统</w:t>
      </w:r>
      <w:r>
        <w:rPr>
          <w:rFonts w:ascii="宋体" w:hAnsi="宋体" w:eastAsia="宋体" w:cs="仿宋"/>
          <w:b w:val="0"/>
          <w:bCs w:val="0"/>
          <w:color w:val="auto"/>
          <w:sz w:val="24"/>
          <w:szCs w:val="24"/>
        </w:rPr>
        <w:t>计局</w:t>
      </w:r>
      <w:r>
        <w:rPr>
          <w:rFonts w:hint="eastAsia" w:ascii="宋体" w:hAnsi="宋体" w:eastAsia="宋体" w:cs="仿宋"/>
          <w:b w:val="0"/>
          <w:bCs w:val="0"/>
          <w:color w:val="auto"/>
          <w:sz w:val="24"/>
          <w:szCs w:val="24"/>
        </w:rPr>
        <w:t>公布</w:t>
      </w:r>
      <w:r>
        <w:rPr>
          <w:rFonts w:ascii="宋体" w:hAnsi="宋体" w:eastAsia="宋体" w:cs="仿宋"/>
          <w:b w:val="0"/>
          <w:bCs w:val="0"/>
          <w:color w:val="auto"/>
          <w:sz w:val="24"/>
          <w:szCs w:val="24"/>
        </w:rPr>
        <w:t>的上一年度全市</w:t>
      </w:r>
      <w:r>
        <w:rPr>
          <w:rFonts w:hint="eastAsia" w:ascii="宋体" w:hAnsi="宋体" w:eastAsia="宋体" w:cs="仿宋"/>
          <w:b w:val="0"/>
          <w:bCs w:val="0"/>
          <w:color w:val="auto"/>
          <w:sz w:val="24"/>
          <w:szCs w:val="24"/>
        </w:rPr>
        <w:t>常住</w:t>
      </w:r>
      <w:r>
        <w:rPr>
          <w:rFonts w:ascii="宋体" w:hAnsi="宋体" w:eastAsia="宋体" w:cs="仿宋"/>
          <w:b w:val="0"/>
          <w:bCs w:val="0"/>
          <w:color w:val="auto"/>
          <w:sz w:val="24"/>
          <w:szCs w:val="24"/>
        </w:rPr>
        <w:t>人口数量为基数</w:t>
      </w:r>
      <w:r>
        <w:rPr>
          <w:rFonts w:hint="eastAsia" w:ascii="宋体" w:hAnsi="宋体" w:eastAsia="宋体" w:cs="仿宋"/>
          <w:b w:val="0"/>
          <w:bCs w:val="0"/>
          <w:color w:val="auto"/>
          <w:sz w:val="24"/>
          <w:szCs w:val="24"/>
        </w:rPr>
        <w:t>。</w:t>
      </w:r>
    </w:p>
    <w:p>
      <w:pPr>
        <w:pStyle w:val="60"/>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仿宋"/>
          <w:b w:val="0"/>
          <w:bCs w:val="0"/>
          <w:sz w:val="24"/>
          <w:szCs w:val="24"/>
          <w:lang w:val="en-US" w:eastAsia="zh-CN"/>
        </w:rPr>
      </w:pPr>
      <w:r>
        <w:rPr>
          <w:rFonts w:ascii="宋体" w:hAnsi="宋体" w:eastAsia="宋体" w:cs="仿宋"/>
          <w:b w:val="0"/>
          <w:bCs w:val="0"/>
          <w:sz w:val="24"/>
          <w:szCs w:val="24"/>
        </w:rPr>
        <w:t>总保险费：</w:t>
      </w:r>
      <w:r>
        <w:rPr>
          <w:rFonts w:hint="eastAsia" w:ascii="宋体" w:hAnsi="宋体" w:eastAsia="宋体" w:cs="仿宋"/>
          <w:b w:val="0"/>
          <w:bCs w:val="0"/>
          <w:sz w:val="24"/>
          <w:szCs w:val="24"/>
          <w:lang w:val="en-US" w:eastAsia="zh-CN"/>
        </w:rPr>
        <w:t>(</w:t>
      </w:r>
      <w:r>
        <w:rPr>
          <w:rFonts w:ascii="宋体" w:hAnsi="宋体" w:eastAsia="宋体" w:cs="仿宋"/>
          <w:b w:val="0"/>
          <w:bCs w:val="0"/>
          <w:sz w:val="24"/>
          <w:szCs w:val="24"/>
        </w:rPr>
        <w:t>总保险费=人均保险费*参保人数</w:t>
      </w:r>
      <w:r>
        <w:rPr>
          <w:rFonts w:hint="eastAsia" w:ascii="宋体" w:hAnsi="宋体" w:eastAsia="宋体" w:cs="仿宋"/>
          <w:b w:val="0"/>
          <w:bCs w:val="0"/>
          <w:sz w:val="24"/>
          <w:szCs w:val="24"/>
          <w:lang w:val="en-US" w:eastAsia="zh-CN"/>
        </w:rPr>
        <w:t>)</w:t>
      </w:r>
    </w:p>
    <w:p>
      <w:pPr>
        <w:pStyle w:val="60"/>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eastAsia="宋体" w:cs="仿宋"/>
          <w:b w:val="0"/>
          <w:bCs w:val="0"/>
          <w:sz w:val="24"/>
          <w:szCs w:val="24"/>
        </w:rPr>
      </w:pPr>
      <w:r>
        <w:rPr>
          <w:rFonts w:ascii="宋体" w:hAnsi="宋体" w:eastAsia="宋体" w:cs="仿宋"/>
          <w:b w:val="0"/>
          <w:bCs w:val="0"/>
          <w:sz w:val="24"/>
          <w:szCs w:val="24"/>
        </w:rPr>
        <w:t>税费：税率为6%（上述保险费已经包含税费）</w:t>
      </w:r>
    </w:p>
    <w:p>
      <w:pPr>
        <w:pStyle w:val="60"/>
        <w:keepNext w:val="0"/>
        <w:keepLines w:val="0"/>
        <w:pageBreakBefore w:val="0"/>
        <w:widowControl w:val="0"/>
        <w:numPr>
          <w:ilvl w:val="0"/>
          <w:numId w:val="54"/>
        </w:numPr>
        <w:kinsoku/>
        <w:wordWrap/>
        <w:overflowPunct/>
        <w:topLinePunct w:val="0"/>
        <w:autoSpaceDE/>
        <w:autoSpaceDN/>
        <w:bidi w:val="0"/>
        <w:adjustRightInd/>
        <w:snapToGrid/>
        <w:spacing w:line="360" w:lineRule="auto"/>
        <w:ind w:left="0" w:leftChars="0" w:firstLine="482" w:firstLineChars="200"/>
        <w:textAlignment w:val="auto"/>
        <w:rPr>
          <w:rFonts w:ascii="宋体" w:hAnsi="宋体" w:eastAsia="宋体" w:cs="仿宋"/>
          <w:b/>
          <w:bCs/>
          <w:sz w:val="24"/>
          <w:szCs w:val="24"/>
        </w:rPr>
      </w:pPr>
      <w:r>
        <w:rPr>
          <w:rFonts w:ascii="宋体" w:hAnsi="宋体" w:eastAsia="宋体" w:cs="仿宋"/>
          <w:b/>
          <w:bCs/>
          <w:sz w:val="24"/>
          <w:szCs w:val="24"/>
        </w:rPr>
        <w:t>保险费支付方式：</w:t>
      </w:r>
    </w:p>
    <w:p>
      <w:pPr>
        <w:pStyle w:val="60"/>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仿宋"/>
          <w:sz w:val="24"/>
          <w:szCs w:val="24"/>
        </w:rPr>
      </w:pPr>
      <w:r>
        <w:rPr>
          <w:rFonts w:hint="eastAsia" w:ascii="宋体" w:hAnsi="宋体" w:eastAsia="宋体" w:cs="仿宋"/>
          <w:sz w:val="24"/>
          <w:szCs w:val="24"/>
          <w:lang w:val="en-US" w:eastAsia="zh-CN"/>
        </w:rPr>
        <w:t>第一次：</w:t>
      </w:r>
      <w:r>
        <w:rPr>
          <w:rFonts w:hint="eastAsia" w:ascii="宋体" w:hAnsi="宋体" w:eastAsia="宋体" w:cs="仿宋"/>
          <w:sz w:val="24"/>
          <w:szCs w:val="24"/>
        </w:rPr>
        <w:t>合同生效之日起7个工作日内支付合同金额的30%作为预付款；</w:t>
      </w:r>
    </w:p>
    <w:p>
      <w:pPr>
        <w:pStyle w:val="60"/>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仿宋"/>
          <w:sz w:val="24"/>
          <w:szCs w:val="24"/>
        </w:rPr>
      </w:pPr>
      <w:r>
        <w:rPr>
          <w:rFonts w:hint="eastAsia" w:ascii="宋体" w:hAnsi="宋体" w:eastAsia="宋体" w:cs="仿宋"/>
          <w:sz w:val="24"/>
          <w:szCs w:val="24"/>
          <w:lang w:val="en-US" w:eastAsia="zh-CN"/>
        </w:rPr>
        <w:t>第二次：</w:t>
      </w:r>
      <w:r>
        <w:rPr>
          <w:rFonts w:hint="eastAsia" w:ascii="宋体" w:hAnsi="宋体" w:eastAsia="宋体" w:cs="仿宋"/>
          <w:sz w:val="24"/>
          <w:szCs w:val="24"/>
        </w:rPr>
        <w:t>有效服务满半年支付合同价款的50%；</w:t>
      </w:r>
    </w:p>
    <w:p>
      <w:pPr>
        <w:pStyle w:val="60"/>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仿宋"/>
          <w:sz w:val="24"/>
          <w:szCs w:val="24"/>
        </w:rPr>
      </w:pPr>
      <w:r>
        <w:rPr>
          <w:rFonts w:hint="eastAsia" w:ascii="宋体" w:hAnsi="宋体" w:eastAsia="宋体" w:cs="仿宋"/>
          <w:sz w:val="24"/>
          <w:szCs w:val="24"/>
          <w:lang w:val="en-US" w:eastAsia="zh-CN"/>
        </w:rPr>
        <w:t>第三次：</w:t>
      </w:r>
      <w:r>
        <w:rPr>
          <w:rFonts w:hint="eastAsia" w:ascii="宋体" w:hAnsi="宋体" w:eastAsia="宋体" w:cs="仿宋"/>
          <w:sz w:val="24"/>
          <w:szCs w:val="24"/>
        </w:rPr>
        <w:t>合同服务期满且无遗留索赔事件后，支付合同价款的20%。</w:t>
      </w:r>
    </w:p>
    <w:p>
      <w:pPr>
        <w:pStyle w:val="60"/>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微软雅黑" w:hAnsi="微软雅黑" w:eastAsia="微软雅黑" w:cs="微软雅黑"/>
          <w:color w:val="171A1D"/>
          <w:shd w:val="clear" w:color="auto" w:fill="C9E7FF"/>
        </w:rPr>
      </w:pPr>
      <w:r>
        <w:rPr>
          <w:rFonts w:hint="eastAsia" w:ascii="宋体" w:hAnsi="宋体" w:eastAsia="宋体" w:cs="仿宋"/>
          <w:sz w:val="24"/>
          <w:szCs w:val="24"/>
        </w:rPr>
        <w:t>市委政法委负责支付市本级（含三区</w:t>
      </w:r>
      <w:r>
        <w:rPr>
          <w:rFonts w:hint="eastAsia" w:ascii="宋体" w:hAnsi="宋体" w:eastAsia="宋体" w:cs="仿宋"/>
          <w:sz w:val="24"/>
          <w:szCs w:val="24"/>
          <w:lang w:eastAsia="zh-CN"/>
        </w:rPr>
        <w:t>、</w:t>
      </w:r>
      <w:r>
        <w:rPr>
          <w:rFonts w:hint="eastAsia" w:ascii="宋体" w:hAnsi="宋体" w:eastAsia="宋体" w:cs="仿宋"/>
          <w:sz w:val="24"/>
          <w:szCs w:val="24"/>
          <w:lang w:val="en-US" w:eastAsia="zh-CN"/>
        </w:rPr>
        <w:t>台州湾新区</w:t>
      </w:r>
      <w:r>
        <w:rPr>
          <w:rFonts w:hint="eastAsia" w:ascii="宋体" w:hAnsi="宋体" w:eastAsia="宋体" w:cs="仿宋"/>
          <w:sz w:val="24"/>
          <w:szCs w:val="24"/>
        </w:rPr>
        <w:t>）常驻人口的保费，其他县（市）委政法委负责支付对应区域常驻人口的保费。</w:t>
      </w:r>
    </w:p>
    <w:p>
      <w:pPr>
        <w:pStyle w:val="60"/>
        <w:keepNext w:val="0"/>
        <w:keepLines w:val="0"/>
        <w:pageBreakBefore w:val="0"/>
        <w:widowControl w:val="0"/>
        <w:numPr>
          <w:ilvl w:val="0"/>
          <w:numId w:val="54"/>
        </w:numPr>
        <w:kinsoku/>
        <w:wordWrap/>
        <w:overflowPunct/>
        <w:topLinePunct w:val="0"/>
        <w:autoSpaceDE/>
        <w:autoSpaceDN/>
        <w:bidi w:val="0"/>
        <w:adjustRightInd/>
        <w:snapToGrid/>
        <w:spacing w:line="360" w:lineRule="auto"/>
        <w:ind w:left="0" w:leftChars="0" w:firstLine="482" w:firstLineChars="200"/>
        <w:textAlignment w:val="auto"/>
        <w:rPr>
          <w:rFonts w:ascii="宋体" w:hAnsi="宋体" w:eastAsia="宋体" w:cs="仿宋"/>
          <w:b/>
          <w:bCs/>
          <w:sz w:val="24"/>
          <w:szCs w:val="24"/>
          <w:lang w:val="zh-TW" w:eastAsia="zh-TW"/>
        </w:rPr>
      </w:pPr>
      <w:r>
        <w:rPr>
          <w:rFonts w:ascii="宋体" w:hAnsi="宋体" w:eastAsia="宋体" w:cs="仿宋"/>
          <w:b/>
          <w:bCs/>
          <w:sz w:val="24"/>
          <w:szCs w:val="24"/>
        </w:rPr>
        <w:t>开票信息：</w:t>
      </w:r>
    </w:p>
    <w:p>
      <w:pPr>
        <w:pStyle w:val="60"/>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仿宋"/>
          <w:bCs/>
          <w:sz w:val="24"/>
          <w:szCs w:val="24"/>
          <w:lang w:eastAsia="zh-CN"/>
        </w:rPr>
      </w:pPr>
      <w:r>
        <w:rPr>
          <w:rFonts w:ascii="宋体" w:hAnsi="宋体" w:eastAsia="宋体" w:cs="仿宋"/>
          <w:bCs/>
          <w:sz w:val="24"/>
          <w:szCs w:val="24"/>
        </w:rPr>
        <w:t>市</w:t>
      </w:r>
      <w:r>
        <w:rPr>
          <w:rFonts w:hint="eastAsia" w:ascii="宋体" w:hAnsi="宋体" w:eastAsia="宋体" w:cs="仿宋"/>
          <w:sz w:val="24"/>
          <w:szCs w:val="24"/>
        </w:rPr>
        <w:t>委政法委</w:t>
      </w:r>
      <w:r>
        <w:rPr>
          <w:rFonts w:ascii="宋体" w:hAnsi="宋体" w:eastAsia="宋体" w:cs="仿宋"/>
          <w:bCs/>
          <w:sz w:val="24"/>
          <w:szCs w:val="24"/>
        </w:rPr>
        <w:t>的开票信息</w:t>
      </w:r>
      <w:r>
        <w:rPr>
          <w:rFonts w:hint="eastAsia" w:ascii="宋体" w:hAnsi="宋体" w:eastAsia="宋体" w:cs="仿宋"/>
          <w:bCs/>
          <w:sz w:val="24"/>
          <w:szCs w:val="24"/>
          <w:lang w:eastAsia="zh-CN"/>
        </w:rPr>
        <w:t>：</w:t>
      </w:r>
    </w:p>
    <w:p>
      <w:pPr>
        <w:pStyle w:val="60"/>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宋体" w:hAnsi="宋体" w:eastAsia="宋体" w:cs="仿宋"/>
          <w:bCs/>
          <w:sz w:val="24"/>
          <w:szCs w:val="24"/>
          <w:lang w:val="zh-TW" w:eastAsia="zh-TW"/>
        </w:rPr>
      </w:pPr>
      <w:r>
        <w:rPr>
          <w:rFonts w:ascii="宋体" w:hAnsi="宋体" w:eastAsia="宋体" w:cs="仿宋"/>
          <w:bCs/>
          <w:sz w:val="24"/>
          <w:szCs w:val="24"/>
        </w:rPr>
        <w:t>其他各县（市）</w:t>
      </w:r>
      <w:r>
        <w:rPr>
          <w:rFonts w:hint="eastAsia" w:ascii="宋体" w:hAnsi="宋体" w:eastAsia="宋体" w:cs="仿宋"/>
          <w:sz w:val="24"/>
          <w:szCs w:val="24"/>
        </w:rPr>
        <w:t>委政法委</w:t>
      </w:r>
      <w:r>
        <w:rPr>
          <w:rFonts w:ascii="宋体" w:hAnsi="宋体" w:eastAsia="宋体" w:cs="仿宋"/>
          <w:bCs/>
          <w:sz w:val="24"/>
          <w:szCs w:val="24"/>
        </w:rPr>
        <w:t>的开票信息：</w:t>
      </w:r>
    </w:p>
    <w:p>
      <w:pPr>
        <w:pStyle w:val="60"/>
        <w:keepNext w:val="0"/>
        <w:keepLines w:val="0"/>
        <w:pageBreakBefore w:val="0"/>
        <w:widowControl w:val="0"/>
        <w:numPr>
          <w:ilvl w:val="0"/>
          <w:numId w:val="54"/>
        </w:numPr>
        <w:kinsoku/>
        <w:wordWrap/>
        <w:overflowPunct/>
        <w:topLinePunct w:val="0"/>
        <w:autoSpaceDE/>
        <w:autoSpaceDN/>
        <w:bidi w:val="0"/>
        <w:adjustRightInd/>
        <w:snapToGrid/>
        <w:spacing w:line="360" w:lineRule="auto"/>
        <w:ind w:left="0" w:leftChars="0" w:firstLine="482" w:firstLineChars="200"/>
        <w:textAlignment w:val="auto"/>
        <w:rPr>
          <w:rFonts w:ascii="宋体" w:hAnsi="宋体" w:eastAsia="宋体" w:cs="仿宋"/>
          <w:b/>
          <w:bCs/>
          <w:sz w:val="24"/>
          <w:szCs w:val="24"/>
          <w:lang w:val="zh-TW" w:eastAsia="zh-TW"/>
        </w:rPr>
      </w:pPr>
      <w:r>
        <w:rPr>
          <w:rFonts w:ascii="宋体" w:hAnsi="宋体" w:eastAsia="宋体" w:cs="仿宋"/>
          <w:b/>
          <w:bCs/>
          <w:sz w:val="24"/>
          <w:szCs w:val="24"/>
          <w:lang w:val="zh-TW"/>
        </w:rPr>
        <w:t>赔偿办法及理赔流程约定</w:t>
      </w:r>
    </w:p>
    <w:p>
      <w:pPr>
        <w:pStyle w:val="60"/>
        <w:keepNext w:val="0"/>
        <w:keepLines w:val="0"/>
        <w:pageBreakBefore w:val="0"/>
        <w:widowControl w:val="0"/>
        <w:numPr>
          <w:ilvl w:val="0"/>
          <w:numId w:val="58"/>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仿宋"/>
          <w:b w:val="0"/>
          <w:bCs w:val="0"/>
          <w:sz w:val="24"/>
          <w:szCs w:val="24"/>
        </w:rPr>
      </w:pPr>
      <w:r>
        <w:rPr>
          <w:rFonts w:hint="eastAsia" w:ascii="宋体" w:hAnsi="宋体" w:eastAsia="宋体" w:cs="仿宋"/>
          <w:b w:val="0"/>
          <w:bCs w:val="0"/>
          <w:sz w:val="24"/>
          <w:szCs w:val="24"/>
        </w:rPr>
        <w:t>出险报案</w:t>
      </w:r>
    </w:p>
    <w:p>
      <w:pPr>
        <w:pStyle w:val="60"/>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仿宋"/>
          <w:b w:val="0"/>
          <w:bCs w:val="0"/>
          <w:sz w:val="24"/>
          <w:szCs w:val="24"/>
        </w:rPr>
      </w:pPr>
      <w:r>
        <w:rPr>
          <w:rFonts w:hint="eastAsia" w:ascii="宋体" w:hAnsi="宋体" w:eastAsia="宋体" w:cs="仿宋"/>
          <w:b w:val="0"/>
          <w:bCs w:val="0"/>
          <w:sz w:val="24"/>
          <w:szCs w:val="24"/>
        </w:rPr>
        <w:t>本保险可由投保人报案，也可由乡镇（街道）综治机构直接报案，重大事故可由县（市、区）委政法委直接向保险公司报案。</w:t>
      </w:r>
    </w:p>
    <w:p>
      <w:pPr>
        <w:pStyle w:val="60"/>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宋体" w:hAnsi="宋体" w:eastAsia="宋体" w:cs="仿宋"/>
          <w:b w:val="0"/>
          <w:bCs w:val="0"/>
          <w:sz w:val="24"/>
          <w:szCs w:val="24"/>
          <w:lang w:val="zh-TW" w:eastAsia="zh-TW"/>
        </w:rPr>
      </w:pPr>
      <w:r>
        <w:rPr>
          <w:rFonts w:hint="eastAsia" w:ascii="宋体" w:hAnsi="宋体" w:eastAsia="宋体" w:cs="仿宋"/>
          <w:b w:val="0"/>
          <w:bCs w:val="0"/>
          <w:sz w:val="24"/>
          <w:szCs w:val="24"/>
        </w:rPr>
        <w:t>保险人严格执行365天、24小时的全天候接报案制度。接报案后保险人理赔服务团队成员接到报案后，将马上给出处理意见，并回复是否需要前往现场查勘、是否需要保留现场。若无法保留第一现场，保险人告知出险单位拍摄较为全面的事故现场照片或录像，准备书面事故报告等，以备后期赔案处理使用。</w:t>
      </w:r>
    </w:p>
    <w:p>
      <w:pPr>
        <w:pStyle w:val="60"/>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宋体" w:hAnsi="宋体" w:eastAsia="宋体" w:cs="仿宋"/>
          <w:sz w:val="24"/>
          <w:szCs w:val="24"/>
        </w:rPr>
      </w:pPr>
      <w:r>
        <w:rPr>
          <w:rFonts w:ascii="宋体" w:hAnsi="宋体" w:eastAsia="宋体" w:cs="仿宋"/>
          <w:sz w:val="24"/>
          <w:szCs w:val="24"/>
          <w:lang w:val="zh-TW"/>
        </w:rPr>
        <w:t>针对本项目的专用</w:t>
      </w:r>
      <w:r>
        <w:rPr>
          <w:rFonts w:ascii="宋体" w:hAnsi="宋体" w:eastAsia="宋体" w:cs="仿宋"/>
          <w:sz w:val="24"/>
          <w:szCs w:val="24"/>
          <w:lang w:val="zh-TW" w:eastAsia="zh-TW"/>
        </w:rPr>
        <w:t>报案电话；</w:t>
      </w:r>
      <w:r>
        <w:rPr>
          <w:rFonts w:ascii="宋体" w:hAnsi="宋体" w:eastAsia="宋体" w:cs="仿宋"/>
          <w:sz w:val="24"/>
          <w:szCs w:val="24"/>
          <w:lang w:val="zh-TW"/>
        </w:rPr>
        <w:t>保险公司全国统一报案电话</w:t>
      </w:r>
      <w:r>
        <w:rPr>
          <w:rFonts w:ascii="宋体" w:hAnsi="宋体" w:eastAsia="宋体" w:cs="仿宋"/>
          <w:sz w:val="24"/>
          <w:szCs w:val="24"/>
          <w:u w:val="single"/>
        </w:rPr>
        <w:t xml:space="preserve">      </w:t>
      </w:r>
      <w:r>
        <w:rPr>
          <w:rFonts w:ascii="宋体" w:hAnsi="宋体" w:eastAsia="宋体" w:cs="仿宋"/>
          <w:sz w:val="24"/>
          <w:szCs w:val="24"/>
        </w:rPr>
        <w:t>；区域服务团队理赔指定联系人电话</w:t>
      </w:r>
      <w:r>
        <w:rPr>
          <w:rFonts w:ascii="宋体" w:hAnsi="宋体" w:eastAsia="宋体" w:cs="仿宋"/>
          <w:sz w:val="24"/>
          <w:szCs w:val="24"/>
          <w:u w:val="single"/>
        </w:rPr>
        <w:t xml:space="preserve">     </w:t>
      </w:r>
      <w:r>
        <w:rPr>
          <w:rFonts w:ascii="宋体" w:hAnsi="宋体" w:eastAsia="宋体" w:cs="仿宋"/>
          <w:sz w:val="24"/>
          <w:szCs w:val="24"/>
        </w:rPr>
        <w:t>。</w:t>
      </w:r>
    </w:p>
    <w:p>
      <w:pPr>
        <w:keepNext w:val="0"/>
        <w:keepLines w:val="0"/>
        <w:pageBreakBefore w:val="0"/>
        <w:widowControl w:val="0"/>
        <w:numPr>
          <w:ilvl w:val="0"/>
          <w:numId w:val="58"/>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sz w:val="24"/>
          <w:szCs w:val="24"/>
          <w:lang w:eastAsia="zh-TW"/>
        </w:rPr>
      </w:pPr>
      <w:r>
        <w:rPr>
          <w:rFonts w:hint="eastAsia" w:ascii="宋体" w:hAnsi="宋体" w:eastAsia="宋体" w:cs="宋体"/>
          <w:sz w:val="24"/>
          <w:szCs w:val="24"/>
        </w:rPr>
        <w:t>现场</w:t>
      </w:r>
      <w:r>
        <w:rPr>
          <w:rFonts w:hint="eastAsia" w:ascii="宋体" w:hAnsi="宋体" w:eastAsia="宋体" w:cs="宋体"/>
          <w:sz w:val="24"/>
          <w:szCs w:val="24"/>
          <w:lang w:eastAsia="zh-CN"/>
        </w:rPr>
        <w:t>查</w:t>
      </w:r>
      <w:r>
        <w:rPr>
          <w:rFonts w:hint="eastAsia" w:ascii="宋体" w:hAnsi="宋体" w:eastAsia="宋体" w:cs="宋体"/>
          <w:sz w:val="24"/>
          <w:szCs w:val="24"/>
        </w:rPr>
        <w:t>勘</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本保险理赔应适用快速处理程序。</w:t>
      </w:r>
      <w:r>
        <w:rPr>
          <w:rFonts w:hint="eastAsia" w:ascii="宋体" w:hAnsi="宋体" w:eastAsia="宋体" w:cs="宋体"/>
          <w:sz w:val="24"/>
          <w:szCs w:val="24"/>
          <w:lang w:val="en-US" w:eastAsia="zh-CN"/>
        </w:rPr>
        <w:t>对社会敏感案件、容易扩大舆情的案件</w:t>
      </w:r>
      <w:r>
        <w:rPr>
          <w:rFonts w:hint="eastAsia" w:ascii="宋体" w:hAnsi="宋体" w:cs="宋体"/>
          <w:sz w:val="24"/>
          <w:szCs w:val="24"/>
          <w:lang w:val="zh-TW" w:eastAsia="zh-CN"/>
        </w:rPr>
        <w:t>乙方</w:t>
      </w:r>
      <w:r>
        <w:rPr>
          <w:rFonts w:hint="eastAsia" w:ascii="宋体" w:hAnsi="宋体" w:eastAsia="宋体" w:cs="宋体"/>
          <w:sz w:val="24"/>
          <w:szCs w:val="24"/>
          <w:lang w:val="en-US" w:eastAsia="zh-CN"/>
        </w:rPr>
        <w:t>以事发地综治机构或市政法委及其下级相关单位出具的情况证明给与理赔，不再进行现场查勘，未经允许不与受害人（或家属）接触。</w:t>
      </w:r>
      <w:r>
        <w:rPr>
          <w:rFonts w:hint="eastAsia" w:ascii="宋体" w:hAnsi="宋体" w:cs="宋体"/>
          <w:sz w:val="24"/>
          <w:szCs w:val="24"/>
          <w:lang w:val="en-US" w:eastAsia="zh-CN"/>
        </w:rPr>
        <w:t>甲方</w:t>
      </w:r>
      <w:r>
        <w:rPr>
          <w:rFonts w:hint="eastAsia" w:ascii="宋体" w:hAnsi="宋体" w:eastAsia="宋体" w:cs="宋体"/>
          <w:sz w:val="24"/>
          <w:szCs w:val="24"/>
          <w:lang w:val="en-US" w:eastAsia="zh-CN"/>
        </w:rPr>
        <w:t>要求</w:t>
      </w:r>
      <w:r>
        <w:rPr>
          <w:rFonts w:hint="eastAsia" w:ascii="宋体" w:hAnsi="宋体" w:cs="宋体"/>
          <w:sz w:val="24"/>
          <w:szCs w:val="24"/>
          <w:lang w:val="en-US" w:eastAsia="zh-CN"/>
        </w:rPr>
        <w:t>乙方</w:t>
      </w:r>
      <w:r>
        <w:rPr>
          <w:rFonts w:hint="eastAsia" w:ascii="宋体" w:hAnsi="宋体" w:eastAsia="宋体" w:cs="宋体"/>
          <w:sz w:val="24"/>
          <w:szCs w:val="24"/>
          <w:lang w:val="en-US" w:eastAsia="zh-CN"/>
        </w:rPr>
        <w:t>主动介入的案件，</w:t>
      </w:r>
      <w:r>
        <w:rPr>
          <w:rFonts w:hint="eastAsia" w:ascii="宋体" w:hAnsi="宋体" w:cs="宋体"/>
          <w:sz w:val="24"/>
          <w:szCs w:val="24"/>
          <w:lang w:val="en-US" w:eastAsia="zh-CN"/>
        </w:rPr>
        <w:t>乙方</w:t>
      </w:r>
      <w:r>
        <w:rPr>
          <w:rFonts w:hint="eastAsia" w:ascii="宋体" w:hAnsi="宋体" w:eastAsia="宋体" w:cs="宋体"/>
          <w:sz w:val="24"/>
          <w:szCs w:val="24"/>
          <w:lang w:val="en-US" w:eastAsia="zh-CN"/>
        </w:rPr>
        <w:t>应积极配合</w:t>
      </w:r>
      <w:r>
        <w:rPr>
          <w:rFonts w:hint="eastAsia" w:ascii="宋体" w:hAnsi="宋体" w:cs="宋体"/>
          <w:sz w:val="24"/>
          <w:szCs w:val="24"/>
          <w:lang w:val="en-US" w:eastAsia="zh-CN"/>
        </w:rPr>
        <w:t>甲方</w:t>
      </w:r>
      <w:r>
        <w:rPr>
          <w:rFonts w:hint="eastAsia" w:ascii="宋体" w:hAnsi="宋体" w:eastAsia="宋体" w:cs="宋体"/>
          <w:sz w:val="24"/>
          <w:szCs w:val="24"/>
          <w:lang w:val="en-US" w:eastAsia="zh-CN"/>
        </w:rPr>
        <w:t>做好案件调查和调解工作。</w:t>
      </w:r>
    </w:p>
    <w:p>
      <w:pPr>
        <w:keepNext w:val="0"/>
        <w:keepLines w:val="0"/>
        <w:pageBreakBefore w:val="0"/>
        <w:widowControl w:val="0"/>
        <w:numPr>
          <w:ilvl w:val="0"/>
          <w:numId w:val="58"/>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提供理赔资料</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eastAsia="宋体" w:cs="宋体"/>
          <w:sz w:val="24"/>
          <w:szCs w:val="24"/>
          <w:lang w:val="zh-TW" w:eastAsia="zh-TW"/>
        </w:rPr>
      </w:pPr>
      <w:r>
        <w:rPr>
          <w:rFonts w:hint="eastAsia" w:ascii="宋体" w:hAnsi="宋体" w:cs="宋体"/>
          <w:sz w:val="24"/>
          <w:szCs w:val="24"/>
          <w:lang w:val="en-US" w:eastAsia="zh-CN"/>
        </w:rPr>
        <w:t>甲方</w:t>
      </w:r>
      <w:r>
        <w:rPr>
          <w:rFonts w:hint="eastAsia" w:ascii="宋体" w:hAnsi="宋体" w:eastAsia="宋体" w:cs="宋体"/>
          <w:sz w:val="24"/>
          <w:szCs w:val="24"/>
          <w:lang w:val="en-US" w:eastAsia="zh-CN"/>
        </w:rPr>
        <w:t>向</w:t>
      </w:r>
      <w:r>
        <w:rPr>
          <w:rFonts w:hint="eastAsia" w:ascii="宋体" w:hAnsi="宋体" w:cs="宋体"/>
          <w:sz w:val="24"/>
          <w:szCs w:val="24"/>
          <w:lang w:val="en-US" w:eastAsia="zh-CN"/>
        </w:rPr>
        <w:t>乙方</w:t>
      </w:r>
      <w:r>
        <w:rPr>
          <w:rFonts w:hint="eastAsia" w:ascii="宋体" w:hAnsi="宋体" w:eastAsia="宋体" w:cs="宋体"/>
          <w:sz w:val="24"/>
          <w:szCs w:val="24"/>
          <w:lang w:val="en-US" w:eastAsia="zh-CN"/>
        </w:rPr>
        <w:t>提供全市统一的《公共安全综合保险理赔调查表》，详细说明案件情况，政府认定的责任情形，索赔诉求以及接收赔款的账户信息，并加盖公章。盖章单位为市政法委及其下级相关单位（事发地综治机构没有独立印章的，认可所在街道、乡镇行政印章）。涉及人员死亡的一并提供死亡证明。</w:t>
      </w:r>
      <w:r>
        <w:rPr>
          <w:rFonts w:hint="eastAsia" w:ascii="宋体" w:hAnsi="宋体" w:cs="宋体"/>
          <w:sz w:val="24"/>
          <w:szCs w:val="24"/>
          <w:lang w:val="en-US" w:eastAsia="zh-CN"/>
        </w:rPr>
        <w:t>乙方</w:t>
      </w:r>
      <w:r>
        <w:rPr>
          <w:rFonts w:hint="eastAsia" w:ascii="宋体" w:hAnsi="宋体" w:eastAsia="宋体" w:cs="宋体"/>
          <w:sz w:val="24"/>
          <w:szCs w:val="24"/>
          <w:lang w:val="en-US" w:eastAsia="zh-CN"/>
        </w:rPr>
        <w:t>应根据上述资料完成理赔，特殊案件需要其他资料的，</w:t>
      </w:r>
      <w:r>
        <w:rPr>
          <w:rFonts w:hint="eastAsia" w:ascii="宋体" w:hAnsi="宋体" w:cs="宋体"/>
          <w:sz w:val="24"/>
          <w:szCs w:val="24"/>
          <w:lang w:val="en-US" w:eastAsia="zh-CN"/>
        </w:rPr>
        <w:t>甲方</w:t>
      </w:r>
      <w:r>
        <w:rPr>
          <w:rFonts w:hint="eastAsia" w:ascii="宋体" w:hAnsi="宋体" w:eastAsia="宋体" w:cs="宋体"/>
          <w:sz w:val="24"/>
          <w:szCs w:val="24"/>
          <w:lang w:val="en-US" w:eastAsia="zh-CN"/>
        </w:rPr>
        <w:t>将根据案情、舆情等情况酌情提供，</w:t>
      </w:r>
      <w:r>
        <w:rPr>
          <w:rFonts w:hint="eastAsia" w:ascii="宋体" w:hAnsi="宋体" w:cs="宋体"/>
          <w:sz w:val="24"/>
          <w:szCs w:val="24"/>
          <w:lang w:val="en-US" w:eastAsia="zh-CN"/>
        </w:rPr>
        <w:t>乙方</w:t>
      </w:r>
      <w:r>
        <w:rPr>
          <w:rFonts w:hint="eastAsia" w:ascii="宋体" w:hAnsi="宋体" w:eastAsia="宋体" w:cs="宋体"/>
          <w:sz w:val="24"/>
          <w:szCs w:val="24"/>
          <w:lang w:val="en-US" w:eastAsia="zh-CN"/>
        </w:rPr>
        <w:t>不得以索赔资料不全拖延赔付、拒绝赔付。</w:t>
      </w:r>
    </w:p>
    <w:p>
      <w:pPr>
        <w:keepNext w:val="0"/>
        <w:keepLines w:val="0"/>
        <w:pageBreakBefore w:val="0"/>
        <w:widowControl w:val="0"/>
        <w:numPr>
          <w:ilvl w:val="0"/>
          <w:numId w:val="58"/>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索赔处理</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本保险合同下发生赔案，</w:t>
      </w:r>
      <w:r>
        <w:rPr>
          <w:rFonts w:hint="eastAsia" w:ascii="宋体" w:hAnsi="宋体" w:eastAsia="宋体" w:cs="宋体"/>
          <w:sz w:val="24"/>
          <w:szCs w:val="24"/>
          <w:lang w:val="en-US" w:eastAsia="zh-CN"/>
        </w:rPr>
        <w:t>赔款</w:t>
      </w:r>
      <w:r>
        <w:rPr>
          <w:rFonts w:hint="eastAsia" w:ascii="宋体" w:hAnsi="宋体" w:eastAsia="宋体" w:cs="宋体"/>
          <w:sz w:val="24"/>
          <w:szCs w:val="24"/>
          <w:lang w:val="zh-TW" w:eastAsia="zh-TW"/>
        </w:rPr>
        <w:t>金额由保险人</w:t>
      </w:r>
      <w:r>
        <w:rPr>
          <w:rFonts w:hint="eastAsia" w:ascii="宋体" w:hAnsi="宋体" w:eastAsia="宋体" w:cs="宋体"/>
          <w:sz w:val="24"/>
          <w:szCs w:val="24"/>
          <w:lang w:val="en-US" w:eastAsia="zh-CN"/>
        </w:rPr>
        <w:t>根据</w:t>
      </w:r>
      <w:r>
        <w:rPr>
          <w:rFonts w:hint="eastAsia" w:ascii="宋体" w:hAnsi="宋体" w:cs="宋体"/>
          <w:sz w:val="24"/>
          <w:szCs w:val="24"/>
          <w:lang w:val="en-US" w:eastAsia="zh-CN"/>
        </w:rPr>
        <w:t>甲方</w:t>
      </w:r>
      <w:r>
        <w:rPr>
          <w:rFonts w:hint="eastAsia" w:ascii="宋体" w:hAnsi="宋体" w:eastAsia="宋体" w:cs="宋体"/>
          <w:sz w:val="24"/>
          <w:szCs w:val="24"/>
          <w:lang w:val="en-US" w:eastAsia="zh-CN"/>
        </w:rPr>
        <w:t>要求</w:t>
      </w:r>
      <w:r>
        <w:rPr>
          <w:rFonts w:hint="eastAsia" w:ascii="宋体" w:hAnsi="宋体" w:eastAsia="宋体" w:cs="宋体"/>
          <w:sz w:val="24"/>
          <w:szCs w:val="24"/>
          <w:lang w:val="zh-TW" w:eastAsia="zh-TW"/>
        </w:rPr>
        <w:t>支付给</w:t>
      </w:r>
      <w:r>
        <w:rPr>
          <w:rFonts w:hint="eastAsia" w:ascii="宋体" w:hAnsi="宋体" w:cs="宋体"/>
          <w:sz w:val="24"/>
          <w:szCs w:val="24"/>
          <w:lang w:val="zh-TW" w:eastAsia="zh-CN"/>
        </w:rPr>
        <w:t>甲方</w:t>
      </w:r>
      <w:r>
        <w:rPr>
          <w:rFonts w:hint="eastAsia" w:ascii="宋体" w:hAnsi="宋体" w:eastAsia="宋体" w:cs="宋体"/>
          <w:sz w:val="24"/>
          <w:szCs w:val="24"/>
          <w:lang w:val="zh-TW"/>
        </w:rPr>
        <w:t>指定的单位</w:t>
      </w:r>
      <w:r>
        <w:rPr>
          <w:rFonts w:hint="eastAsia" w:ascii="宋体" w:hAnsi="宋体" w:eastAsia="宋体" w:cs="宋体"/>
          <w:sz w:val="24"/>
          <w:szCs w:val="24"/>
          <w:lang w:val="zh-TW" w:eastAsia="zh-CN"/>
        </w:rPr>
        <w:t>或个人</w:t>
      </w:r>
      <w:r>
        <w:rPr>
          <w:rFonts w:hint="eastAsia" w:ascii="宋体" w:hAnsi="宋体" w:eastAsia="宋体" w:cs="宋体"/>
          <w:sz w:val="24"/>
          <w:szCs w:val="24"/>
          <w:lang w:val="zh-TW" w:eastAsia="zh-TW"/>
        </w:rPr>
        <w:t>。</w:t>
      </w:r>
    </w:p>
    <w:p>
      <w:pPr>
        <w:keepNext w:val="0"/>
        <w:keepLines w:val="0"/>
        <w:pageBreakBefore w:val="0"/>
        <w:widowControl w:val="0"/>
        <w:numPr>
          <w:ilvl w:val="0"/>
          <w:numId w:val="58"/>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限时赔付承诺</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当保险责任明确、损失金额明确，</w:t>
      </w:r>
      <w:r>
        <w:rPr>
          <w:rFonts w:hint="eastAsia" w:ascii="宋体" w:hAnsi="宋体" w:cs="宋体"/>
          <w:sz w:val="24"/>
          <w:szCs w:val="24"/>
          <w:lang w:val="zh-TW" w:eastAsia="zh-CN"/>
        </w:rPr>
        <w:t>乙方</w:t>
      </w:r>
      <w:r>
        <w:rPr>
          <w:rFonts w:hint="eastAsia" w:ascii="宋体" w:hAnsi="宋体" w:eastAsia="宋体" w:cs="宋体"/>
          <w:sz w:val="24"/>
          <w:szCs w:val="24"/>
          <w:lang w:val="zh-TW" w:eastAsia="zh-TW"/>
        </w:rPr>
        <w:t>应在理赔资料完备后</w:t>
      </w:r>
      <w:r>
        <w:rPr>
          <w:rFonts w:hint="eastAsia" w:ascii="宋体" w:hAnsi="宋体" w:eastAsia="宋体" w:cs="宋体"/>
          <w:sz w:val="24"/>
          <w:szCs w:val="24"/>
          <w:lang w:val="en-US" w:eastAsia="zh-CN"/>
        </w:rPr>
        <w:t>3</w:t>
      </w:r>
      <w:r>
        <w:rPr>
          <w:rFonts w:hint="eastAsia" w:ascii="宋体" w:hAnsi="宋体" w:eastAsia="宋体" w:cs="宋体"/>
          <w:sz w:val="24"/>
          <w:szCs w:val="24"/>
          <w:lang w:val="zh-TW" w:eastAsia="zh-TW"/>
        </w:rPr>
        <w:t>个工作日内支付赔款。涉及伤残的案件，</w:t>
      </w:r>
      <w:r>
        <w:rPr>
          <w:rFonts w:hint="eastAsia" w:ascii="宋体" w:hAnsi="宋体" w:eastAsia="宋体" w:cs="宋体"/>
          <w:sz w:val="24"/>
          <w:szCs w:val="24"/>
          <w:lang w:val="zh-TW"/>
        </w:rPr>
        <w:t>按照</w:t>
      </w:r>
      <w:r>
        <w:rPr>
          <w:rFonts w:hint="eastAsia" w:ascii="宋体" w:hAnsi="宋体" w:eastAsia="宋体" w:cs="宋体"/>
          <w:sz w:val="24"/>
          <w:szCs w:val="24"/>
          <w:lang w:val="zh-TW" w:eastAsia="zh-TW"/>
        </w:rPr>
        <w:t>中国保险行业协会发布的《人身保险伤残评定标准》（中保协发【2013】88号）规定的等级进行赔付；涉及死亡的案件，根据死亡证明赔付；</w:t>
      </w:r>
      <w:r>
        <w:rPr>
          <w:rFonts w:hint="eastAsia" w:ascii="宋体" w:hAnsi="宋体" w:eastAsia="宋体" w:cs="宋体"/>
          <w:sz w:val="24"/>
          <w:szCs w:val="24"/>
          <w:lang w:val="en-US" w:eastAsia="zh-CN"/>
        </w:rPr>
        <w:t>其他</w:t>
      </w:r>
      <w:r>
        <w:rPr>
          <w:rFonts w:hint="eastAsia" w:ascii="宋体" w:hAnsi="宋体" w:eastAsia="宋体" w:cs="宋体"/>
          <w:sz w:val="24"/>
          <w:szCs w:val="24"/>
          <w:lang w:val="zh-TW" w:eastAsia="zh-TW"/>
        </w:rPr>
        <w:t>需要条件认定的，经条件认定后赔付</w:t>
      </w:r>
      <w:r>
        <w:rPr>
          <w:rFonts w:hint="eastAsia" w:ascii="宋体" w:hAnsi="宋体" w:eastAsia="宋体" w:cs="宋体"/>
          <w:sz w:val="24"/>
          <w:szCs w:val="24"/>
          <w:lang w:val="zh-TW"/>
        </w:rPr>
        <w:t>。</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如</w:t>
      </w:r>
      <w:r>
        <w:rPr>
          <w:rFonts w:hint="eastAsia" w:ascii="宋体" w:hAnsi="宋体" w:cs="宋体"/>
          <w:sz w:val="24"/>
          <w:szCs w:val="24"/>
          <w:lang w:val="zh-TW" w:eastAsia="zh-CN"/>
        </w:rPr>
        <w:t>乙方</w:t>
      </w:r>
      <w:r>
        <w:rPr>
          <w:rFonts w:hint="eastAsia" w:ascii="宋体" w:hAnsi="宋体" w:eastAsia="宋体" w:cs="宋体"/>
          <w:sz w:val="24"/>
          <w:szCs w:val="24"/>
          <w:lang w:val="zh-TW" w:eastAsia="zh-TW"/>
        </w:rPr>
        <w:t>未能在上述约定的期限内履行赔付义务，则</w:t>
      </w:r>
      <w:r>
        <w:rPr>
          <w:rFonts w:hint="eastAsia" w:ascii="宋体" w:hAnsi="宋体" w:cs="宋体"/>
          <w:sz w:val="24"/>
          <w:szCs w:val="24"/>
          <w:lang w:val="zh-TW" w:eastAsia="zh-CN"/>
        </w:rPr>
        <w:t>甲方</w:t>
      </w:r>
      <w:r>
        <w:rPr>
          <w:rFonts w:hint="eastAsia" w:ascii="宋体" w:hAnsi="宋体" w:eastAsia="宋体" w:cs="宋体"/>
          <w:sz w:val="24"/>
          <w:szCs w:val="24"/>
          <w:lang w:val="zh-TW" w:eastAsia="zh-TW"/>
        </w:rPr>
        <w:t>可按照赔款金额的一定比例收取违约金，具体比例为每延迟一天收取赔款金额的1％。</w:t>
      </w:r>
    </w:p>
    <w:p>
      <w:pPr>
        <w:keepNext w:val="0"/>
        <w:keepLines w:val="0"/>
        <w:pageBreakBefore w:val="0"/>
        <w:widowControl w:val="0"/>
        <w:numPr>
          <w:ilvl w:val="0"/>
          <w:numId w:val="58"/>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预付赔款支付</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因工作需要，下列情形，本保险应先行预付赔款。</w:t>
      </w:r>
    </w:p>
    <w:p>
      <w:pPr>
        <w:keepNext w:val="0"/>
        <w:keepLines w:val="0"/>
        <w:pageBreakBefore w:val="0"/>
        <w:widowControl w:val="0"/>
        <w:numPr>
          <w:ilvl w:val="0"/>
          <w:numId w:val="59"/>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保险责任明确但赔偿金额暂时不能确定的案件，</w:t>
      </w:r>
      <w:r>
        <w:rPr>
          <w:rFonts w:hint="eastAsia" w:ascii="宋体" w:hAnsi="宋体" w:cs="宋体"/>
          <w:sz w:val="24"/>
          <w:szCs w:val="24"/>
          <w:lang w:val="zh-TW" w:eastAsia="zh-CN"/>
        </w:rPr>
        <w:t>乙方</w:t>
      </w:r>
      <w:r>
        <w:rPr>
          <w:rFonts w:hint="eastAsia" w:ascii="宋体" w:hAnsi="宋体" w:eastAsia="宋体" w:cs="宋体"/>
          <w:sz w:val="24"/>
          <w:szCs w:val="24"/>
          <w:lang w:val="zh-TW" w:eastAsia="zh-TW"/>
        </w:rPr>
        <w:t>根据已有证明和资料可以确定的数额预付赔款，待最终确定赔偿金额后再赔付相应的差额。</w:t>
      </w:r>
    </w:p>
    <w:p>
      <w:pPr>
        <w:keepNext w:val="0"/>
        <w:keepLines w:val="0"/>
        <w:pageBreakBefore w:val="0"/>
        <w:widowControl w:val="0"/>
        <w:numPr>
          <w:ilvl w:val="0"/>
          <w:numId w:val="59"/>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保险责任、赔偿金额均明确但理赔资料一时难以完备的案件，凭事发地综治或公安部门的情况说明，保险公司先行预付赔款，所需相关资料事后补交。</w:t>
      </w:r>
    </w:p>
    <w:p>
      <w:pPr>
        <w:keepNext w:val="0"/>
        <w:keepLines w:val="0"/>
        <w:pageBreakBefore w:val="0"/>
        <w:widowControl w:val="0"/>
        <w:numPr>
          <w:ilvl w:val="0"/>
          <w:numId w:val="59"/>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对于死亡3人及以上的重大事故，</w:t>
      </w:r>
      <w:r>
        <w:rPr>
          <w:rFonts w:hint="eastAsia" w:ascii="宋体" w:hAnsi="宋体" w:cs="宋体"/>
          <w:sz w:val="24"/>
          <w:szCs w:val="24"/>
          <w:lang w:val="zh-TW" w:eastAsia="zh-CN"/>
        </w:rPr>
        <w:t>乙方</w:t>
      </w:r>
      <w:r>
        <w:rPr>
          <w:rFonts w:hint="eastAsia" w:ascii="宋体" w:hAnsi="宋体" w:eastAsia="宋体" w:cs="宋体"/>
          <w:sz w:val="24"/>
          <w:szCs w:val="24"/>
          <w:lang w:val="zh-TW" w:eastAsia="zh-TW"/>
        </w:rPr>
        <w:t>应立即启动应急机制，会同事发地政府相关部门确定预付赔款方案，先行预付赔款。</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预付部分赔偿后，</w:t>
      </w:r>
      <w:r>
        <w:rPr>
          <w:rFonts w:hint="eastAsia" w:ascii="宋体" w:hAnsi="宋体" w:eastAsia="宋体" w:cs="宋体"/>
          <w:sz w:val="24"/>
          <w:szCs w:val="24"/>
          <w:lang w:val="zh-TW"/>
        </w:rPr>
        <w:t>甲乙双方</w:t>
      </w:r>
      <w:r>
        <w:rPr>
          <w:rFonts w:hint="eastAsia" w:ascii="宋体" w:hAnsi="宋体" w:eastAsia="宋体" w:cs="宋体"/>
          <w:sz w:val="24"/>
          <w:szCs w:val="24"/>
          <w:lang w:val="zh-TW" w:eastAsia="zh-TW"/>
        </w:rPr>
        <w:t>应积极合作，继续取证、鉴定等工作，一旦双方对最终赔偿金额达成一致，</w:t>
      </w:r>
      <w:r>
        <w:rPr>
          <w:rFonts w:hint="eastAsia" w:ascii="宋体" w:hAnsi="宋体" w:cs="宋体"/>
          <w:sz w:val="24"/>
          <w:szCs w:val="24"/>
          <w:lang w:val="zh-TW" w:eastAsia="zh-CN"/>
        </w:rPr>
        <w:t>乙方</w:t>
      </w:r>
      <w:r>
        <w:rPr>
          <w:rFonts w:hint="eastAsia" w:ascii="宋体" w:hAnsi="宋体" w:eastAsia="宋体" w:cs="宋体"/>
          <w:sz w:val="24"/>
          <w:szCs w:val="24"/>
          <w:lang w:val="zh-TW" w:eastAsia="zh-TW"/>
        </w:rPr>
        <w:t>应在收到</w:t>
      </w:r>
      <w:r>
        <w:rPr>
          <w:rFonts w:hint="eastAsia" w:ascii="宋体" w:hAnsi="宋体" w:cs="宋体"/>
          <w:sz w:val="24"/>
          <w:szCs w:val="24"/>
          <w:lang w:val="zh-TW" w:eastAsia="zh-CN"/>
        </w:rPr>
        <w:t>甲方</w:t>
      </w:r>
      <w:r>
        <w:rPr>
          <w:rFonts w:hint="eastAsia" w:ascii="宋体" w:hAnsi="宋体" w:eastAsia="宋体" w:cs="宋体"/>
          <w:sz w:val="24"/>
          <w:szCs w:val="24"/>
          <w:lang w:val="zh-TW" w:eastAsia="zh-TW"/>
        </w:rPr>
        <w:t>齐全的索赔单证后立即支付其余赔款。</w:t>
      </w:r>
    </w:p>
    <w:p>
      <w:pPr>
        <w:keepNext w:val="0"/>
        <w:keepLines w:val="0"/>
        <w:pageBreakBefore w:val="0"/>
        <w:widowControl w:val="0"/>
        <w:numPr>
          <w:ilvl w:val="0"/>
          <w:numId w:val="58"/>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责任主体明确但又无力赔偿</w:t>
      </w:r>
      <w:r>
        <w:rPr>
          <w:rFonts w:hint="eastAsia" w:ascii="宋体" w:hAnsi="宋体" w:eastAsia="宋体" w:cs="宋体"/>
          <w:sz w:val="24"/>
          <w:szCs w:val="24"/>
          <w:lang w:val="zh-TW"/>
        </w:rPr>
        <w:t>的情况处理</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对责任主体明确但又无力赔偿的，由事发地综治机构或市政法委及其下级相关单位出具证明，本保险结合善后调解情况予以赔偿。</w:t>
      </w:r>
    </w:p>
    <w:p>
      <w:pPr>
        <w:keepNext w:val="0"/>
        <w:keepLines w:val="0"/>
        <w:pageBreakBefore w:val="0"/>
        <w:widowControl w:val="0"/>
        <w:numPr>
          <w:ilvl w:val="0"/>
          <w:numId w:val="58"/>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保险赔款支付</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保险赔偿金额经</w:t>
      </w:r>
      <w:r>
        <w:rPr>
          <w:rFonts w:hint="eastAsia" w:ascii="宋体" w:hAnsi="宋体" w:eastAsia="宋体" w:cs="宋体"/>
          <w:sz w:val="24"/>
          <w:szCs w:val="24"/>
          <w:lang w:val="zh-TW"/>
        </w:rPr>
        <w:t>甲、乙</w:t>
      </w:r>
      <w:r>
        <w:rPr>
          <w:rFonts w:hint="eastAsia" w:ascii="宋体" w:hAnsi="宋体" w:eastAsia="宋体" w:cs="宋体"/>
          <w:sz w:val="24"/>
          <w:szCs w:val="24"/>
          <w:lang w:val="zh-TW" w:eastAsia="zh-TW"/>
        </w:rPr>
        <w:t>双方确认后，保险公司应在规定时间内将赔款划付到</w:t>
      </w:r>
      <w:r>
        <w:rPr>
          <w:rFonts w:hint="eastAsia" w:ascii="宋体" w:hAnsi="宋体" w:cs="宋体"/>
          <w:sz w:val="24"/>
          <w:szCs w:val="24"/>
          <w:lang w:val="zh-TW" w:eastAsia="zh-CN"/>
        </w:rPr>
        <w:t>甲方</w:t>
      </w:r>
      <w:r>
        <w:rPr>
          <w:rFonts w:hint="eastAsia" w:ascii="宋体" w:hAnsi="宋体" w:eastAsia="宋体" w:cs="宋体"/>
          <w:sz w:val="24"/>
          <w:szCs w:val="24"/>
          <w:lang w:val="zh-TW" w:eastAsia="zh-TW"/>
        </w:rPr>
        <w:t>指定的账户，由</w:t>
      </w:r>
      <w:r>
        <w:rPr>
          <w:rFonts w:hint="eastAsia" w:ascii="宋体" w:hAnsi="宋体" w:cs="宋体"/>
          <w:sz w:val="24"/>
          <w:szCs w:val="24"/>
          <w:lang w:val="zh-TW" w:eastAsia="zh-CN"/>
        </w:rPr>
        <w:t>甲方</w:t>
      </w:r>
      <w:r>
        <w:rPr>
          <w:rFonts w:hint="eastAsia" w:ascii="宋体" w:hAnsi="宋体" w:eastAsia="宋体" w:cs="宋体"/>
          <w:sz w:val="24"/>
          <w:szCs w:val="24"/>
          <w:lang w:val="zh-TW" w:eastAsia="zh-TW"/>
        </w:rPr>
        <w:t>（或该事故协调处理单位）转付；或者经</w:t>
      </w:r>
      <w:r>
        <w:rPr>
          <w:rFonts w:hint="eastAsia" w:ascii="宋体" w:hAnsi="宋体" w:cs="宋体"/>
          <w:sz w:val="24"/>
          <w:szCs w:val="24"/>
          <w:lang w:val="zh-TW" w:eastAsia="zh-CN"/>
        </w:rPr>
        <w:t>甲方</w:t>
      </w:r>
      <w:r>
        <w:rPr>
          <w:rFonts w:hint="eastAsia" w:ascii="宋体" w:hAnsi="宋体" w:eastAsia="宋体" w:cs="宋体"/>
          <w:sz w:val="24"/>
          <w:szCs w:val="24"/>
          <w:lang w:val="zh-TW" w:eastAsia="zh-TW"/>
        </w:rPr>
        <w:t>授权，向</w:t>
      </w:r>
      <w:r>
        <w:rPr>
          <w:rFonts w:hint="eastAsia" w:ascii="宋体" w:hAnsi="宋体" w:cs="宋体"/>
          <w:sz w:val="24"/>
          <w:szCs w:val="24"/>
          <w:lang w:val="zh-TW" w:eastAsia="zh-CN"/>
        </w:rPr>
        <w:t>甲方</w:t>
      </w:r>
      <w:r>
        <w:rPr>
          <w:rFonts w:hint="eastAsia" w:ascii="宋体" w:hAnsi="宋体" w:eastAsia="宋体" w:cs="宋体"/>
          <w:sz w:val="24"/>
          <w:szCs w:val="24"/>
          <w:lang w:val="zh-TW" w:eastAsia="zh-CN"/>
        </w:rPr>
        <w:t>指定的单位或个人</w:t>
      </w:r>
      <w:r>
        <w:rPr>
          <w:rFonts w:hint="eastAsia" w:ascii="宋体" w:hAnsi="宋体" w:eastAsia="宋体" w:cs="宋体"/>
          <w:sz w:val="24"/>
          <w:szCs w:val="24"/>
          <w:lang w:val="zh-TW" w:eastAsia="zh-TW"/>
        </w:rPr>
        <w:t>支付赔款。</w:t>
      </w:r>
    </w:p>
    <w:p>
      <w:pPr>
        <w:keepNext w:val="0"/>
        <w:keepLines w:val="0"/>
        <w:pageBreakBefore w:val="0"/>
        <w:widowControl w:val="0"/>
        <w:numPr>
          <w:ilvl w:val="0"/>
          <w:numId w:val="58"/>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追偿权利行使</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对于责任方属于经营性主体（从事公共服务的单位除外）或个人的事故，</w:t>
      </w:r>
      <w:r>
        <w:rPr>
          <w:rFonts w:hint="eastAsia" w:ascii="宋体" w:hAnsi="宋体" w:cs="宋体"/>
          <w:sz w:val="24"/>
          <w:szCs w:val="24"/>
          <w:lang w:val="zh-TW" w:eastAsia="zh-CN"/>
        </w:rPr>
        <w:t>乙方</w:t>
      </w:r>
      <w:r>
        <w:rPr>
          <w:rFonts w:hint="eastAsia" w:ascii="宋体" w:hAnsi="宋体" w:eastAsia="宋体" w:cs="宋体"/>
          <w:sz w:val="24"/>
          <w:szCs w:val="24"/>
          <w:lang w:val="zh-TW" w:eastAsia="zh-TW"/>
        </w:rPr>
        <w:t>若先行赔偿的</w:t>
      </w:r>
      <w:r>
        <w:rPr>
          <w:rFonts w:hint="eastAsia" w:ascii="宋体" w:hAnsi="宋体" w:eastAsia="宋体" w:cs="宋体"/>
          <w:sz w:val="24"/>
          <w:szCs w:val="24"/>
          <w:lang w:val="zh-TW"/>
        </w:rPr>
        <w:t>，</w:t>
      </w:r>
      <w:r>
        <w:rPr>
          <w:rFonts w:hint="eastAsia" w:ascii="宋体" w:hAnsi="宋体" w:eastAsia="宋体" w:cs="宋体"/>
          <w:sz w:val="24"/>
          <w:szCs w:val="24"/>
          <w:lang w:val="zh-TW" w:eastAsia="zh-TW"/>
        </w:rPr>
        <w:t>有权向责任方追偿。精神病人伤人事故及市县两级</w:t>
      </w:r>
      <w:r>
        <w:rPr>
          <w:rFonts w:hint="eastAsia" w:ascii="宋体" w:hAnsi="宋体" w:eastAsia="宋体" w:cs="宋体"/>
          <w:sz w:val="24"/>
          <w:szCs w:val="24"/>
          <w:lang w:val="zh-TW"/>
        </w:rPr>
        <w:t>政法委</w:t>
      </w:r>
      <w:r>
        <w:rPr>
          <w:rFonts w:hint="eastAsia" w:ascii="宋体" w:hAnsi="宋体" w:eastAsia="宋体" w:cs="宋体"/>
          <w:sz w:val="24"/>
          <w:szCs w:val="24"/>
          <w:lang w:val="zh-TW" w:eastAsia="zh-TW"/>
        </w:rPr>
        <w:t>认为应免于追偿的情形，</w:t>
      </w:r>
      <w:r>
        <w:rPr>
          <w:rFonts w:hint="eastAsia" w:ascii="宋体" w:hAnsi="宋体" w:cs="宋体"/>
          <w:sz w:val="24"/>
          <w:szCs w:val="24"/>
          <w:lang w:val="zh-TW" w:eastAsia="zh-CN"/>
        </w:rPr>
        <w:t>乙方</w:t>
      </w:r>
      <w:r>
        <w:rPr>
          <w:rFonts w:hint="eastAsia" w:ascii="宋体" w:hAnsi="宋体" w:eastAsia="宋体" w:cs="宋体"/>
          <w:sz w:val="24"/>
          <w:szCs w:val="24"/>
          <w:lang w:val="zh-TW" w:eastAsia="zh-TW"/>
        </w:rPr>
        <w:t>不予追偿。</w:t>
      </w:r>
    </w:p>
    <w:p>
      <w:pPr>
        <w:keepNext w:val="0"/>
        <w:keepLines w:val="0"/>
        <w:pageBreakBefore w:val="0"/>
        <w:widowControl w:val="0"/>
        <w:numPr>
          <w:ilvl w:val="0"/>
          <w:numId w:val="58"/>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其他理赔增值服务计划</w:t>
      </w:r>
    </w:p>
    <w:p>
      <w:pPr>
        <w:pStyle w:val="60"/>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eastAsia="宋体" w:cs="仿宋"/>
          <w:sz w:val="24"/>
          <w:szCs w:val="24"/>
        </w:rPr>
      </w:pPr>
      <w:r>
        <w:rPr>
          <w:rFonts w:hint="eastAsia" w:ascii="宋体" w:hAnsi="宋体" w:eastAsia="宋体" w:cs="宋体"/>
          <w:sz w:val="24"/>
          <w:szCs w:val="24"/>
        </w:rPr>
        <w:t>配合政府有关部门做好灾后的善后工作和矛盾调处工作，帮助受灾群众尽快恢复生活秩序。</w:t>
      </w:r>
    </w:p>
    <w:p>
      <w:pPr>
        <w:pStyle w:val="60"/>
        <w:keepNext w:val="0"/>
        <w:keepLines w:val="0"/>
        <w:pageBreakBefore w:val="0"/>
        <w:widowControl w:val="0"/>
        <w:numPr>
          <w:ilvl w:val="0"/>
          <w:numId w:val="54"/>
        </w:numPr>
        <w:kinsoku/>
        <w:wordWrap/>
        <w:overflowPunct/>
        <w:topLinePunct w:val="0"/>
        <w:autoSpaceDE/>
        <w:autoSpaceDN/>
        <w:bidi w:val="0"/>
        <w:adjustRightInd/>
        <w:snapToGrid/>
        <w:spacing w:line="360" w:lineRule="auto"/>
        <w:ind w:left="0" w:leftChars="0" w:firstLine="482" w:firstLineChars="200"/>
        <w:textAlignment w:val="auto"/>
        <w:rPr>
          <w:rFonts w:hint="default" w:ascii="宋体" w:hAnsi="宋体" w:eastAsia="宋体" w:cs="仿宋"/>
          <w:b/>
          <w:bCs/>
          <w:sz w:val="24"/>
          <w:szCs w:val="24"/>
          <w:lang w:val="en-US" w:eastAsia="zh-CN"/>
        </w:rPr>
      </w:pPr>
      <w:r>
        <w:rPr>
          <w:rFonts w:hint="eastAsia" w:ascii="宋体" w:hAnsi="宋体" w:eastAsia="宋体" w:cs="仿宋"/>
          <w:b/>
          <w:bCs/>
          <w:sz w:val="24"/>
          <w:szCs w:val="24"/>
          <w:lang w:val="en-US" w:eastAsia="zh-CN"/>
        </w:rPr>
        <w:t>服务小组联系方式</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cs="宋体"/>
          <w:bCs/>
          <w:sz w:val="24"/>
        </w:rPr>
      </w:pPr>
      <w:r>
        <w:rPr>
          <w:rFonts w:hint="eastAsia" w:cs="宋体"/>
          <w:bCs/>
          <w:sz w:val="24"/>
        </w:rPr>
        <w:t>保险公司台州各县（市、区）服务小组名单及联系方式：</w:t>
      </w:r>
    </w:p>
    <w:tbl>
      <w:tblPr>
        <w:tblStyle w:val="21"/>
        <w:tblW w:w="8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1905"/>
        <w:gridCol w:w="1950"/>
        <w:gridCol w:w="3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rFonts w:cs="宋体"/>
                <w:bCs/>
                <w:sz w:val="24"/>
              </w:rPr>
            </w:pPr>
            <w:r>
              <w:rPr>
                <w:rFonts w:hint="eastAsia" w:cs="宋体"/>
                <w:bCs/>
                <w:sz w:val="24"/>
              </w:rPr>
              <w:t>保险公司在县（市、区）服务小组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rFonts w:cs="宋体"/>
                <w:bCs/>
                <w:sz w:val="24"/>
              </w:rPr>
            </w:pPr>
            <w:r>
              <w:rPr>
                <w:rFonts w:hint="eastAsia" w:cs="宋体"/>
                <w:bCs/>
                <w:sz w:val="24"/>
              </w:rPr>
              <w:t>成员</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rFonts w:cs="宋体"/>
                <w:bCs/>
                <w:sz w:val="24"/>
              </w:rPr>
            </w:pPr>
            <w:r>
              <w:rPr>
                <w:rFonts w:hint="eastAsia" w:cs="宋体"/>
                <w:bCs/>
                <w:sz w:val="24"/>
              </w:rPr>
              <w:t>姓名</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rFonts w:cs="宋体"/>
                <w:bCs/>
                <w:sz w:val="24"/>
              </w:rPr>
            </w:pPr>
            <w:r>
              <w:rPr>
                <w:rFonts w:hint="eastAsia" w:cs="宋体"/>
                <w:bCs/>
                <w:sz w:val="24"/>
              </w:rPr>
              <w:t>电话（手机）</w:t>
            </w:r>
          </w:p>
        </w:tc>
        <w:tc>
          <w:tcPr>
            <w:tcW w:w="351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rFonts w:cs="宋体"/>
                <w:bCs/>
                <w:sz w:val="24"/>
              </w:rPr>
            </w:pPr>
            <w:r>
              <w:rPr>
                <w:rFonts w:hint="eastAsia" w:cs="宋体"/>
                <w:bCs/>
                <w:sz w:val="24"/>
              </w:rPr>
              <w:t>在本服务小组内的职能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rFonts w:cs="宋体"/>
                <w:bCs/>
                <w:sz w:val="24"/>
              </w:rPr>
            </w:pP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rFonts w:cs="宋体"/>
                <w:bCs/>
                <w:sz w:val="24"/>
              </w:rPr>
            </w:pP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rFonts w:cs="宋体"/>
                <w:bCs/>
                <w:sz w:val="24"/>
                <w:lang w:val="zh-CN"/>
              </w:rPr>
            </w:pPr>
          </w:p>
        </w:tc>
        <w:tc>
          <w:tcPr>
            <w:tcW w:w="351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rFonts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rFonts w:cs="宋体"/>
                <w:bCs/>
                <w:sz w:val="24"/>
              </w:rPr>
            </w:pP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rFonts w:cs="宋体"/>
                <w:bCs/>
                <w:sz w:val="24"/>
              </w:rPr>
            </w:pP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rFonts w:cs="宋体"/>
                <w:bCs/>
                <w:sz w:val="24"/>
              </w:rPr>
            </w:pPr>
          </w:p>
        </w:tc>
        <w:tc>
          <w:tcPr>
            <w:tcW w:w="351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rFonts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rFonts w:cs="宋体"/>
                <w:bCs/>
                <w:sz w:val="24"/>
              </w:rPr>
            </w:pP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rFonts w:cs="宋体"/>
                <w:bCs/>
                <w:sz w:val="24"/>
              </w:rPr>
            </w:pP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rFonts w:cs="宋体"/>
                <w:bCs/>
                <w:sz w:val="24"/>
              </w:rPr>
            </w:pPr>
          </w:p>
        </w:tc>
        <w:tc>
          <w:tcPr>
            <w:tcW w:w="351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rFonts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rFonts w:cs="宋体"/>
                <w:bCs/>
                <w:sz w:val="24"/>
              </w:rPr>
            </w:pP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rFonts w:cs="宋体"/>
                <w:bCs/>
                <w:sz w:val="24"/>
              </w:rPr>
            </w:pP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rFonts w:cs="宋体"/>
                <w:bCs/>
                <w:sz w:val="24"/>
              </w:rPr>
            </w:pPr>
          </w:p>
        </w:tc>
        <w:tc>
          <w:tcPr>
            <w:tcW w:w="351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rFonts w:cs="宋体"/>
                <w:bCs/>
                <w:sz w:val="24"/>
              </w:rPr>
            </w:pPr>
          </w:p>
        </w:tc>
      </w:tr>
    </w:tbl>
    <w:p>
      <w:pPr>
        <w:keepNext w:val="0"/>
        <w:keepLines w:val="0"/>
        <w:pageBreakBefore w:val="0"/>
        <w:widowControl w:val="0"/>
        <w:numPr>
          <w:ilvl w:val="0"/>
          <w:numId w:val="54"/>
        </w:numPr>
        <w:kinsoku/>
        <w:wordWrap/>
        <w:overflowPunct/>
        <w:topLinePunct w:val="0"/>
        <w:autoSpaceDE/>
        <w:autoSpaceDN/>
        <w:bidi w:val="0"/>
        <w:adjustRightInd/>
        <w:snapToGrid/>
        <w:spacing w:line="360" w:lineRule="auto"/>
        <w:ind w:left="0" w:leftChars="0" w:firstLine="482" w:firstLineChars="200"/>
        <w:textAlignment w:val="auto"/>
        <w:rPr>
          <w:rFonts w:cs="宋体"/>
          <w:b/>
          <w:bCs/>
          <w:sz w:val="24"/>
        </w:rPr>
      </w:pPr>
      <w:bookmarkStart w:id="100" w:name="_Toc8709"/>
      <w:r>
        <w:rPr>
          <w:rFonts w:hint="eastAsia" w:cs="宋体"/>
          <w:b/>
          <w:bCs/>
          <w:sz w:val="24"/>
        </w:rPr>
        <w:t>司法管辖：</w:t>
      </w:r>
      <w:bookmarkEnd w:id="100"/>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eastAsia="宋体" w:cs="宋体"/>
          <w:bCs/>
          <w:sz w:val="24"/>
          <w:lang w:eastAsia="zh-CN"/>
        </w:rPr>
      </w:pPr>
      <w:r>
        <w:rPr>
          <w:rFonts w:hint="eastAsia" w:cs="宋体"/>
          <w:bCs/>
          <w:sz w:val="24"/>
        </w:rPr>
        <w:t>中华人民共和国司法管辖（除港、澳、台地区）</w:t>
      </w:r>
      <w:r>
        <w:rPr>
          <w:rFonts w:hint="eastAsia" w:cs="宋体"/>
          <w:bCs/>
          <w:sz w:val="24"/>
          <w:lang w:eastAsia="zh-CN"/>
        </w:rPr>
        <w:t>。</w:t>
      </w:r>
    </w:p>
    <w:p>
      <w:pPr>
        <w:keepNext w:val="0"/>
        <w:keepLines w:val="0"/>
        <w:pageBreakBefore w:val="0"/>
        <w:widowControl w:val="0"/>
        <w:numPr>
          <w:ilvl w:val="0"/>
          <w:numId w:val="54"/>
        </w:numPr>
        <w:kinsoku/>
        <w:wordWrap/>
        <w:overflowPunct/>
        <w:topLinePunct w:val="0"/>
        <w:autoSpaceDE/>
        <w:autoSpaceDN/>
        <w:bidi w:val="0"/>
        <w:adjustRightInd/>
        <w:snapToGrid/>
        <w:spacing w:line="360" w:lineRule="auto"/>
        <w:ind w:left="0" w:leftChars="0" w:firstLine="482" w:firstLineChars="200"/>
        <w:textAlignment w:val="auto"/>
        <w:rPr>
          <w:rFonts w:cs="宋体"/>
          <w:b/>
          <w:bCs/>
          <w:sz w:val="24"/>
        </w:rPr>
      </w:pPr>
      <w:bookmarkStart w:id="101" w:name="_Toc3157"/>
      <w:r>
        <w:rPr>
          <w:rFonts w:hint="eastAsia" w:cs="宋体"/>
          <w:b/>
          <w:bCs/>
          <w:sz w:val="24"/>
        </w:rPr>
        <w:t>争议处理：</w:t>
      </w:r>
      <w:bookmarkEnd w:id="101"/>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cs="宋体"/>
          <w:bCs/>
          <w:sz w:val="24"/>
        </w:rPr>
      </w:pPr>
      <w:r>
        <w:rPr>
          <w:rFonts w:hint="eastAsia" w:cs="宋体"/>
          <w:bCs/>
          <w:sz w:val="24"/>
        </w:rPr>
        <w:t>各方当事人与保险合同有关的争议，首先友好协商解决，协商不成的，提交台州仲裁委员会仲裁解决。</w:t>
      </w:r>
    </w:p>
    <w:p>
      <w:pPr>
        <w:keepNext w:val="0"/>
        <w:keepLines w:val="0"/>
        <w:pageBreakBefore w:val="0"/>
        <w:widowControl w:val="0"/>
        <w:numPr>
          <w:ilvl w:val="0"/>
          <w:numId w:val="54"/>
        </w:numPr>
        <w:kinsoku/>
        <w:wordWrap/>
        <w:overflowPunct/>
        <w:topLinePunct w:val="0"/>
        <w:autoSpaceDE/>
        <w:autoSpaceDN/>
        <w:bidi w:val="0"/>
        <w:adjustRightInd/>
        <w:snapToGrid/>
        <w:spacing w:line="360" w:lineRule="auto"/>
        <w:ind w:left="0" w:leftChars="0" w:firstLine="482" w:firstLineChars="200"/>
        <w:textAlignment w:val="auto"/>
        <w:rPr>
          <w:rFonts w:cs="宋体"/>
          <w:b/>
          <w:bCs/>
          <w:sz w:val="24"/>
        </w:rPr>
      </w:pPr>
      <w:bookmarkStart w:id="102" w:name="_Toc23601"/>
      <w:r>
        <w:rPr>
          <w:rFonts w:hint="eastAsia" w:cs="宋体"/>
          <w:b/>
          <w:bCs/>
          <w:sz w:val="24"/>
        </w:rPr>
        <w:t>保密义务：</w:t>
      </w:r>
      <w:bookmarkEnd w:id="102"/>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cs="宋体"/>
          <w:bCs/>
          <w:sz w:val="24"/>
        </w:rPr>
      </w:pPr>
      <w:r>
        <w:rPr>
          <w:rFonts w:hint="eastAsia" w:cs="宋体"/>
          <w:bCs/>
          <w:sz w:val="24"/>
        </w:rPr>
        <w:t>保险各方因本合同签定提供的各项资料，以及因合同履行获得对方的各项资料，未经对方同意，不得向第三方公开或作为其他用途使用。</w:t>
      </w:r>
    </w:p>
    <w:p>
      <w:pPr>
        <w:keepNext w:val="0"/>
        <w:keepLines w:val="0"/>
        <w:pageBreakBefore w:val="0"/>
        <w:widowControl w:val="0"/>
        <w:numPr>
          <w:ilvl w:val="0"/>
          <w:numId w:val="54"/>
        </w:numPr>
        <w:kinsoku/>
        <w:wordWrap/>
        <w:overflowPunct/>
        <w:topLinePunct w:val="0"/>
        <w:autoSpaceDE/>
        <w:autoSpaceDN/>
        <w:bidi w:val="0"/>
        <w:adjustRightInd/>
        <w:snapToGrid/>
        <w:spacing w:line="360" w:lineRule="auto"/>
        <w:ind w:left="0" w:leftChars="0" w:firstLine="482" w:firstLineChars="200"/>
        <w:textAlignment w:val="auto"/>
        <w:rPr>
          <w:rFonts w:cs="宋体"/>
          <w:b/>
          <w:bCs/>
          <w:sz w:val="24"/>
        </w:rPr>
      </w:pPr>
      <w:bookmarkStart w:id="103" w:name="_Toc1318"/>
      <w:r>
        <w:rPr>
          <w:rFonts w:hint="eastAsia" w:cs="宋体"/>
          <w:b/>
          <w:bCs/>
          <w:sz w:val="24"/>
        </w:rPr>
        <w:t>合同份数：</w:t>
      </w:r>
      <w:bookmarkEnd w:id="103"/>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cs="宋体"/>
          <w:bCs/>
          <w:sz w:val="24"/>
        </w:rPr>
      </w:pPr>
      <w:r>
        <w:rPr>
          <w:rFonts w:hint="eastAsia" w:cs="宋体"/>
          <w:bCs/>
          <w:sz w:val="24"/>
        </w:rPr>
        <w:t>本合同一式</w:t>
      </w:r>
      <w:r>
        <w:rPr>
          <w:rFonts w:hint="eastAsia" w:cs="宋体"/>
          <w:bCs/>
          <w:sz w:val="24"/>
          <w:lang w:val="en-US" w:eastAsia="zh-CN"/>
        </w:rPr>
        <w:t>伍</w:t>
      </w:r>
      <w:r>
        <w:rPr>
          <w:rFonts w:hint="eastAsia" w:cs="宋体"/>
          <w:bCs/>
          <w:sz w:val="24"/>
        </w:rPr>
        <w:t>份；甲方</w:t>
      </w:r>
      <w:r>
        <w:rPr>
          <w:rFonts w:hint="eastAsia" w:cs="宋体"/>
          <w:bCs/>
          <w:sz w:val="24"/>
          <w:lang w:val="en-US" w:eastAsia="zh-CN"/>
        </w:rPr>
        <w:t>贰</w:t>
      </w:r>
      <w:r>
        <w:rPr>
          <w:rFonts w:hint="eastAsia" w:cs="宋体"/>
          <w:bCs/>
          <w:sz w:val="24"/>
        </w:rPr>
        <w:t>份，乙方</w:t>
      </w:r>
      <w:r>
        <w:rPr>
          <w:rFonts w:hint="eastAsia" w:cs="宋体"/>
          <w:bCs/>
          <w:sz w:val="24"/>
          <w:lang w:val="en-US" w:eastAsia="zh-CN"/>
        </w:rPr>
        <w:t>贰</w:t>
      </w:r>
      <w:r>
        <w:rPr>
          <w:rFonts w:hint="eastAsia" w:cs="宋体"/>
          <w:bCs/>
          <w:sz w:val="24"/>
        </w:rPr>
        <w:t>份</w:t>
      </w:r>
      <w:r>
        <w:rPr>
          <w:rFonts w:hint="eastAsia" w:cs="宋体"/>
          <w:bCs/>
          <w:sz w:val="24"/>
          <w:lang w:eastAsia="zh-CN"/>
        </w:rPr>
        <w:t>，</w:t>
      </w:r>
      <w:r>
        <w:rPr>
          <w:rFonts w:hint="eastAsia" w:cs="宋体"/>
          <w:bCs/>
          <w:sz w:val="24"/>
          <w:lang w:val="en-US" w:eastAsia="zh-CN"/>
        </w:rPr>
        <w:t>采购代理机构壹份</w:t>
      </w:r>
      <w:r>
        <w:rPr>
          <w:rFonts w:hint="eastAsia" w:cs="宋体"/>
          <w:bCs/>
          <w:sz w:val="24"/>
        </w:rPr>
        <w:t>。</w:t>
      </w:r>
    </w:p>
    <w:p>
      <w:pPr>
        <w:keepNext w:val="0"/>
        <w:keepLines w:val="0"/>
        <w:pageBreakBefore w:val="0"/>
        <w:widowControl w:val="0"/>
        <w:numPr>
          <w:ilvl w:val="0"/>
          <w:numId w:val="54"/>
        </w:numPr>
        <w:kinsoku/>
        <w:wordWrap/>
        <w:overflowPunct/>
        <w:topLinePunct w:val="0"/>
        <w:autoSpaceDE/>
        <w:autoSpaceDN/>
        <w:bidi w:val="0"/>
        <w:adjustRightInd/>
        <w:snapToGrid/>
        <w:spacing w:line="360" w:lineRule="auto"/>
        <w:ind w:left="0" w:leftChars="0" w:firstLine="482" w:firstLineChars="200"/>
        <w:textAlignment w:val="auto"/>
        <w:rPr>
          <w:rFonts w:cs="宋体"/>
          <w:b/>
          <w:bCs/>
          <w:sz w:val="24"/>
        </w:rPr>
      </w:pPr>
      <w:bookmarkStart w:id="104" w:name="_Toc12761"/>
      <w:bookmarkStart w:id="105" w:name="_Toc14240"/>
      <w:r>
        <w:rPr>
          <w:rFonts w:hint="eastAsia" w:cs="宋体"/>
          <w:b/>
          <w:bCs/>
          <w:sz w:val="24"/>
        </w:rPr>
        <w:t>合同附件：</w:t>
      </w:r>
      <w:bookmarkEnd w:id="104"/>
      <w:bookmarkEnd w:id="105"/>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sz w:val="24"/>
        </w:rPr>
      </w:pPr>
      <w:bookmarkStart w:id="106" w:name="_Toc8575"/>
      <w:r>
        <w:rPr>
          <w:rFonts w:hint="eastAsia"/>
          <w:sz w:val="24"/>
        </w:rPr>
        <w:t>附件一：保险责任相关概念说明</w:t>
      </w:r>
      <w:bookmarkEnd w:id="106"/>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cs="宋体"/>
          <w:bCs/>
          <w:sz w:val="24"/>
        </w:rPr>
      </w:pP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cs="宋体"/>
          <w:bCs/>
          <w:sz w:val="24"/>
        </w:rPr>
      </w:pP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cs="宋体"/>
          <w:bCs/>
          <w:sz w:val="24"/>
        </w:rPr>
      </w:pPr>
      <w:r>
        <w:rPr>
          <w:rFonts w:hint="eastAsia" w:cs="宋体"/>
          <w:bCs/>
          <w:sz w:val="24"/>
        </w:rPr>
        <w:t>甲方（</w:t>
      </w:r>
      <w:r>
        <w:rPr>
          <w:rFonts w:hint="eastAsia" w:cs="宋体"/>
          <w:bCs/>
          <w:sz w:val="24"/>
          <w:lang w:val="en-US" w:eastAsia="zh-CN"/>
        </w:rPr>
        <w:t>公</w:t>
      </w:r>
      <w:r>
        <w:rPr>
          <w:rFonts w:hint="eastAsia" w:cs="宋体"/>
          <w:bCs/>
          <w:sz w:val="24"/>
        </w:rPr>
        <w:t>章）：                 乙方（</w:t>
      </w:r>
      <w:r>
        <w:rPr>
          <w:rFonts w:hint="eastAsia" w:cs="宋体"/>
          <w:bCs/>
          <w:sz w:val="24"/>
          <w:lang w:val="en-US" w:eastAsia="zh-CN"/>
        </w:rPr>
        <w:t>公</w:t>
      </w:r>
      <w:r>
        <w:rPr>
          <w:rFonts w:hint="eastAsia" w:cs="宋体"/>
          <w:bCs/>
          <w:sz w:val="24"/>
        </w:rPr>
        <w:t>章）：</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cs="宋体"/>
          <w:bCs/>
          <w:sz w:val="24"/>
        </w:rPr>
      </w:pP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eastAsia="宋体" w:cs="宋体"/>
          <w:bCs/>
          <w:sz w:val="24"/>
          <w:lang w:eastAsia="zh-CN"/>
        </w:rPr>
      </w:pPr>
      <w:r>
        <w:rPr>
          <w:rFonts w:hint="eastAsia" w:cs="宋体"/>
          <w:bCs/>
          <w:sz w:val="24"/>
        </w:rPr>
        <w:t>负责人或授权代表</w:t>
      </w:r>
      <w:r>
        <w:rPr>
          <w:rFonts w:hint="eastAsia" w:cs="宋体"/>
          <w:bCs/>
          <w:sz w:val="24"/>
          <w:lang w:eastAsia="zh-CN"/>
        </w:rPr>
        <w:t>（</w:t>
      </w:r>
      <w:r>
        <w:rPr>
          <w:rFonts w:hint="eastAsia" w:cs="宋体"/>
          <w:bCs/>
          <w:sz w:val="24"/>
          <w:lang w:val="en-US" w:eastAsia="zh-CN"/>
        </w:rPr>
        <w:t>签名</w:t>
      </w:r>
      <w:r>
        <w:rPr>
          <w:rFonts w:hint="eastAsia" w:cs="宋体"/>
          <w:bCs/>
          <w:sz w:val="24"/>
        </w:rPr>
        <w:t>）</w:t>
      </w:r>
      <w:r>
        <w:rPr>
          <w:rFonts w:hint="eastAsia" w:cs="宋体"/>
          <w:bCs/>
          <w:sz w:val="24"/>
          <w:lang w:eastAsia="zh-CN"/>
        </w:rPr>
        <w:t>：</w:t>
      </w:r>
      <w:r>
        <w:rPr>
          <w:rFonts w:hint="eastAsia" w:cs="宋体"/>
          <w:bCs/>
          <w:sz w:val="24"/>
        </w:rPr>
        <w:t xml:space="preserve">     负责人或授权代表</w:t>
      </w:r>
      <w:r>
        <w:rPr>
          <w:rFonts w:hint="eastAsia" w:cs="宋体"/>
          <w:bCs/>
          <w:sz w:val="24"/>
          <w:lang w:eastAsia="zh-CN"/>
        </w:rPr>
        <w:t>（</w:t>
      </w:r>
      <w:r>
        <w:rPr>
          <w:rFonts w:hint="eastAsia" w:cs="宋体"/>
          <w:bCs/>
          <w:sz w:val="24"/>
          <w:lang w:val="en-US" w:eastAsia="zh-CN"/>
        </w:rPr>
        <w:t>签名</w:t>
      </w:r>
      <w:r>
        <w:rPr>
          <w:rFonts w:hint="eastAsia" w:cs="宋体"/>
          <w:bCs/>
          <w:sz w:val="24"/>
        </w:rPr>
        <w:t>）</w:t>
      </w:r>
      <w:r>
        <w:rPr>
          <w:rFonts w:hint="eastAsia" w:cs="宋体"/>
          <w:bCs/>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cs="宋体"/>
          <w:bCs/>
          <w:sz w:val="24"/>
        </w:rPr>
      </w:pP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cs="宋体"/>
          <w:bCs/>
          <w:sz w:val="24"/>
        </w:rPr>
      </w:pPr>
      <w:r>
        <w:rPr>
          <w:rFonts w:hint="eastAsia" w:cs="宋体"/>
          <w:bCs/>
          <w:sz w:val="24"/>
        </w:rPr>
        <w:t>年    月    日                 年    月    日</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cs="宋体"/>
          <w:bCs/>
          <w:sz w:val="24"/>
        </w:rPr>
      </w:pP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cs="宋体"/>
          <w:bCs/>
          <w:sz w:val="24"/>
        </w:rPr>
      </w:pPr>
    </w:p>
    <w:p>
      <w:pPr>
        <w:jc w:val="right"/>
        <w:rPr>
          <w:rFonts w:hint="eastAsia" w:ascii="宋体" w:hAnsi="宋体" w:eastAsia="宋体" w:cs="宋体"/>
          <w:b/>
          <w:sz w:val="36"/>
          <w:szCs w:val="36"/>
        </w:rPr>
      </w:pPr>
      <w:r>
        <w:rPr>
          <w:rFonts w:hint="eastAsia"/>
          <w:sz w:val="24"/>
        </w:rPr>
        <w:t>签订日期：   年   月   日</w:t>
      </w:r>
      <w:bookmarkEnd w:id="98"/>
      <w:bookmarkEnd w:id="99"/>
      <w:r>
        <w:rPr>
          <w:rFonts w:hint="eastAsia" w:ascii="宋体" w:hAnsi="宋体" w:eastAsia="宋体" w:cs="宋体"/>
          <w:b/>
          <w:sz w:val="36"/>
          <w:szCs w:val="36"/>
        </w:rPr>
        <w:br w:type="page"/>
      </w:r>
    </w:p>
    <w:p>
      <w:pPr>
        <w:numPr>
          <w:ilvl w:val="0"/>
          <w:numId w:val="10"/>
        </w:numPr>
        <w:spacing w:line="360" w:lineRule="auto"/>
        <w:jc w:val="center"/>
        <w:outlineLvl w:val="0"/>
        <w:rPr>
          <w:rFonts w:hint="eastAsia" w:ascii="宋体" w:hAnsi="宋体" w:eastAsia="宋体" w:cs="宋体"/>
          <w:b/>
          <w:sz w:val="36"/>
          <w:szCs w:val="36"/>
        </w:rPr>
      </w:pPr>
      <w:bookmarkStart w:id="107" w:name="_Toc14337"/>
      <w:bookmarkStart w:id="108" w:name="_Toc15287"/>
      <w:r>
        <w:rPr>
          <w:rFonts w:hint="eastAsia" w:ascii="宋体" w:hAnsi="宋体" w:eastAsia="宋体" w:cs="宋体"/>
          <w:b/>
          <w:sz w:val="36"/>
          <w:szCs w:val="36"/>
        </w:rPr>
        <w:t>投标文件格式附件</w:t>
      </w:r>
      <w:bookmarkEnd w:id="107"/>
      <w:bookmarkEnd w:id="108"/>
    </w:p>
    <w:p>
      <w:pPr>
        <w:numPr>
          <w:ilvl w:val="0"/>
          <w:numId w:val="60"/>
        </w:numPr>
        <w:ind w:left="0" w:leftChars="0" w:firstLine="0" w:firstLineChars="0"/>
        <w:outlineLvl w:val="1"/>
        <w:rPr>
          <w:rFonts w:hint="eastAsia" w:ascii="宋体" w:hAnsi="宋体" w:eastAsia="宋体" w:cs="宋体"/>
          <w:b/>
          <w:sz w:val="28"/>
          <w:szCs w:val="28"/>
        </w:rPr>
      </w:pPr>
      <w:r>
        <w:rPr>
          <w:rFonts w:hint="eastAsia" w:ascii="宋体" w:hAnsi="宋体" w:eastAsia="宋体" w:cs="宋体"/>
          <w:b/>
          <w:sz w:val="28"/>
          <w:szCs w:val="28"/>
        </w:rPr>
        <w:t xml:space="preserve"> </w:t>
      </w:r>
      <w:bookmarkStart w:id="109" w:name="_Toc25335"/>
      <w:bookmarkEnd w:id="109"/>
    </w:p>
    <w:p>
      <w:pPr>
        <w:spacing w:beforeLines="100" w:line="360" w:lineRule="auto"/>
        <w:ind w:right="-108"/>
        <w:jc w:val="center"/>
        <w:outlineLvl w:val="0"/>
        <w:rPr>
          <w:rFonts w:hint="eastAsia" w:ascii="宋体" w:hAnsi="宋体" w:eastAsia="宋体" w:cs="宋体"/>
          <w:spacing w:val="40"/>
          <w:sz w:val="52"/>
          <w:szCs w:val="52"/>
          <w:lang w:eastAsia="zh-CN"/>
        </w:rPr>
      </w:pPr>
      <w:r>
        <w:rPr>
          <w:rFonts w:hint="eastAsia" w:ascii="宋体" w:hAnsi="宋体" w:cs="宋体"/>
          <w:spacing w:val="40"/>
          <w:sz w:val="52"/>
          <w:szCs w:val="52"/>
          <w:lang w:eastAsia="zh-CN"/>
        </w:rPr>
        <w:t>台州市公共安全综合保险项目</w:t>
      </w:r>
    </w:p>
    <w:p>
      <w:pPr>
        <w:spacing w:beforeLines="100" w:line="360" w:lineRule="auto"/>
        <w:ind w:right="-108"/>
        <w:jc w:val="center"/>
        <w:outlineLvl w:val="1"/>
        <w:rPr>
          <w:rFonts w:hint="eastAsia" w:ascii="宋体" w:hAnsi="宋体" w:eastAsia="宋体" w:cs="宋体"/>
          <w:sz w:val="36"/>
          <w:szCs w:val="36"/>
        </w:rPr>
      </w:pPr>
      <w:bookmarkStart w:id="110" w:name="_Toc1733"/>
      <w:r>
        <w:rPr>
          <w:rFonts w:hint="eastAsia" w:ascii="宋体" w:hAnsi="宋体" w:eastAsia="宋体" w:cs="宋体"/>
          <w:sz w:val="36"/>
          <w:szCs w:val="36"/>
        </w:rPr>
        <w:t>项目编号：</w:t>
      </w:r>
      <w:r>
        <w:rPr>
          <w:rFonts w:hint="eastAsia" w:ascii="宋体" w:hAnsi="宋体" w:cs="宋体"/>
          <w:sz w:val="36"/>
          <w:szCs w:val="36"/>
          <w:lang w:eastAsia="zh-CN"/>
        </w:rPr>
        <w:t>TZYY-2208-004号</w:t>
      </w:r>
      <w:bookmarkEnd w:id="110"/>
    </w:p>
    <w:p>
      <w:pPr>
        <w:autoSpaceDE w:val="0"/>
        <w:autoSpaceDN w:val="0"/>
        <w:adjustRightInd w:val="0"/>
        <w:spacing w:line="360" w:lineRule="auto"/>
        <w:jc w:val="center"/>
        <w:outlineLvl w:val="9"/>
        <w:rPr>
          <w:rFonts w:hint="eastAsia" w:ascii="宋体" w:hAnsi="宋体" w:eastAsia="宋体" w:cs="宋体"/>
          <w:sz w:val="84"/>
          <w:szCs w:val="84"/>
          <w:lang w:val="zh-CN"/>
        </w:rPr>
      </w:pPr>
    </w:p>
    <w:p>
      <w:pPr>
        <w:autoSpaceDE w:val="0"/>
        <w:autoSpaceDN w:val="0"/>
        <w:adjustRightInd w:val="0"/>
        <w:spacing w:line="360" w:lineRule="auto"/>
        <w:jc w:val="center"/>
        <w:outlineLvl w:val="9"/>
        <w:rPr>
          <w:rFonts w:hint="eastAsia" w:ascii="宋体" w:hAnsi="宋体" w:eastAsia="宋体" w:cs="宋体"/>
          <w:sz w:val="84"/>
          <w:szCs w:val="84"/>
          <w:lang w:val="zh-CN"/>
        </w:rPr>
      </w:pPr>
      <w:r>
        <w:rPr>
          <w:rFonts w:hint="eastAsia" w:ascii="宋体" w:hAnsi="宋体" w:eastAsia="宋体" w:cs="宋体"/>
          <w:sz w:val="84"/>
          <w:szCs w:val="84"/>
          <w:lang w:val="zh-CN"/>
        </w:rPr>
        <w:t>投</w:t>
      </w:r>
    </w:p>
    <w:p>
      <w:pPr>
        <w:autoSpaceDE w:val="0"/>
        <w:autoSpaceDN w:val="0"/>
        <w:adjustRightInd w:val="0"/>
        <w:spacing w:line="360" w:lineRule="auto"/>
        <w:jc w:val="center"/>
        <w:outlineLvl w:val="9"/>
        <w:rPr>
          <w:rFonts w:hint="eastAsia" w:ascii="宋体" w:hAnsi="宋体" w:eastAsia="宋体" w:cs="宋体"/>
          <w:sz w:val="84"/>
          <w:szCs w:val="84"/>
          <w:lang w:val="zh-CN"/>
        </w:rPr>
      </w:pPr>
      <w:r>
        <w:rPr>
          <w:rFonts w:hint="eastAsia" w:ascii="宋体" w:hAnsi="宋体" w:eastAsia="宋体" w:cs="宋体"/>
          <w:sz w:val="84"/>
          <w:szCs w:val="84"/>
          <w:lang w:val="zh-CN"/>
        </w:rPr>
        <w:t>标</w:t>
      </w:r>
    </w:p>
    <w:p>
      <w:pPr>
        <w:autoSpaceDE w:val="0"/>
        <w:autoSpaceDN w:val="0"/>
        <w:adjustRightInd w:val="0"/>
        <w:spacing w:line="360" w:lineRule="auto"/>
        <w:jc w:val="center"/>
        <w:outlineLvl w:val="9"/>
        <w:rPr>
          <w:rFonts w:hint="eastAsia" w:ascii="宋体" w:hAnsi="宋体" w:eastAsia="宋体" w:cs="宋体"/>
          <w:sz w:val="84"/>
          <w:szCs w:val="84"/>
        </w:rPr>
      </w:pPr>
      <w:r>
        <w:rPr>
          <w:rFonts w:hint="eastAsia" w:ascii="宋体" w:hAnsi="宋体" w:eastAsia="宋体" w:cs="宋体"/>
          <w:sz w:val="84"/>
          <w:szCs w:val="84"/>
          <w:lang w:val="zh-CN"/>
        </w:rPr>
        <w:t>文</w:t>
      </w:r>
    </w:p>
    <w:p>
      <w:pPr>
        <w:spacing w:after="100" w:afterAutospacing="1" w:line="360" w:lineRule="auto"/>
        <w:ind w:right="-108"/>
        <w:jc w:val="center"/>
        <w:outlineLvl w:val="9"/>
        <w:rPr>
          <w:rFonts w:hint="eastAsia" w:ascii="宋体" w:hAnsi="宋体" w:eastAsia="宋体" w:cs="宋体"/>
          <w:sz w:val="84"/>
          <w:szCs w:val="84"/>
          <w:lang w:val="zh-CN"/>
        </w:rPr>
      </w:pPr>
      <w:r>
        <w:rPr>
          <w:rFonts w:hint="eastAsia" w:ascii="宋体" w:hAnsi="宋体" w:eastAsia="宋体" w:cs="宋体"/>
          <w:sz w:val="84"/>
          <w:szCs w:val="84"/>
          <w:lang w:val="zh-CN"/>
        </w:rPr>
        <w:t>件</w:t>
      </w:r>
    </w:p>
    <w:p>
      <w:pPr>
        <w:spacing w:after="100" w:afterAutospacing="1" w:line="360" w:lineRule="auto"/>
        <w:ind w:right="-108"/>
        <w:jc w:val="center"/>
        <w:outlineLvl w:val="9"/>
        <w:rPr>
          <w:rFonts w:hint="eastAsia" w:ascii="宋体" w:hAnsi="宋体" w:eastAsia="宋体" w:cs="宋体"/>
          <w:b/>
          <w:spacing w:val="40"/>
          <w:sz w:val="28"/>
          <w:szCs w:val="28"/>
        </w:rPr>
      </w:pPr>
      <w:r>
        <w:rPr>
          <w:rFonts w:hint="eastAsia" w:ascii="宋体" w:hAnsi="宋体" w:eastAsia="宋体" w:cs="宋体"/>
          <w:sz w:val="28"/>
          <w:szCs w:val="28"/>
          <w:lang w:val="zh-CN"/>
        </w:rPr>
        <w:t>（</w:t>
      </w:r>
      <w:r>
        <w:rPr>
          <w:rFonts w:hint="eastAsia" w:ascii="宋体" w:hAnsi="宋体" w:eastAsia="宋体" w:cs="宋体"/>
          <w:b/>
          <w:spacing w:val="40"/>
          <w:sz w:val="28"/>
          <w:szCs w:val="28"/>
        </w:rPr>
        <w:t>资格证明文件）</w:t>
      </w:r>
    </w:p>
    <w:p>
      <w:pPr>
        <w:spacing w:line="360" w:lineRule="auto"/>
        <w:ind w:right="532" w:firstLine="720" w:firstLineChars="200"/>
        <w:outlineLvl w:val="9"/>
        <w:rPr>
          <w:rFonts w:hint="eastAsia" w:ascii="宋体" w:hAnsi="宋体" w:eastAsia="宋体" w:cs="宋体"/>
          <w:sz w:val="36"/>
          <w:szCs w:val="36"/>
        </w:rPr>
      </w:pPr>
      <w:r>
        <w:rPr>
          <w:rFonts w:hint="eastAsia" w:ascii="宋体" w:hAnsi="宋体" w:cs="宋体"/>
          <w:sz w:val="36"/>
          <w:szCs w:val="36"/>
          <w:lang w:eastAsia="zh-CN"/>
        </w:rPr>
        <w:t>供</w:t>
      </w:r>
      <w:r>
        <w:rPr>
          <w:rFonts w:hint="eastAsia" w:ascii="宋体" w:hAnsi="宋体" w:cs="宋体"/>
          <w:sz w:val="36"/>
          <w:szCs w:val="36"/>
          <w:lang w:val="en-US" w:eastAsia="zh-CN"/>
        </w:rPr>
        <w:t xml:space="preserve"> </w:t>
      </w:r>
      <w:r>
        <w:rPr>
          <w:rFonts w:hint="eastAsia" w:ascii="宋体" w:hAnsi="宋体" w:cs="宋体"/>
          <w:sz w:val="36"/>
          <w:szCs w:val="36"/>
          <w:lang w:eastAsia="zh-CN"/>
        </w:rPr>
        <w:t>应</w:t>
      </w:r>
      <w:r>
        <w:rPr>
          <w:rFonts w:hint="eastAsia" w:ascii="宋体" w:hAnsi="宋体" w:cs="宋体"/>
          <w:sz w:val="36"/>
          <w:szCs w:val="36"/>
          <w:lang w:val="en-US" w:eastAsia="zh-CN"/>
        </w:rPr>
        <w:t xml:space="preserve"> </w:t>
      </w:r>
      <w:r>
        <w:rPr>
          <w:rFonts w:hint="eastAsia" w:ascii="宋体" w:hAnsi="宋体" w:cs="宋体"/>
          <w:sz w:val="36"/>
          <w:szCs w:val="36"/>
          <w:lang w:eastAsia="zh-CN"/>
        </w:rPr>
        <w:t>商</w:t>
      </w:r>
      <w:r>
        <w:rPr>
          <w:rFonts w:hint="eastAsia" w:ascii="宋体" w:hAnsi="宋体" w:eastAsia="宋体" w:cs="宋体"/>
          <w:sz w:val="36"/>
          <w:szCs w:val="36"/>
        </w:rPr>
        <w:t>：</w:t>
      </w:r>
    </w:p>
    <w:p>
      <w:pPr>
        <w:spacing w:line="360" w:lineRule="auto"/>
        <w:ind w:right="532" w:firstLine="720" w:firstLineChars="200"/>
        <w:outlineLvl w:val="9"/>
        <w:rPr>
          <w:rFonts w:hint="eastAsia" w:ascii="宋体" w:hAnsi="宋体" w:eastAsia="宋体" w:cs="宋体"/>
          <w:sz w:val="36"/>
          <w:szCs w:val="36"/>
        </w:rPr>
      </w:pPr>
      <w:r>
        <w:rPr>
          <w:rFonts w:hint="eastAsia" w:ascii="宋体" w:hAnsi="宋体" w:eastAsia="宋体" w:cs="宋体"/>
          <w:sz w:val="36"/>
          <w:szCs w:val="36"/>
        </w:rPr>
        <w:t>地    址：</w:t>
      </w:r>
    </w:p>
    <w:p>
      <w:pPr>
        <w:snapToGrid w:val="0"/>
        <w:spacing w:before="50" w:after="50" w:line="360" w:lineRule="auto"/>
        <w:outlineLvl w:val="9"/>
        <w:rPr>
          <w:rFonts w:hint="eastAsia" w:ascii="宋体" w:hAnsi="宋体" w:eastAsia="宋体" w:cs="宋体"/>
          <w:b/>
          <w:sz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numPr>
          <w:ilvl w:val="0"/>
          <w:numId w:val="60"/>
        </w:numPr>
        <w:ind w:left="0" w:leftChars="0" w:firstLine="0" w:firstLineChars="0"/>
        <w:outlineLvl w:val="1"/>
        <w:rPr>
          <w:rFonts w:hint="eastAsia" w:ascii="宋体" w:hAnsi="宋体" w:eastAsia="宋体" w:cs="宋体"/>
          <w:b/>
          <w:sz w:val="28"/>
          <w:szCs w:val="28"/>
        </w:rPr>
      </w:pPr>
      <w:bookmarkStart w:id="111" w:name="_Toc25434"/>
      <w:bookmarkEnd w:id="111"/>
    </w:p>
    <w:p>
      <w:pPr>
        <w:snapToGrid w:val="0"/>
        <w:spacing w:before="50" w:after="50" w:line="360" w:lineRule="auto"/>
        <w:outlineLvl w:val="9"/>
        <w:rPr>
          <w:rFonts w:hint="eastAsia" w:ascii="宋体" w:hAnsi="宋体" w:eastAsia="宋体" w:cs="宋体"/>
          <w:b/>
          <w:sz w:val="36"/>
          <w:szCs w:val="36"/>
        </w:rPr>
      </w:pPr>
    </w:p>
    <w:p>
      <w:pPr>
        <w:snapToGrid w:val="0"/>
        <w:spacing w:before="50" w:after="50" w:line="360" w:lineRule="auto"/>
        <w:outlineLvl w:val="9"/>
        <w:rPr>
          <w:rFonts w:hint="eastAsia" w:ascii="宋体" w:hAnsi="宋体" w:eastAsia="宋体" w:cs="宋体"/>
          <w:b/>
          <w:sz w:val="36"/>
          <w:szCs w:val="36"/>
        </w:rPr>
      </w:pPr>
    </w:p>
    <w:p>
      <w:pPr>
        <w:snapToGrid w:val="0"/>
        <w:spacing w:before="50" w:after="50" w:line="360" w:lineRule="auto"/>
        <w:jc w:val="center"/>
        <w:outlineLvl w:val="1"/>
        <w:rPr>
          <w:rFonts w:hint="eastAsia" w:ascii="宋体" w:hAnsi="宋体" w:eastAsia="宋体" w:cs="宋体"/>
          <w:b/>
          <w:bCs/>
          <w:sz w:val="36"/>
          <w:szCs w:val="36"/>
          <w:lang w:eastAsia="zh-CN"/>
        </w:rPr>
      </w:pPr>
      <w:bookmarkStart w:id="112" w:name="_Toc24697"/>
      <w:bookmarkStart w:id="113" w:name="_Toc7021"/>
      <w:r>
        <w:rPr>
          <w:rFonts w:hint="eastAsia" w:ascii="宋体" w:hAnsi="宋体" w:eastAsia="宋体" w:cs="宋体"/>
          <w:b/>
          <w:bCs/>
          <w:sz w:val="36"/>
          <w:szCs w:val="36"/>
        </w:rPr>
        <w:t>资格证明文件目录</w:t>
      </w:r>
      <w:bookmarkEnd w:id="112"/>
      <w:bookmarkEnd w:id="113"/>
    </w:p>
    <w:p>
      <w:pPr>
        <w:numPr>
          <w:ilvl w:val="0"/>
          <w:numId w:val="61"/>
        </w:numPr>
        <w:spacing w:line="360" w:lineRule="auto"/>
        <w:ind w:left="0" w:leftChars="0" w:firstLine="480" w:firstLineChars="200"/>
        <w:outlineLvl w:val="9"/>
        <w:rPr>
          <w:rFonts w:hint="eastAsia" w:ascii="宋体" w:hAnsi="宋体" w:eastAsia="宋体" w:cs="宋体"/>
          <w:b w:val="0"/>
          <w:bCs/>
          <w:sz w:val="24"/>
          <w:szCs w:val="22"/>
        </w:rPr>
      </w:pPr>
      <w:r>
        <w:rPr>
          <w:rFonts w:hint="eastAsia" w:ascii="宋体" w:hAnsi="宋体" w:eastAsia="宋体" w:cs="宋体"/>
          <w:b w:val="0"/>
          <w:bCs/>
          <w:sz w:val="24"/>
          <w:szCs w:val="22"/>
        </w:rPr>
        <w:t>投标声明书；</w:t>
      </w:r>
    </w:p>
    <w:p>
      <w:pPr>
        <w:numPr>
          <w:ilvl w:val="0"/>
          <w:numId w:val="61"/>
        </w:numPr>
        <w:spacing w:line="360" w:lineRule="auto"/>
        <w:ind w:left="0" w:leftChars="0" w:firstLine="480" w:firstLineChars="200"/>
        <w:outlineLvl w:val="9"/>
        <w:rPr>
          <w:rFonts w:hint="eastAsia" w:ascii="宋体" w:hAnsi="宋体" w:eastAsia="宋体" w:cs="宋体"/>
          <w:b w:val="0"/>
          <w:bCs/>
          <w:sz w:val="24"/>
          <w:szCs w:val="22"/>
        </w:rPr>
      </w:pPr>
      <w:r>
        <w:rPr>
          <w:rFonts w:hint="eastAsia" w:ascii="宋体" w:hAnsi="宋体" w:eastAsia="宋体" w:cs="宋体"/>
          <w:b w:val="0"/>
          <w:bCs/>
          <w:sz w:val="24"/>
          <w:szCs w:val="22"/>
        </w:rPr>
        <w:t>授权委托书；（单位负责人亲自办理投标事宜的，则无需提交)</w:t>
      </w:r>
    </w:p>
    <w:p>
      <w:pPr>
        <w:numPr>
          <w:ilvl w:val="0"/>
          <w:numId w:val="61"/>
        </w:numPr>
        <w:spacing w:line="360" w:lineRule="auto"/>
        <w:ind w:left="0" w:leftChars="0" w:firstLine="480" w:firstLineChars="200"/>
        <w:outlineLvl w:val="9"/>
        <w:rPr>
          <w:rFonts w:hint="eastAsia" w:ascii="宋体" w:hAnsi="宋体" w:eastAsia="宋体" w:cs="宋体"/>
          <w:b w:val="0"/>
          <w:bCs/>
          <w:sz w:val="24"/>
          <w:szCs w:val="22"/>
        </w:rPr>
      </w:pPr>
      <w:r>
        <w:rPr>
          <w:rFonts w:hint="eastAsia" w:ascii="宋体" w:hAnsi="宋体" w:eastAsia="宋体" w:cs="宋体"/>
          <w:b w:val="0"/>
          <w:bCs/>
          <w:sz w:val="24"/>
          <w:szCs w:val="22"/>
        </w:rPr>
        <w:t>《经营保险业务许可证》；</w:t>
      </w:r>
    </w:p>
    <w:p>
      <w:pPr>
        <w:numPr>
          <w:ilvl w:val="0"/>
          <w:numId w:val="61"/>
        </w:numPr>
        <w:spacing w:line="360" w:lineRule="auto"/>
        <w:ind w:left="0" w:leftChars="0" w:firstLine="480" w:firstLineChars="200"/>
        <w:outlineLvl w:val="9"/>
        <w:rPr>
          <w:rFonts w:hint="eastAsia" w:ascii="宋体" w:hAnsi="宋体" w:eastAsia="宋体" w:cs="宋体"/>
          <w:b w:val="0"/>
          <w:bCs/>
          <w:sz w:val="24"/>
          <w:szCs w:val="22"/>
        </w:rPr>
      </w:pPr>
      <w:r>
        <w:rPr>
          <w:rFonts w:hint="eastAsia" w:ascii="宋体" w:hAnsi="宋体" w:eastAsia="宋体" w:cs="宋体"/>
          <w:b w:val="0"/>
          <w:bCs/>
          <w:sz w:val="24"/>
          <w:szCs w:val="22"/>
        </w:rPr>
        <w:t>符合参与政府采购活动的资格条件、具备良好的商业信誉和健全的财务会计制度并且没有税收缴纳、社会保障等方面的失信记录的承诺函；</w:t>
      </w:r>
    </w:p>
    <w:p>
      <w:pPr>
        <w:numPr>
          <w:ilvl w:val="0"/>
          <w:numId w:val="61"/>
        </w:numPr>
        <w:spacing w:line="360" w:lineRule="auto"/>
        <w:ind w:left="0" w:leftChars="0" w:firstLine="480" w:firstLineChars="200"/>
        <w:outlineLvl w:val="9"/>
        <w:rPr>
          <w:rFonts w:hint="eastAsia" w:ascii="宋体" w:hAnsi="宋体" w:eastAsia="宋体" w:cs="宋体"/>
          <w:b w:val="0"/>
          <w:bCs/>
          <w:sz w:val="24"/>
          <w:szCs w:val="22"/>
        </w:rPr>
      </w:pPr>
      <w:r>
        <w:rPr>
          <w:rFonts w:hint="eastAsia" w:ascii="宋体" w:hAnsi="宋体" w:eastAsia="宋体" w:cs="宋体"/>
          <w:b w:val="0"/>
          <w:bCs/>
          <w:sz w:val="24"/>
          <w:szCs w:val="22"/>
        </w:rPr>
        <w:t>具备履行合同所必需的设备和专业技术能力的承诺函；</w:t>
      </w:r>
    </w:p>
    <w:p>
      <w:pPr>
        <w:numPr>
          <w:ilvl w:val="0"/>
          <w:numId w:val="61"/>
        </w:numPr>
        <w:spacing w:line="360" w:lineRule="auto"/>
        <w:ind w:left="0" w:leftChars="0" w:firstLine="480" w:firstLineChars="200"/>
        <w:outlineLvl w:val="9"/>
        <w:rPr>
          <w:rFonts w:hint="eastAsia" w:ascii="宋体" w:hAnsi="宋体" w:eastAsia="宋体" w:cs="宋体"/>
          <w:b w:val="0"/>
          <w:bCs/>
          <w:sz w:val="24"/>
          <w:szCs w:val="22"/>
        </w:rPr>
      </w:pPr>
      <w:r>
        <w:rPr>
          <w:rFonts w:hint="eastAsia" w:ascii="宋体" w:hAnsi="宋体" w:eastAsia="宋体" w:cs="宋体"/>
          <w:b w:val="0"/>
          <w:bCs/>
          <w:sz w:val="24"/>
          <w:szCs w:val="22"/>
        </w:rPr>
        <w:t>以及需要说明的其他资料。</w:t>
      </w:r>
    </w:p>
    <w:p>
      <w:pPr>
        <w:spacing w:line="360" w:lineRule="auto"/>
        <w:ind w:left="420"/>
        <w:outlineLvl w:val="9"/>
        <w:rPr>
          <w:rFonts w:hint="eastAsia" w:ascii="宋体" w:hAnsi="宋体" w:eastAsia="宋体" w:cs="宋体"/>
          <w:b/>
          <w:sz w:val="28"/>
        </w:rPr>
      </w:pPr>
    </w:p>
    <w:p>
      <w:pPr>
        <w:spacing w:line="360" w:lineRule="auto"/>
        <w:ind w:left="420"/>
        <w:outlineLvl w:val="9"/>
        <w:rPr>
          <w:rFonts w:hint="eastAsia" w:ascii="宋体" w:hAnsi="宋体" w:eastAsia="宋体" w:cs="宋体"/>
          <w:b/>
          <w:sz w:val="28"/>
        </w:rPr>
      </w:pPr>
    </w:p>
    <w:p>
      <w:pPr>
        <w:spacing w:line="360" w:lineRule="auto"/>
        <w:ind w:left="420"/>
        <w:outlineLvl w:val="9"/>
        <w:rPr>
          <w:rFonts w:hint="eastAsia" w:ascii="宋体" w:hAnsi="宋体" w:eastAsia="宋体" w:cs="宋体"/>
          <w:b/>
          <w:sz w:val="28"/>
        </w:rPr>
      </w:pPr>
    </w:p>
    <w:p>
      <w:pPr>
        <w:outlineLvl w:val="9"/>
        <w:rPr>
          <w:rFonts w:hint="eastAsia" w:ascii="宋体" w:hAnsi="宋体" w:eastAsia="宋体" w:cs="宋体"/>
          <w:b/>
          <w:sz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numPr>
          <w:ilvl w:val="0"/>
          <w:numId w:val="60"/>
        </w:numPr>
        <w:ind w:left="0" w:leftChars="0" w:firstLine="0" w:firstLineChars="0"/>
        <w:outlineLvl w:val="1"/>
        <w:rPr>
          <w:rFonts w:hint="eastAsia" w:ascii="宋体" w:hAnsi="宋体" w:eastAsia="宋体" w:cs="宋体"/>
          <w:b/>
          <w:sz w:val="28"/>
          <w:szCs w:val="28"/>
          <w:lang w:eastAsia="zh-CN"/>
        </w:rPr>
      </w:pPr>
      <w:bookmarkStart w:id="114" w:name="_Toc32302"/>
      <w:bookmarkEnd w:id="114"/>
    </w:p>
    <w:p>
      <w:pPr>
        <w:adjustRightInd w:val="0"/>
        <w:snapToGrid w:val="0"/>
        <w:spacing w:line="360" w:lineRule="auto"/>
        <w:ind w:right="480"/>
        <w:jc w:val="center"/>
        <w:outlineLvl w:val="1"/>
        <w:rPr>
          <w:rFonts w:hint="eastAsia" w:ascii="宋体" w:hAnsi="宋体" w:eastAsia="宋体" w:cs="宋体"/>
          <w:b/>
          <w:kern w:val="0"/>
          <w:sz w:val="32"/>
          <w:szCs w:val="32"/>
          <w:lang w:val="zh-CN"/>
        </w:rPr>
      </w:pPr>
      <w:bookmarkStart w:id="115" w:name="_Toc6064"/>
      <w:bookmarkStart w:id="116" w:name="_Toc10551"/>
      <w:r>
        <w:rPr>
          <w:rFonts w:hint="eastAsia" w:ascii="宋体" w:hAnsi="宋体" w:eastAsia="宋体" w:cs="宋体"/>
          <w:b/>
          <w:kern w:val="0"/>
          <w:sz w:val="32"/>
          <w:szCs w:val="32"/>
          <w:lang w:val="zh-CN"/>
        </w:rPr>
        <w:t>投标声明书</w:t>
      </w:r>
      <w:bookmarkEnd w:id="115"/>
      <w:bookmarkEnd w:id="116"/>
    </w:p>
    <w:p>
      <w:pPr>
        <w:snapToGrid w:val="0"/>
        <w:spacing w:before="156" w:beforeLines="50" w:after="50" w:line="288" w:lineRule="auto"/>
        <w:ind w:firstLine="420" w:firstLineChars="200"/>
        <w:outlineLvl w:val="9"/>
        <w:rPr>
          <w:rFonts w:hint="eastAsia" w:ascii="宋体" w:hAnsi="宋体" w:eastAsia="宋体" w:cs="宋体"/>
          <w:color w:val="auto"/>
          <w:kern w:val="0"/>
          <w:sz w:val="21"/>
          <w:szCs w:val="21"/>
        </w:rPr>
      </w:pPr>
      <w:r>
        <w:rPr>
          <w:rFonts w:hint="eastAsia" w:ascii="宋体" w:hAnsi="宋体" w:cs="宋体"/>
          <w:kern w:val="0"/>
          <w:sz w:val="21"/>
          <w:szCs w:val="21"/>
          <w:lang w:eastAsia="zh-CN"/>
        </w:rPr>
        <w:t>台州市永阳科技有限公司</w:t>
      </w:r>
      <w:r>
        <w:rPr>
          <w:rFonts w:hint="eastAsia" w:ascii="宋体" w:hAnsi="宋体" w:eastAsia="宋体" w:cs="宋体"/>
          <w:color w:val="auto"/>
          <w:kern w:val="0"/>
          <w:sz w:val="21"/>
          <w:szCs w:val="21"/>
        </w:rPr>
        <w:t>：</w:t>
      </w:r>
    </w:p>
    <w:p>
      <w:pPr>
        <w:snapToGrid w:val="0"/>
        <w:spacing w:beforeLines="50" w:after="50" w:line="324" w:lineRule="auto"/>
        <w:ind w:firstLine="420" w:firstLineChars="200"/>
        <w:outlineLvl w:val="9"/>
        <w:rPr>
          <w:rFonts w:hint="eastAsia" w:ascii="宋体" w:hAnsi="宋体" w:eastAsia="宋体" w:cs="宋体"/>
          <w:kern w:val="0"/>
          <w:sz w:val="21"/>
          <w:szCs w:val="21"/>
        </w:rPr>
      </w:pPr>
      <w:r>
        <w:rPr>
          <w:rFonts w:hint="eastAsia" w:ascii="宋体" w:hAnsi="宋体" w:eastAsia="宋体" w:cs="宋体"/>
          <w:color w:val="FF0000"/>
          <w:kern w:val="0"/>
          <w:sz w:val="21"/>
          <w:szCs w:val="21"/>
        </w:rPr>
        <w:t>（供应商名称）</w:t>
      </w:r>
      <w:r>
        <w:rPr>
          <w:rFonts w:hint="eastAsia" w:ascii="宋体" w:hAnsi="宋体" w:eastAsia="宋体" w:cs="宋体"/>
          <w:kern w:val="0"/>
          <w:sz w:val="21"/>
          <w:szCs w:val="21"/>
        </w:rPr>
        <w:t>系中华人民共和国合法企业，经营地址</w:t>
      </w:r>
      <w:r>
        <w:rPr>
          <w:rFonts w:hint="eastAsia" w:ascii="宋体" w:hAnsi="宋体" w:eastAsia="宋体" w:cs="宋体"/>
          <w:kern w:val="0"/>
          <w:sz w:val="21"/>
          <w:szCs w:val="21"/>
          <w:lang w:eastAsia="zh-CN"/>
        </w:rPr>
        <w:t>：</w:t>
      </w:r>
      <w:r>
        <w:rPr>
          <w:rFonts w:hint="eastAsia" w:ascii="宋体" w:hAnsi="宋体" w:eastAsia="宋体" w:cs="宋体"/>
          <w:color w:val="FF0000"/>
          <w:kern w:val="0"/>
          <w:sz w:val="21"/>
          <w:szCs w:val="21"/>
          <w:u w:val="single"/>
          <w:lang w:val="en-US" w:eastAsia="zh-CN"/>
        </w:rPr>
        <w:t xml:space="preserve">     </w:t>
      </w:r>
      <w:r>
        <w:rPr>
          <w:rFonts w:hint="eastAsia" w:ascii="宋体" w:hAnsi="宋体" w:eastAsia="宋体" w:cs="宋体"/>
          <w:color w:val="FF0000"/>
          <w:kern w:val="0"/>
          <w:sz w:val="21"/>
          <w:szCs w:val="21"/>
        </w:rPr>
        <w:t>。</w:t>
      </w:r>
    </w:p>
    <w:p>
      <w:pPr>
        <w:snapToGrid w:val="0"/>
        <w:spacing w:beforeLines="50" w:after="50" w:line="360" w:lineRule="auto"/>
        <w:ind w:firstLine="420" w:firstLineChars="200"/>
        <w:outlineLvl w:val="9"/>
        <w:rPr>
          <w:rFonts w:hint="eastAsia" w:ascii="宋体" w:hAnsi="宋体" w:eastAsia="宋体" w:cs="宋体"/>
          <w:kern w:val="0"/>
          <w:sz w:val="21"/>
          <w:szCs w:val="21"/>
        </w:rPr>
      </w:pPr>
      <w:r>
        <w:rPr>
          <w:rFonts w:hint="eastAsia" w:ascii="宋体" w:hAnsi="宋体" w:eastAsia="宋体" w:cs="宋体"/>
          <w:kern w:val="0"/>
          <w:sz w:val="21"/>
          <w:szCs w:val="21"/>
        </w:rPr>
        <w:t>我</w:t>
      </w:r>
      <w:r>
        <w:rPr>
          <w:rFonts w:hint="eastAsia" w:ascii="宋体" w:hAnsi="宋体" w:eastAsia="宋体" w:cs="宋体"/>
          <w:color w:val="FF0000"/>
          <w:kern w:val="0"/>
          <w:sz w:val="21"/>
          <w:szCs w:val="21"/>
        </w:rPr>
        <w:t>（</w:t>
      </w:r>
      <w:r>
        <w:rPr>
          <w:rFonts w:hint="eastAsia" w:ascii="宋体" w:hAnsi="宋体" w:eastAsia="宋体" w:cs="宋体"/>
          <w:color w:val="FF0000"/>
          <w:kern w:val="0"/>
          <w:sz w:val="21"/>
          <w:szCs w:val="21"/>
          <w:u w:val="single"/>
        </w:rPr>
        <w:t xml:space="preserve"> 姓名 </w:t>
      </w:r>
      <w:r>
        <w:rPr>
          <w:rFonts w:hint="eastAsia" w:ascii="宋体" w:hAnsi="宋体" w:eastAsia="宋体" w:cs="宋体"/>
          <w:color w:val="FF0000"/>
          <w:kern w:val="0"/>
          <w:sz w:val="21"/>
          <w:szCs w:val="21"/>
        </w:rPr>
        <w:t>）</w:t>
      </w:r>
      <w:r>
        <w:rPr>
          <w:rFonts w:hint="eastAsia" w:ascii="宋体" w:hAnsi="宋体" w:eastAsia="宋体" w:cs="宋体"/>
          <w:kern w:val="0"/>
          <w:sz w:val="21"/>
          <w:szCs w:val="21"/>
        </w:rPr>
        <w:t>系</w:t>
      </w:r>
      <w:r>
        <w:rPr>
          <w:rFonts w:hint="eastAsia" w:ascii="宋体" w:hAnsi="宋体" w:eastAsia="宋体" w:cs="宋体"/>
          <w:color w:val="FF0000"/>
          <w:kern w:val="0"/>
          <w:sz w:val="21"/>
          <w:szCs w:val="21"/>
        </w:rPr>
        <w:t>（</w:t>
      </w:r>
      <w:r>
        <w:rPr>
          <w:rFonts w:hint="eastAsia" w:ascii="宋体" w:hAnsi="宋体" w:eastAsia="宋体" w:cs="宋体"/>
          <w:color w:val="FF0000"/>
          <w:kern w:val="0"/>
          <w:sz w:val="21"/>
          <w:szCs w:val="21"/>
          <w:u w:val="single"/>
        </w:rPr>
        <w:t xml:space="preserve"> 供应商名称 </w:t>
      </w:r>
      <w:r>
        <w:rPr>
          <w:rFonts w:hint="eastAsia" w:ascii="宋体" w:hAnsi="宋体" w:eastAsia="宋体" w:cs="宋体"/>
          <w:color w:val="FF0000"/>
          <w:kern w:val="0"/>
          <w:sz w:val="21"/>
          <w:szCs w:val="21"/>
        </w:rPr>
        <w:t>）</w:t>
      </w:r>
      <w:r>
        <w:rPr>
          <w:rFonts w:hint="eastAsia" w:ascii="宋体" w:hAnsi="宋体" w:eastAsia="宋体" w:cs="宋体"/>
          <w:kern w:val="0"/>
          <w:sz w:val="21"/>
          <w:szCs w:val="21"/>
        </w:rPr>
        <w:t>的</w:t>
      </w:r>
      <w:r>
        <w:rPr>
          <w:rFonts w:hint="eastAsia" w:ascii="宋体" w:hAnsi="宋体" w:cs="宋体"/>
          <w:kern w:val="0"/>
          <w:sz w:val="21"/>
          <w:szCs w:val="21"/>
          <w:lang w:eastAsia="zh-CN"/>
        </w:rPr>
        <w:t>单位负责人</w:t>
      </w:r>
      <w:r>
        <w:rPr>
          <w:rFonts w:hint="eastAsia" w:ascii="宋体" w:hAnsi="宋体" w:eastAsia="宋体" w:cs="宋体"/>
          <w:kern w:val="0"/>
          <w:sz w:val="21"/>
          <w:szCs w:val="21"/>
        </w:rPr>
        <w:t>，我公司自愿参加贵方组织的</w:t>
      </w:r>
      <w:r>
        <w:rPr>
          <w:rFonts w:hint="eastAsia" w:ascii="宋体" w:hAnsi="宋体" w:cs="宋体"/>
          <w:color w:val="FF0000"/>
          <w:kern w:val="0"/>
          <w:sz w:val="21"/>
          <w:szCs w:val="21"/>
          <w:lang w:eastAsia="zh-CN"/>
        </w:rPr>
        <w:t>台州市公共安全综合保险项目</w:t>
      </w:r>
      <w:r>
        <w:rPr>
          <w:rFonts w:hint="eastAsia" w:ascii="宋体" w:hAnsi="宋体" w:eastAsia="宋体" w:cs="宋体"/>
          <w:kern w:val="0"/>
          <w:sz w:val="21"/>
          <w:szCs w:val="21"/>
        </w:rPr>
        <w:t>（编号为</w:t>
      </w:r>
      <w:r>
        <w:rPr>
          <w:rFonts w:hint="eastAsia" w:ascii="宋体" w:hAnsi="宋体" w:cs="宋体"/>
          <w:kern w:val="0"/>
          <w:sz w:val="21"/>
          <w:szCs w:val="21"/>
          <w:lang w:eastAsia="zh-CN"/>
        </w:rPr>
        <w:t>TZYY-2208-004号</w:t>
      </w:r>
      <w:r>
        <w:rPr>
          <w:rFonts w:hint="eastAsia" w:ascii="宋体" w:hAnsi="宋体" w:eastAsia="宋体" w:cs="宋体"/>
          <w:kern w:val="0"/>
          <w:sz w:val="21"/>
          <w:szCs w:val="21"/>
        </w:rPr>
        <w:t>）的投标，为此，我公司就本次投标有关事项郑重声明如下：</w:t>
      </w:r>
    </w:p>
    <w:p>
      <w:pPr>
        <w:snapToGrid w:val="0"/>
        <w:spacing w:beforeLines="50" w:after="50" w:line="360" w:lineRule="auto"/>
        <w:ind w:firstLine="420" w:firstLineChars="200"/>
        <w:outlineLvl w:val="9"/>
        <w:rPr>
          <w:rFonts w:hint="eastAsia" w:ascii="宋体" w:hAnsi="宋体" w:eastAsia="宋体" w:cs="宋体"/>
          <w:b/>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b w:val="0"/>
          <w:bCs w:val="0"/>
          <w:color w:val="000000"/>
          <w:sz w:val="21"/>
          <w:szCs w:val="21"/>
        </w:rPr>
        <w:t>我公</w:t>
      </w:r>
      <w:r>
        <w:rPr>
          <w:rFonts w:hint="eastAsia" w:ascii="宋体" w:hAnsi="宋体" w:eastAsia="宋体" w:cs="宋体"/>
          <w:color w:val="000000"/>
          <w:sz w:val="21"/>
          <w:szCs w:val="21"/>
        </w:rPr>
        <w:t>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numPr>
          <w:ilvl w:val="0"/>
          <w:numId w:val="0"/>
        </w:numPr>
        <w:snapToGrid w:val="0"/>
        <w:spacing w:beforeLines="50" w:after="50" w:line="360" w:lineRule="auto"/>
        <w:ind w:firstLine="420" w:firstLineChars="200"/>
        <w:outlineLvl w:val="9"/>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我公司在参与投标前已详细审查了</w:t>
      </w:r>
      <w:r>
        <w:rPr>
          <w:rFonts w:hint="eastAsia" w:ascii="宋体" w:hAnsi="宋体" w:cs="宋体"/>
          <w:kern w:val="0"/>
          <w:sz w:val="21"/>
          <w:szCs w:val="21"/>
          <w:lang w:eastAsia="zh-CN"/>
        </w:rPr>
        <w:t>采购文件</w:t>
      </w:r>
      <w:r>
        <w:rPr>
          <w:rFonts w:hint="eastAsia" w:ascii="宋体" w:hAnsi="宋体" w:eastAsia="宋体" w:cs="宋体"/>
          <w:kern w:val="0"/>
          <w:sz w:val="21"/>
          <w:szCs w:val="21"/>
        </w:rPr>
        <w:t>和所有相关资料，我方完全明白并认为此</w:t>
      </w:r>
      <w:r>
        <w:rPr>
          <w:rFonts w:hint="eastAsia" w:ascii="宋体" w:hAnsi="宋体" w:cs="宋体"/>
          <w:kern w:val="0"/>
          <w:sz w:val="21"/>
          <w:szCs w:val="21"/>
          <w:lang w:eastAsia="zh-CN"/>
        </w:rPr>
        <w:t>采购文件</w:t>
      </w:r>
      <w:r>
        <w:rPr>
          <w:rFonts w:hint="eastAsia" w:ascii="宋体" w:hAnsi="宋体" w:eastAsia="宋体" w:cs="宋体"/>
          <w:kern w:val="0"/>
          <w:sz w:val="21"/>
          <w:szCs w:val="21"/>
        </w:rPr>
        <w:t>没有倾向性，也没有存在排斥潜在投标人的内容，我方同意</w:t>
      </w:r>
      <w:r>
        <w:rPr>
          <w:rFonts w:hint="eastAsia" w:ascii="宋体" w:hAnsi="宋体" w:cs="宋体"/>
          <w:kern w:val="0"/>
          <w:sz w:val="21"/>
          <w:szCs w:val="21"/>
          <w:lang w:eastAsia="zh-CN"/>
        </w:rPr>
        <w:t>采购文件</w:t>
      </w:r>
      <w:r>
        <w:rPr>
          <w:rFonts w:hint="eastAsia" w:ascii="宋体" w:hAnsi="宋体" w:eastAsia="宋体" w:cs="宋体"/>
          <w:kern w:val="0"/>
          <w:sz w:val="21"/>
          <w:szCs w:val="21"/>
        </w:rPr>
        <w:t>的相关条款，放弃对</w:t>
      </w:r>
      <w:r>
        <w:rPr>
          <w:rFonts w:hint="eastAsia" w:ascii="宋体" w:hAnsi="宋体" w:cs="宋体"/>
          <w:kern w:val="0"/>
          <w:sz w:val="21"/>
          <w:szCs w:val="21"/>
          <w:lang w:eastAsia="zh-CN"/>
        </w:rPr>
        <w:t>采购文件</w:t>
      </w:r>
      <w:r>
        <w:rPr>
          <w:rFonts w:hint="eastAsia" w:ascii="宋体" w:hAnsi="宋体" w:eastAsia="宋体" w:cs="宋体"/>
          <w:kern w:val="0"/>
          <w:sz w:val="21"/>
          <w:szCs w:val="21"/>
        </w:rPr>
        <w:t>提出误解和质疑的一切权利。</w:t>
      </w:r>
    </w:p>
    <w:p>
      <w:pPr>
        <w:numPr>
          <w:ilvl w:val="255"/>
          <w:numId w:val="0"/>
        </w:numPr>
        <w:snapToGrid w:val="0"/>
        <w:spacing w:beforeLines="50" w:after="50" w:line="360" w:lineRule="auto"/>
        <w:ind w:firstLine="420" w:firstLineChars="200"/>
        <w:outlineLvl w:val="9"/>
        <w:rPr>
          <w:rFonts w:hint="eastAsia" w:ascii="宋体" w:hAnsi="宋体" w:eastAsia="宋体" w:cs="宋体"/>
          <w:sz w:val="21"/>
          <w:szCs w:val="21"/>
        </w:rPr>
      </w:pPr>
      <w:r>
        <w:rPr>
          <w:rFonts w:hint="eastAsia" w:ascii="宋体" w:hAnsi="宋体" w:eastAsia="宋体" w:cs="宋体"/>
          <w:sz w:val="21"/>
          <w:szCs w:val="21"/>
        </w:rPr>
        <w:t>3、我</w:t>
      </w:r>
      <w:r>
        <w:rPr>
          <w:rFonts w:hint="eastAsia" w:ascii="宋体" w:hAnsi="宋体" w:eastAsia="宋体" w:cs="宋体"/>
          <w:kern w:val="0"/>
          <w:sz w:val="21"/>
          <w:szCs w:val="21"/>
          <w:lang w:val="zh-CN"/>
        </w:rPr>
        <w:t>公司</w:t>
      </w:r>
      <w:r>
        <w:rPr>
          <w:rFonts w:hint="eastAsia" w:ascii="宋体" w:hAnsi="宋体" w:eastAsia="宋体" w:cs="宋体"/>
          <w:sz w:val="21"/>
          <w:szCs w:val="21"/>
        </w:rPr>
        <w:t>不是采购人的附属机构；在获知本项目采购信息后，与采购人聘请的为此项目提供咨询服务的公司及其附属机构没有任何联系。</w:t>
      </w:r>
    </w:p>
    <w:p>
      <w:pPr>
        <w:snapToGrid w:val="0"/>
        <w:spacing w:beforeLines="50" w:after="50" w:line="360" w:lineRule="auto"/>
        <w:ind w:firstLine="420" w:firstLineChars="200"/>
        <w:outlineLvl w:val="9"/>
        <w:rPr>
          <w:rFonts w:hint="eastAsia" w:ascii="宋体" w:hAnsi="宋体" w:eastAsia="宋体" w:cs="宋体"/>
          <w:kern w:val="0"/>
          <w:sz w:val="21"/>
          <w:szCs w:val="21"/>
          <w:lang w:val="af-ZA"/>
        </w:rPr>
      </w:pPr>
      <w:r>
        <w:rPr>
          <w:rFonts w:hint="eastAsia" w:ascii="宋体" w:hAnsi="宋体" w:eastAsia="宋体" w:cs="宋体"/>
          <w:sz w:val="21"/>
          <w:szCs w:val="21"/>
        </w:rPr>
        <w:t>4、</w:t>
      </w:r>
      <w:r>
        <w:rPr>
          <w:rFonts w:hint="eastAsia" w:ascii="宋体" w:hAnsi="宋体" w:eastAsia="宋体" w:cs="宋体"/>
          <w:kern w:val="0"/>
          <w:sz w:val="21"/>
          <w:szCs w:val="21"/>
        </w:rPr>
        <w:t>我</w:t>
      </w:r>
      <w:r>
        <w:rPr>
          <w:rFonts w:hint="eastAsia" w:ascii="宋体" w:hAnsi="宋体" w:eastAsia="宋体" w:cs="宋体"/>
          <w:kern w:val="0"/>
          <w:sz w:val="21"/>
          <w:szCs w:val="21"/>
          <w:lang w:val="zh-CN"/>
        </w:rPr>
        <w:t>公司</w:t>
      </w:r>
      <w:r>
        <w:rPr>
          <w:rFonts w:hint="eastAsia" w:ascii="宋体" w:hAnsi="宋体" w:eastAsia="宋体" w:cs="宋体"/>
          <w:kern w:val="0"/>
          <w:sz w:val="21"/>
          <w:szCs w:val="21"/>
        </w:rPr>
        <w:t>保证，</w:t>
      </w:r>
      <w:r>
        <w:rPr>
          <w:rFonts w:hint="eastAsia" w:ascii="宋体" w:hAnsi="宋体" w:eastAsia="宋体" w:cs="宋体"/>
          <w:kern w:val="0"/>
          <w:sz w:val="21"/>
          <w:szCs w:val="21"/>
          <w:lang w:val="af-ZA"/>
        </w:rPr>
        <w:t>采购人在中华人民共和国境内使用</w:t>
      </w:r>
      <w:r>
        <w:rPr>
          <w:rFonts w:hint="eastAsia" w:ascii="宋体" w:hAnsi="宋体" w:eastAsia="宋体" w:cs="宋体"/>
          <w:kern w:val="0"/>
          <w:sz w:val="21"/>
          <w:szCs w:val="21"/>
        </w:rPr>
        <w:t>我</w:t>
      </w:r>
      <w:r>
        <w:rPr>
          <w:rFonts w:hint="eastAsia" w:ascii="宋体" w:hAnsi="宋体" w:eastAsia="宋体" w:cs="宋体"/>
          <w:kern w:val="0"/>
          <w:sz w:val="21"/>
          <w:szCs w:val="21"/>
          <w:lang w:val="zh-CN"/>
        </w:rPr>
        <w:t>公司</w:t>
      </w:r>
      <w:r>
        <w:rPr>
          <w:rFonts w:hint="eastAsia" w:ascii="宋体" w:hAnsi="宋体" w:eastAsia="宋体" w:cs="宋体"/>
          <w:kern w:val="0"/>
          <w:sz w:val="21"/>
          <w:szCs w:val="21"/>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napToGrid w:val="0"/>
        <w:spacing w:beforeLines="50" w:after="50" w:line="360" w:lineRule="auto"/>
        <w:ind w:firstLine="420" w:firstLineChars="200"/>
        <w:outlineLvl w:val="9"/>
        <w:rPr>
          <w:rFonts w:hint="eastAsia" w:ascii="宋体" w:hAnsi="宋体" w:eastAsia="宋体" w:cs="宋体"/>
          <w:sz w:val="21"/>
          <w:szCs w:val="21"/>
        </w:rPr>
      </w:pPr>
      <w:r>
        <w:rPr>
          <w:rFonts w:hint="eastAsia" w:ascii="宋体" w:hAnsi="宋体" w:eastAsia="宋体" w:cs="宋体"/>
          <w:kern w:val="0"/>
          <w:sz w:val="21"/>
          <w:szCs w:val="21"/>
          <w:lang w:val="af-ZA"/>
        </w:rPr>
        <w:t>5、我</w:t>
      </w:r>
      <w:r>
        <w:rPr>
          <w:rFonts w:hint="eastAsia" w:ascii="宋体" w:hAnsi="宋体" w:eastAsia="宋体" w:cs="宋体"/>
          <w:kern w:val="0"/>
          <w:sz w:val="21"/>
          <w:szCs w:val="21"/>
          <w:lang w:val="zh-CN"/>
        </w:rPr>
        <w:t>公司</w:t>
      </w:r>
      <w:r>
        <w:rPr>
          <w:rFonts w:hint="eastAsia" w:ascii="宋体" w:hAnsi="宋体" w:eastAsia="宋体" w:cs="宋体"/>
          <w:kern w:val="0"/>
          <w:sz w:val="21"/>
          <w:szCs w:val="21"/>
          <w:lang w:val="af-ZA"/>
        </w:rPr>
        <w:t>严格履行政府采购合同，</w:t>
      </w:r>
      <w:r>
        <w:rPr>
          <w:rFonts w:hint="eastAsia" w:ascii="宋体" w:hAnsi="宋体" w:cs="宋体"/>
          <w:kern w:val="0"/>
          <w:szCs w:val="21"/>
          <w:lang w:val="af-ZA"/>
        </w:rPr>
        <w:t>除在响应文件中明确拒绝的内容外，均接受采购文件的全部要求，</w:t>
      </w:r>
      <w:r>
        <w:rPr>
          <w:rFonts w:hint="eastAsia" w:ascii="宋体" w:hAnsi="宋体" w:eastAsia="宋体" w:cs="宋体"/>
          <w:kern w:val="0"/>
          <w:sz w:val="21"/>
          <w:szCs w:val="21"/>
          <w:lang w:val="af-ZA"/>
        </w:rPr>
        <w:t>不降低合同约定的产品质量和服务，不擅自变更、中止、终止合同，或拒绝履行合同义务；</w:t>
      </w:r>
    </w:p>
    <w:p>
      <w:pPr>
        <w:snapToGrid w:val="0"/>
        <w:spacing w:beforeLines="50" w:after="50" w:line="360" w:lineRule="auto"/>
        <w:ind w:firstLine="420" w:firstLineChars="200"/>
        <w:outlineLvl w:val="9"/>
        <w:rPr>
          <w:rFonts w:hint="eastAsia" w:ascii="宋体" w:hAnsi="宋体" w:eastAsia="宋体" w:cs="宋体"/>
          <w:sz w:val="21"/>
          <w:szCs w:val="21"/>
        </w:rPr>
      </w:pPr>
      <w:r>
        <w:rPr>
          <w:rFonts w:hint="eastAsia" w:ascii="宋体" w:hAnsi="宋体" w:eastAsia="宋体" w:cs="宋体"/>
          <w:sz w:val="21"/>
          <w:szCs w:val="21"/>
        </w:rPr>
        <w:t>6、以上事项如有虚假或隐瞒，我</w:t>
      </w:r>
      <w:r>
        <w:rPr>
          <w:rFonts w:hint="eastAsia" w:ascii="宋体" w:hAnsi="宋体" w:eastAsia="宋体" w:cs="宋体"/>
          <w:kern w:val="0"/>
          <w:sz w:val="21"/>
          <w:szCs w:val="21"/>
          <w:lang w:val="zh-CN"/>
        </w:rPr>
        <w:t>公司</w:t>
      </w:r>
      <w:r>
        <w:rPr>
          <w:rFonts w:hint="eastAsia" w:ascii="宋体" w:hAnsi="宋体" w:eastAsia="宋体" w:cs="宋体"/>
          <w:sz w:val="21"/>
          <w:szCs w:val="21"/>
        </w:rPr>
        <w:t>愿意承担一切后果，并不再寻求任何旨在减轻或免除法律责任的辩解。</w:t>
      </w:r>
    </w:p>
    <w:p>
      <w:pPr>
        <w:adjustRightInd w:val="0"/>
        <w:snapToGrid w:val="0"/>
        <w:spacing w:line="360" w:lineRule="auto"/>
        <w:ind w:firstLine="480"/>
        <w:outlineLvl w:val="9"/>
        <w:rPr>
          <w:rFonts w:hint="eastAsia" w:ascii="宋体" w:hAnsi="宋体" w:eastAsia="宋体" w:cs="宋体"/>
          <w:kern w:val="0"/>
          <w:sz w:val="21"/>
          <w:szCs w:val="21"/>
        </w:rPr>
      </w:pPr>
    </w:p>
    <w:p>
      <w:pPr>
        <w:adjustRightInd w:val="0"/>
        <w:snapToGrid w:val="0"/>
        <w:spacing w:line="360" w:lineRule="auto"/>
        <w:outlineLvl w:val="9"/>
        <w:rPr>
          <w:rFonts w:hint="eastAsia" w:ascii="宋体" w:hAnsi="宋体" w:eastAsia="宋体" w:cs="宋体"/>
          <w:color w:val="FF0000"/>
          <w:kern w:val="0"/>
          <w:sz w:val="21"/>
          <w:szCs w:val="21"/>
          <w:lang w:val="zh-CN"/>
        </w:rPr>
      </w:pPr>
      <w:r>
        <w:rPr>
          <w:rFonts w:hint="eastAsia" w:ascii="宋体" w:hAnsi="宋体" w:eastAsia="宋体" w:cs="宋体"/>
          <w:color w:val="FF0000"/>
          <w:kern w:val="0"/>
          <w:sz w:val="21"/>
          <w:szCs w:val="21"/>
          <w:lang w:val="zh-CN"/>
        </w:rPr>
        <w:t>供应商（CA签章）：</w:t>
      </w:r>
    </w:p>
    <w:p>
      <w:pPr>
        <w:adjustRightInd w:val="0"/>
        <w:snapToGrid w:val="0"/>
        <w:spacing w:line="360" w:lineRule="auto"/>
        <w:outlineLvl w:val="9"/>
        <w:rPr>
          <w:rFonts w:hint="eastAsia" w:ascii="宋体" w:hAnsi="宋体" w:eastAsia="宋体" w:cs="宋体"/>
          <w:color w:val="FF0000"/>
          <w:kern w:val="0"/>
          <w:sz w:val="21"/>
          <w:szCs w:val="21"/>
          <w:lang w:val="zh-CN"/>
        </w:rPr>
      </w:pPr>
      <w:r>
        <w:rPr>
          <w:rFonts w:hint="eastAsia" w:ascii="宋体" w:hAnsi="宋体" w:cs="宋体"/>
          <w:color w:val="FF0000"/>
          <w:sz w:val="21"/>
          <w:szCs w:val="21"/>
          <w:lang w:eastAsia="zh-CN"/>
        </w:rPr>
        <w:t>单位负责人</w:t>
      </w:r>
      <w:r>
        <w:rPr>
          <w:rFonts w:hint="eastAsia" w:ascii="宋体" w:hAnsi="宋体" w:eastAsia="宋体" w:cs="宋体"/>
          <w:color w:val="FF0000"/>
          <w:sz w:val="21"/>
          <w:szCs w:val="21"/>
          <w:lang w:eastAsia="zh-CN"/>
        </w:rPr>
        <w:t>或授权委托人(</w:t>
      </w:r>
      <w:r>
        <w:rPr>
          <w:rFonts w:hint="eastAsia" w:ascii="宋体" w:hAnsi="宋体" w:cs="宋体"/>
          <w:color w:val="FF0000"/>
          <w:sz w:val="21"/>
          <w:szCs w:val="21"/>
          <w:lang w:eastAsia="zh-CN"/>
        </w:rPr>
        <w:t>签字或签章</w:t>
      </w:r>
      <w:r>
        <w:rPr>
          <w:rFonts w:hint="eastAsia" w:ascii="宋体" w:hAnsi="宋体" w:eastAsia="宋体" w:cs="宋体"/>
          <w:color w:val="FF0000"/>
          <w:sz w:val="21"/>
          <w:szCs w:val="21"/>
          <w:lang w:eastAsia="zh-CN"/>
        </w:rPr>
        <w:t>)</w:t>
      </w:r>
      <w:r>
        <w:rPr>
          <w:rFonts w:hint="eastAsia" w:ascii="宋体" w:hAnsi="宋体" w:eastAsia="宋体" w:cs="宋体"/>
          <w:color w:val="FF0000"/>
          <w:kern w:val="0"/>
          <w:sz w:val="21"/>
          <w:szCs w:val="21"/>
          <w:lang w:val="zh-CN"/>
        </w:rPr>
        <w:t>：</w:t>
      </w:r>
    </w:p>
    <w:p>
      <w:pPr>
        <w:adjustRightInd w:val="0"/>
        <w:snapToGrid w:val="0"/>
        <w:spacing w:line="360" w:lineRule="auto"/>
        <w:ind w:right="480"/>
        <w:jc w:val="both"/>
        <w:outlineLvl w:val="9"/>
        <w:rPr>
          <w:rFonts w:hint="eastAsia" w:ascii="宋体" w:hAnsi="宋体" w:eastAsia="宋体" w:cs="宋体"/>
          <w:color w:val="FF0000"/>
          <w:kern w:val="0"/>
          <w:sz w:val="24"/>
          <w:lang w:val="zh-CN"/>
        </w:rPr>
      </w:pPr>
      <w:r>
        <w:rPr>
          <w:rFonts w:hint="eastAsia" w:ascii="宋体" w:hAnsi="宋体" w:eastAsia="宋体" w:cs="宋体"/>
          <w:color w:val="FF0000"/>
          <w:kern w:val="0"/>
          <w:sz w:val="21"/>
          <w:szCs w:val="21"/>
          <w:lang w:val="zh-CN"/>
        </w:rPr>
        <w:t>日期：</w:t>
      </w:r>
      <w:r>
        <w:rPr>
          <w:rFonts w:hint="eastAsia" w:ascii="宋体" w:hAnsi="宋体" w:cs="宋体"/>
          <w:color w:val="FF0000"/>
          <w:kern w:val="2"/>
          <w:sz w:val="21"/>
          <w:szCs w:val="21"/>
          <w:u w:val="none"/>
          <w:lang w:val="en-US" w:eastAsia="zh-CN" w:bidi="ar-SA"/>
        </w:rPr>
        <w:t>2022年</w:t>
      </w:r>
      <w:r>
        <w:rPr>
          <w:rFonts w:hint="eastAsia" w:ascii="宋体" w:hAnsi="宋体" w:eastAsia="宋体" w:cs="宋体"/>
          <w:color w:val="FF0000"/>
          <w:kern w:val="0"/>
          <w:sz w:val="21"/>
          <w:szCs w:val="21"/>
          <w:lang w:val="zh-CN"/>
        </w:rPr>
        <w:t xml:space="preserve"> </w:t>
      </w:r>
      <w:r>
        <w:rPr>
          <w:rFonts w:hint="eastAsia" w:ascii="宋体" w:hAnsi="宋体" w:eastAsia="宋体" w:cs="宋体"/>
          <w:color w:val="FF0000"/>
          <w:kern w:val="2"/>
          <w:sz w:val="21"/>
          <w:szCs w:val="21"/>
          <w:u w:val="none"/>
          <w:lang w:val="en-US" w:eastAsia="zh-CN" w:bidi="ar-SA"/>
        </w:rPr>
        <w:t>××</w:t>
      </w:r>
      <w:r>
        <w:rPr>
          <w:rFonts w:hint="eastAsia" w:ascii="宋体" w:hAnsi="宋体" w:eastAsia="宋体" w:cs="宋体"/>
          <w:color w:val="FF0000"/>
          <w:kern w:val="0"/>
          <w:sz w:val="21"/>
          <w:szCs w:val="21"/>
          <w:lang w:val="zh-CN"/>
        </w:rPr>
        <w:t xml:space="preserve"> 月 </w:t>
      </w:r>
      <w:r>
        <w:rPr>
          <w:rFonts w:hint="eastAsia" w:ascii="宋体" w:hAnsi="宋体" w:eastAsia="宋体" w:cs="宋体"/>
          <w:color w:val="FF0000"/>
          <w:kern w:val="2"/>
          <w:sz w:val="21"/>
          <w:szCs w:val="21"/>
          <w:u w:val="none"/>
          <w:lang w:val="en-US" w:eastAsia="zh-CN" w:bidi="ar-SA"/>
        </w:rPr>
        <w:t>××</w:t>
      </w:r>
      <w:r>
        <w:rPr>
          <w:rFonts w:hint="eastAsia" w:ascii="宋体" w:hAnsi="宋体" w:eastAsia="宋体" w:cs="宋体"/>
          <w:color w:val="FF0000"/>
          <w:kern w:val="0"/>
          <w:sz w:val="21"/>
          <w:szCs w:val="21"/>
          <w:lang w:val="zh-CN"/>
        </w:rPr>
        <w:t xml:space="preserve"> 日</w:t>
      </w:r>
    </w:p>
    <w:p>
      <w:pPr>
        <w:adjustRightInd w:val="0"/>
        <w:snapToGrid w:val="0"/>
        <w:spacing w:line="360" w:lineRule="auto"/>
        <w:ind w:right="480"/>
        <w:outlineLvl w:val="9"/>
        <w:rPr>
          <w:rFonts w:hint="eastAsia" w:ascii="宋体" w:hAnsi="宋体" w:eastAsia="宋体" w:cs="宋体"/>
          <w:b/>
          <w:sz w:val="28"/>
        </w:rPr>
      </w:pPr>
    </w:p>
    <w:p>
      <w:pPr>
        <w:adjustRightInd w:val="0"/>
        <w:snapToGrid w:val="0"/>
        <w:spacing w:line="360" w:lineRule="auto"/>
        <w:ind w:right="480"/>
        <w:outlineLvl w:val="9"/>
        <w:rPr>
          <w:rFonts w:hint="eastAsia" w:ascii="宋体" w:hAnsi="宋体" w:eastAsia="宋体" w:cs="宋体"/>
          <w:b/>
          <w:sz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numPr>
          <w:ilvl w:val="0"/>
          <w:numId w:val="60"/>
        </w:numPr>
        <w:ind w:left="0" w:leftChars="0" w:firstLine="0" w:firstLineChars="0"/>
        <w:outlineLvl w:val="1"/>
        <w:rPr>
          <w:rFonts w:hint="eastAsia" w:ascii="宋体" w:hAnsi="宋体" w:eastAsia="宋体" w:cs="宋体"/>
          <w:b/>
          <w:sz w:val="28"/>
          <w:szCs w:val="28"/>
          <w:lang w:eastAsia="zh-CN"/>
        </w:rPr>
      </w:pPr>
      <w:bookmarkStart w:id="117" w:name="_Toc7625"/>
      <w:bookmarkEnd w:id="117"/>
    </w:p>
    <w:p>
      <w:pPr>
        <w:spacing w:line="360" w:lineRule="auto"/>
        <w:ind w:firstLine="321" w:firstLineChars="100"/>
        <w:jc w:val="center"/>
        <w:outlineLvl w:val="1"/>
        <w:rPr>
          <w:rFonts w:hint="eastAsia" w:ascii="宋体" w:hAnsi="宋体" w:eastAsia="宋体" w:cs="宋体"/>
          <w:b/>
          <w:sz w:val="32"/>
          <w:szCs w:val="32"/>
          <w:u w:val="single"/>
        </w:rPr>
      </w:pPr>
      <w:bookmarkStart w:id="118" w:name="_Toc31246"/>
      <w:bookmarkStart w:id="119" w:name="_Toc3023"/>
      <w:r>
        <w:rPr>
          <w:rFonts w:hint="eastAsia" w:ascii="宋体" w:hAnsi="宋体" w:eastAsia="宋体" w:cs="宋体"/>
          <w:b/>
          <w:color w:val="000000"/>
          <w:sz w:val="32"/>
          <w:szCs w:val="32"/>
        </w:rPr>
        <w:t>授权委托书</w:t>
      </w:r>
      <w:bookmarkEnd w:id="118"/>
      <w:bookmarkEnd w:id="119"/>
    </w:p>
    <w:p>
      <w:pPr>
        <w:pStyle w:val="12"/>
        <w:spacing w:line="500" w:lineRule="exact"/>
        <w:outlineLvl w:val="9"/>
        <w:rPr>
          <w:rFonts w:hint="eastAsia" w:ascii="宋体" w:hAnsi="宋体" w:eastAsia="宋体" w:cs="宋体"/>
          <w:b/>
          <w:color w:val="auto"/>
          <w:sz w:val="24"/>
        </w:rPr>
      </w:pPr>
      <w:r>
        <w:rPr>
          <w:rFonts w:hint="eastAsia" w:hAnsi="宋体" w:cs="宋体"/>
          <w:kern w:val="0"/>
          <w:sz w:val="24"/>
          <w:lang w:eastAsia="zh-CN"/>
        </w:rPr>
        <w:t>台州市永阳科技有限公司</w:t>
      </w:r>
      <w:r>
        <w:rPr>
          <w:rFonts w:hint="eastAsia" w:ascii="宋体" w:hAnsi="宋体" w:eastAsia="宋体" w:cs="宋体"/>
          <w:b/>
          <w:color w:val="auto"/>
          <w:sz w:val="24"/>
        </w:rPr>
        <w:t>：</w:t>
      </w:r>
    </w:p>
    <w:p>
      <w:pPr>
        <w:pStyle w:val="12"/>
        <w:spacing w:line="500" w:lineRule="exact"/>
        <w:ind w:left="240" w:hanging="240" w:hangingChars="100"/>
        <w:outlineLvl w:val="9"/>
        <w:rPr>
          <w:rFonts w:hint="eastAsia" w:ascii="宋体" w:hAnsi="宋体" w:eastAsia="宋体" w:cs="宋体"/>
          <w:sz w:val="24"/>
        </w:rPr>
      </w:pPr>
      <w:r>
        <w:rPr>
          <w:rFonts w:hint="eastAsia" w:ascii="宋体" w:hAnsi="宋体" w:eastAsia="宋体" w:cs="宋体"/>
          <w:color w:val="auto"/>
          <w:sz w:val="24"/>
        </w:rPr>
        <w:t xml:space="preserve">    </w:t>
      </w:r>
      <w:r>
        <w:rPr>
          <w:rFonts w:hint="eastAsia" w:ascii="宋体" w:hAnsi="宋体" w:eastAsia="宋体" w:cs="宋体"/>
          <w:color w:val="auto"/>
          <w:sz w:val="24"/>
          <w:u w:val="single"/>
        </w:rPr>
        <w:t xml:space="preserve"> </w:t>
      </w:r>
      <w:r>
        <w:rPr>
          <w:rFonts w:hint="eastAsia" w:ascii="宋体" w:hAnsi="宋体" w:eastAsia="宋体" w:cs="宋体"/>
          <w:color w:val="FF0000"/>
          <w:sz w:val="24"/>
          <w:u w:val="single"/>
        </w:rPr>
        <w:t xml:space="preserve"> （供应商全称） </w:t>
      </w:r>
      <w:r>
        <w:rPr>
          <w:rFonts w:hint="eastAsia" w:ascii="宋体" w:hAnsi="宋体" w:eastAsia="宋体" w:cs="宋体"/>
          <w:color w:val="auto"/>
          <w:sz w:val="24"/>
          <w:u w:val="single"/>
        </w:rPr>
        <w:t xml:space="preserve"> </w:t>
      </w:r>
      <w:r>
        <w:rPr>
          <w:rFonts w:hint="eastAsia" w:hAnsi="宋体" w:cs="宋体"/>
          <w:color w:val="auto"/>
          <w:sz w:val="24"/>
          <w:lang w:eastAsia="zh-CN"/>
        </w:rPr>
        <w:t>单位负责人</w:t>
      </w:r>
      <w:r>
        <w:rPr>
          <w:rFonts w:hint="eastAsia" w:ascii="宋体" w:hAnsi="宋体" w:eastAsia="宋体" w:cs="宋体"/>
          <w:sz w:val="24"/>
          <w:u w:val="single"/>
        </w:rPr>
        <w:tab/>
      </w:r>
      <w:r>
        <w:rPr>
          <w:rFonts w:hint="eastAsia" w:ascii="宋体" w:hAnsi="宋体" w:eastAsia="宋体" w:cs="宋体"/>
          <w:color w:val="FF0000"/>
          <w:sz w:val="24"/>
          <w:u w:val="single"/>
        </w:rPr>
        <w:t xml:space="preserve">（营业执照中单位负责人姓名） </w:t>
      </w:r>
      <w:r>
        <w:rPr>
          <w:rFonts w:hint="eastAsia" w:ascii="宋体" w:hAnsi="宋体" w:eastAsia="宋体" w:cs="宋体"/>
          <w:sz w:val="24"/>
        </w:rPr>
        <w:t>授权</w:t>
      </w:r>
      <w:r>
        <w:rPr>
          <w:rFonts w:hint="eastAsia" w:ascii="宋体" w:hAnsi="宋体" w:eastAsia="宋体" w:cs="宋体"/>
          <w:sz w:val="24"/>
          <w:u w:val="single"/>
        </w:rPr>
        <w:t xml:space="preserve">  </w:t>
      </w:r>
      <w:r>
        <w:rPr>
          <w:rFonts w:hint="eastAsia" w:ascii="宋体" w:hAnsi="宋体" w:eastAsia="宋体" w:cs="宋体"/>
          <w:color w:val="FF0000"/>
          <w:sz w:val="24"/>
          <w:u w:val="single"/>
        </w:rPr>
        <w:t xml:space="preserve"> （全权代表姓名）</w:t>
      </w:r>
      <w:r>
        <w:rPr>
          <w:rFonts w:hint="eastAsia" w:ascii="宋体" w:hAnsi="宋体" w:eastAsia="宋体" w:cs="宋体"/>
          <w:sz w:val="24"/>
          <w:u w:val="single"/>
        </w:rPr>
        <w:t xml:space="preserve"> </w:t>
      </w:r>
      <w:r>
        <w:rPr>
          <w:rFonts w:hint="eastAsia" w:ascii="宋体" w:hAnsi="宋体" w:eastAsia="宋体" w:cs="宋体"/>
          <w:sz w:val="24"/>
        </w:rPr>
        <w:t>为全权代表，参加贵单位组织的</w:t>
      </w:r>
      <w:r>
        <w:rPr>
          <w:rFonts w:hint="eastAsia" w:hAnsi="宋体" w:cs="宋体"/>
          <w:color w:val="FF0000"/>
          <w:kern w:val="0"/>
          <w:sz w:val="24"/>
          <w:lang w:eastAsia="zh-CN"/>
        </w:rPr>
        <w:t>台州市公共安全综合保险项目</w:t>
      </w:r>
      <w:r>
        <w:rPr>
          <w:rFonts w:hint="eastAsia" w:ascii="宋体" w:hAnsi="宋体" w:eastAsia="宋体" w:cs="宋体"/>
          <w:sz w:val="24"/>
        </w:rPr>
        <w:t>的采购活动，并代表我方全权办理针对上述项目的投标、开标、评标、签约等具体事务和签署相关文件。我方对全权代表的</w:t>
      </w:r>
      <w:r>
        <w:rPr>
          <w:rFonts w:hint="eastAsia" w:ascii="宋体" w:hAnsi="宋体" w:eastAsia="宋体" w:cs="宋体"/>
          <w:sz w:val="24"/>
          <w:lang w:eastAsia="zh-CN"/>
        </w:rPr>
        <w:t>签字</w:t>
      </w:r>
      <w:r>
        <w:rPr>
          <w:rFonts w:hint="eastAsia" w:ascii="宋体" w:hAnsi="宋体" w:eastAsia="宋体" w:cs="宋体"/>
          <w:sz w:val="24"/>
        </w:rPr>
        <w:t>事项负全部责任。</w:t>
      </w:r>
    </w:p>
    <w:p>
      <w:pPr>
        <w:pStyle w:val="12"/>
        <w:spacing w:line="500" w:lineRule="exact"/>
        <w:ind w:left="139" w:leftChars="66" w:firstLine="480" w:firstLineChars="200"/>
        <w:outlineLvl w:val="9"/>
        <w:rPr>
          <w:rFonts w:hint="eastAsia" w:ascii="宋体" w:hAnsi="宋体" w:eastAsia="宋体" w:cs="宋体"/>
          <w:sz w:val="24"/>
        </w:rPr>
      </w:pPr>
      <w:r>
        <w:rPr>
          <w:rFonts w:hint="eastAsia" w:ascii="宋体" w:hAnsi="宋体" w:eastAsia="宋体" w:cs="宋体"/>
          <w:sz w:val="24"/>
        </w:rPr>
        <w:t>在撤销授权的书面通知以前，本授权书一直有效。全权代表在授权委托书有效期内签署的所有文件不因授权的撤销而失效。</w:t>
      </w:r>
    </w:p>
    <w:p>
      <w:pPr>
        <w:pStyle w:val="12"/>
        <w:spacing w:line="500" w:lineRule="exact"/>
        <w:ind w:left="139" w:leftChars="66" w:firstLine="480" w:firstLineChars="200"/>
        <w:outlineLvl w:val="9"/>
        <w:rPr>
          <w:rFonts w:hint="eastAsia" w:ascii="宋体" w:hAnsi="宋体" w:eastAsia="宋体" w:cs="宋体"/>
          <w:sz w:val="24"/>
        </w:rPr>
      </w:pPr>
      <w:r>
        <w:rPr>
          <w:rFonts w:hint="eastAsia" w:ascii="宋体" w:hAnsi="宋体" w:eastAsia="宋体" w:cs="宋体"/>
          <w:sz w:val="24"/>
        </w:rPr>
        <w:t>全权代表无转委托权，特此委托。</w:t>
      </w:r>
    </w:p>
    <w:p>
      <w:pPr>
        <w:spacing w:line="360" w:lineRule="auto"/>
        <w:outlineLvl w:val="9"/>
        <w:rPr>
          <w:rFonts w:hint="eastAsia" w:ascii="宋体" w:hAnsi="宋体" w:eastAsia="宋体" w:cs="宋体"/>
          <w:sz w:val="24"/>
        </w:rPr>
      </w:pPr>
    </w:p>
    <w:p>
      <w:pPr>
        <w:spacing w:line="360" w:lineRule="auto"/>
        <w:outlineLvl w:val="9"/>
        <w:rPr>
          <w:rFonts w:hint="eastAsia" w:ascii="宋体" w:hAnsi="宋体" w:eastAsia="宋体" w:cs="宋体"/>
          <w:color w:val="FF0000"/>
          <w:sz w:val="24"/>
        </w:rPr>
      </w:pPr>
      <w:r>
        <w:rPr>
          <w:rFonts w:hint="eastAsia" w:ascii="宋体" w:hAnsi="宋体" w:cs="宋体"/>
          <w:color w:val="FF0000"/>
          <w:sz w:val="24"/>
          <w:lang w:eastAsia="zh-CN"/>
        </w:rPr>
        <w:t>单位负责人（签字或签章）</w:t>
      </w:r>
      <w:r>
        <w:rPr>
          <w:rFonts w:hint="eastAsia" w:ascii="宋体" w:hAnsi="宋体" w:eastAsia="宋体" w:cs="宋体"/>
          <w:color w:val="FF0000"/>
          <w:sz w:val="24"/>
        </w:rPr>
        <w:t>：</w:t>
      </w:r>
    </w:p>
    <w:p>
      <w:pPr>
        <w:spacing w:line="360" w:lineRule="auto"/>
        <w:outlineLvl w:val="9"/>
        <w:rPr>
          <w:rFonts w:hint="eastAsia" w:ascii="宋体" w:hAnsi="宋体" w:eastAsia="宋体" w:cs="宋体"/>
          <w:color w:val="FF0000"/>
          <w:sz w:val="24"/>
        </w:rPr>
      </w:pPr>
    </w:p>
    <w:p>
      <w:pPr>
        <w:spacing w:line="360" w:lineRule="auto"/>
        <w:outlineLvl w:val="9"/>
        <w:rPr>
          <w:rFonts w:hint="default" w:ascii="宋体" w:hAnsi="宋体" w:eastAsia="宋体" w:cs="宋体"/>
          <w:color w:val="FF0000"/>
          <w:sz w:val="24"/>
          <w:lang w:val="en-US" w:eastAsia="zh-CN"/>
        </w:rPr>
      </w:pPr>
      <w:r>
        <w:rPr>
          <w:rFonts w:hint="eastAsia" w:ascii="宋体" w:hAnsi="宋体" w:eastAsia="宋体" w:cs="宋体"/>
          <w:color w:val="FF0000"/>
          <w:sz w:val="24"/>
        </w:rPr>
        <w:t>供应商（CA签章）：                         日期：</w:t>
      </w:r>
      <w:r>
        <w:rPr>
          <w:rFonts w:hint="eastAsia" w:ascii="宋体" w:hAnsi="宋体" w:cs="宋体"/>
          <w:color w:val="FF0000"/>
          <w:sz w:val="24"/>
          <w:lang w:val="en-US" w:eastAsia="zh-CN"/>
        </w:rPr>
        <w:t>2022年××月××日</w:t>
      </w:r>
    </w:p>
    <w:p>
      <w:pPr>
        <w:spacing w:line="360" w:lineRule="auto"/>
        <w:outlineLvl w:val="9"/>
        <w:rPr>
          <w:rFonts w:hint="eastAsia" w:ascii="宋体" w:hAnsi="宋体" w:eastAsia="宋体" w:cs="宋体"/>
          <w:sz w:val="24"/>
        </w:rPr>
      </w:pPr>
    </w:p>
    <w:p>
      <w:pPr>
        <w:spacing w:line="360" w:lineRule="auto"/>
        <w:outlineLvl w:val="9"/>
        <w:rPr>
          <w:rFonts w:hint="eastAsia" w:ascii="宋体" w:hAnsi="宋体" w:eastAsia="宋体" w:cs="宋体"/>
          <w:b/>
          <w:sz w:val="24"/>
        </w:rPr>
      </w:pPr>
      <w:r>
        <w:rPr>
          <w:rFonts w:hint="eastAsia" w:ascii="宋体" w:hAnsi="宋体" w:eastAsia="宋体" w:cs="宋体"/>
          <w:b/>
          <w:sz w:val="24"/>
        </w:rPr>
        <w:t>附：</w:t>
      </w:r>
    </w:p>
    <w:tbl>
      <w:tblPr>
        <w:tblStyle w:val="21"/>
        <w:tblpPr w:leftFromText="180" w:rightFromText="180" w:vertAnchor="text" w:horzAnchor="page" w:tblpX="1929" w:tblpY="163"/>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outlineLvl w:val="9"/>
              <w:rPr>
                <w:rFonts w:hint="eastAsia" w:ascii="宋体" w:hAnsi="宋体" w:eastAsia="宋体" w:cs="宋体"/>
                <w:b/>
                <w:sz w:val="24"/>
              </w:rPr>
            </w:pPr>
          </w:p>
          <w:p>
            <w:pPr>
              <w:spacing w:line="360" w:lineRule="auto"/>
              <w:ind w:firstLine="361" w:firstLineChars="150"/>
              <w:outlineLvl w:val="9"/>
              <w:rPr>
                <w:rFonts w:hint="eastAsia" w:ascii="宋体" w:hAnsi="宋体" w:eastAsia="宋体" w:cs="宋体"/>
                <w:b/>
                <w:sz w:val="24"/>
                <w:lang w:eastAsia="zh-CN"/>
              </w:rPr>
            </w:pPr>
            <w:r>
              <w:rPr>
                <w:rFonts w:hint="eastAsia" w:ascii="宋体" w:hAnsi="宋体" w:cs="宋体"/>
                <w:b/>
                <w:sz w:val="24"/>
                <w:lang w:val="en-US" w:eastAsia="zh-CN"/>
              </w:rPr>
              <w:t>单位负责人</w:t>
            </w:r>
            <w:r>
              <w:rPr>
                <w:rFonts w:hint="eastAsia" w:ascii="宋体" w:hAnsi="宋体" w:eastAsia="宋体" w:cs="宋体"/>
                <w:b/>
                <w:sz w:val="24"/>
              </w:rPr>
              <w:t>身份证</w:t>
            </w:r>
            <w:r>
              <w:rPr>
                <w:rFonts w:hint="eastAsia" w:ascii="宋体" w:hAnsi="宋体" w:cs="宋体"/>
                <w:b/>
                <w:sz w:val="24"/>
                <w:lang w:eastAsia="zh-CN"/>
              </w:rPr>
              <w:t>正反面</w:t>
            </w:r>
          </w:p>
        </w:tc>
      </w:tr>
    </w:tbl>
    <w:p>
      <w:pPr>
        <w:spacing w:line="360" w:lineRule="auto"/>
        <w:outlineLvl w:val="9"/>
        <w:rPr>
          <w:rFonts w:hint="eastAsia" w:ascii="宋体" w:hAnsi="宋体" w:eastAsia="宋体" w:cs="宋体"/>
          <w:sz w:val="24"/>
        </w:rPr>
      </w:pPr>
      <w:r>
        <w:rPr>
          <w:rFonts w:hint="eastAsia" w:ascii="宋体" w:hAnsi="宋体" w:eastAsia="宋体" w:cs="宋体"/>
          <w:sz w:val="24"/>
        </w:rPr>
        <w:t xml:space="preserve">                                 </w:t>
      </w:r>
    </w:p>
    <w:p>
      <w:pPr>
        <w:spacing w:line="360" w:lineRule="auto"/>
        <w:outlineLvl w:val="9"/>
        <w:rPr>
          <w:rFonts w:hint="eastAsia" w:ascii="宋体" w:hAnsi="宋体" w:eastAsia="宋体" w:cs="宋体"/>
          <w:sz w:val="24"/>
        </w:rPr>
      </w:pPr>
      <w:r>
        <w:rPr>
          <w:rFonts w:hint="eastAsia" w:ascii="宋体" w:hAnsi="宋体" w:eastAsia="宋体" w:cs="宋体"/>
          <w:sz w:val="24"/>
        </w:rPr>
        <w:t xml:space="preserve">       </w:t>
      </w:r>
    </w:p>
    <w:tbl>
      <w:tblPr>
        <w:tblStyle w:val="21"/>
        <w:tblpPr w:leftFromText="180" w:rightFromText="180" w:vertAnchor="text" w:horzAnchor="page" w:tblpX="1914" w:tblpY="1792"/>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outlineLvl w:val="9"/>
              <w:rPr>
                <w:rFonts w:hint="eastAsia" w:ascii="宋体" w:hAnsi="宋体" w:eastAsia="宋体" w:cs="宋体"/>
                <w:b/>
                <w:sz w:val="24"/>
              </w:rPr>
            </w:pPr>
          </w:p>
          <w:p>
            <w:pPr>
              <w:spacing w:line="360" w:lineRule="auto"/>
              <w:ind w:firstLine="361" w:firstLineChars="150"/>
              <w:outlineLvl w:val="9"/>
              <w:rPr>
                <w:rFonts w:hint="eastAsia" w:ascii="宋体" w:hAnsi="宋体" w:eastAsia="宋体" w:cs="宋体"/>
                <w:b/>
                <w:sz w:val="24"/>
                <w:lang w:eastAsia="zh-CN"/>
              </w:rPr>
            </w:pPr>
            <w:r>
              <w:rPr>
                <w:rFonts w:hint="eastAsia" w:ascii="宋体" w:hAnsi="宋体" w:eastAsia="宋体" w:cs="宋体"/>
                <w:b/>
                <w:sz w:val="24"/>
              </w:rPr>
              <w:t>全权代表身份证</w:t>
            </w:r>
            <w:r>
              <w:rPr>
                <w:rFonts w:hint="eastAsia" w:ascii="宋体" w:hAnsi="宋体" w:cs="宋体"/>
                <w:b/>
                <w:sz w:val="24"/>
                <w:lang w:eastAsia="zh-CN"/>
              </w:rPr>
              <w:t>正反面</w:t>
            </w:r>
          </w:p>
        </w:tc>
      </w:tr>
    </w:tbl>
    <w:p>
      <w:pPr>
        <w:outlineLvl w:val="9"/>
        <w:rPr>
          <w:rFonts w:hint="eastAsia" w:ascii="宋体" w:hAnsi="宋体" w:eastAsia="宋体" w:cs="宋体"/>
          <w:b/>
          <w:sz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jc w:val="center"/>
        <w:rPr>
          <w:rFonts w:hint="eastAsia" w:ascii="宋体" w:hAnsi="宋体" w:eastAsia="宋体" w:cs="宋体"/>
          <w:b/>
          <w:sz w:val="32"/>
          <w:szCs w:val="32"/>
          <w:lang w:val="en-US" w:eastAsia="zh-CN"/>
        </w:rPr>
      </w:pPr>
      <w:bookmarkStart w:id="120" w:name="_Toc6206"/>
      <w:bookmarkEnd w:id="120"/>
      <w:r>
        <w:rPr>
          <w:rFonts w:hint="eastAsia" w:ascii="宋体" w:hAnsi="宋体" w:eastAsia="宋体" w:cs="宋体"/>
          <w:b/>
          <w:sz w:val="32"/>
          <w:szCs w:val="32"/>
          <w:lang w:val="en-US" w:eastAsia="zh-CN"/>
        </w:rPr>
        <w:t>承诺函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sz w:val="24"/>
          <w:szCs w:val="32"/>
          <w:lang w:val="en-US" w:eastAsia="zh-CN"/>
        </w:rPr>
      </w:pPr>
      <w:r>
        <w:rPr>
          <w:rFonts w:hint="eastAsia"/>
          <w:b/>
          <w:bCs/>
          <w:sz w:val="24"/>
          <w:szCs w:val="32"/>
          <w:lang w:val="en-US" w:eastAsia="zh-CN"/>
        </w:rPr>
        <w:t>我单位承诺：</w:t>
      </w:r>
      <w:r>
        <w:rPr>
          <w:rFonts w:hint="default"/>
          <w:sz w:val="24"/>
          <w:szCs w:val="32"/>
          <w:lang w:val="en-US" w:eastAsia="zh-CN"/>
        </w:rPr>
        <w:t>符合参与政府采购活动的资格条件、具备良好的商业信誉和健全的财务会计制度并且没有税收缴纳、社会保障等方面的失信记录</w:t>
      </w:r>
      <w:r>
        <w:rPr>
          <w:rFonts w:hint="eastAsia"/>
          <w:sz w:val="24"/>
          <w:szCs w:val="32"/>
          <w:lang w:val="en-US" w:eastAsia="zh-CN"/>
        </w:rPr>
        <w:t>，且</w:t>
      </w:r>
      <w:r>
        <w:rPr>
          <w:rFonts w:hint="default"/>
          <w:sz w:val="24"/>
          <w:szCs w:val="32"/>
          <w:lang w:val="en-US" w:eastAsia="zh-CN"/>
        </w:rPr>
        <w:t>具备履行合同所必需的设备和专业技术能力</w:t>
      </w:r>
      <w:r>
        <w:rPr>
          <w:rFonts w:hint="eastAsia"/>
          <w:sz w:val="24"/>
          <w:szCs w:val="32"/>
          <w:lang w:val="en-US" w:eastAsia="zh-CN"/>
        </w:rPr>
        <w:t>。</w:t>
      </w:r>
    </w:p>
    <w:p>
      <w:pPr>
        <w:tabs>
          <w:tab w:val="left" w:pos="4860"/>
        </w:tabs>
        <w:spacing w:line="588" w:lineRule="exact"/>
        <w:ind w:right="1560" w:firstLine="504" w:firstLineChars="200"/>
        <w:rPr>
          <w:rFonts w:hint="eastAsia" w:ascii="宋体" w:hAnsi="宋体" w:cs="宋体"/>
          <w:color w:val="FF0000"/>
          <w:spacing w:val="6"/>
          <w:sz w:val="24"/>
        </w:rPr>
      </w:pPr>
    </w:p>
    <w:p>
      <w:pPr>
        <w:tabs>
          <w:tab w:val="left" w:pos="4860"/>
        </w:tabs>
        <w:spacing w:line="588" w:lineRule="exact"/>
        <w:ind w:right="1560" w:firstLine="504" w:firstLineChars="200"/>
        <w:rPr>
          <w:rFonts w:hint="eastAsia" w:ascii="宋体" w:hAnsi="宋体" w:cs="宋体"/>
          <w:color w:val="FF0000"/>
          <w:spacing w:val="6"/>
          <w:sz w:val="24"/>
        </w:rPr>
      </w:pPr>
      <w:r>
        <w:rPr>
          <w:rFonts w:hint="eastAsia" w:ascii="宋体" w:hAnsi="宋体" w:cs="宋体"/>
          <w:color w:val="FF0000"/>
          <w:spacing w:val="6"/>
          <w:sz w:val="24"/>
        </w:rPr>
        <w:t>供应商（CA签章）：</w:t>
      </w:r>
    </w:p>
    <w:p>
      <w:pPr>
        <w:pStyle w:val="11"/>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cs="宋体"/>
          <w:color w:val="FF0000"/>
          <w:spacing w:val="6"/>
          <w:sz w:val="24"/>
        </w:rPr>
        <w:t>日  期：2022年××月××日</w:t>
      </w:r>
    </w:p>
    <w:p>
      <w:pPr>
        <w:numPr>
          <w:ilvl w:val="0"/>
          <w:numId w:val="60"/>
        </w:numPr>
        <w:ind w:left="0" w:leftChars="0" w:firstLine="0" w:firstLineChars="0"/>
        <w:outlineLvl w:val="1"/>
        <w:rPr>
          <w:rFonts w:hint="eastAsia" w:ascii="宋体" w:hAnsi="宋体" w:eastAsia="宋体" w:cs="宋体"/>
          <w:b/>
          <w:sz w:val="28"/>
          <w:szCs w:val="28"/>
          <w:lang w:eastAsia="zh-CN"/>
        </w:rPr>
      </w:pPr>
      <w:bookmarkStart w:id="121" w:name="_Toc14412"/>
      <w:bookmarkEnd w:id="121"/>
    </w:p>
    <w:p>
      <w:pPr>
        <w:spacing w:line="360" w:lineRule="auto"/>
        <w:ind w:right="-110"/>
        <w:jc w:val="center"/>
        <w:outlineLvl w:val="0"/>
        <w:rPr>
          <w:rFonts w:hint="eastAsia" w:ascii="宋体" w:hAnsi="宋体" w:eastAsia="宋体" w:cs="宋体"/>
          <w:spacing w:val="40"/>
          <w:sz w:val="52"/>
          <w:szCs w:val="52"/>
          <w:lang w:eastAsia="zh-CN"/>
        </w:rPr>
      </w:pPr>
      <w:r>
        <w:rPr>
          <w:rFonts w:hint="eastAsia" w:ascii="宋体" w:hAnsi="宋体" w:cs="宋体"/>
          <w:spacing w:val="40"/>
          <w:sz w:val="52"/>
          <w:szCs w:val="52"/>
          <w:lang w:eastAsia="zh-CN"/>
        </w:rPr>
        <w:t>台州市公共安全综合保险项目</w:t>
      </w:r>
    </w:p>
    <w:p>
      <w:pPr>
        <w:spacing w:beforeLines="100" w:line="360" w:lineRule="auto"/>
        <w:ind w:right="-108"/>
        <w:jc w:val="center"/>
        <w:outlineLvl w:val="1"/>
        <w:rPr>
          <w:rFonts w:hint="eastAsia" w:ascii="宋体" w:hAnsi="宋体" w:eastAsia="宋体" w:cs="宋体"/>
          <w:sz w:val="36"/>
          <w:szCs w:val="36"/>
        </w:rPr>
      </w:pPr>
      <w:bookmarkStart w:id="122" w:name="_Toc23475"/>
      <w:bookmarkStart w:id="123" w:name="_Toc11920"/>
      <w:r>
        <w:rPr>
          <w:rFonts w:hint="eastAsia" w:ascii="宋体" w:hAnsi="宋体" w:eastAsia="宋体" w:cs="宋体"/>
          <w:sz w:val="36"/>
          <w:szCs w:val="36"/>
        </w:rPr>
        <w:t>项目编号：</w:t>
      </w:r>
      <w:r>
        <w:rPr>
          <w:rFonts w:hint="eastAsia" w:ascii="宋体" w:hAnsi="宋体" w:cs="宋体"/>
          <w:sz w:val="36"/>
          <w:szCs w:val="36"/>
          <w:lang w:eastAsia="zh-CN"/>
        </w:rPr>
        <w:t>TZYY-2208-004号</w:t>
      </w:r>
      <w:bookmarkEnd w:id="122"/>
      <w:bookmarkEnd w:id="123"/>
    </w:p>
    <w:p>
      <w:pPr>
        <w:autoSpaceDE w:val="0"/>
        <w:autoSpaceDN w:val="0"/>
        <w:adjustRightInd w:val="0"/>
        <w:spacing w:line="360" w:lineRule="auto"/>
        <w:jc w:val="center"/>
        <w:outlineLvl w:val="9"/>
        <w:rPr>
          <w:rFonts w:hint="eastAsia" w:ascii="宋体" w:hAnsi="宋体" w:eastAsia="宋体" w:cs="宋体"/>
          <w:sz w:val="84"/>
          <w:szCs w:val="84"/>
          <w:lang w:val="zh-CN"/>
        </w:rPr>
      </w:pPr>
    </w:p>
    <w:p>
      <w:pPr>
        <w:autoSpaceDE w:val="0"/>
        <w:autoSpaceDN w:val="0"/>
        <w:adjustRightInd w:val="0"/>
        <w:spacing w:line="360" w:lineRule="auto"/>
        <w:jc w:val="center"/>
        <w:outlineLvl w:val="9"/>
        <w:rPr>
          <w:rFonts w:hint="eastAsia" w:ascii="宋体" w:hAnsi="宋体" w:eastAsia="宋体" w:cs="宋体"/>
          <w:sz w:val="84"/>
          <w:szCs w:val="84"/>
          <w:lang w:val="zh-CN"/>
        </w:rPr>
      </w:pPr>
      <w:r>
        <w:rPr>
          <w:rFonts w:hint="eastAsia" w:ascii="宋体" w:hAnsi="宋体" w:eastAsia="宋体" w:cs="宋体"/>
          <w:sz w:val="84"/>
          <w:szCs w:val="84"/>
          <w:lang w:val="zh-CN"/>
        </w:rPr>
        <w:t>投</w:t>
      </w:r>
    </w:p>
    <w:p>
      <w:pPr>
        <w:autoSpaceDE w:val="0"/>
        <w:autoSpaceDN w:val="0"/>
        <w:adjustRightInd w:val="0"/>
        <w:spacing w:line="360" w:lineRule="auto"/>
        <w:jc w:val="center"/>
        <w:outlineLvl w:val="9"/>
        <w:rPr>
          <w:rFonts w:hint="eastAsia" w:ascii="宋体" w:hAnsi="宋体" w:eastAsia="宋体" w:cs="宋体"/>
          <w:sz w:val="84"/>
          <w:szCs w:val="84"/>
          <w:lang w:val="zh-CN"/>
        </w:rPr>
      </w:pPr>
      <w:r>
        <w:rPr>
          <w:rFonts w:hint="eastAsia" w:ascii="宋体" w:hAnsi="宋体" w:eastAsia="宋体" w:cs="宋体"/>
          <w:sz w:val="84"/>
          <w:szCs w:val="84"/>
          <w:lang w:val="zh-CN"/>
        </w:rPr>
        <w:t>标</w:t>
      </w:r>
    </w:p>
    <w:p>
      <w:pPr>
        <w:autoSpaceDE w:val="0"/>
        <w:autoSpaceDN w:val="0"/>
        <w:adjustRightInd w:val="0"/>
        <w:spacing w:line="360" w:lineRule="auto"/>
        <w:jc w:val="center"/>
        <w:outlineLvl w:val="9"/>
        <w:rPr>
          <w:rFonts w:hint="eastAsia" w:ascii="宋体" w:hAnsi="宋体" w:eastAsia="宋体" w:cs="宋体"/>
          <w:sz w:val="84"/>
          <w:szCs w:val="84"/>
        </w:rPr>
      </w:pPr>
      <w:r>
        <w:rPr>
          <w:rFonts w:hint="eastAsia" w:ascii="宋体" w:hAnsi="宋体" w:eastAsia="宋体" w:cs="宋体"/>
          <w:sz w:val="84"/>
          <w:szCs w:val="84"/>
          <w:lang w:val="zh-CN"/>
        </w:rPr>
        <w:t>文</w:t>
      </w:r>
    </w:p>
    <w:p>
      <w:pPr>
        <w:spacing w:after="100" w:afterAutospacing="1" w:line="360" w:lineRule="auto"/>
        <w:ind w:right="-108"/>
        <w:jc w:val="center"/>
        <w:outlineLvl w:val="9"/>
        <w:rPr>
          <w:rFonts w:hint="eastAsia" w:ascii="宋体" w:hAnsi="宋体" w:eastAsia="宋体" w:cs="宋体"/>
          <w:sz w:val="84"/>
          <w:szCs w:val="84"/>
          <w:lang w:val="zh-CN"/>
        </w:rPr>
      </w:pPr>
      <w:r>
        <w:rPr>
          <w:rFonts w:hint="eastAsia" w:ascii="宋体" w:hAnsi="宋体" w:eastAsia="宋体" w:cs="宋体"/>
          <w:sz w:val="84"/>
          <w:szCs w:val="84"/>
          <w:lang w:val="zh-CN"/>
        </w:rPr>
        <w:t>件</w:t>
      </w:r>
    </w:p>
    <w:p>
      <w:pPr>
        <w:spacing w:after="100" w:afterAutospacing="1" w:line="360" w:lineRule="auto"/>
        <w:ind w:right="-108"/>
        <w:jc w:val="center"/>
        <w:outlineLvl w:val="9"/>
        <w:rPr>
          <w:rFonts w:hint="eastAsia" w:ascii="宋体" w:hAnsi="宋体" w:eastAsia="宋体" w:cs="宋体"/>
          <w:b/>
          <w:spacing w:val="40"/>
          <w:sz w:val="28"/>
          <w:szCs w:val="28"/>
        </w:rPr>
      </w:pPr>
      <w:r>
        <w:rPr>
          <w:rFonts w:hint="eastAsia" w:ascii="宋体" w:hAnsi="宋体" w:eastAsia="宋体" w:cs="宋体"/>
          <w:color w:val="000000"/>
          <w:sz w:val="28"/>
          <w:szCs w:val="28"/>
          <w:lang w:val="zh-CN"/>
        </w:rPr>
        <w:t>（</w:t>
      </w:r>
      <w:r>
        <w:rPr>
          <w:rFonts w:hint="eastAsia" w:ascii="宋体" w:hAnsi="宋体" w:eastAsia="宋体" w:cs="宋体"/>
          <w:bCs/>
          <w:color w:val="000000"/>
          <w:sz w:val="24"/>
          <w:lang w:val="zh-CN"/>
        </w:rPr>
        <w:t>商务与技术文件</w:t>
      </w:r>
      <w:r>
        <w:rPr>
          <w:rFonts w:hint="eastAsia" w:ascii="宋体" w:hAnsi="宋体" w:eastAsia="宋体" w:cs="宋体"/>
          <w:b/>
          <w:spacing w:val="40"/>
          <w:sz w:val="28"/>
          <w:szCs w:val="28"/>
        </w:rPr>
        <w:t>）</w:t>
      </w:r>
    </w:p>
    <w:p>
      <w:pPr>
        <w:spacing w:line="360" w:lineRule="auto"/>
        <w:ind w:right="532" w:firstLine="720" w:firstLineChars="200"/>
        <w:outlineLvl w:val="9"/>
        <w:rPr>
          <w:rFonts w:hint="eastAsia" w:ascii="宋体" w:hAnsi="宋体" w:eastAsia="宋体" w:cs="宋体"/>
          <w:sz w:val="36"/>
          <w:szCs w:val="36"/>
        </w:rPr>
      </w:pPr>
      <w:r>
        <w:rPr>
          <w:rFonts w:hint="eastAsia" w:ascii="宋体" w:hAnsi="宋体" w:eastAsia="宋体" w:cs="宋体"/>
          <w:sz w:val="36"/>
          <w:szCs w:val="36"/>
        </w:rPr>
        <w:t>供</w:t>
      </w:r>
      <w:r>
        <w:rPr>
          <w:rFonts w:hint="eastAsia" w:ascii="宋体" w:hAnsi="宋体" w:cs="宋体"/>
          <w:sz w:val="36"/>
          <w:szCs w:val="36"/>
          <w:lang w:val="en-US" w:eastAsia="zh-CN"/>
        </w:rPr>
        <w:t xml:space="preserve"> </w:t>
      </w:r>
      <w:r>
        <w:rPr>
          <w:rFonts w:hint="eastAsia" w:ascii="宋体" w:hAnsi="宋体" w:eastAsia="宋体" w:cs="宋体"/>
          <w:sz w:val="36"/>
          <w:szCs w:val="36"/>
        </w:rPr>
        <w:t>应</w:t>
      </w:r>
      <w:r>
        <w:rPr>
          <w:rFonts w:hint="eastAsia" w:ascii="宋体" w:hAnsi="宋体" w:cs="宋体"/>
          <w:sz w:val="36"/>
          <w:szCs w:val="36"/>
          <w:lang w:val="en-US" w:eastAsia="zh-CN"/>
        </w:rPr>
        <w:t xml:space="preserve"> </w:t>
      </w:r>
      <w:r>
        <w:rPr>
          <w:rFonts w:hint="eastAsia" w:ascii="宋体" w:hAnsi="宋体" w:eastAsia="宋体" w:cs="宋体"/>
          <w:sz w:val="36"/>
          <w:szCs w:val="36"/>
        </w:rPr>
        <w:t>商：</w:t>
      </w:r>
    </w:p>
    <w:p>
      <w:pPr>
        <w:spacing w:line="360" w:lineRule="auto"/>
        <w:ind w:right="532" w:firstLine="720" w:firstLineChars="200"/>
        <w:outlineLvl w:val="9"/>
        <w:rPr>
          <w:rFonts w:hint="eastAsia" w:ascii="宋体" w:hAnsi="宋体" w:eastAsia="宋体" w:cs="宋体"/>
          <w:sz w:val="36"/>
          <w:szCs w:val="36"/>
        </w:rPr>
      </w:pPr>
      <w:r>
        <w:rPr>
          <w:rFonts w:hint="eastAsia" w:ascii="宋体" w:hAnsi="宋体" w:eastAsia="宋体" w:cs="宋体"/>
          <w:sz w:val="36"/>
          <w:szCs w:val="36"/>
        </w:rPr>
        <w:t>地    址：</w:t>
      </w:r>
    </w:p>
    <w:p>
      <w:pPr>
        <w:outlineLvl w:val="9"/>
        <w:rPr>
          <w:rFonts w:hint="eastAsia" w:ascii="宋体" w:hAnsi="宋体" w:eastAsia="宋体" w:cs="宋体"/>
          <w:b/>
          <w:sz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b/>
          <w:sz w:val="28"/>
        </w:rPr>
        <w:br w:type="page"/>
      </w:r>
    </w:p>
    <w:p>
      <w:pPr>
        <w:numPr>
          <w:ilvl w:val="0"/>
          <w:numId w:val="60"/>
        </w:numPr>
        <w:ind w:left="0" w:leftChars="0" w:firstLine="0" w:firstLineChars="0"/>
        <w:outlineLvl w:val="1"/>
        <w:rPr>
          <w:rFonts w:hint="eastAsia" w:ascii="宋体" w:hAnsi="宋体" w:eastAsia="宋体" w:cs="宋体"/>
          <w:b/>
          <w:sz w:val="28"/>
          <w:szCs w:val="28"/>
          <w:lang w:val="en-US" w:eastAsia="zh-CN"/>
        </w:rPr>
      </w:pPr>
      <w:bookmarkStart w:id="124" w:name="_Toc12375"/>
      <w:bookmarkEnd w:id="124"/>
    </w:p>
    <w:p>
      <w:pPr>
        <w:snapToGrid w:val="0"/>
        <w:spacing w:before="50" w:after="50" w:line="360" w:lineRule="auto"/>
        <w:jc w:val="center"/>
        <w:outlineLvl w:val="1"/>
        <w:rPr>
          <w:rFonts w:hint="eastAsia" w:ascii="宋体" w:hAnsi="宋体" w:cs="宋体"/>
          <w:sz w:val="36"/>
          <w:szCs w:val="36"/>
          <w:lang w:val="en-US" w:eastAsia="zh-CN"/>
        </w:rPr>
      </w:pPr>
      <w:bookmarkStart w:id="125" w:name="_Toc22738"/>
      <w:bookmarkStart w:id="126" w:name="_Toc26413"/>
      <w:r>
        <w:rPr>
          <w:rFonts w:hint="eastAsia" w:ascii="宋体" w:hAnsi="宋体" w:cs="宋体"/>
          <w:sz w:val="36"/>
          <w:szCs w:val="36"/>
          <w:lang w:val="en-US" w:eastAsia="zh-CN"/>
        </w:rPr>
        <w:t>目 录</w:t>
      </w:r>
      <w:bookmarkEnd w:id="125"/>
      <w:bookmarkEnd w:id="126"/>
    </w:p>
    <w:p>
      <w:pPr>
        <w:numPr>
          <w:ilvl w:val="0"/>
          <w:numId w:val="62"/>
        </w:numPr>
        <w:bidi w:val="0"/>
        <w:spacing w:line="360" w:lineRule="auto"/>
      </w:pPr>
      <w:r>
        <w:rPr>
          <w:rFonts w:hint="eastAsia"/>
          <w:lang w:eastAsia="zh-CN"/>
        </w:rPr>
        <w:t>需求</w:t>
      </w:r>
      <w:r>
        <w:rPr>
          <w:rFonts w:hint="eastAsia"/>
        </w:rPr>
        <w:t>响应表</w:t>
      </w:r>
      <w:r>
        <w:rPr>
          <w:rFonts w:hint="eastAsia"/>
          <w:lang w:eastAsia="zh-CN"/>
        </w:rPr>
        <w:t>（</w:t>
      </w:r>
      <w:r>
        <w:rPr>
          <w:rFonts w:hint="eastAsia"/>
          <w:lang w:val="en-US" w:eastAsia="zh-CN"/>
        </w:rPr>
        <w:t>见附件</w:t>
      </w:r>
      <w:r>
        <w:rPr>
          <w:rFonts w:hint="eastAsia"/>
          <w:lang w:eastAsia="zh-CN"/>
        </w:rPr>
        <w:t>）</w:t>
      </w:r>
      <w:r>
        <w:rPr>
          <w:rFonts w:hint="eastAsia"/>
        </w:rPr>
        <w:t>；</w:t>
      </w:r>
    </w:p>
    <w:p>
      <w:pPr>
        <w:numPr>
          <w:ilvl w:val="0"/>
          <w:numId w:val="62"/>
        </w:numPr>
        <w:bidi w:val="0"/>
        <w:spacing w:line="360" w:lineRule="auto"/>
        <w:rPr>
          <w:rFonts w:hint="eastAsia"/>
          <w:lang w:val="en-US" w:eastAsia="zh-CN"/>
        </w:rPr>
      </w:pPr>
      <w:r>
        <w:rPr>
          <w:rFonts w:hint="eastAsia"/>
        </w:rPr>
        <w:t>其余内容根据评标办法自拟</w:t>
      </w:r>
      <w:r>
        <w:rPr>
          <w:rFonts w:hint="eastAsia"/>
          <w:lang w:eastAsia="zh-CN"/>
        </w:rPr>
        <w:t>。</w:t>
      </w:r>
    </w:p>
    <w:p>
      <w:pPr>
        <w:rPr>
          <w:rFonts w:hint="eastAsia" w:ascii="宋体" w:hAnsi="宋体" w:cs="宋体"/>
          <w:sz w:val="36"/>
          <w:szCs w:val="36"/>
          <w:lang w:val="en-US" w:eastAsia="zh-CN"/>
        </w:rPr>
      </w:pPr>
      <w:bookmarkStart w:id="127" w:name="_Toc5427"/>
      <w:bookmarkStart w:id="128" w:name="_Toc17240"/>
      <w:r>
        <w:rPr>
          <w:rFonts w:hint="eastAsia" w:ascii="宋体" w:hAnsi="宋体" w:cs="宋体"/>
          <w:sz w:val="36"/>
          <w:szCs w:val="36"/>
          <w:lang w:val="en-US" w:eastAsia="zh-CN"/>
        </w:rPr>
        <w:br w:type="page"/>
      </w:r>
    </w:p>
    <w:p>
      <w:pPr>
        <w:spacing w:line="360" w:lineRule="auto"/>
        <w:ind w:right="532" w:firstLine="720" w:firstLineChars="200"/>
        <w:jc w:val="center"/>
        <w:outlineLvl w:val="1"/>
        <w:rPr>
          <w:rFonts w:hint="eastAsia" w:ascii="宋体" w:hAnsi="宋体" w:cs="宋体"/>
          <w:sz w:val="36"/>
          <w:szCs w:val="36"/>
          <w:lang w:val="en-US" w:eastAsia="zh-CN"/>
        </w:rPr>
      </w:pPr>
      <w:r>
        <w:rPr>
          <w:rFonts w:hint="eastAsia" w:ascii="宋体" w:hAnsi="宋体" w:cs="宋体"/>
          <w:sz w:val="36"/>
          <w:szCs w:val="36"/>
          <w:lang w:val="en-US" w:eastAsia="zh-CN"/>
        </w:rPr>
        <w:t>供应商自评表</w:t>
      </w:r>
      <w:bookmarkEnd w:id="127"/>
      <w:bookmarkEnd w:id="128"/>
      <w:r>
        <w:rPr>
          <w:rFonts w:hint="eastAsia" w:ascii="宋体" w:hAnsi="宋体" w:cs="宋体"/>
          <w:sz w:val="36"/>
          <w:szCs w:val="36"/>
          <w:lang w:val="en-US" w:eastAsia="zh-CN"/>
        </w:rPr>
        <w:t>（非必须提供）</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9"/>
              <w:jc w:val="center"/>
              <w:outlineLvl w:val="9"/>
              <w:rPr>
                <w:rFonts w:hint="eastAsia"/>
                <w:vertAlign w:val="baseline"/>
                <w:lang w:val="en-US" w:eastAsia="zh-CN"/>
              </w:rPr>
            </w:pPr>
            <w:r>
              <w:rPr>
                <w:rFonts w:hint="eastAsia"/>
                <w:vertAlign w:val="baseline"/>
                <w:lang w:val="en-US" w:eastAsia="zh-CN"/>
              </w:rPr>
              <w:t>评分细项</w:t>
            </w:r>
          </w:p>
        </w:tc>
        <w:tc>
          <w:tcPr>
            <w:tcW w:w="2841" w:type="dxa"/>
          </w:tcPr>
          <w:p>
            <w:pPr>
              <w:pStyle w:val="19"/>
              <w:jc w:val="center"/>
              <w:outlineLvl w:val="9"/>
              <w:rPr>
                <w:rFonts w:hint="eastAsia"/>
                <w:vertAlign w:val="baseline"/>
                <w:lang w:val="en-US" w:eastAsia="zh-CN"/>
              </w:rPr>
            </w:pPr>
            <w:r>
              <w:rPr>
                <w:rFonts w:hint="eastAsia"/>
                <w:vertAlign w:val="baseline"/>
                <w:lang w:val="en-US" w:eastAsia="zh-CN"/>
              </w:rPr>
              <w:t>对应页码</w:t>
            </w:r>
          </w:p>
        </w:tc>
        <w:tc>
          <w:tcPr>
            <w:tcW w:w="2841" w:type="dxa"/>
          </w:tcPr>
          <w:p>
            <w:pPr>
              <w:pStyle w:val="19"/>
              <w:jc w:val="center"/>
              <w:outlineLvl w:val="9"/>
              <w:rPr>
                <w:rFonts w:hint="eastAsia"/>
                <w:vertAlign w:val="baseline"/>
                <w:lang w:val="en-US" w:eastAsia="zh-CN"/>
              </w:rPr>
            </w:pPr>
            <w:r>
              <w:rPr>
                <w:rFonts w:hint="eastAsia"/>
                <w:vertAlign w:val="baseline"/>
                <w:lang w:val="en-US" w:eastAsia="zh-CN"/>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default" w:ascii="Times New Roman" w:hAnsi="Times New Roman" w:eastAsia="宋体" w:cs="Times New Roman"/>
                <w:kern w:val="2"/>
                <w:sz w:val="24"/>
                <w:szCs w:val="24"/>
                <w:vertAlign w:val="baseline"/>
                <w:lang w:val="en-US" w:eastAsia="zh-CN" w:bidi="ar-SA"/>
              </w:rPr>
            </w:pPr>
            <w:r>
              <w:rPr>
                <w:rFonts w:hint="eastAsia" w:ascii="宋体" w:hAnsi="宋体" w:eastAsia="宋体" w:cs="宋体"/>
                <w:kern w:val="0"/>
                <w:szCs w:val="21"/>
              </w:rPr>
              <w:t>服务</w:t>
            </w:r>
            <w:r>
              <w:rPr>
                <w:rFonts w:hint="eastAsia" w:ascii="宋体" w:hAnsi="宋体" w:eastAsia="宋体" w:cs="宋体"/>
                <w:kern w:val="0"/>
                <w:szCs w:val="21"/>
                <w:lang w:eastAsia="zh-CN"/>
              </w:rPr>
              <w:t>团队</w:t>
            </w:r>
          </w:p>
        </w:tc>
        <w:tc>
          <w:tcPr>
            <w:tcW w:w="2841" w:type="dxa"/>
          </w:tcPr>
          <w:p>
            <w:pPr>
              <w:pStyle w:val="19"/>
              <w:outlineLvl w:val="9"/>
              <w:rPr>
                <w:rFonts w:hint="eastAsia"/>
                <w:i/>
                <w:iCs/>
                <w:color w:val="FF0000"/>
                <w:vertAlign w:val="baseline"/>
                <w:lang w:val="en-US" w:eastAsia="zh-CN"/>
              </w:rPr>
            </w:pPr>
          </w:p>
        </w:tc>
        <w:tc>
          <w:tcPr>
            <w:tcW w:w="2841" w:type="dxa"/>
          </w:tcPr>
          <w:p>
            <w:pPr>
              <w:pStyle w:val="19"/>
              <w:outlineLvl w:val="9"/>
              <w:rPr>
                <w:rFonts w:hint="default"/>
                <w:i/>
                <w:iCs/>
                <w:color w:val="FF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Times New Roman" w:hAnsi="Times New Roman" w:eastAsia="宋体" w:cs="Times New Roman"/>
                <w:kern w:val="2"/>
                <w:sz w:val="24"/>
                <w:szCs w:val="24"/>
                <w:vertAlign w:val="baseline"/>
                <w:lang w:val="en-US" w:eastAsia="zh-CN" w:bidi="ar-SA"/>
              </w:rPr>
            </w:pPr>
            <w:r>
              <w:rPr>
                <w:rFonts w:hint="eastAsia" w:ascii="宋体" w:hAnsi="宋体" w:eastAsia="宋体" w:cs="宋体"/>
                <w:kern w:val="0"/>
                <w:szCs w:val="21"/>
              </w:rPr>
              <w:t>预付赔款承诺</w:t>
            </w:r>
          </w:p>
        </w:tc>
        <w:tc>
          <w:tcPr>
            <w:tcW w:w="2841" w:type="dxa"/>
          </w:tcPr>
          <w:p>
            <w:pPr>
              <w:pStyle w:val="19"/>
              <w:outlineLvl w:val="9"/>
              <w:rPr>
                <w:rFonts w:hint="eastAsia"/>
                <w:vertAlign w:val="baseline"/>
                <w:lang w:val="en-US" w:eastAsia="zh-CN"/>
              </w:rPr>
            </w:pPr>
          </w:p>
        </w:tc>
        <w:tc>
          <w:tcPr>
            <w:tcW w:w="2841" w:type="dxa"/>
          </w:tcPr>
          <w:p>
            <w:pPr>
              <w:pStyle w:val="19"/>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Times New Roman" w:hAnsi="Times New Roman" w:eastAsia="宋体" w:cs="Times New Roman"/>
                <w:kern w:val="2"/>
                <w:sz w:val="24"/>
                <w:szCs w:val="24"/>
                <w:vertAlign w:val="baseline"/>
                <w:lang w:val="en-US" w:eastAsia="zh-CN" w:bidi="ar-SA"/>
              </w:rPr>
            </w:pPr>
            <w:r>
              <w:rPr>
                <w:rFonts w:hint="eastAsia" w:ascii="宋体" w:hAnsi="宋体" w:eastAsia="宋体" w:cs="宋体"/>
                <w:kern w:val="0"/>
                <w:szCs w:val="21"/>
              </w:rPr>
              <w:t>简化理赔手续</w:t>
            </w:r>
          </w:p>
        </w:tc>
        <w:tc>
          <w:tcPr>
            <w:tcW w:w="2841" w:type="dxa"/>
          </w:tcPr>
          <w:p>
            <w:pPr>
              <w:pStyle w:val="19"/>
              <w:outlineLvl w:val="9"/>
              <w:rPr>
                <w:rFonts w:hint="eastAsia"/>
                <w:vertAlign w:val="baseline"/>
                <w:lang w:val="en-US" w:eastAsia="zh-CN"/>
              </w:rPr>
            </w:pPr>
          </w:p>
        </w:tc>
        <w:tc>
          <w:tcPr>
            <w:tcW w:w="2841" w:type="dxa"/>
          </w:tcPr>
          <w:p>
            <w:pPr>
              <w:pStyle w:val="19"/>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Times New Roman" w:hAnsi="Times New Roman" w:eastAsia="宋体" w:cs="Times New Roman"/>
                <w:kern w:val="2"/>
                <w:sz w:val="24"/>
                <w:szCs w:val="24"/>
                <w:vertAlign w:val="baseline"/>
                <w:lang w:val="en-US" w:eastAsia="zh-CN" w:bidi="ar-SA"/>
              </w:rPr>
            </w:pPr>
            <w:r>
              <w:rPr>
                <w:rFonts w:hint="eastAsia" w:ascii="宋体" w:hAnsi="宋体" w:eastAsia="宋体" w:cs="宋体"/>
                <w:kern w:val="0"/>
                <w:szCs w:val="21"/>
                <w:lang w:eastAsia="zh-CN"/>
              </w:rPr>
              <w:t>本地化措施</w:t>
            </w:r>
          </w:p>
        </w:tc>
        <w:tc>
          <w:tcPr>
            <w:tcW w:w="2841" w:type="dxa"/>
          </w:tcPr>
          <w:p>
            <w:pPr>
              <w:pStyle w:val="19"/>
              <w:outlineLvl w:val="9"/>
              <w:rPr>
                <w:rFonts w:hint="eastAsia"/>
                <w:vertAlign w:val="baseline"/>
                <w:lang w:val="en-US" w:eastAsia="zh-CN"/>
              </w:rPr>
            </w:pPr>
          </w:p>
        </w:tc>
        <w:tc>
          <w:tcPr>
            <w:tcW w:w="2841" w:type="dxa"/>
          </w:tcPr>
          <w:p>
            <w:pPr>
              <w:pStyle w:val="19"/>
              <w:outlineLvl w:val="9"/>
              <w:rPr>
                <w:rFonts w:hint="eastAsia"/>
                <w:vertAlign w:val="baseline"/>
                <w:lang w:val="en-US" w:eastAsia="zh-CN"/>
              </w:rPr>
            </w:pPr>
            <w:r>
              <w:rPr>
                <w:rFonts w:hint="eastAsia" w:ascii="宋体" w:hAnsi="宋体" w:eastAsia="宋体" w:cs="宋体"/>
                <w:i w:val="0"/>
                <w:iCs w:val="0"/>
                <w:color w:val="auto"/>
                <w:vertAlign w:val="baseline"/>
                <w:lang w:val="en-US" w:eastAsia="zh-CN"/>
              </w:rPr>
              <w:t>供应商无须进行自评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Times New Roman" w:hAnsi="Times New Roman" w:eastAsia="宋体" w:cs="Times New Roman"/>
                <w:kern w:val="2"/>
                <w:sz w:val="24"/>
                <w:szCs w:val="24"/>
                <w:vertAlign w:val="baseline"/>
                <w:lang w:val="en-US" w:eastAsia="zh-CN" w:bidi="ar-SA"/>
              </w:rPr>
            </w:pPr>
            <w:r>
              <w:rPr>
                <w:rFonts w:hint="eastAsia" w:ascii="宋体" w:hAnsi="宋体" w:eastAsia="宋体" w:cs="宋体"/>
                <w:kern w:val="0"/>
                <w:szCs w:val="21"/>
              </w:rPr>
              <w:t>上级公司承担风险承诺</w:t>
            </w:r>
          </w:p>
        </w:tc>
        <w:tc>
          <w:tcPr>
            <w:tcW w:w="2841" w:type="dxa"/>
          </w:tcPr>
          <w:p>
            <w:pPr>
              <w:pStyle w:val="19"/>
              <w:outlineLvl w:val="9"/>
              <w:rPr>
                <w:rFonts w:hint="eastAsia"/>
                <w:vertAlign w:val="baseline"/>
                <w:lang w:val="en-US" w:eastAsia="zh-CN"/>
              </w:rPr>
            </w:pPr>
          </w:p>
        </w:tc>
        <w:tc>
          <w:tcPr>
            <w:tcW w:w="2841" w:type="dxa"/>
          </w:tcPr>
          <w:p>
            <w:pPr>
              <w:pStyle w:val="19"/>
              <w:outlineLvl w:val="9"/>
              <w:rPr>
                <w:rFonts w:hint="eastAsia" w:ascii="宋体" w:hAnsi="宋体" w:eastAsia="宋体" w:cs="宋体"/>
                <w:i w:val="0"/>
                <w:iCs w:val="0"/>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bidi w:val="0"/>
              <w:jc w:val="center"/>
              <w:rPr>
                <w:rFonts w:hint="eastAsia" w:ascii="Times New Roman" w:hAnsi="Times New Roman" w:eastAsia="宋体" w:cs="Times New Roman"/>
                <w:kern w:val="2"/>
                <w:sz w:val="24"/>
                <w:szCs w:val="24"/>
                <w:vertAlign w:val="baseline"/>
                <w:lang w:val="en-US" w:eastAsia="zh-CN" w:bidi="ar-SA"/>
              </w:rPr>
            </w:pPr>
            <w:r>
              <w:rPr>
                <w:rFonts w:hint="eastAsia"/>
              </w:rPr>
              <w:t>服务方案</w:t>
            </w:r>
          </w:p>
        </w:tc>
        <w:tc>
          <w:tcPr>
            <w:tcW w:w="2841" w:type="dxa"/>
          </w:tcPr>
          <w:p>
            <w:pPr>
              <w:pStyle w:val="19"/>
              <w:outlineLvl w:val="9"/>
              <w:rPr>
                <w:rFonts w:hint="eastAsia"/>
                <w:vertAlign w:val="baseline"/>
                <w:lang w:val="en-US" w:eastAsia="zh-CN"/>
              </w:rPr>
            </w:pPr>
          </w:p>
        </w:tc>
        <w:tc>
          <w:tcPr>
            <w:tcW w:w="2841" w:type="dxa"/>
          </w:tcPr>
          <w:p>
            <w:pPr>
              <w:pStyle w:val="19"/>
              <w:outlineLvl w:val="9"/>
              <w:rPr>
                <w:rFonts w:hint="eastAsia" w:ascii="宋体" w:hAnsi="宋体" w:eastAsia="宋体" w:cs="宋体"/>
                <w:i w:val="0"/>
                <w:iCs w:val="0"/>
                <w:color w:val="auto"/>
                <w:vertAlign w:val="baseline"/>
                <w:lang w:val="en-US" w:eastAsia="zh-CN"/>
              </w:rPr>
            </w:pPr>
            <w:r>
              <w:rPr>
                <w:rFonts w:hint="eastAsia" w:ascii="宋体" w:hAnsi="宋体" w:eastAsia="宋体" w:cs="宋体"/>
                <w:i w:val="0"/>
                <w:iCs w:val="0"/>
                <w:color w:val="auto"/>
                <w:vertAlign w:val="baseline"/>
                <w:lang w:val="en-US" w:eastAsia="zh-CN"/>
              </w:rPr>
              <w:t>供应商无须进行自评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bidi w:val="0"/>
              <w:jc w:val="center"/>
              <w:rPr>
                <w:rFonts w:hint="eastAsia" w:ascii="Times New Roman" w:hAnsi="Times New Roman" w:eastAsia="宋体" w:cs="Times New Roman"/>
                <w:kern w:val="2"/>
                <w:sz w:val="24"/>
                <w:szCs w:val="24"/>
                <w:vertAlign w:val="baseline"/>
                <w:lang w:val="en-US" w:eastAsia="zh-CN" w:bidi="ar-SA"/>
              </w:rPr>
            </w:pPr>
            <w:r>
              <w:rPr>
                <w:rFonts w:hint="eastAsia"/>
              </w:rPr>
              <w:t>创新措施</w:t>
            </w:r>
          </w:p>
        </w:tc>
        <w:tc>
          <w:tcPr>
            <w:tcW w:w="2841" w:type="dxa"/>
          </w:tcPr>
          <w:p>
            <w:pPr>
              <w:pStyle w:val="19"/>
              <w:outlineLvl w:val="9"/>
              <w:rPr>
                <w:rFonts w:hint="eastAsia"/>
                <w:vertAlign w:val="baseline"/>
                <w:lang w:val="en-US" w:eastAsia="zh-CN"/>
              </w:rPr>
            </w:pPr>
          </w:p>
        </w:tc>
        <w:tc>
          <w:tcPr>
            <w:tcW w:w="2841" w:type="dxa"/>
          </w:tcPr>
          <w:p>
            <w:pPr>
              <w:pStyle w:val="19"/>
              <w:outlineLvl w:val="9"/>
              <w:rPr>
                <w:rFonts w:hint="eastAsia" w:ascii="宋体" w:hAnsi="宋体" w:eastAsia="宋体" w:cs="宋体"/>
                <w:i w:val="0"/>
                <w:iCs w:val="0"/>
                <w:color w:val="auto"/>
                <w:vertAlign w:val="baseline"/>
                <w:lang w:val="en-US" w:eastAsia="zh-CN"/>
              </w:rPr>
            </w:pPr>
            <w:r>
              <w:rPr>
                <w:rFonts w:hint="eastAsia" w:ascii="宋体" w:hAnsi="宋体" w:eastAsia="宋体" w:cs="宋体"/>
                <w:i w:val="0"/>
                <w:iCs w:val="0"/>
                <w:color w:val="auto"/>
                <w:vertAlign w:val="baseline"/>
                <w:lang w:val="en-US" w:eastAsia="zh-CN"/>
              </w:rPr>
              <w:t>供应商无须进行自评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Times New Roman" w:hAnsi="Times New Roman" w:eastAsia="宋体" w:cs="Times New Roman"/>
                <w:kern w:val="2"/>
                <w:sz w:val="24"/>
                <w:szCs w:val="24"/>
                <w:vertAlign w:val="baseline"/>
                <w:lang w:val="en-US" w:eastAsia="zh-CN" w:bidi="ar-SA"/>
              </w:rPr>
            </w:pPr>
            <w:r>
              <w:rPr>
                <w:rFonts w:hint="eastAsia" w:ascii="宋体" w:hAnsi="宋体" w:eastAsia="宋体" w:cs="宋体"/>
                <w:sz w:val="22"/>
                <w:szCs w:val="22"/>
                <w:shd w:val="clear" w:color="auto" w:fill="FFFFFF"/>
              </w:rPr>
              <w:t>运营服务水平</w:t>
            </w:r>
          </w:p>
        </w:tc>
        <w:tc>
          <w:tcPr>
            <w:tcW w:w="2841" w:type="dxa"/>
          </w:tcPr>
          <w:p>
            <w:pPr>
              <w:pStyle w:val="19"/>
              <w:outlineLvl w:val="9"/>
              <w:rPr>
                <w:rFonts w:hint="eastAsia"/>
                <w:vertAlign w:val="baseline"/>
                <w:lang w:val="en-US" w:eastAsia="zh-CN"/>
              </w:rPr>
            </w:pPr>
          </w:p>
        </w:tc>
        <w:tc>
          <w:tcPr>
            <w:tcW w:w="2841" w:type="dxa"/>
          </w:tcPr>
          <w:p>
            <w:pPr>
              <w:pStyle w:val="19"/>
              <w:outlineLvl w:val="9"/>
              <w:rPr>
                <w:rFonts w:hint="eastAsia" w:ascii="宋体" w:hAnsi="宋体" w:eastAsia="宋体" w:cs="宋体"/>
                <w:i w:val="0"/>
                <w:iCs w:val="0"/>
                <w:color w:val="auto"/>
                <w:vertAlign w:val="baseline"/>
                <w:lang w:val="en-US" w:eastAsia="zh-CN"/>
              </w:rPr>
            </w:pPr>
            <w:r>
              <w:rPr>
                <w:rFonts w:hint="eastAsia" w:ascii="宋体" w:hAnsi="宋体" w:eastAsia="宋体" w:cs="宋体"/>
                <w:i w:val="0"/>
                <w:iCs w:val="0"/>
                <w:color w:val="auto"/>
                <w:vertAlign w:val="baseline"/>
                <w:lang w:val="en-US" w:eastAsia="zh-CN"/>
              </w:rPr>
              <w:t>供应商无须进行自评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4"/>
                <w:szCs w:val="24"/>
                <w:vertAlign w:val="baseline"/>
                <w:lang w:val="en-US" w:eastAsia="zh-CN" w:bidi="ar-SA"/>
              </w:rPr>
            </w:pPr>
            <w:r>
              <w:rPr>
                <w:rFonts w:hint="eastAsia" w:ascii="宋体" w:hAnsi="宋体" w:eastAsia="宋体" w:cs="宋体"/>
                <w:kern w:val="0"/>
                <w:szCs w:val="21"/>
              </w:rPr>
              <w:t>项目经验</w:t>
            </w:r>
          </w:p>
        </w:tc>
        <w:tc>
          <w:tcPr>
            <w:tcW w:w="2841" w:type="dxa"/>
          </w:tcPr>
          <w:p>
            <w:pPr>
              <w:pStyle w:val="19"/>
              <w:outlineLvl w:val="9"/>
              <w:rPr>
                <w:rFonts w:hint="eastAsia"/>
                <w:vertAlign w:val="baseline"/>
                <w:lang w:val="en-US" w:eastAsia="zh-CN"/>
              </w:rPr>
            </w:pPr>
          </w:p>
        </w:tc>
        <w:tc>
          <w:tcPr>
            <w:tcW w:w="2841" w:type="dxa"/>
          </w:tcPr>
          <w:p>
            <w:pPr>
              <w:pStyle w:val="19"/>
              <w:outlineLvl w:val="9"/>
              <w:rPr>
                <w:rFonts w:hint="eastAsia" w:ascii="宋体" w:hAnsi="宋体" w:eastAsia="宋体" w:cs="宋体"/>
                <w:i w:val="0"/>
                <w:iCs w:val="0"/>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4"/>
                <w:szCs w:val="24"/>
                <w:vertAlign w:val="baseline"/>
                <w:lang w:val="en-US" w:eastAsia="zh-CN" w:bidi="ar-SA"/>
              </w:rPr>
            </w:pPr>
            <w:r>
              <w:rPr>
                <w:rFonts w:hint="eastAsia" w:ascii="宋体" w:hAnsi="宋体" w:eastAsia="宋体" w:cs="宋体"/>
                <w:kern w:val="0"/>
                <w:szCs w:val="21"/>
              </w:rPr>
              <w:t>保险责任匹配度</w:t>
            </w:r>
          </w:p>
        </w:tc>
        <w:tc>
          <w:tcPr>
            <w:tcW w:w="2841" w:type="dxa"/>
          </w:tcPr>
          <w:p>
            <w:pPr>
              <w:pStyle w:val="19"/>
              <w:outlineLvl w:val="9"/>
              <w:rPr>
                <w:rFonts w:hint="eastAsia"/>
                <w:vertAlign w:val="baseline"/>
                <w:lang w:val="en-US" w:eastAsia="zh-CN"/>
              </w:rPr>
            </w:pPr>
          </w:p>
        </w:tc>
        <w:tc>
          <w:tcPr>
            <w:tcW w:w="2841" w:type="dxa"/>
          </w:tcPr>
          <w:p>
            <w:pPr>
              <w:pStyle w:val="19"/>
              <w:outlineLvl w:val="9"/>
              <w:rPr>
                <w:rFonts w:hint="eastAsia" w:ascii="宋体" w:hAnsi="宋体" w:eastAsia="宋体" w:cs="宋体"/>
                <w:i w:val="0"/>
                <w:iCs w:val="0"/>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4"/>
                <w:szCs w:val="24"/>
                <w:vertAlign w:val="baseline"/>
                <w:lang w:val="en-US" w:eastAsia="zh-CN" w:bidi="ar-SA"/>
              </w:rPr>
            </w:pPr>
            <w:r>
              <w:rPr>
                <w:rFonts w:hint="eastAsia" w:ascii="宋体" w:hAnsi="宋体" w:eastAsia="宋体" w:cs="宋体"/>
                <w:kern w:val="0"/>
                <w:szCs w:val="21"/>
              </w:rPr>
              <w:t>偿付能力充足率</w:t>
            </w:r>
          </w:p>
        </w:tc>
        <w:tc>
          <w:tcPr>
            <w:tcW w:w="2841" w:type="dxa"/>
          </w:tcPr>
          <w:p>
            <w:pPr>
              <w:pStyle w:val="19"/>
              <w:outlineLvl w:val="9"/>
              <w:rPr>
                <w:rFonts w:hint="eastAsia"/>
                <w:vertAlign w:val="baseline"/>
                <w:lang w:val="en-US" w:eastAsia="zh-CN"/>
              </w:rPr>
            </w:pPr>
          </w:p>
        </w:tc>
        <w:tc>
          <w:tcPr>
            <w:tcW w:w="2841" w:type="dxa"/>
          </w:tcPr>
          <w:p>
            <w:pPr>
              <w:pStyle w:val="19"/>
              <w:outlineLvl w:val="9"/>
              <w:rPr>
                <w:rFonts w:hint="eastAsia"/>
                <w:vertAlign w:val="baseline"/>
                <w:lang w:val="en-US" w:eastAsia="zh-CN"/>
              </w:rPr>
            </w:pPr>
          </w:p>
        </w:tc>
      </w:tr>
    </w:tbl>
    <w:p>
      <w:pPr>
        <w:pStyle w:val="19"/>
        <w:outlineLvl w:val="9"/>
        <w:rPr>
          <w:rFonts w:hint="eastAsia"/>
          <w:lang w:val="en-US" w:eastAsia="zh-CN"/>
        </w:rPr>
      </w:pPr>
    </w:p>
    <w:p>
      <w:pPr>
        <w:snapToGrid w:val="0"/>
        <w:spacing w:before="50" w:after="50" w:line="360" w:lineRule="auto"/>
        <w:outlineLvl w:val="9"/>
        <w:rPr>
          <w:rFonts w:hint="eastAsia" w:ascii="宋体" w:hAnsi="宋体" w:eastAsia="宋体" w:cs="宋体"/>
          <w:b/>
          <w:sz w:val="36"/>
          <w:szCs w:val="36"/>
        </w:rPr>
      </w:pPr>
    </w:p>
    <w:p>
      <w:pPr>
        <w:outlineLvl w:val="9"/>
        <w:rPr>
          <w:rFonts w:hint="eastAsia" w:ascii="宋体" w:hAnsi="宋体" w:eastAsia="宋体" w:cs="宋体"/>
          <w:b/>
          <w:sz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b/>
          <w:sz w:val="28"/>
        </w:rPr>
        <w:br w:type="page"/>
      </w:r>
    </w:p>
    <w:p>
      <w:pPr>
        <w:numPr>
          <w:ilvl w:val="0"/>
          <w:numId w:val="60"/>
        </w:numPr>
        <w:ind w:left="0" w:leftChars="0" w:firstLine="0" w:firstLineChars="0"/>
        <w:outlineLvl w:val="1"/>
        <w:rPr>
          <w:rFonts w:hint="eastAsia" w:ascii="宋体" w:hAnsi="宋体" w:eastAsia="宋体" w:cs="宋体"/>
          <w:b/>
          <w:sz w:val="28"/>
          <w:szCs w:val="28"/>
          <w:lang w:eastAsia="zh-CN"/>
        </w:rPr>
      </w:pPr>
      <w:bookmarkStart w:id="129" w:name="_Toc19776"/>
      <w:bookmarkEnd w:id="129"/>
    </w:p>
    <w:p>
      <w:pPr>
        <w:spacing w:line="360" w:lineRule="auto"/>
        <w:ind w:left="549" w:hanging="549" w:hangingChars="171"/>
        <w:jc w:val="center"/>
        <w:outlineLvl w:val="1"/>
        <w:rPr>
          <w:rFonts w:hint="eastAsia" w:ascii="宋体" w:hAnsi="宋体" w:eastAsia="宋体" w:cs="宋体"/>
          <w:b/>
          <w:sz w:val="18"/>
          <w:szCs w:val="18"/>
        </w:rPr>
      </w:pPr>
      <w:bookmarkStart w:id="130" w:name="_Toc7557"/>
      <w:bookmarkStart w:id="131" w:name="_Toc6980"/>
      <w:r>
        <w:rPr>
          <w:rFonts w:hint="eastAsia" w:ascii="宋体" w:hAnsi="宋体" w:eastAsia="宋体" w:cs="宋体"/>
          <w:b/>
          <w:sz w:val="32"/>
          <w:szCs w:val="32"/>
        </w:rPr>
        <w:t>需求响应表</w:t>
      </w:r>
      <w:bookmarkEnd w:id="130"/>
      <w:bookmarkEnd w:id="131"/>
    </w:p>
    <w:tbl>
      <w:tblPr>
        <w:tblStyle w:val="21"/>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outlineLvl w:val="9"/>
              <w:rPr>
                <w:rFonts w:hint="eastAsia" w:ascii="宋体" w:hAnsi="宋体" w:eastAsia="宋体" w:cs="宋体"/>
                <w:b/>
                <w:sz w:val="24"/>
              </w:rPr>
            </w:pPr>
            <w:r>
              <w:rPr>
                <w:rFonts w:hint="eastAsia" w:ascii="宋体" w:hAnsi="宋体" w:eastAsia="宋体" w:cs="宋体"/>
                <w:b/>
                <w:sz w:val="24"/>
              </w:rPr>
              <w:t>序号</w:t>
            </w:r>
          </w:p>
        </w:tc>
        <w:tc>
          <w:tcPr>
            <w:tcW w:w="1785" w:type="dxa"/>
            <w:vAlign w:val="center"/>
          </w:tcPr>
          <w:p>
            <w:pPr>
              <w:outlineLvl w:val="9"/>
              <w:rPr>
                <w:rFonts w:hint="eastAsia" w:ascii="宋体" w:hAnsi="宋体" w:eastAsia="宋体" w:cs="宋体"/>
                <w:b/>
                <w:sz w:val="24"/>
              </w:rPr>
            </w:pPr>
            <w:r>
              <w:rPr>
                <w:rFonts w:hint="eastAsia" w:ascii="宋体" w:hAnsi="宋体" w:eastAsia="宋体" w:cs="宋体"/>
                <w:b/>
                <w:sz w:val="24"/>
              </w:rPr>
              <w:t xml:space="preserve">   内容</w:t>
            </w:r>
          </w:p>
        </w:tc>
        <w:tc>
          <w:tcPr>
            <w:tcW w:w="1785" w:type="dxa"/>
            <w:vAlign w:val="center"/>
          </w:tcPr>
          <w:p>
            <w:pPr>
              <w:ind w:left="53" w:leftChars="25" w:firstLine="241" w:firstLineChars="100"/>
              <w:outlineLvl w:val="9"/>
              <w:rPr>
                <w:rFonts w:hint="eastAsia" w:ascii="宋体" w:hAnsi="宋体" w:eastAsia="宋体" w:cs="宋体"/>
                <w:b/>
                <w:sz w:val="24"/>
              </w:rPr>
            </w:pPr>
            <w:r>
              <w:rPr>
                <w:rFonts w:hint="eastAsia" w:ascii="宋体" w:hAnsi="宋体" w:eastAsia="宋体" w:cs="宋体"/>
                <w:b/>
                <w:sz w:val="24"/>
              </w:rPr>
              <w:t>招标需求</w:t>
            </w:r>
          </w:p>
        </w:tc>
        <w:tc>
          <w:tcPr>
            <w:tcW w:w="1365" w:type="dxa"/>
            <w:vAlign w:val="center"/>
          </w:tcPr>
          <w:p>
            <w:pPr>
              <w:ind w:left="152"/>
              <w:outlineLvl w:val="9"/>
              <w:rPr>
                <w:rFonts w:hint="eastAsia" w:ascii="宋体" w:hAnsi="宋体" w:eastAsia="宋体" w:cs="宋体"/>
                <w:b/>
                <w:sz w:val="24"/>
              </w:rPr>
            </w:pPr>
            <w:r>
              <w:rPr>
                <w:rFonts w:hint="eastAsia" w:ascii="宋体" w:hAnsi="宋体" w:eastAsia="宋体" w:cs="宋体"/>
                <w:b/>
                <w:sz w:val="24"/>
              </w:rPr>
              <w:t>是否响应</w:t>
            </w:r>
          </w:p>
        </w:tc>
        <w:tc>
          <w:tcPr>
            <w:tcW w:w="2625" w:type="dxa"/>
            <w:vAlign w:val="center"/>
          </w:tcPr>
          <w:p>
            <w:pPr>
              <w:jc w:val="center"/>
              <w:outlineLvl w:val="9"/>
              <w:rPr>
                <w:rFonts w:hint="eastAsia" w:ascii="宋体" w:hAnsi="宋体" w:eastAsia="宋体" w:cs="宋体"/>
                <w:b/>
                <w:sz w:val="24"/>
              </w:rPr>
            </w:pPr>
            <w:r>
              <w:rPr>
                <w:rFonts w:hint="eastAsia" w:ascii="宋体" w:hAnsi="宋体" w:eastAsia="宋体" w:cs="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jc w:val="center"/>
              <w:outlineLvl w:val="9"/>
              <w:rPr>
                <w:rFonts w:hint="eastAsia" w:ascii="宋体" w:hAnsi="宋体" w:eastAsia="宋体" w:cs="宋体"/>
                <w:sz w:val="24"/>
                <w:lang w:val="en-US" w:eastAsia="zh-CN"/>
              </w:rPr>
            </w:pPr>
            <w:r>
              <w:rPr>
                <w:rFonts w:hint="eastAsia" w:ascii="宋体" w:hAnsi="宋体" w:cs="宋体"/>
                <w:sz w:val="24"/>
                <w:lang w:val="en-US" w:eastAsia="zh-CN"/>
              </w:rPr>
              <w:t>1</w:t>
            </w:r>
          </w:p>
        </w:tc>
        <w:tc>
          <w:tcPr>
            <w:tcW w:w="1785" w:type="dxa"/>
            <w:vAlign w:val="center"/>
          </w:tcPr>
          <w:p>
            <w:pPr>
              <w:widowControl/>
              <w:spacing w:line="312" w:lineRule="auto"/>
              <w:jc w:val="center"/>
              <w:rPr>
                <w:rFonts w:hint="eastAsia" w:ascii="宋体" w:hAnsi="宋体" w:eastAsia="宋体" w:cs="宋体"/>
                <w:sz w:val="24"/>
              </w:rPr>
            </w:pPr>
            <w:r>
              <w:rPr>
                <w:rFonts w:hint="eastAsia" w:ascii="宋体" w:hAnsi="宋体" w:eastAsia="宋体" w:cs="宋体"/>
                <w:b/>
                <w:bCs/>
                <w:kern w:val="0"/>
                <w:sz w:val="21"/>
                <w:szCs w:val="21"/>
                <w:highlight w:val="none"/>
              </w:rPr>
              <w:t>▲</w:t>
            </w:r>
            <w:r>
              <w:rPr>
                <w:rFonts w:hint="eastAsia" w:ascii="宋体" w:hAnsi="宋体" w:cs="宋体"/>
                <w:b/>
                <w:bCs/>
                <w:kern w:val="0"/>
                <w:sz w:val="21"/>
                <w:szCs w:val="21"/>
                <w:highlight w:val="none"/>
                <w:lang w:val="en-US" w:eastAsia="zh-CN"/>
              </w:rPr>
              <w:t>服务</w:t>
            </w:r>
            <w:r>
              <w:rPr>
                <w:rFonts w:hint="eastAsia" w:ascii="宋体" w:hAnsi="宋体" w:eastAsia="宋体" w:cs="宋体"/>
                <w:b/>
                <w:bCs/>
                <w:kern w:val="0"/>
                <w:sz w:val="21"/>
                <w:szCs w:val="21"/>
                <w:highlight w:val="none"/>
              </w:rPr>
              <w:t>期</w:t>
            </w:r>
          </w:p>
        </w:tc>
        <w:tc>
          <w:tcPr>
            <w:tcW w:w="1785" w:type="dxa"/>
            <w:vAlign w:val="center"/>
          </w:tcPr>
          <w:p>
            <w:pPr>
              <w:widowControl/>
              <w:spacing w:line="312" w:lineRule="auto"/>
              <w:jc w:val="left"/>
              <w:rPr>
                <w:rFonts w:hint="eastAsia" w:ascii="宋体" w:hAnsi="宋体" w:eastAsia="宋体" w:cs="宋体"/>
                <w:sz w:val="24"/>
              </w:rPr>
            </w:pPr>
            <w:r>
              <w:rPr>
                <w:rFonts w:hint="eastAsia" w:ascii="宋体" w:hAnsi="宋体" w:eastAsia="宋体" w:cs="宋体"/>
                <w:b/>
                <w:bCs/>
                <w:sz w:val="21"/>
                <w:szCs w:val="21"/>
                <w:lang w:eastAsia="zh-CN"/>
              </w:rPr>
              <w:t>1年，自合同</w:t>
            </w:r>
            <w:r>
              <w:rPr>
                <w:rFonts w:hint="eastAsia" w:ascii="宋体" w:hAnsi="宋体" w:cs="宋体"/>
                <w:b/>
                <w:bCs/>
                <w:sz w:val="21"/>
                <w:szCs w:val="21"/>
                <w:lang w:val="en-US" w:eastAsia="zh-CN"/>
              </w:rPr>
              <w:t>生效之日</w:t>
            </w:r>
            <w:r>
              <w:rPr>
                <w:rFonts w:hint="eastAsia" w:ascii="宋体" w:hAnsi="宋体" w:eastAsia="宋体" w:cs="宋体"/>
                <w:b/>
                <w:bCs/>
                <w:sz w:val="21"/>
                <w:szCs w:val="21"/>
                <w:lang w:eastAsia="zh-CN"/>
              </w:rPr>
              <w:t>起算</w:t>
            </w:r>
            <w:r>
              <w:rPr>
                <w:rFonts w:hint="eastAsia" w:ascii="宋体" w:hAnsi="宋体" w:cs="宋体"/>
                <w:b/>
                <w:bCs/>
                <w:color w:val="auto"/>
                <w:sz w:val="21"/>
                <w:szCs w:val="21"/>
                <w:lang w:eastAsia="zh-CN"/>
              </w:rPr>
              <w:t>（</w:t>
            </w:r>
            <w:r>
              <w:rPr>
                <w:rFonts w:hint="eastAsia" w:ascii="宋体" w:hAnsi="宋体" w:cs="宋体"/>
                <w:b/>
                <w:bCs/>
                <w:color w:val="auto"/>
                <w:sz w:val="21"/>
                <w:szCs w:val="21"/>
                <w:lang w:val="en-US" w:eastAsia="zh-CN"/>
              </w:rPr>
              <w:t>原合同未到期的，以原合同到期日的24时起算</w:t>
            </w:r>
            <w:r>
              <w:rPr>
                <w:rFonts w:hint="eastAsia" w:ascii="宋体" w:hAnsi="宋体" w:cs="宋体"/>
                <w:b/>
                <w:bCs/>
                <w:color w:val="auto"/>
                <w:sz w:val="21"/>
                <w:szCs w:val="21"/>
                <w:lang w:eastAsia="zh-CN"/>
              </w:rPr>
              <w:t>）</w:t>
            </w:r>
            <w:r>
              <w:rPr>
                <w:rFonts w:hint="eastAsia" w:ascii="宋体" w:hAnsi="宋体" w:eastAsia="宋体" w:cs="宋体"/>
                <w:b/>
                <w:bCs/>
                <w:color w:val="auto"/>
                <w:sz w:val="21"/>
                <w:szCs w:val="21"/>
                <w:lang w:eastAsia="zh-CN"/>
              </w:rPr>
              <w:t>，且本保单遗留</w:t>
            </w:r>
            <w:r>
              <w:rPr>
                <w:rFonts w:hint="eastAsia" w:ascii="宋体" w:hAnsi="宋体" w:eastAsia="宋体" w:cs="宋体"/>
                <w:b/>
                <w:bCs/>
                <w:sz w:val="21"/>
                <w:szCs w:val="21"/>
                <w:lang w:eastAsia="zh-CN"/>
              </w:rPr>
              <w:t>索赔事件处理完成为止。</w:t>
            </w:r>
          </w:p>
        </w:tc>
        <w:tc>
          <w:tcPr>
            <w:tcW w:w="1365" w:type="dxa"/>
            <w:vAlign w:val="center"/>
          </w:tcPr>
          <w:p>
            <w:pPr>
              <w:outlineLvl w:val="9"/>
              <w:rPr>
                <w:rFonts w:hint="eastAsia" w:ascii="宋体" w:hAnsi="宋体" w:eastAsia="宋体" w:cs="宋体"/>
                <w:sz w:val="24"/>
              </w:rPr>
            </w:pPr>
          </w:p>
        </w:tc>
        <w:tc>
          <w:tcPr>
            <w:tcW w:w="2625" w:type="dxa"/>
            <w:vAlign w:val="center"/>
          </w:tcPr>
          <w:p>
            <w:pPr>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jc w:val="center"/>
              <w:outlineLvl w:val="9"/>
              <w:rPr>
                <w:rFonts w:hint="eastAsia" w:ascii="宋体" w:hAnsi="宋体" w:eastAsia="宋体" w:cs="宋体"/>
                <w:sz w:val="24"/>
                <w:lang w:val="en-US" w:eastAsia="zh-CN"/>
              </w:rPr>
            </w:pPr>
            <w:r>
              <w:rPr>
                <w:rFonts w:hint="eastAsia" w:ascii="宋体" w:hAnsi="宋体" w:cs="宋体"/>
                <w:sz w:val="24"/>
                <w:lang w:val="en-US" w:eastAsia="zh-CN"/>
              </w:rPr>
              <w:t>2</w:t>
            </w:r>
          </w:p>
        </w:tc>
        <w:tc>
          <w:tcPr>
            <w:tcW w:w="1785" w:type="dxa"/>
            <w:vAlign w:val="center"/>
          </w:tcPr>
          <w:p>
            <w:pPr>
              <w:widowControl/>
              <w:spacing w:line="312" w:lineRule="auto"/>
              <w:jc w:val="center"/>
              <w:rPr>
                <w:rFonts w:hint="eastAsia" w:ascii="宋体" w:hAnsi="宋体" w:eastAsia="宋体" w:cs="宋体"/>
                <w:sz w:val="24"/>
              </w:rPr>
            </w:pPr>
            <w:r>
              <w:rPr>
                <w:rFonts w:hint="eastAsia" w:ascii="宋体" w:hAnsi="宋体" w:eastAsia="宋体" w:cs="宋体"/>
                <w:b/>
                <w:bCs/>
                <w:kern w:val="0"/>
                <w:sz w:val="21"/>
                <w:szCs w:val="21"/>
                <w:highlight w:val="none"/>
              </w:rPr>
              <w:t>▲</w:t>
            </w:r>
            <w:r>
              <w:rPr>
                <w:rFonts w:hint="eastAsia" w:ascii="宋体" w:hAnsi="宋体" w:cs="宋体"/>
                <w:b/>
                <w:bCs/>
                <w:kern w:val="0"/>
                <w:sz w:val="21"/>
                <w:szCs w:val="21"/>
                <w:highlight w:val="none"/>
                <w:lang w:val="en-US" w:eastAsia="zh-CN"/>
              </w:rPr>
              <w:t>服务</w:t>
            </w:r>
            <w:r>
              <w:rPr>
                <w:rFonts w:hint="eastAsia" w:ascii="宋体" w:hAnsi="宋体" w:eastAsia="宋体" w:cs="宋体"/>
                <w:b/>
                <w:bCs/>
                <w:kern w:val="0"/>
                <w:sz w:val="21"/>
                <w:szCs w:val="21"/>
                <w:highlight w:val="none"/>
              </w:rPr>
              <w:t>地点</w:t>
            </w:r>
          </w:p>
        </w:tc>
        <w:tc>
          <w:tcPr>
            <w:tcW w:w="1785" w:type="dxa"/>
            <w:vAlign w:val="center"/>
          </w:tcPr>
          <w:p>
            <w:pPr>
              <w:widowControl/>
              <w:spacing w:line="312" w:lineRule="auto"/>
              <w:jc w:val="left"/>
              <w:rPr>
                <w:rFonts w:hint="eastAsia" w:ascii="宋体" w:hAnsi="宋体" w:eastAsia="宋体" w:cs="宋体"/>
                <w:sz w:val="24"/>
              </w:rPr>
            </w:pPr>
            <w:r>
              <w:rPr>
                <w:rFonts w:hint="eastAsia" w:ascii="宋体" w:hAnsi="宋体" w:eastAsia="宋体" w:cs="宋体"/>
                <w:b/>
                <w:bCs/>
                <w:sz w:val="21"/>
                <w:szCs w:val="21"/>
                <w:lang w:eastAsia="zh-CN"/>
              </w:rPr>
              <w:t>台州各县（市、区）</w:t>
            </w:r>
          </w:p>
        </w:tc>
        <w:tc>
          <w:tcPr>
            <w:tcW w:w="1365" w:type="dxa"/>
            <w:vAlign w:val="center"/>
          </w:tcPr>
          <w:p>
            <w:pPr>
              <w:outlineLvl w:val="9"/>
              <w:rPr>
                <w:rFonts w:hint="eastAsia" w:ascii="宋体" w:hAnsi="宋体" w:eastAsia="宋体" w:cs="宋体"/>
                <w:sz w:val="24"/>
              </w:rPr>
            </w:pPr>
          </w:p>
        </w:tc>
        <w:tc>
          <w:tcPr>
            <w:tcW w:w="2625" w:type="dxa"/>
            <w:vAlign w:val="center"/>
          </w:tcPr>
          <w:p>
            <w:pPr>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jc w:val="center"/>
              <w:outlineLvl w:val="9"/>
              <w:rPr>
                <w:rFonts w:hint="eastAsia" w:ascii="宋体" w:hAnsi="宋体" w:eastAsia="宋体" w:cs="宋体"/>
                <w:sz w:val="24"/>
                <w:lang w:val="en-US" w:eastAsia="zh-CN"/>
              </w:rPr>
            </w:pPr>
            <w:r>
              <w:rPr>
                <w:rFonts w:hint="eastAsia" w:ascii="宋体" w:hAnsi="宋体" w:cs="宋体"/>
                <w:sz w:val="24"/>
                <w:lang w:val="en-US" w:eastAsia="zh-CN"/>
              </w:rPr>
              <w:t>3</w:t>
            </w:r>
          </w:p>
        </w:tc>
        <w:tc>
          <w:tcPr>
            <w:tcW w:w="1785" w:type="dxa"/>
            <w:vAlign w:val="center"/>
          </w:tcPr>
          <w:p>
            <w:pPr>
              <w:widowControl/>
              <w:spacing w:line="312" w:lineRule="auto"/>
              <w:jc w:val="center"/>
              <w:rPr>
                <w:rFonts w:hint="eastAsia" w:ascii="宋体" w:hAnsi="宋体" w:eastAsia="宋体" w:cs="宋体"/>
                <w:sz w:val="24"/>
              </w:rPr>
            </w:pPr>
            <w:r>
              <w:rPr>
                <w:rFonts w:hint="eastAsia" w:ascii="宋体" w:hAnsi="宋体" w:eastAsia="宋体" w:cs="宋体"/>
                <w:b/>
                <w:bCs/>
                <w:kern w:val="0"/>
                <w:sz w:val="21"/>
                <w:szCs w:val="21"/>
                <w:highlight w:val="none"/>
              </w:rPr>
              <w:t>▲付款条件</w:t>
            </w:r>
          </w:p>
        </w:tc>
        <w:tc>
          <w:tcPr>
            <w:tcW w:w="1785" w:type="dxa"/>
            <w:vAlign w:val="center"/>
          </w:tcPr>
          <w:p>
            <w:pPr>
              <w:widowControl/>
              <w:spacing w:line="312" w:lineRule="auto"/>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合同生效之日起</w:t>
            </w:r>
            <w:r>
              <w:rPr>
                <w:rFonts w:hint="eastAsia" w:ascii="宋体" w:hAnsi="宋体" w:eastAsia="宋体" w:cs="宋体"/>
                <w:b/>
                <w:bCs/>
                <w:sz w:val="21"/>
                <w:szCs w:val="21"/>
                <w:lang w:val="en-US" w:eastAsia="zh-CN"/>
              </w:rPr>
              <w:t>7个工作日内支付合同金额的30%作为预付款；</w:t>
            </w:r>
          </w:p>
          <w:p>
            <w:pPr>
              <w:widowControl/>
              <w:spacing w:line="312" w:lineRule="auto"/>
              <w:jc w:val="left"/>
              <w:rPr>
                <w:rFonts w:hint="eastAsia" w:ascii="宋体" w:hAnsi="宋体" w:eastAsia="宋体" w:cs="宋体"/>
                <w:b/>
                <w:bCs/>
                <w:sz w:val="21"/>
                <w:szCs w:val="21"/>
              </w:rPr>
            </w:pPr>
            <w:r>
              <w:rPr>
                <w:rFonts w:hint="eastAsia" w:ascii="宋体" w:hAnsi="宋体" w:eastAsia="宋体" w:cs="宋体"/>
                <w:b/>
                <w:bCs/>
                <w:sz w:val="21"/>
                <w:szCs w:val="21"/>
              </w:rPr>
              <w:t>有效服务满半年支付合同价款的50%；</w:t>
            </w:r>
          </w:p>
          <w:p>
            <w:pPr>
              <w:widowControl/>
              <w:spacing w:line="312" w:lineRule="auto"/>
              <w:jc w:val="left"/>
              <w:rPr>
                <w:rFonts w:hint="eastAsia" w:ascii="宋体" w:hAnsi="宋体" w:eastAsia="宋体" w:cs="宋体"/>
                <w:sz w:val="24"/>
              </w:rPr>
            </w:pPr>
            <w:r>
              <w:rPr>
                <w:rFonts w:hint="eastAsia" w:ascii="宋体" w:hAnsi="宋体" w:eastAsia="宋体" w:cs="宋体"/>
                <w:b/>
                <w:bCs/>
                <w:sz w:val="21"/>
                <w:szCs w:val="21"/>
              </w:rPr>
              <w:t>合同</w:t>
            </w:r>
            <w:r>
              <w:rPr>
                <w:rFonts w:hint="eastAsia" w:ascii="宋体" w:hAnsi="宋体" w:cs="宋体"/>
                <w:b/>
                <w:bCs/>
                <w:sz w:val="21"/>
                <w:szCs w:val="21"/>
                <w:lang w:val="en-US" w:eastAsia="zh-CN"/>
              </w:rPr>
              <w:t>服务期</w:t>
            </w:r>
            <w:r>
              <w:rPr>
                <w:rFonts w:hint="eastAsia" w:ascii="宋体" w:hAnsi="宋体" w:eastAsia="宋体" w:cs="宋体"/>
                <w:b/>
                <w:bCs/>
                <w:sz w:val="21"/>
                <w:szCs w:val="21"/>
              </w:rPr>
              <w:t>满且无遗留索赔事件后，支付合同价款的20%。</w:t>
            </w:r>
          </w:p>
        </w:tc>
        <w:tc>
          <w:tcPr>
            <w:tcW w:w="1365" w:type="dxa"/>
            <w:vAlign w:val="center"/>
          </w:tcPr>
          <w:p>
            <w:pPr>
              <w:outlineLvl w:val="9"/>
              <w:rPr>
                <w:rFonts w:hint="eastAsia" w:ascii="宋体" w:hAnsi="宋体" w:eastAsia="宋体" w:cs="宋体"/>
                <w:sz w:val="24"/>
              </w:rPr>
            </w:pPr>
          </w:p>
        </w:tc>
        <w:tc>
          <w:tcPr>
            <w:tcW w:w="2625" w:type="dxa"/>
            <w:vAlign w:val="center"/>
          </w:tcPr>
          <w:p>
            <w:pPr>
              <w:outlineLvl w:val="9"/>
              <w:rPr>
                <w:rFonts w:hint="eastAsia" w:ascii="宋体" w:hAnsi="宋体" w:eastAsia="宋体" w:cs="宋体"/>
                <w:sz w:val="24"/>
              </w:rPr>
            </w:pPr>
          </w:p>
        </w:tc>
      </w:tr>
    </w:tbl>
    <w:p>
      <w:pPr>
        <w:spacing w:line="360" w:lineRule="auto"/>
        <w:outlineLvl w:val="9"/>
        <w:rPr>
          <w:rFonts w:hint="default" w:ascii="宋体" w:hAnsi="宋体" w:eastAsia="宋体" w:cs="宋体"/>
          <w:b/>
          <w:bCs/>
          <w:color w:val="auto"/>
          <w:sz w:val="24"/>
          <w:lang w:val="en-US" w:eastAsia="zh-CN"/>
        </w:rPr>
      </w:pPr>
      <w:r>
        <w:rPr>
          <w:rFonts w:hint="eastAsia" w:ascii="宋体" w:hAnsi="宋体" w:cs="宋体"/>
          <w:b/>
          <w:bCs/>
          <w:color w:val="auto"/>
          <w:sz w:val="24"/>
          <w:lang w:val="en-US" w:eastAsia="zh-CN"/>
        </w:rPr>
        <w:t>注：以上任意一项不满足的，均按投标无效处理。</w:t>
      </w:r>
    </w:p>
    <w:p>
      <w:pPr>
        <w:spacing w:line="360" w:lineRule="auto"/>
        <w:ind w:left="420"/>
        <w:outlineLvl w:val="9"/>
        <w:rPr>
          <w:rFonts w:hint="eastAsia" w:ascii="宋体" w:hAnsi="宋体" w:eastAsia="宋体" w:cs="宋体"/>
          <w:color w:val="FF0000"/>
          <w:sz w:val="24"/>
          <w:u w:val="single"/>
        </w:rPr>
      </w:pPr>
      <w:r>
        <w:rPr>
          <w:rFonts w:hint="eastAsia" w:ascii="宋体" w:hAnsi="宋体" w:eastAsia="宋体" w:cs="宋体"/>
          <w:color w:val="FF0000"/>
          <w:spacing w:val="6"/>
          <w:sz w:val="24"/>
        </w:rPr>
        <w:t>供应商（</w:t>
      </w:r>
      <w:r>
        <w:rPr>
          <w:rFonts w:hint="eastAsia" w:ascii="宋体" w:hAnsi="宋体" w:cs="宋体"/>
          <w:color w:val="FF0000"/>
          <w:spacing w:val="6"/>
          <w:sz w:val="24"/>
          <w:lang w:val="en-US" w:eastAsia="zh-CN"/>
        </w:rPr>
        <w:t>CA签章</w:t>
      </w:r>
      <w:r>
        <w:rPr>
          <w:rFonts w:hint="eastAsia" w:ascii="宋体" w:hAnsi="宋体" w:eastAsia="宋体" w:cs="宋体"/>
          <w:color w:val="FF0000"/>
          <w:spacing w:val="6"/>
          <w:sz w:val="24"/>
        </w:rPr>
        <w:t>）</w:t>
      </w:r>
      <w:r>
        <w:rPr>
          <w:rFonts w:hint="eastAsia" w:ascii="宋体" w:hAnsi="宋体" w:eastAsia="宋体" w:cs="宋体"/>
          <w:color w:val="FF0000"/>
          <w:sz w:val="24"/>
        </w:rPr>
        <w:t>：</w:t>
      </w:r>
    </w:p>
    <w:p>
      <w:pPr>
        <w:spacing w:line="360" w:lineRule="auto"/>
        <w:ind w:left="420"/>
        <w:outlineLvl w:val="9"/>
        <w:rPr>
          <w:rFonts w:hint="eastAsia" w:ascii="宋体" w:hAnsi="宋体" w:eastAsia="宋体" w:cs="宋体"/>
          <w:color w:val="FF0000"/>
          <w:sz w:val="24"/>
        </w:rPr>
      </w:pPr>
    </w:p>
    <w:p>
      <w:pPr>
        <w:spacing w:line="360" w:lineRule="auto"/>
        <w:ind w:firstLine="435"/>
        <w:outlineLvl w:val="9"/>
        <w:rPr>
          <w:rFonts w:hint="eastAsia" w:ascii="宋体" w:hAnsi="宋体" w:eastAsia="宋体" w:cs="宋体"/>
          <w:color w:val="FF0000"/>
          <w:sz w:val="24"/>
        </w:rPr>
      </w:pPr>
      <w:r>
        <w:rPr>
          <w:rFonts w:hint="eastAsia" w:ascii="宋体" w:hAnsi="宋体" w:cs="宋体"/>
          <w:color w:val="FF0000"/>
          <w:sz w:val="24"/>
          <w:lang w:eastAsia="zh-CN"/>
        </w:rPr>
        <w:t>单位负责人</w:t>
      </w:r>
      <w:r>
        <w:rPr>
          <w:rFonts w:hint="eastAsia" w:ascii="宋体" w:hAnsi="宋体" w:eastAsia="宋体" w:cs="宋体"/>
          <w:color w:val="FF0000"/>
          <w:sz w:val="24"/>
          <w:lang w:eastAsia="zh-CN"/>
        </w:rPr>
        <w:t>或授权委托人(</w:t>
      </w:r>
      <w:r>
        <w:rPr>
          <w:rFonts w:hint="eastAsia" w:ascii="宋体" w:hAnsi="宋体" w:cs="宋体"/>
          <w:color w:val="FF0000"/>
          <w:sz w:val="24"/>
          <w:lang w:eastAsia="zh-CN"/>
        </w:rPr>
        <w:t>签字或签章</w:t>
      </w:r>
      <w:r>
        <w:rPr>
          <w:rFonts w:hint="eastAsia" w:ascii="宋体" w:hAnsi="宋体" w:eastAsia="宋体" w:cs="宋体"/>
          <w:color w:val="FF0000"/>
          <w:sz w:val="24"/>
          <w:lang w:eastAsia="zh-CN"/>
        </w:rPr>
        <w:t>)</w:t>
      </w:r>
      <w:r>
        <w:rPr>
          <w:rFonts w:hint="eastAsia" w:ascii="宋体" w:hAnsi="宋体" w:eastAsia="宋体" w:cs="宋体"/>
          <w:color w:val="FF0000"/>
          <w:sz w:val="24"/>
        </w:rPr>
        <w:t>：</w:t>
      </w:r>
    </w:p>
    <w:p>
      <w:pPr>
        <w:spacing w:line="360" w:lineRule="auto"/>
        <w:ind w:firstLine="435"/>
        <w:outlineLvl w:val="9"/>
        <w:rPr>
          <w:rFonts w:hint="eastAsia" w:ascii="宋体" w:hAnsi="宋体" w:eastAsia="宋体" w:cs="宋体"/>
          <w:color w:val="FF0000"/>
          <w:sz w:val="24"/>
        </w:rPr>
      </w:pPr>
    </w:p>
    <w:p>
      <w:pPr>
        <w:spacing w:line="360" w:lineRule="auto"/>
        <w:ind w:firstLine="435"/>
        <w:outlineLvl w:val="9"/>
        <w:rPr>
          <w:rFonts w:hint="eastAsia" w:ascii="宋体" w:hAnsi="宋体" w:eastAsia="宋体" w:cs="宋体"/>
          <w:color w:val="FF0000"/>
          <w:sz w:val="24"/>
          <w:u w:val="single"/>
          <w:lang w:eastAsia="zh-CN"/>
        </w:rPr>
      </w:pPr>
      <w:r>
        <w:rPr>
          <w:rFonts w:hint="eastAsia" w:ascii="宋体" w:hAnsi="宋体" w:eastAsia="宋体" w:cs="宋体"/>
          <w:color w:val="FF0000"/>
          <w:sz w:val="24"/>
        </w:rPr>
        <w:t>日        期：</w:t>
      </w:r>
      <w:r>
        <w:rPr>
          <w:rFonts w:hint="eastAsia" w:ascii="宋体" w:hAnsi="宋体" w:cs="宋体"/>
          <w:color w:val="FF0000"/>
          <w:sz w:val="24"/>
          <w:lang w:val="en-US" w:eastAsia="zh-CN"/>
        </w:rPr>
        <w:t>2022年</w:t>
      </w:r>
      <w:r>
        <w:rPr>
          <w:rFonts w:hint="eastAsia" w:ascii="宋体" w:hAnsi="宋体" w:cs="宋体"/>
          <w:color w:val="FF0000"/>
          <w:sz w:val="24"/>
          <w:lang w:eastAsia="zh-CN"/>
        </w:rPr>
        <w:t>××月××日</w:t>
      </w:r>
    </w:p>
    <w:p>
      <w:pPr>
        <w:outlineLvl w:val="9"/>
        <w:rPr>
          <w:rFonts w:hint="eastAsia" w:ascii="宋体" w:hAnsi="宋体" w:eastAsia="宋体" w:cs="宋体"/>
          <w:b/>
          <w:sz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b/>
          <w:sz w:val="28"/>
        </w:rPr>
        <w:br w:type="page"/>
      </w:r>
    </w:p>
    <w:p>
      <w:pPr>
        <w:numPr>
          <w:ilvl w:val="0"/>
          <w:numId w:val="60"/>
        </w:numPr>
        <w:ind w:left="0" w:leftChars="0" w:firstLine="0" w:firstLineChars="0"/>
        <w:outlineLvl w:val="1"/>
        <w:rPr>
          <w:rFonts w:hint="default" w:ascii="宋体" w:hAnsi="宋体" w:eastAsia="宋体" w:cs="宋体"/>
          <w:b/>
          <w:sz w:val="28"/>
          <w:szCs w:val="28"/>
          <w:lang w:val="en-US" w:eastAsia="zh-CN"/>
        </w:rPr>
      </w:pPr>
      <w:bookmarkStart w:id="132" w:name="_Toc27156"/>
      <w:bookmarkEnd w:id="132"/>
    </w:p>
    <w:p>
      <w:pPr>
        <w:spacing w:line="360" w:lineRule="auto"/>
        <w:ind w:right="-110"/>
        <w:jc w:val="center"/>
        <w:outlineLvl w:val="0"/>
        <w:rPr>
          <w:rFonts w:hint="eastAsia" w:ascii="宋体" w:hAnsi="宋体" w:eastAsia="宋体" w:cs="宋体"/>
          <w:spacing w:val="40"/>
          <w:sz w:val="52"/>
          <w:szCs w:val="52"/>
          <w:lang w:eastAsia="zh-CN"/>
        </w:rPr>
      </w:pPr>
      <w:r>
        <w:rPr>
          <w:rFonts w:hint="eastAsia" w:ascii="宋体" w:hAnsi="宋体" w:cs="宋体"/>
          <w:spacing w:val="40"/>
          <w:sz w:val="52"/>
          <w:szCs w:val="52"/>
          <w:lang w:eastAsia="zh-CN"/>
        </w:rPr>
        <w:t>台州市公共安全综合保险项目</w:t>
      </w:r>
    </w:p>
    <w:p>
      <w:pPr>
        <w:spacing w:beforeLines="100" w:line="360" w:lineRule="auto"/>
        <w:ind w:right="-108"/>
        <w:jc w:val="center"/>
        <w:outlineLvl w:val="9"/>
        <w:rPr>
          <w:rFonts w:hint="eastAsia" w:ascii="宋体" w:hAnsi="宋体" w:eastAsia="宋体" w:cs="宋体"/>
          <w:sz w:val="36"/>
          <w:szCs w:val="36"/>
        </w:rPr>
      </w:pPr>
      <w:r>
        <w:rPr>
          <w:rFonts w:hint="eastAsia" w:ascii="宋体" w:hAnsi="宋体" w:eastAsia="宋体" w:cs="宋体"/>
          <w:sz w:val="36"/>
          <w:szCs w:val="36"/>
        </w:rPr>
        <w:t>项目编号：</w:t>
      </w:r>
      <w:r>
        <w:rPr>
          <w:rFonts w:hint="eastAsia" w:ascii="宋体" w:hAnsi="宋体" w:cs="宋体"/>
          <w:sz w:val="36"/>
          <w:szCs w:val="36"/>
          <w:lang w:eastAsia="zh-CN"/>
        </w:rPr>
        <w:t>TZYY-2208-004号</w:t>
      </w:r>
    </w:p>
    <w:p>
      <w:pPr>
        <w:spacing w:after="100" w:afterAutospacing="1" w:line="360" w:lineRule="auto"/>
        <w:ind w:right="-108"/>
        <w:jc w:val="center"/>
        <w:outlineLvl w:val="9"/>
        <w:rPr>
          <w:rFonts w:hint="eastAsia" w:ascii="宋体" w:hAnsi="宋体" w:eastAsia="宋体" w:cs="宋体"/>
          <w:b/>
          <w:spacing w:val="40"/>
          <w:sz w:val="84"/>
          <w:szCs w:val="84"/>
        </w:rPr>
      </w:pPr>
    </w:p>
    <w:p>
      <w:pPr>
        <w:spacing w:after="100" w:afterAutospacing="1" w:line="360" w:lineRule="auto"/>
        <w:ind w:right="-108"/>
        <w:jc w:val="center"/>
        <w:outlineLvl w:val="0"/>
        <w:rPr>
          <w:rFonts w:hint="eastAsia" w:ascii="宋体" w:hAnsi="宋体" w:eastAsia="宋体" w:cs="宋体"/>
          <w:b/>
          <w:spacing w:val="40"/>
          <w:sz w:val="84"/>
          <w:szCs w:val="84"/>
        </w:rPr>
      </w:pPr>
      <w:bookmarkStart w:id="133" w:name="_Toc31174"/>
      <w:bookmarkStart w:id="134" w:name="_Toc22905"/>
      <w:r>
        <w:rPr>
          <w:rFonts w:hint="eastAsia" w:ascii="宋体" w:hAnsi="宋体" w:eastAsia="宋体" w:cs="宋体"/>
          <w:b/>
          <w:spacing w:val="40"/>
          <w:sz w:val="84"/>
          <w:szCs w:val="84"/>
        </w:rPr>
        <w:t>报</w:t>
      </w:r>
      <w:bookmarkEnd w:id="133"/>
      <w:bookmarkEnd w:id="134"/>
    </w:p>
    <w:p>
      <w:pPr>
        <w:spacing w:after="100" w:afterAutospacing="1" w:line="360" w:lineRule="auto"/>
        <w:ind w:right="-108"/>
        <w:jc w:val="center"/>
        <w:outlineLvl w:val="0"/>
        <w:rPr>
          <w:rFonts w:hint="eastAsia" w:ascii="宋体" w:hAnsi="宋体" w:eastAsia="宋体" w:cs="宋体"/>
          <w:b/>
          <w:spacing w:val="40"/>
          <w:sz w:val="84"/>
          <w:szCs w:val="84"/>
        </w:rPr>
      </w:pPr>
      <w:bookmarkStart w:id="135" w:name="_Toc2007"/>
      <w:bookmarkStart w:id="136" w:name="_Toc23411"/>
      <w:r>
        <w:rPr>
          <w:rFonts w:hint="eastAsia" w:ascii="宋体" w:hAnsi="宋体" w:eastAsia="宋体" w:cs="宋体"/>
          <w:b/>
          <w:spacing w:val="40"/>
          <w:sz w:val="84"/>
          <w:szCs w:val="84"/>
        </w:rPr>
        <w:t>价</w:t>
      </w:r>
      <w:bookmarkEnd w:id="135"/>
      <w:bookmarkEnd w:id="136"/>
    </w:p>
    <w:p>
      <w:pPr>
        <w:spacing w:after="100" w:afterAutospacing="1" w:line="360" w:lineRule="auto"/>
        <w:ind w:right="-108"/>
        <w:jc w:val="center"/>
        <w:outlineLvl w:val="0"/>
        <w:rPr>
          <w:rFonts w:hint="eastAsia" w:ascii="宋体" w:hAnsi="宋体" w:eastAsia="宋体" w:cs="宋体"/>
          <w:b/>
          <w:spacing w:val="40"/>
          <w:sz w:val="84"/>
          <w:szCs w:val="84"/>
        </w:rPr>
      </w:pPr>
      <w:bookmarkStart w:id="137" w:name="_Toc18951"/>
      <w:bookmarkStart w:id="138" w:name="_Toc3668"/>
      <w:r>
        <w:rPr>
          <w:rFonts w:hint="eastAsia" w:ascii="宋体" w:hAnsi="宋体" w:eastAsia="宋体" w:cs="宋体"/>
          <w:b/>
          <w:spacing w:val="40"/>
          <w:sz w:val="84"/>
          <w:szCs w:val="84"/>
        </w:rPr>
        <w:t>文</w:t>
      </w:r>
      <w:bookmarkEnd w:id="137"/>
      <w:bookmarkEnd w:id="138"/>
    </w:p>
    <w:p>
      <w:pPr>
        <w:spacing w:after="100" w:afterAutospacing="1" w:line="360" w:lineRule="auto"/>
        <w:ind w:right="-108"/>
        <w:jc w:val="center"/>
        <w:outlineLvl w:val="0"/>
        <w:rPr>
          <w:rFonts w:hint="eastAsia" w:ascii="宋体" w:hAnsi="宋体" w:eastAsia="宋体" w:cs="宋体"/>
          <w:b/>
          <w:spacing w:val="40"/>
          <w:sz w:val="84"/>
          <w:szCs w:val="84"/>
        </w:rPr>
      </w:pPr>
      <w:bookmarkStart w:id="139" w:name="_Toc30514"/>
      <w:bookmarkStart w:id="140" w:name="_Toc31168"/>
      <w:r>
        <w:rPr>
          <w:rFonts w:hint="eastAsia" w:ascii="宋体" w:hAnsi="宋体" w:eastAsia="宋体" w:cs="宋体"/>
          <w:b/>
          <w:spacing w:val="40"/>
          <w:sz w:val="84"/>
          <w:szCs w:val="84"/>
        </w:rPr>
        <w:t>件</w:t>
      </w:r>
      <w:bookmarkEnd w:id="139"/>
      <w:bookmarkEnd w:id="140"/>
    </w:p>
    <w:p>
      <w:pPr>
        <w:spacing w:line="360" w:lineRule="auto"/>
        <w:ind w:right="532"/>
        <w:jc w:val="center"/>
        <w:outlineLvl w:val="9"/>
        <w:rPr>
          <w:rFonts w:hint="eastAsia" w:ascii="宋体" w:hAnsi="宋体" w:eastAsia="宋体" w:cs="宋体"/>
          <w:sz w:val="36"/>
          <w:szCs w:val="36"/>
        </w:rPr>
      </w:pPr>
    </w:p>
    <w:p>
      <w:pPr>
        <w:spacing w:line="360" w:lineRule="auto"/>
        <w:ind w:right="532" w:firstLine="720" w:firstLineChars="200"/>
        <w:outlineLvl w:val="9"/>
        <w:rPr>
          <w:rFonts w:hint="eastAsia" w:ascii="宋体" w:hAnsi="宋体" w:eastAsia="宋体" w:cs="宋体"/>
          <w:sz w:val="36"/>
          <w:szCs w:val="36"/>
        </w:rPr>
      </w:pPr>
      <w:r>
        <w:rPr>
          <w:rFonts w:hint="eastAsia" w:ascii="宋体" w:hAnsi="宋体" w:eastAsia="宋体" w:cs="宋体"/>
          <w:sz w:val="36"/>
          <w:szCs w:val="36"/>
        </w:rPr>
        <w:t>供</w:t>
      </w:r>
      <w:r>
        <w:rPr>
          <w:rFonts w:hint="eastAsia" w:ascii="宋体" w:hAnsi="宋体" w:cs="宋体"/>
          <w:sz w:val="36"/>
          <w:szCs w:val="36"/>
          <w:lang w:val="en-US" w:eastAsia="zh-CN"/>
        </w:rPr>
        <w:t xml:space="preserve"> </w:t>
      </w:r>
      <w:r>
        <w:rPr>
          <w:rFonts w:hint="eastAsia" w:ascii="宋体" w:hAnsi="宋体" w:eastAsia="宋体" w:cs="宋体"/>
          <w:sz w:val="36"/>
          <w:szCs w:val="36"/>
        </w:rPr>
        <w:t>应</w:t>
      </w:r>
      <w:r>
        <w:rPr>
          <w:rFonts w:hint="eastAsia" w:ascii="宋体" w:hAnsi="宋体" w:cs="宋体"/>
          <w:sz w:val="36"/>
          <w:szCs w:val="36"/>
          <w:lang w:val="en-US" w:eastAsia="zh-CN"/>
        </w:rPr>
        <w:t xml:space="preserve"> </w:t>
      </w:r>
      <w:r>
        <w:rPr>
          <w:rFonts w:hint="eastAsia" w:ascii="宋体" w:hAnsi="宋体" w:eastAsia="宋体" w:cs="宋体"/>
          <w:sz w:val="36"/>
          <w:szCs w:val="36"/>
        </w:rPr>
        <w:t>商：</w:t>
      </w:r>
    </w:p>
    <w:p>
      <w:pPr>
        <w:spacing w:line="360" w:lineRule="auto"/>
        <w:ind w:right="-108" w:firstLine="720" w:firstLineChars="200"/>
        <w:outlineLvl w:val="9"/>
        <w:rPr>
          <w:rFonts w:hint="eastAsia" w:ascii="宋体" w:hAnsi="宋体" w:eastAsia="宋体" w:cs="宋体"/>
          <w:sz w:val="36"/>
          <w:szCs w:val="36"/>
        </w:rPr>
      </w:pPr>
      <w:r>
        <w:rPr>
          <w:rFonts w:hint="eastAsia" w:ascii="宋体" w:hAnsi="宋体" w:eastAsia="宋体" w:cs="宋体"/>
          <w:sz w:val="36"/>
          <w:szCs w:val="36"/>
        </w:rPr>
        <w:t>地    址：</w:t>
      </w:r>
    </w:p>
    <w:p>
      <w:pPr>
        <w:spacing w:line="360" w:lineRule="auto"/>
        <w:ind w:right="-108"/>
        <w:jc w:val="both"/>
        <w:outlineLvl w:val="9"/>
        <w:rPr>
          <w:rFonts w:hint="eastAsia" w:ascii="宋体" w:hAnsi="宋体" w:eastAsia="宋体" w:cs="宋体"/>
          <w:b/>
          <w:sz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numPr>
          <w:ilvl w:val="0"/>
          <w:numId w:val="60"/>
        </w:numPr>
        <w:ind w:left="0" w:leftChars="0" w:firstLine="0" w:firstLineChars="0"/>
        <w:outlineLvl w:val="1"/>
        <w:rPr>
          <w:rFonts w:hint="default" w:ascii="宋体" w:hAnsi="宋体" w:eastAsia="宋体" w:cs="宋体"/>
          <w:b/>
          <w:sz w:val="28"/>
          <w:szCs w:val="28"/>
          <w:lang w:val="en-US" w:eastAsia="zh-CN"/>
        </w:rPr>
      </w:pPr>
      <w:bookmarkStart w:id="141" w:name="_Toc16812"/>
      <w:bookmarkEnd w:id="141"/>
    </w:p>
    <w:p>
      <w:pPr>
        <w:spacing w:line="360" w:lineRule="auto"/>
        <w:ind w:right="-108"/>
        <w:jc w:val="center"/>
        <w:outlineLvl w:val="1"/>
        <w:rPr>
          <w:rFonts w:hint="eastAsia" w:ascii="宋体" w:hAnsi="宋体" w:eastAsia="宋体" w:cs="宋体"/>
          <w:b/>
          <w:sz w:val="32"/>
          <w:szCs w:val="32"/>
        </w:rPr>
      </w:pPr>
      <w:bookmarkStart w:id="142" w:name="_Toc30271"/>
      <w:bookmarkStart w:id="143" w:name="_Toc18438"/>
      <w:r>
        <w:rPr>
          <w:rFonts w:hint="eastAsia" w:ascii="宋体" w:hAnsi="宋体" w:eastAsia="宋体" w:cs="宋体"/>
          <w:b/>
          <w:sz w:val="32"/>
          <w:szCs w:val="32"/>
        </w:rPr>
        <w:t>报价文件目录</w:t>
      </w:r>
      <w:bookmarkEnd w:id="142"/>
      <w:bookmarkEnd w:id="143"/>
    </w:p>
    <w:p>
      <w:pPr>
        <w:spacing w:line="360" w:lineRule="auto"/>
        <w:outlineLvl w:val="9"/>
        <w:rPr>
          <w:rFonts w:hint="eastAsia" w:ascii="宋体" w:hAnsi="宋体" w:eastAsia="宋体" w:cs="宋体"/>
          <w:sz w:val="24"/>
        </w:rPr>
      </w:pPr>
    </w:p>
    <w:p>
      <w:pPr>
        <w:numPr>
          <w:ilvl w:val="0"/>
          <w:numId w:val="63"/>
        </w:numPr>
        <w:bidi w:val="0"/>
        <w:spacing w:line="360" w:lineRule="auto"/>
        <w:ind w:firstLine="420" w:firstLineChars="200"/>
        <w:rPr>
          <w:rFonts w:hint="eastAsia" w:ascii="宋体" w:hAnsi="宋体" w:eastAsia="宋体" w:cs="宋体"/>
          <w:szCs w:val="21"/>
        </w:rPr>
      </w:pPr>
      <w:bookmarkStart w:id="144" w:name="_Toc17411"/>
      <w:r>
        <w:rPr>
          <w:rFonts w:hint="eastAsia" w:ascii="宋体" w:hAnsi="宋体" w:eastAsia="宋体" w:cs="宋体"/>
          <w:szCs w:val="21"/>
        </w:rPr>
        <w:t>开标一览表；</w:t>
      </w:r>
    </w:p>
    <w:p>
      <w:pPr>
        <w:numPr>
          <w:ilvl w:val="0"/>
          <w:numId w:val="63"/>
        </w:numPr>
        <w:spacing w:line="360" w:lineRule="auto"/>
        <w:ind w:left="0" w:firstLine="420" w:firstLineChars="200"/>
        <w:outlineLvl w:val="9"/>
        <w:rPr>
          <w:rFonts w:hint="eastAsia" w:ascii="宋体" w:hAnsi="宋体" w:eastAsia="宋体" w:cs="宋体"/>
          <w:b/>
          <w:sz w:val="21"/>
          <w:szCs w:val="21"/>
        </w:rPr>
      </w:pPr>
      <w:r>
        <w:rPr>
          <w:rFonts w:hint="eastAsia" w:ascii="宋体" w:hAnsi="宋体" w:eastAsia="宋体" w:cs="宋体"/>
          <w:szCs w:val="21"/>
        </w:rPr>
        <w:t>投标人认为其他需要说明的内容组成。</w:t>
      </w:r>
      <w:bookmarkEnd w:id="144"/>
    </w:p>
    <w:p>
      <w:pPr>
        <w:spacing w:line="360" w:lineRule="auto"/>
        <w:ind w:left="480"/>
        <w:outlineLvl w:val="9"/>
        <w:rPr>
          <w:rFonts w:hint="eastAsia" w:ascii="宋体" w:hAnsi="宋体" w:eastAsia="宋体" w:cs="宋体"/>
          <w:b/>
          <w:sz w:val="28"/>
        </w:rPr>
      </w:pPr>
    </w:p>
    <w:p>
      <w:pPr>
        <w:spacing w:line="360" w:lineRule="auto"/>
        <w:ind w:left="480"/>
        <w:outlineLvl w:val="9"/>
        <w:rPr>
          <w:rFonts w:hint="eastAsia" w:ascii="宋体" w:hAnsi="宋体" w:eastAsia="宋体" w:cs="宋体"/>
          <w:b/>
          <w:sz w:val="28"/>
        </w:rPr>
      </w:pPr>
    </w:p>
    <w:p>
      <w:pPr>
        <w:spacing w:line="360" w:lineRule="auto"/>
        <w:ind w:left="480"/>
        <w:outlineLvl w:val="9"/>
        <w:rPr>
          <w:rFonts w:hint="eastAsia" w:ascii="宋体" w:hAnsi="宋体" w:eastAsia="宋体" w:cs="宋体"/>
          <w:b/>
          <w:sz w:val="28"/>
        </w:rPr>
      </w:pPr>
    </w:p>
    <w:p>
      <w:pPr>
        <w:spacing w:line="360" w:lineRule="auto"/>
        <w:ind w:left="480"/>
        <w:outlineLvl w:val="9"/>
        <w:rPr>
          <w:rFonts w:hint="eastAsia" w:ascii="宋体" w:hAnsi="宋体" w:eastAsia="宋体" w:cs="宋体"/>
          <w:b/>
          <w:sz w:val="28"/>
        </w:rPr>
      </w:pPr>
    </w:p>
    <w:p>
      <w:pPr>
        <w:spacing w:line="360" w:lineRule="auto"/>
        <w:ind w:left="480"/>
        <w:outlineLvl w:val="9"/>
        <w:rPr>
          <w:rFonts w:hint="eastAsia" w:ascii="宋体" w:hAnsi="宋体" w:eastAsia="宋体" w:cs="宋体"/>
          <w:b/>
          <w:sz w:val="28"/>
        </w:rPr>
      </w:pPr>
    </w:p>
    <w:p>
      <w:pPr>
        <w:spacing w:line="360" w:lineRule="auto"/>
        <w:ind w:left="480"/>
        <w:outlineLvl w:val="9"/>
        <w:rPr>
          <w:rFonts w:hint="eastAsia" w:ascii="宋体" w:hAnsi="宋体" w:eastAsia="宋体" w:cs="宋体"/>
          <w:b/>
          <w:sz w:val="28"/>
        </w:rPr>
      </w:pPr>
    </w:p>
    <w:p>
      <w:pPr>
        <w:spacing w:line="360" w:lineRule="auto"/>
        <w:ind w:left="480"/>
        <w:outlineLvl w:val="9"/>
        <w:rPr>
          <w:rFonts w:hint="eastAsia" w:ascii="宋体" w:hAnsi="宋体" w:eastAsia="宋体" w:cs="宋体"/>
          <w:b/>
          <w:sz w:val="28"/>
        </w:rPr>
      </w:pPr>
    </w:p>
    <w:p>
      <w:pPr>
        <w:spacing w:line="360" w:lineRule="auto"/>
        <w:ind w:left="480"/>
        <w:outlineLvl w:val="9"/>
        <w:rPr>
          <w:rFonts w:hint="eastAsia" w:ascii="宋体" w:hAnsi="宋体" w:eastAsia="宋体" w:cs="宋体"/>
          <w:b/>
          <w:sz w:val="28"/>
        </w:rPr>
      </w:pPr>
    </w:p>
    <w:p>
      <w:pPr>
        <w:spacing w:line="360" w:lineRule="auto"/>
        <w:ind w:left="480"/>
        <w:outlineLvl w:val="9"/>
        <w:rPr>
          <w:rFonts w:hint="eastAsia" w:ascii="宋体" w:hAnsi="宋体" w:eastAsia="宋体" w:cs="宋体"/>
          <w:b/>
          <w:sz w:val="28"/>
        </w:rPr>
      </w:pPr>
    </w:p>
    <w:p>
      <w:pPr>
        <w:spacing w:line="360" w:lineRule="auto"/>
        <w:ind w:left="480"/>
        <w:outlineLvl w:val="9"/>
        <w:rPr>
          <w:rFonts w:hint="eastAsia" w:ascii="宋体" w:hAnsi="宋体" w:eastAsia="宋体" w:cs="宋体"/>
          <w:b/>
          <w:sz w:val="28"/>
        </w:rPr>
      </w:pPr>
    </w:p>
    <w:p>
      <w:pPr>
        <w:spacing w:line="360" w:lineRule="auto"/>
        <w:ind w:left="480"/>
        <w:outlineLvl w:val="9"/>
        <w:rPr>
          <w:rFonts w:hint="eastAsia" w:ascii="宋体" w:hAnsi="宋体" w:eastAsia="宋体" w:cs="宋体"/>
          <w:b/>
          <w:sz w:val="28"/>
        </w:rPr>
      </w:pPr>
    </w:p>
    <w:p>
      <w:pPr>
        <w:spacing w:line="360" w:lineRule="auto"/>
        <w:ind w:left="480"/>
        <w:outlineLvl w:val="9"/>
        <w:rPr>
          <w:rFonts w:hint="eastAsia" w:ascii="宋体" w:hAnsi="宋体" w:eastAsia="宋体" w:cs="宋体"/>
          <w:b/>
          <w:sz w:val="28"/>
        </w:rPr>
      </w:pPr>
    </w:p>
    <w:p>
      <w:pPr>
        <w:spacing w:line="360" w:lineRule="auto"/>
        <w:ind w:left="480"/>
        <w:outlineLvl w:val="9"/>
        <w:rPr>
          <w:rFonts w:hint="eastAsia" w:ascii="宋体" w:hAnsi="宋体" w:eastAsia="宋体" w:cs="宋体"/>
          <w:b/>
          <w:sz w:val="28"/>
        </w:rPr>
      </w:pPr>
    </w:p>
    <w:p>
      <w:pPr>
        <w:outlineLvl w:val="9"/>
        <w:rPr>
          <w:rFonts w:hint="eastAsia" w:ascii="宋体" w:hAnsi="宋体" w:eastAsia="宋体" w:cs="宋体"/>
          <w:b/>
          <w:sz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b/>
          <w:sz w:val="28"/>
        </w:rPr>
        <w:br w:type="page"/>
      </w:r>
    </w:p>
    <w:p>
      <w:pPr>
        <w:numPr>
          <w:ilvl w:val="0"/>
          <w:numId w:val="60"/>
        </w:numPr>
        <w:ind w:left="0" w:leftChars="0" w:firstLine="0" w:firstLineChars="0"/>
        <w:outlineLvl w:val="1"/>
        <w:rPr>
          <w:rFonts w:hint="default" w:ascii="宋体" w:hAnsi="宋体" w:eastAsia="宋体" w:cs="宋体"/>
          <w:b/>
          <w:sz w:val="28"/>
          <w:szCs w:val="28"/>
          <w:lang w:val="en-US" w:eastAsia="zh-CN"/>
        </w:rPr>
      </w:pPr>
      <w:bookmarkStart w:id="145" w:name="_Toc16046"/>
      <w:bookmarkEnd w:id="145"/>
    </w:p>
    <w:p>
      <w:pPr>
        <w:pStyle w:val="43"/>
        <w:spacing w:line="360" w:lineRule="auto"/>
        <w:ind w:right="480"/>
        <w:jc w:val="center"/>
        <w:outlineLvl w:val="1"/>
        <w:rPr>
          <w:rFonts w:hint="eastAsia" w:ascii="宋体" w:hAnsi="宋体" w:eastAsia="宋体" w:cs="宋体"/>
          <w:b/>
          <w:sz w:val="32"/>
          <w:szCs w:val="32"/>
        </w:rPr>
      </w:pPr>
      <w:bookmarkStart w:id="146" w:name="_Toc1449"/>
      <w:bookmarkStart w:id="147" w:name="_Toc3162"/>
      <w:r>
        <w:rPr>
          <w:rFonts w:hint="eastAsia" w:ascii="宋体" w:hAnsi="宋体" w:eastAsia="宋体" w:cs="宋体"/>
          <w:b/>
          <w:sz w:val="32"/>
          <w:szCs w:val="32"/>
        </w:rPr>
        <w:t>开标一览表</w:t>
      </w:r>
      <w:bookmarkEnd w:id="146"/>
      <w:bookmarkEnd w:id="147"/>
    </w:p>
    <w:p>
      <w:pPr>
        <w:pStyle w:val="43"/>
        <w:spacing w:line="360" w:lineRule="auto"/>
        <w:ind w:right="480"/>
        <w:jc w:val="right"/>
        <w:outlineLvl w:val="9"/>
        <w:rPr>
          <w:rFonts w:hint="eastAsia" w:ascii="宋体" w:hAnsi="宋体" w:eastAsia="宋体" w:cs="宋体"/>
          <w:color w:val="000000"/>
          <w:sz w:val="24"/>
        </w:rPr>
      </w:pPr>
      <w:r>
        <w:rPr>
          <w:rFonts w:hint="eastAsia" w:ascii="宋体" w:hAnsi="宋体" w:eastAsia="宋体" w:cs="宋体"/>
          <w:sz w:val="24"/>
        </w:rPr>
        <w:t>[货币单位：人民币元]</w:t>
      </w:r>
    </w:p>
    <w:tbl>
      <w:tblPr>
        <w:tblStyle w:val="21"/>
        <w:tblW w:w="9241"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871"/>
        <w:gridCol w:w="2155"/>
        <w:gridCol w:w="2003"/>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7" w:hRule="atLeast"/>
        </w:trPr>
        <w:tc>
          <w:tcPr>
            <w:tcW w:w="875" w:type="dxa"/>
            <w:vAlign w:val="center"/>
          </w:tcPr>
          <w:p>
            <w:pPr>
              <w:spacing w:line="360" w:lineRule="auto"/>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序号</w:t>
            </w:r>
          </w:p>
        </w:tc>
        <w:tc>
          <w:tcPr>
            <w:tcW w:w="1871" w:type="dxa"/>
            <w:vAlign w:val="center"/>
          </w:tcPr>
          <w:p>
            <w:pPr>
              <w:tabs>
                <w:tab w:val="left" w:pos="8280"/>
              </w:tabs>
              <w:autoSpaceDE w:val="0"/>
              <w:autoSpaceDN w:val="0"/>
              <w:adjustRightInd w:val="0"/>
              <w:spacing w:line="360" w:lineRule="auto"/>
              <w:ind w:right="25" w:firstLine="120" w:firstLineChars="5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报价内容</w:t>
            </w:r>
          </w:p>
        </w:tc>
        <w:tc>
          <w:tcPr>
            <w:tcW w:w="2155" w:type="dxa"/>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投标报价（人均保费）</w:t>
            </w:r>
          </w:p>
        </w:tc>
        <w:tc>
          <w:tcPr>
            <w:tcW w:w="2003" w:type="dxa"/>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参保人数</w:t>
            </w:r>
          </w:p>
        </w:tc>
        <w:tc>
          <w:tcPr>
            <w:tcW w:w="2337" w:type="dxa"/>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lang w:val="en-US" w:eastAsia="zh-CN"/>
              </w:rPr>
              <w:t>投标总报价，即</w:t>
            </w:r>
            <w:r>
              <w:rPr>
                <w:rFonts w:hint="eastAsia" w:asciiTheme="majorEastAsia" w:hAnsiTheme="majorEastAsia" w:eastAsiaTheme="majorEastAsia" w:cstheme="majorEastAsia"/>
                <w:b/>
                <w:sz w:val="24"/>
              </w:rPr>
              <w:t>总保险费</w:t>
            </w:r>
            <w:r>
              <w:rPr>
                <w:rFonts w:hint="eastAsia" w:asciiTheme="majorEastAsia" w:hAnsiTheme="majorEastAsia" w:eastAsiaTheme="majorEastAsia" w:cstheme="majorEastAsia"/>
                <w:b/>
                <w:bCs w:val="0"/>
                <w:sz w:val="24"/>
              </w:rPr>
              <w:t>(</w:t>
            </w:r>
            <w:r>
              <w:rPr>
                <w:rFonts w:hint="eastAsia" w:asciiTheme="majorEastAsia" w:hAnsiTheme="majorEastAsia" w:eastAsiaTheme="majorEastAsia" w:cstheme="majorEastAsia"/>
                <w:b/>
                <w:bCs w:val="0"/>
                <w:color w:val="000000"/>
                <w:sz w:val="24"/>
              </w:rPr>
              <w:t>人均保费*参保人数)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875" w:type="dxa"/>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1</w:t>
            </w:r>
          </w:p>
        </w:tc>
        <w:tc>
          <w:tcPr>
            <w:tcW w:w="1871" w:type="dxa"/>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color w:val="000000"/>
                <w:sz w:val="24"/>
              </w:rPr>
              <w:t>台州市公共安全综合险保险</w:t>
            </w:r>
          </w:p>
        </w:tc>
        <w:tc>
          <w:tcPr>
            <w:tcW w:w="2155" w:type="dxa"/>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元/人</w:t>
            </w:r>
          </w:p>
        </w:tc>
        <w:tc>
          <w:tcPr>
            <w:tcW w:w="2003" w:type="dxa"/>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 w:val="24"/>
                <w:u w:val="single"/>
              </w:rPr>
            </w:pPr>
            <w:r>
              <w:rPr>
                <w:rFonts w:hint="eastAsia" w:ascii="宋体" w:hAnsi="宋体" w:cs="宋体"/>
                <w:b/>
                <w:sz w:val="24"/>
              </w:rPr>
              <w:t>66</w:t>
            </w:r>
            <w:r>
              <w:rPr>
                <w:rFonts w:hint="eastAsia" w:ascii="宋体" w:hAnsi="宋体" w:cs="宋体"/>
                <w:b/>
                <w:sz w:val="24"/>
                <w:lang w:val="en-US" w:eastAsia="zh-CN"/>
              </w:rPr>
              <w:t>6</w:t>
            </w:r>
            <w:r>
              <w:rPr>
                <w:rFonts w:hint="eastAsia" w:ascii="宋体" w:hAnsi="宋体" w:cs="宋体"/>
                <w:b/>
                <w:sz w:val="24"/>
              </w:rPr>
              <w:t>.</w:t>
            </w:r>
            <w:r>
              <w:rPr>
                <w:rFonts w:hint="eastAsia" w:ascii="宋体" w:hAnsi="宋体" w:cs="宋体"/>
                <w:b/>
                <w:sz w:val="24"/>
                <w:lang w:val="en-US" w:eastAsia="zh-CN"/>
              </w:rPr>
              <w:t>1</w:t>
            </w:r>
            <w:r>
              <w:rPr>
                <w:rFonts w:hint="eastAsia" w:asciiTheme="majorEastAsia" w:hAnsiTheme="majorEastAsia" w:eastAsiaTheme="majorEastAsia" w:cstheme="majorEastAsia"/>
                <w:b/>
                <w:sz w:val="24"/>
              </w:rPr>
              <w:t>万人</w:t>
            </w:r>
          </w:p>
        </w:tc>
        <w:tc>
          <w:tcPr>
            <w:tcW w:w="2337" w:type="dxa"/>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 w:val="24"/>
                <w:u w:val="single"/>
              </w:rPr>
            </w:pPr>
          </w:p>
        </w:tc>
      </w:tr>
    </w:tbl>
    <w:p>
      <w:pPr>
        <w:spacing w:line="360" w:lineRule="auto"/>
        <w:ind w:left="480"/>
        <w:outlineLvl w:val="9"/>
        <w:rPr>
          <w:rFonts w:hint="eastAsia" w:ascii="宋体" w:hAnsi="宋体" w:eastAsia="宋体" w:cs="宋体"/>
          <w:b/>
          <w:sz w:val="30"/>
        </w:rPr>
      </w:pPr>
    </w:p>
    <w:p>
      <w:pPr>
        <w:spacing w:line="360" w:lineRule="auto"/>
        <w:outlineLvl w:val="9"/>
        <w:rPr>
          <w:rFonts w:hint="eastAsia" w:ascii="宋体" w:hAnsi="宋体" w:eastAsia="宋体" w:cs="宋体"/>
          <w:sz w:val="24"/>
        </w:rPr>
      </w:pPr>
      <w:r>
        <w:rPr>
          <w:rFonts w:hint="eastAsia" w:ascii="宋体" w:hAnsi="宋体" w:eastAsia="宋体" w:cs="宋体"/>
          <w:b/>
          <w:szCs w:val="21"/>
        </w:rPr>
        <w:t>填报要求：</w:t>
      </w:r>
    </w:p>
    <w:p>
      <w:pPr>
        <w:pStyle w:val="2"/>
        <w:spacing w:line="360" w:lineRule="auto"/>
        <w:ind w:firstLineChars="200"/>
        <w:outlineLvl w:val="9"/>
        <w:rPr>
          <w:rFonts w:hint="eastAsia" w:ascii="宋体" w:hAnsi="宋体" w:eastAsia="宋体" w:cs="宋体"/>
          <w:kern w:val="0"/>
          <w:szCs w:val="21"/>
        </w:rPr>
      </w:pPr>
      <w:r>
        <w:rPr>
          <w:rFonts w:hint="eastAsia" w:ascii="宋体" w:hAnsi="宋体" w:eastAsia="宋体" w:cs="宋体"/>
          <w:kern w:val="0"/>
          <w:szCs w:val="21"/>
        </w:rPr>
        <w:t>1.报价一经涂改，应在涂改处加盖单位公章，或者由</w:t>
      </w:r>
      <w:r>
        <w:rPr>
          <w:rFonts w:hint="eastAsia" w:ascii="宋体" w:hAnsi="宋体" w:cs="宋体"/>
          <w:kern w:val="0"/>
          <w:szCs w:val="21"/>
          <w:lang w:eastAsia="zh-CN"/>
        </w:rPr>
        <w:t>单位负责人</w:t>
      </w:r>
      <w:r>
        <w:rPr>
          <w:rFonts w:hint="eastAsia" w:ascii="宋体" w:hAnsi="宋体" w:eastAsia="宋体" w:cs="宋体"/>
          <w:kern w:val="0"/>
          <w:szCs w:val="21"/>
        </w:rPr>
        <w:t>或全权代表</w:t>
      </w:r>
      <w:r>
        <w:rPr>
          <w:rFonts w:hint="eastAsia" w:ascii="宋体" w:hAnsi="宋体" w:cs="宋体"/>
          <w:kern w:val="0"/>
          <w:szCs w:val="21"/>
          <w:lang w:eastAsia="zh-CN"/>
        </w:rPr>
        <w:t>签字或签章</w:t>
      </w:r>
      <w:r>
        <w:rPr>
          <w:rFonts w:hint="eastAsia" w:ascii="宋体" w:hAnsi="宋体" w:eastAsia="宋体" w:cs="宋体"/>
          <w:kern w:val="0"/>
          <w:szCs w:val="21"/>
        </w:rPr>
        <w:t>，否则其投标作无效标处理。</w:t>
      </w:r>
    </w:p>
    <w:p>
      <w:pPr>
        <w:pStyle w:val="2"/>
        <w:rPr>
          <w:rFonts w:hint="default" w:eastAsia="宋体"/>
          <w:b/>
          <w:bCs/>
          <w:lang w:val="en-US" w:eastAsia="zh-CN"/>
        </w:rPr>
      </w:pPr>
      <w:r>
        <w:rPr>
          <w:rFonts w:hint="eastAsia" w:ascii="宋体" w:hAnsi="宋体" w:cs="宋体"/>
          <w:b/>
          <w:bCs/>
          <w:kern w:val="0"/>
          <w:szCs w:val="21"/>
          <w:lang w:val="en-US" w:eastAsia="zh-CN"/>
        </w:rPr>
        <w:t>2.</w:t>
      </w:r>
      <w:r>
        <w:rPr>
          <w:rFonts w:hint="eastAsia" w:ascii="宋体" w:hAnsi="宋体" w:eastAsia="宋体" w:cs="宋体"/>
          <w:b/>
          <w:bCs/>
          <w:color w:val="000000"/>
          <w:sz w:val="21"/>
          <w:szCs w:val="21"/>
        </w:rPr>
        <w:t>▲</w:t>
      </w:r>
      <w:r>
        <w:rPr>
          <w:rFonts w:hint="eastAsia" w:ascii="宋体" w:hAnsi="宋体" w:cs="宋体"/>
          <w:b/>
          <w:bCs/>
          <w:kern w:val="0"/>
          <w:szCs w:val="21"/>
          <w:lang w:val="en-US" w:eastAsia="zh-CN"/>
        </w:rPr>
        <w:t>供应商不得随意删除和改动上述内容。</w:t>
      </w:r>
    </w:p>
    <w:p>
      <w:pPr>
        <w:spacing w:line="360" w:lineRule="auto"/>
        <w:ind w:left="420"/>
        <w:outlineLvl w:val="9"/>
        <w:rPr>
          <w:rFonts w:hint="eastAsia" w:ascii="宋体" w:hAnsi="宋体" w:eastAsia="宋体" w:cs="宋体"/>
          <w:sz w:val="24"/>
        </w:rPr>
      </w:pPr>
    </w:p>
    <w:p>
      <w:pPr>
        <w:spacing w:line="360" w:lineRule="auto"/>
        <w:ind w:left="420"/>
        <w:outlineLvl w:val="9"/>
        <w:rPr>
          <w:rFonts w:hint="eastAsia" w:ascii="宋体" w:hAnsi="宋体" w:eastAsia="宋体" w:cs="宋体"/>
          <w:sz w:val="24"/>
        </w:rPr>
      </w:pPr>
    </w:p>
    <w:p>
      <w:pPr>
        <w:spacing w:line="360" w:lineRule="auto"/>
        <w:outlineLvl w:val="9"/>
        <w:rPr>
          <w:rFonts w:hint="eastAsia" w:ascii="宋体" w:hAnsi="宋体" w:eastAsia="宋体" w:cs="宋体"/>
          <w:sz w:val="24"/>
        </w:rPr>
      </w:pPr>
    </w:p>
    <w:p>
      <w:pPr>
        <w:spacing w:line="360" w:lineRule="auto"/>
        <w:ind w:left="420"/>
        <w:outlineLvl w:val="9"/>
        <w:rPr>
          <w:rFonts w:hint="eastAsia" w:ascii="宋体" w:hAnsi="宋体" w:eastAsia="宋体" w:cs="宋体"/>
          <w:color w:val="FF0000"/>
          <w:sz w:val="24"/>
          <w:u w:val="single"/>
        </w:rPr>
      </w:pPr>
      <w:r>
        <w:rPr>
          <w:rFonts w:hint="eastAsia" w:ascii="宋体" w:hAnsi="宋体" w:eastAsia="宋体" w:cs="宋体"/>
          <w:color w:val="FF0000"/>
          <w:spacing w:val="6"/>
          <w:sz w:val="24"/>
        </w:rPr>
        <w:t>供应商（</w:t>
      </w:r>
      <w:r>
        <w:rPr>
          <w:rFonts w:hint="eastAsia" w:ascii="宋体" w:hAnsi="宋体" w:cs="宋体"/>
          <w:color w:val="FF0000"/>
          <w:spacing w:val="6"/>
          <w:sz w:val="24"/>
          <w:lang w:val="en-US" w:eastAsia="zh-CN"/>
        </w:rPr>
        <w:t>CA签章</w:t>
      </w:r>
      <w:r>
        <w:rPr>
          <w:rFonts w:hint="eastAsia" w:ascii="宋体" w:hAnsi="宋体" w:eastAsia="宋体" w:cs="宋体"/>
          <w:color w:val="FF0000"/>
          <w:spacing w:val="6"/>
          <w:sz w:val="24"/>
        </w:rPr>
        <w:t>）</w:t>
      </w:r>
      <w:r>
        <w:rPr>
          <w:rFonts w:hint="eastAsia" w:ascii="宋体" w:hAnsi="宋体" w:eastAsia="宋体" w:cs="宋体"/>
          <w:color w:val="FF0000"/>
          <w:sz w:val="24"/>
        </w:rPr>
        <w:t>：</w:t>
      </w:r>
    </w:p>
    <w:p>
      <w:pPr>
        <w:spacing w:line="360" w:lineRule="auto"/>
        <w:ind w:left="420"/>
        <w:outlineLvl w:val="9"/>
        <w:rPr>
          <w:rFonts w:hint="eastAsia" w:ascii="宋体" w:hAnsi="宋体" w:eastAsia="宋体" w:cs="宋体"/>
          <w:color w:val="FF0000"/>
          <w:sz w:val="24"/>
        </w:rPr>
      </w:pPr>
    </w:p>
    <w:p>
      <w:pPr>
        <w:spacing w:line="360" w:lineRule="auto"/>
        <w:ind w:firstLine="435"/>
        <w:outlineLvl w:val="9"/>
        <w:rPr>
          <w:rFonts w:hint="eastAsia" w:ascii="宋体" w:hAnsi="宋体" w:eastAsia="宋体" w:cs="宋体"/>
          <w:color w:val="FF0000"/>
          <w:sz w:val="24"/>
        </w:rPr>
      </w:pPr>
      <w:r>
        <w:rPr>
          <w:rFonts w:hint="eastAsia" w:ascii="宋体" w:hAnsi="宋体" w:cs="宋体"/>
          <w:color w:val="FF0000"/>
          <w:sz w:val="24"/>
          <w:lang w:eastAsia="zh-CN"/>
        </w:rPr>
        <w:t>单位负责人</w:t>
      </w:r>
      <w:r>
        <w:rPr>
          <w:rFonts w:hint="eastAsia" w:ascii="宋体" w:hAnsi="宋体" w:eastAsia="宋体" w:cs="宋体"/>
          <w:color w:val="FF0000"/>
          <w:sz w:val="24"/>
          <w:lang w:eastAsia="zh-CN"/>
        </w:rPr>
        <w:t>或授权委托人(</w:t>
      </w:r>
      <w:r>
        <w:rPr>
          <w:rFonts w:hint="eastAsia" w:ascii="宋体" w:hAnsi="宋体" w:cs="宋体"/>
          <w:color w:val="FF0000"/>
          <w:sz w:val="24"/>
          <w:lang w:eastAsia="zh-CN"/>
        </w:rPr>
        <w:t>签字或签章</w:t>
      </w:r>
      <w:r>
        <w:rPr>
          <w:rFonts w:hint="eastAsia" w:ascii="宋体" w:hAnsi="宋体" w:eastAsia="宋体" w:cs="宋体"/>
          <w:color w:val="FF0000"/>
          <w:sz w:val="24"/>
          <w:lang w:eastAsia="zh-CN"/>
        </w:rPr>
        <w:t>)</w:t>
      </w:r>
      <w:r>
        <w:rPr>
          <w:rFonts w:hint="eastAsia" w:ascii="宋体" w:hAnsi="宋体" w:eastAsia="宋体" w:cs="宋体"/>
          <w:color w:val="FF0000"/>
          <w:sz w:val="24"/>
        </w:rPr>
        <w:t>：</w:t>
      </w:r>
    </w:p>
    <w:p>
      <w:pPr>
        <w:spacing w:line="360" w:lineRule="auto"/>
        <w:ind w:firstLine="435"/>
        <w:outlineLvl w:val="9"/>
        <w:rPr>
          <w:rFonts w:hint="eastAsia" w:ascii="宋体" w:hAnsi="宋体" w:eastAsia="宋体" w:cs="宋体"/>
          <w:color w:val="FF0000"/>
          <w:sz w:val="24"/>
        </w:rPr>
      </w:pPr>
    </w:p>
    <w:p>
      <w:pPr>
        <w:spacing w:line="360" w:lineRule="auto"/>
        <w:ind w:firstLine="435"/>
        <w:outlineLvl w:val="9"/>
        <w:rPr>
          <w:rFonts w:hint="eastAsia" w:ascii="宋体" w:hAnsi="宋体" w:eastAsia="宋体" w:cs="宋体"/>
          <w:color w:val="FF0000"/>
          <w:sz w:val="24"/>
          <w:lang w:eastAsia="zh-CN"/>
        </w:rPr>
      </w:pPr>
      <w:r>
        <w:rPr>
          <w:rFonts w:hint="eastAsia" w:ascii="宋体" w:hAnsi="宋体" w:eastAsia="宋体" w:cs="宋体"/>
          <w:color w:val="FF0000"/>
          <w:sz w:val="24"/>
        </w:rPr>
        <w:t>日        期：</w:t>
      </w:r>
      <w:r>
        <w:rPr>
          <w:rFonts w:hint="eastAsia" w:ascii="宋体" w:hAnsi="宋体" w:cs="宋体"/>
          <w:color w:val="FF0000"/>
          <w:sz w:val="24"/>
          <w:lang w:eastAsia="zh-CN"/>
        </w:rPr>
        <w:t>2022年××月××日</w:t>
      </w:r>
    </w:p>
    <w:p/>
    <w:sectPr>
      <w:headerReference r:id="rId6" w:type="default"/>
      <w:pgSz w:w="11906" w:h="16838"/>
      <w:pgMar w:top="1440" w:right="1440" w:bottom="1440" w:left="1440"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0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Noto Sans Mono CJK JP Regular">
    <w:altName w:val="微软雅黑"/>
    <w:panose1 w:val="00000000000000000000"/>
    <w:charset w:val="00"/>
    <w:family w:val="swiss"/>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t xml:space="preserve">第 </w:t>
                          </w:r>
                          <w:r>
                            <w:fldChar w:fldCharType="begin"/>
                          </w:r>
                          <w:r>
                            <w:instrText xml:space="preserve"> PAGE  \* MERGEFORMAT </w:instrText>
                          </w:r>
                          <w:r>
                            <w:fldChar w:fldCharType="separate"/>
                          </w:r>
                          <w:r>
                            <w:t>4</w:t>
                          </w:r>
                          <w:r>
                            <w:fldChar w:fldCharType="end"/>
                          </w:r>
                          <w:r>
                            <w:t xml:space="preserve"> 页</w:t>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LFtn8sBAACcAwAADgAAAGRycy9lMm9Eb2MueG1srVPNjtMwEL4j8Q6W&#10;79RpQ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lvcBEoctzjwy/dvlx+/Lj+/kmX1&#10;8lVWqA9QY+JdwNQ0vPVDzp78gM5MfFDR5i9SIhhHfc9XfeWQiMiP1qv1usKQwNh8QRz28DxESO+k&#10;tyQbDY04wKIrP32ANKbOKbma87faGPTz2ri/HIiZPSz3PvaYrTTsh6nxvW/PyKfH2TfU4apTYt47&#10;lDavyWzE2djPxjFEfejKHuV6EN4cEzZRessVRtipMA6tsJsWLG/Fn/eS9fB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ixbZ/LAQAAnAMAAA4AAAAAAAAAAQAgAAAAHgEAAGRycy9lMm9E&#10;b2MueG1sUEsFBgAAAAAGAAYAWQEAAFsFAAAAAA==&#10;">
              <v:fill on="f" focussize="0,0"/>
              <v:stroke on="f"/>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4</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t xml:space="preserve">第 </w:t>
                          </w:r>
                          <w:r>
                            <w:fldChar w:fldCharType="begin"/>
                          </w:r>
                          <w:r>
                            <w:instrText xml:space="preserve"> PAGE  \* MERGEFORMAT </w:instrText>
                          </w:r>
                          <w:r>
                            <w:fldChar w:fldCharType="separate"/>
                          </w:r>
                          <w:r>
                            <w:t>2</w:t>
                          </w:r>
                          <w:r>
                            <w:fldChar w:fldCharType="end"/>
                          </w:r>
                          <w:r>
                            <w:t xml:space="preserve"> 页</w:t>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SsXqc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rihx3OLAL9+/XX78uvz8SpbV&#10;y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hSsXqcoBAACcAwAADgAAAAAAAAABACAAAAAeAQAAZHJzL2Uyb0Rv&#10;Yy54bWxQSwUGAAAAAAYABgBZAQAAWgUAAAAA&#10;">
              <v:fill on="f" focussize="0,0"/>
              <v:stroke on="f"/>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F7AE58"/>
    <w:multiLevelType w:val="singleLevel"/>
    <w:tmpl w:val="86F7AE58"/>
    <w:lvl w:ilvl="0" w:tentative="0">
      <w:start w:val="1"/>
      <w:numFmt w:val="decimal"/>
      <w:suff w:val="nothing"/>
      <w:lvlText w:val="%1．"/>
      <w:lvlJc w:val="left"/>
      <w:pPr>
        <w:ind w:left="0" w:firstLine="400"/>
      </w:pPr>
      <w:rPr>
        <w:rFonts w:hint="default"/>
      </w:rPr>
    </w:lvl>
  </w:abstractNum>
  <w:abstractNum w:abstractNumId="1">
    <w:nsid w:val="8B1DF1AA"/>
    <w:multiLevelType w:val="singleLevel"/>
    <w:tmpl w:val="8B1DF1AA"/>
    <w:lvl w:ilvl="0" w:tentative="0">
      <w:start w:val="1"/>
      <w:numFmt w:val="decimal"/>
      <w:suff w:val="nothing"/>
      <w:lvlText w:val="%1．"/>
      <w:lvlJc w:val="left"/>
      <w:pPr>
        <w:ind w:left="0" w:firstLine="400"/>
      </w:pPr>
      <w:rPr>
        <w:rFonts w:hint="default"/>
      </w:rPr>
    </w:lvl>
  </w:abstractNum>
  <w:abstractNum w:abstractNumId="2">
    <w:nsid w:val="947ABE16"/>
    <w:multiLevelType w:val="singleLevel"/>
    <w:tmpl w:val="947ABE16"/>
    <w:lvl w:ilvl="0" w:tentative="0">
      <w:start w:val="1"/>
      <w:numFmt w:val="decimal"/>
      <w:suff w:val="nothing"/>
      <w:lvlText w:val="%1．"/>
      <w:lvlJc w:val="left"/>
      <w:pPr>
        <w:ind w:left="0" w:firstLine="400"/>
      </w:pPr>
      <w:rPr>
        <w:rFonts w:hint="default"/>
      </w:rPr>
    </w:lvl>
  </w:abstractNum>
  <w:abstractNum w:abstractNumId="3">
    <w:nsid w:val="966986F9"/>
    <w:multiLevelType w:val="singleLevel"/>
    <w:tmpl w:val="966986F9"/>
    <w:lvl w:ilvl="0" w:tentative="0">
      <w:start w:val="1"/>
      <w:numFmt w:val="decimal"/>
      <w:suff w:val="nothing"/>
      <w:lvlText w:val="%1．"/>
      <w:lvlJc w:val="left"/>
      <w:pPr>
        <w:ind w:left="0" w:firstLine="400"/>
      </w:pPr>
      <w:rPr>
        <w:rFonts w:hint="default"/>
      </w:rPr>
    </w:lvl>
  </w:abstractNum>
  <w:abstractNum w:abstractNumId="4">
    <w:nsid w:val="98495C47"/>
    <w:multiLevelType w:val="singleLevel"/>
    <w:tmpl w:val="98495C47"/>
    <w:lvl w:ilvl="0" w:tentative="0">
      <w:start w:val="1"/>
      <w:numFmt w:val="decimal"/>
      <w:suff w:val="nothing"/>
      <w:lvlText w:val="%1．"/>
      <w:lvlJc w:val="left"/>
      <w:pPr>
        <w:ind w:left="0" w:firstLine="400"/>
      </w:pPr>
      <w:rPr>
        <w:rFonts w:hint="default"/>
      </w:rPr>
    </w:lvl>
  </w:abstractNum>
  <w:abstractNum w:abstractNumId="5">
    <w:nsid w:val="98DCBE8D"/>
    <w:multiLevelType w:val="singleLevel"/>
    <w:tmpl w:val="98DCBE8D"/>
    <w:lvl w:ilvl="0" w:tentative="0">
      <w:start w:val="1"/>
      <w:numFmt w:val="chineseCounting"/>
      <w:suff w:val="nothing"/>
      <w:lvlText w:val="（%1）"/>
      <w:lvlJc w:val="left"/>
      <w:pPr>
        <w:ind w:left="0" w:firstLine="420"/>
      </w:pPr>
      <w:rPr>
        <w:rFonts w:hint="eastAsia"/>
      </w:rPr>
    </w:lvl>
  </w:abstractNum>
  <w:abstractNum w:abstractNumId="6">
    <w:nsid w:val="98DFF132"/>
    <w:multiLevelType w:val="singleLevel"/>
    <w:tmpl w:val="98DFF132"/>
    <w:lvl w:ilvl="0" w:tentative="0">
      <w:start w:val="1"/>
      <w:numFmt w:val="decimalEnclosedCircleChinese"/>
      <w:suff w:val="nothing"/>
      <w:lvlText w:val="%1　"/>
      <w:lvlJc w:val="left"/>
      <w:pPr>
        <w:ind w:left="0" w:firstLine="400"/>
      </w:pPr>
      <w:rPr>
        <w:rFonts w:hint="eastAsia"/>
      </w:rPr>
    </w:lvl>
  </w:abstractNum>
  <w:abstractNum w:abstractNumId="7">
    <w:nsid w:val="9A04134F"/>
    <w:multiLevelType w:val="singleLevel"/>
    <w:tmpl w:val="9A04134F"/>
    <w:lvl w:ilvl="0" w:tentative="0">
      <w:start w:val="1"/>
      <w:numFmt w:val="chineseCounting"/>
      <w:suff w:val="nothing"/>
      <w:lvlText w:val="（%1）"/>
      <w:lvlJc w:val="left"/>
      <w:pPr>
        <w:ind w:left="0" w:firstLine="420"/>
      </w:pPr>
      <w:rPr>
        <w:rFonts w:hint="eastAsia"/>
      </w:rPr>
    </w:lvl>
  </w:abstractNum>
  <w:abstractNum w:abstractNumId="8">
    <w:nsid w:val="A2DC1FE6"/>
    <w:multiLevelType w:val="singleLevel"/>
    <w:tmpl w:val="A2DC1FE6"/>
    <w:lvl w:ilvl="0" w:tentative="0">
      <w:start w:val="1"/>
      <w:numFmt w:val="decimalEnclosedCircleChinese"/>
      <w:suff w:val="nothing"/>
      <w:lvlText w:val="%1　"/>
      <w:lvlJc w:val="left"/>
      <w:pPr>
        <w:ind w:left="0" w:firstLine="400"/>
      </w:pPr>
      <w:rPr>
        <w:rFonts w:hint="eastAsia"/>
      </w:rPr>
    </w:lvl>
  </w:abstractNum>
  <w:abstractNum w:abstractNumId="9">
    <w:nsid w:val="A45C30EC"/>
    <w:multiLevelType w:val="singleLevel"/>
    <w:tmpl w:val="A45C30EC"/>
    <w:lvl w:ilvl="0" w:tentative="0">
      <w:start w:val="1"/>
      <w:numFmt w:val="decimal"/>
      <w:lvlText w:val="%1)"/>
      <w:lvlJc w:val="left"/>
      <w:pPr>
        <w:ind w:left="425" w:hanging="425"/>
      </w:pPr>
      <w:rPr>
        <w:rFonts w:hint="default"/>
      </w:rPr>
    </w:lvl>
  </w:abstractNum>
  <w:abstractNum w:abstractNumId="10">
    <w:nsid w:val="A85676AA"/>
    <w:multiLevelType w:val="singleLevel"/>
    <w:tmpl w:val="A85676AA"/>
    <w:lvl w:ilvl="0" w:tentative="0">
      <w:start w:val="1"/>
      <w:numFmt w:val="decimal"/>
      <w:suff w:val="nothing"/>
      <w:lvlText w:val="(%1)"/>
      <w:lvlJc w:val="left"/>
      <w:pPr>
        <w:ind w:left="454" w:leftChars="0" w:hanging="454" w:firstLineChars="0"/>
      </w:pPr>
      <w:rPr>
        <w:rFonts w:hint="default"/>
      </w:rPr>
    </w:lvl>
  </w:abstractNum>
  <w:abstractNum w:abstractNumId="11">
    <w:nsid w:val="AC45D83F"/>
    <w:multiLevelType w:val="singleLevel"/>
    <w:tmpl w:val="AC45D83F"/>
    <w:lvl w:ilvl="0" w:tentative="0">
      <w:start w:val="1"/>
      <w:numFmt w:val="decimal"/>
      <w:suff w:val="nothing"/>
      <w:lvlText w:val="%1．"/>
      <w:lvlJc w:val="left"/>
      <w:pPr>
        <w:ind w:left="0" w:firstLine="400"/>
      </w:pPr>
      <w:rPr>
        <w:rFonts w:hint="default"/>
      </w:rPr>
    </w:lvl>
  </w:abstractNum>
  <w:abstractNum w:abstractNumId="12">
    <w:nsid w:val="B2FF9CCD"/>
    <w:multiLevelType w:val="singleLevel"/>
    <w:tmpl w:val="B2FF9CCD"/>
    <w:lvl w:ilvl="0" w:tentative="0">
      <w:start w:val="1"/>
      <w:numFmt w:val="decimalEnclosedCircleChinese"/>
      <w:suff w:val="nothing"/>
      <w:lvlText w:val="%1　"/>
      <w:lvlJc w:val="left"/>
      <w:pPr>
        <w:ind w:left="0" w:firstLine="400"/>
      </w:pPr>
      <w:rPr>
        <w:rFonts w:hint="eastAsia"/>
      </w:rPr>
    </w:lvl>
  </w:abstractNum>
  <w:abstractNum w:abstractNumId="13">
    <w:nsid w:val="B39FC326"/>
    <w:multiLevelType w:val="singleLevel"/>
    <w:tmpl w:val="B39FC326"/>
    <w:lvl w:ilvl="0" w:tentative="0">
      <w:start w:val="1"/>
      <w:numFmt w:val="chineseCounting"/>
      <w:suff w:val="nothing"/>
      <w:lvlText w:val="（%1）"/>
      <w:lvlJc w:val="left"/>
      <w:pPr>
        <w:ind w:left="0" w:firstLine="420"/>
      </w:pPr>
      <w:rPr>
        <w:rFonts w:hint="eastAsia"/>
      </w:rPr>
    </w:lvl>
  </w:abstractNum>
  <w:abstractNum w:abstractNumId="14">
    <w:nsid w:val="B50A35D3"/>
    <w:multiLevelType w:val="singleLevel"/>
    <w:tmpl w:val="B50A35D3"/>
    <w:lvl w:ilvl="0" w:tentative="0">
      <w:start w:val="1"/>
      <w:numFmt w:val="chineseCounting"/>
      <w:suff w:val="nothing"/>
      <w:lvlText w:val="（%1）"/>
      <w:lvlJc w:val="left"/>
      <w:pPr>
        <w:ind w:left="0" w:firstLine="420"/>
      </w:pPr>
      <w:rPr>
        <w:rFonts w:hint="eastAsia"/>
      </w:rPr>
    </w:lvl>
  </w:abstractNum>
  <w:abstractNum w:abstractNumId="15">
    <w:nsid w:val="B55BD6DE"/>
    <w:multiLevelType w:val="singleLevel"/>
    <w:tmpl w:val="B55BD6DE"/>
    <w:lvl w:ilvl="0" w:tentative="0">
      <w:start w:val="1"/>
      <w:numFmt w:val="decimalEnclosedCircleChinese"/>
      <w:suff w:val="nothing"/>
      <w:lvlText w:val="%1　"/>
      <w:lvlJc w:val="left"/>
      <w:pPr>
        <w:ind w:left="0" w:firstLine="400"/>
      </w:pPr>
      <w:rPr>
        <w:rFonts w:hint="eastAsia"/>
      </w:rPr>
    </w:lvl>
  </w:abstractNum>
  <w:abstractNum w:abstractNumId="16">
    <w:nsid w:val="C7D637FE"/>
    <w:multiLevelType w:val="singleLevel"/>
    <w:tmpl w:val="C7D637FE"/>
    <w:lvl w:ilvl="0" w:tentative="0">
      <w:start w:val="1"/>
      <w:numFmt w:val="decimalEnclosedCircleChinese"/>
      <w:suff w:val="nothing"/>
      <w:lvlText w:val="%1　"/>
      <w:lvlJc w:val="left"/>
      <w:pPr>
        <w:ind w:left="0" w:firstLine="400"/>
      </w:pPr>
      <w:rPr>
        <w:rFonts w:hint="eastAsia"/>
      </w:rPr>
    </w:lvl>
  </w:abstractNum>
  <w:abstractNum w:abstractNumId="17">
    <w:nsid w:val="C81E0C96"/>
    <w:multiLevelType w:val="singleLevel"/>
    <w:tmpl w:val="C81E0C96"/>
    <w:lvl w:ilvl="0" w:tentative="0">
      <w:start w:val="1"/>
      <w:numFmt w:val="decimal"/>
      <w:suff w:val="nothing"/>
      <w:lvlText w:val="%1．"/>
      <w:lvlJc w:val="left"/>
      <w:pPr>
        <w:ind w:left="0" w:firstLine="400"/>
      </w:pPr>
      <w:rPr>
        <w:rFonts w:hint="default"/>
      </w:rPr>
    </w:lvl>
  </w:abstractNum>
  <w:abstractNum w:abstractNumId="18">
    <w:nsid w:val="C8DB053E"/>
    <w:multiLevelType w:val="singleLevel"/>
    <w:tmpl w:val="C8DB053E"/>
    <w:lvl w:ilvl="0" w:tentative="0">
      <w:start w:val="1"/>
      <w:numFmt w:val="decimalEnclosedCircleChinese"/>
      <w:suff w:val="nothing"/>
      <w:lvlText w:val="%1　"/>
      <w:lvlJc w:val="left"/>
      <w:pPr>
        <w:ind w:left="0" w:firstLine="400"/>
      </w:pPr>
      <w:rPr>
        <w:rFonts w:hint="eastAsia"/>
      </w:rPr>
    </w:lvl>
  </w:abstractNum>
  <w:abstractNum w:abstractNumId="19">
    <w:nsid w:val="CFED0344"/>
    <w:multiLevelType w:val="singleLevel"/>
    <w:tmpl w:val="CFED0344"/>
    <w:lvl w:ilvl="0" w:tentative="0">
      <w:start w:val="1"/>
      <w:numFmt w:val="decimal"/>
      <w:suff w:val="nothing"/>
      <w:lvlText w:val="%1．"/>
      <w:lvlJc w:val="left"/>
      <w:pPr>
        <w:ind w:left="0" w:firstLine="400"/>
      </w:pPr>
      <w:rPr>
        <w:rFonts w:hint="default"/>
      </w:rPr>
    </w:lvl>
  </w:abstractNum>
  <w:abstractNum w:abstractNumId="20">
    <w:nsid w:val="D45B03FC"/>
    <w:multiLevelType w:val="singleLevel"/>
    <w:tmpl w:val="D45B03FC"/>
    <w:lvl w:ilvl="0" w:tentative="0">
      <w:start w:val="1"/>
      <w:numFmt w:val="chineseCounting"/>
      <w:suff w:val="nothing"/>
      <w:lvlText w:val="（%1）"/>
      <w:lvlJc w:val="left"/>
      <w:pPr>
        <w:ind w:left="0" w:firstLine="420"/>
      </w:pPr>
      <w:rPr>
        <w:rFonts w:hint="eastAsia"/>
      </w:rPr>
    </w:lvl>
  </w:abstractNum>
  <w:abstractNum w:abstractNumId="21">
    <w:nsid w:val="D6321ED4"/>
    <w:multiLevelType w:val="singleLevel"/>
    <w:tmpl w:val="D6321ED4"/>
    <w:lvl w:ilvl="0" w:tentative="0">
      <w:start w:val="1"/>
      <w:numFmt w:val="decimalEnclosedCircleChinese"/>
      <w:suff w:val="nothing"/>
      <w:lvlText w:val="%1　"/>
      <w:lvlJc w:val="left"/>
      <w:pPr>
        <w:ind w:left="0" w:firstLine="400"/>
      </w:pPr>
      <w:rPr>
        <w:rFonts w:hint="eastAsia"/>
      </w:rPr>
    </w:lvl>
  </w:abstractNum>
  <w:abstractNum w:abstractNumId="22">
    <w:nsid w:val="DDF5E855"/>
    <w:multiLevelType w:val="singleLevel"/>
    <w:tmpl w:val="DDF5E855"/>
    <w:lvl w:ilvl="0" w:tentative="0">
      <w:start w:val="1"/>
      <w:numFmt w:val="decimal"/>
      <w:suff w:val="nothing"/>
      <w:lvlText w:val="%1．"/>
      <w:lvlJc w:val="left"/>
      <w:pPr>
        <w:ind w:left="0" w:firstLine="400"/>
      </w:pPr>
      <w:rPr>
        <w:rFonts w:hint="default"/>
      </w:rPr>
    </w:lvl>
  </w:abstractNum>
  <w:abstractNum w:abstractNumId="23">
    <w:nsid w:val="E2144295"/>
    <w:multiLevelType w:val="singleLevel"/>
    <w:tmpl w:val="E2144295"/>
    <w:lvl w:ilvl="0" w:tentative="0">
      <w:start w:val="1"/>
      <w:numFmt w:val="decimalEnclosedCircleChinese"/>
      <w:suff w:val="nothing"/>
      <w:lvlText w:val="%1　"/>
      <w:lvlJc w:val="left"/>
      <w:pPr>
        <w:ind w:left="0" w:firstLine="400"/>
      </w:pPr>
      <w:rPr>
        <w:rFonts w:hint="eastAsia"/>
      </w:rPr>
    </w:lvl>
  </w:abstractNum>
  <w:abstractNum w:abstractNumId="24">
    <w:nsid w:val="E43CA376"/>
    <w:multiLevelType w:val="singleLevel"/>
    <w:tmpl w:val="E43CA376"/>
    <w:lvl w:ilvl="0" w:tentative="0">
      <w:start w:val="1"/>
      <w:numFmt w:val="decimal"/>
      <w:suff w:val="nothing"/>
      <w:lvlText w:val="%1．"/>
      <w:lvlJc w:val="left"/>
      <w:pPr>
        <w:ind w:left="0" w:firstLine="400"/>
      </w:pPr>
      <w:rPr>
        <w:rFonts w:hint="default"/>
      </w:rPr>
    </w:lvl>
  </w:abstractNum>
  <w:abstractNum w:abstractNumId="25">
    <w:nsid w:val="E80FFC20"/>
    <w:multiLevelType w:val="singleLevel"/>
    <w:tmpl w:val="E80FFC20"/>
    <w:lvl w:ilvl="0" w:tentative="0">
      <w:start w:val="1"/>
      <w:numFmt w:val="decimal"/>
      <w:suff w:val="nothing"/>
      <w:lvlText w:val="%1．"/>
      <w:lvlJc w:val="left"/>
      <w:pPr>
        <w:ind w:left="0" w:firstLine="400"/>
      </w:pPr>
      <w:rPr>
        <w:rFonts w:hint="default"/>
      </w:rPr>
    </w:lvl>
  </w:abstractNum>
  <w:abstractNum w:abstractNumId="26">
    <w:nsid w:val="E84F2699"/>
    <w:multiLevelType w:val="singleLevel"/>
    <w:tmpl w:val="E84F2699"/>
    <w:lvl w:ilvl="0" w:tentative="0">
      <w:start w:val="1"/>
      <w:numFmt w:val="chineseCounting"/>
      <w:suff w:val="nothing"/>
      <w:lvlText w:val="（%1）"/>
      <w:lvlJc w:val="left"/>
      <w:pPr>
        <w:ind w:left="0" w:firstLine="420"/>
      </w:pPr>
      <w:rPr>
        <w:rFonts w:hint="eastAsia"/>
      </w:rPr>
    </w:lvl>
  </w:abstractNum>
  <w:abstractNum w:abstractNumId="27">
    <w:nsid w:val="E937CCE3"/>
    <w:multiLevelType w:val="singleLevel"/>
    <w:tmpl w:val="E937CCE3"/>
    <w:lvl w:ilvl="0" w:tentative="0">
      <w:start w:val="1"/>
      <w:numFmt w:val="decimal"/>
      <w:suff w:val="nothing"/>
      <w:lvlText w:val="%1．"/>
      <w:lvlJc w:val="left"/>
      <w:pPr>
        <w:ind w:left="0" w:firstLine="400"/>
      </w:pPr>
      <w:rPr>
        <w:rFonts w:hint="default"/>
      </w:rPr>
    </w:lvl>
  </w:abstractNum>
  <w:abstractNum w:abstractNumId="28">
    <w:nsid w:val="EA5C6C44"/>
    <w:multiLevelType w:val="singleLevel"/>
    <w:tmpl w:val="EA5C6C44"/>
    <w:lvl w:ilvl="0" w:tentative="0">
      <w:start w:val="1"/>
      <w:numFmt w:val="decimalEnclosedCircleChinese"/>
      <w:suff w:val="nothing"/>
      <w:lvlText w:val="%1　"/>
      <w:lvlJc w:val="left"/>
      <w:pPr>
        <w:ind w:left="0" w:firstLine="400"/>
      </w:pPr>
      <w:rPr>
        <w:rFonts w:hint="eastAsia"/>
      </w:rPr>
    </w:lvl>
  </w:abstractNum>
  <w:abstractNum w:abstractNumId="29">
    <w:nsid w:val="F0F1F2C0"/>
    <w:multiLevelType w:val="singleLevel"/>
    <w:tmpl w:val="F0F1F2C0"/>
    <w:lvl w:ilvl="0" w:tentative="0">
      <w:start w:val="1"/>
      <w:numFmt w:val="decimal"/>
      <w:suff w:val="nothing"/>
      <w:lvlText w:val="%1．"/>
      <w:lvlJc w:val="left"/>
      <w:pPr>
        <w:ind w:left="0" w:firstLine="400"/>
      </w:pPr>
      <w:rPr>
        <w:rFonts w:hint="default"/>
      </w:rPr>
    </w:lvl>
  </w:abstractNum>
  <w:abstractNum w:abstractNumId="30">
    <w:nsid w:val="FC7F1530"/>
    <w:multiLevelType w:val="singleLevel"/>
    <w:tmpl w:val="FC7F1530"/>
    <w:lvl w:ilvl="0" w:tentative="0">
      <w:start w:val="1"/>
      <w:numFmt w:val="decimal"/>
      <w:suff w:val="nothing"/>
      <w:lvlText w:val="%1．"/>
      <w:lvlJc w:val="left"/>
      <w:pPr>
        <w:ind w:left="0" w:firstLine="400"/>
      </w:pPr>
      <w:rPr>
        <w:rFonts w:hint="default"/>
      </w:rPr>
    </w:lvl>
  </w:abstractNum>
  <w:abstractNum w:abstractNumId="31">
    <w:nsid w:val="0000000C"/>
    <w:multiLevelType w:val="singleLevel"/>
    <w:tmpl w:val="0000000C"/>
    <w:lvl w:ilvl="0" w:tentative="0">
      <w:start w:val="1"/>
      <w:numFmt w:val="decimal"/>
      <w:pStyle w:val="7"/>
      <w:lvlText w:val="%1."/>
      <w:lvlJc w:val="left"/>
      <w:pPr>
        <w:tabs>
          <w:tab w:val="left" w:pos="360"/>
        </w:tabs>
        <w:ind w:left="360" w:hanging="360"/>
      </w:pPr>
    </w:lvl>
  </w:abstractNum>
  <w:abstractNum w:abstractNumId="32">
    <w:nsid w:val="00000010"/>
    <w:multiLevelType w:val="singleLevel"/>
    <w:tmpl w:val="00000010"/>
    <w:lvl w:ilvl="0" w:tentative="0">
      <w:start w:val="1"/>
      <w:numFmt w:val="chineseCounting"/>
      <w:suff w:val="nothing"/>
      <w:lvlText w:val="%1、"/>
      <w:lvlJc w:val="left"/>
      <w:pPr>
        <w:ind w:left="0" w:firstLine="0"/>
      </w:pPr>
      <w:rPr>
        <w:rFonts w:hint="eastAsia"/>
      </w:rPr>
    </w:lvl>
  </w:abstractNum>
  <w:abstractNum w:abstractNumId="33">
    <w:nsid w:val="00000030"/>
    <w:multiLevelType w:val="singleLevel"/>
    <w:tmpl w:val="00000030"/>
    <w:lvl w:ilvl="0" w:tentative="0">
      <w:start w:val="2"/>
      <w:numFmt w:val="chineseCounting"/>
      <w:suff w:val="space"/>
      <w:lvlText w:val="第%1章"/>
      <w:lvlJc w:val="left"/>
      <w:rPr>
        <w:rFonts w:hint="eastAsia"/>
      </w:rPr>
    </w:lvl>
  </w:abstractNum>
  <w:abstractNum w:abstractNumId="34">
    <w:nsid w:val="00000031"/>
    <w:multiLevelType w:val="singleLevel"/>
    <w:tmpl w:val="00000031"/>
    <w:lvl w:ilvl="0" w:tentative="0">
      <w:start w:val="1"/>
      <w:numFmt w:val="japaneseCounting"/>
      <w:lvlText w:val="%1、"/>
      <w:lvlJc w:val="left"/>
      <w:pPr>
        <w:tabs>
          <w:tab w:val="left" w:pos="960"/>
        </w:tabs>
        <w:ind w:left="960" w:hanging="600"/>
      </w:pPr>
      <w:rPr>
        <w:rFonts w:hint="eastAsia"/>
      </w:rPr>
    </w:lvl>
  </w:abstractNum>
  <w:abstractNum w:abstractNumId="35">
    <w:nsid w:val="028B5550"/>
    <w:multiLevelType w:val="singleLevel"/>
    <w:tmpl w:val="028B5550"/>
    <w:lvl w:ilvl="0" w:tentative="0">
      <w:start w:val="1"/>
      <w:numFmt w:val="decimalEnclosedCircleChinese"/>
      <w:suff w:val="nothing"/>
      <w:lvlText w:val="%1　"/>
      <w:lvlJc w:val="left"/>
      <w:pPr>
        <w:ind w:left="0" w:firstLine="400"/>
      </w:pPr>
      <w:rPr>
        <w:rFonts w:hint="eastAsia"/>
      </w:rPr>
    </w:lvl>
  </w:abstractNum>
  <w:abstractNum w:abstractNumId="36">
    <w:nsid w:val="079E05C0"/>
    <w:multiLevelType w:val="singleLevel"/>
    <w:tmpl w:val="079E05C0"/>
    <w:lvl w:ilvl="0" w:tentative="0">
      <w:start w:val="1"/>
      <w:numFmt w:val="decimal"/>
      <w:suff w:val="nothing"/>
      <w:lvlText w:val="%1．"/>
      <w:lvlJc w:val="left"/>
      <w:pPr>
        <w:ind w:left="0" w:firstLine="400"/>
      </w:pPr>
      <w:rPr>
        <w:rFonts w:hint="default"/>
      </w:rPr>
    </w:lvl>
  </w:abstractNum>
  <w:abstractNum w:abstractNumId="37">
    <w:nsid w:val="1102ED56"/>
    <w:multiLevelType w:val="singleLevel"/>
    <w:tmpl w:val="1102ED56"/>
    <w:lvl w:ilvl="0" w:tentative="0">
      <w:start w:val="1"/>
      <w:numFmt w:val="decimal"/>
      <w:suff w:val="nothing"/>
      <w:lvlText w:val="%1．"/>
      <w:lvlJc w:val="left"/>
      <w:pPr>
        <w:ind w:left="0" w:firstLine="400"/>
      </w:pPr>
      <w:rPr>
        <w:rFonts w:hint="default"/>
      </w:rPr>
    </w:lvl>
  </w:abstractNum>
  <w:abstractNum w:abstractNumId="38">
    <w:nsid w:val="143DFE88"/>
    <w:multiLevelType w:val="singleLevel"/>
    <w:tmpl w:val="143DFE88"/>
    <w:lvl w:ilvl="0" w:tentative="0">
      <w:start w:val="1"/>
      <w:numFmt w:val="decimalEnclosedCircleChinese"/>
      <w:suff w:val="nothing"/>
      <w:lvlText w:val="%1　"/>
      <w:lvlJc w:val="left"/>
      <w:pPr>
        <w:ind w:left="0" w:firstLine="400"/>
      </w:pPr>
      <w:rPr>
        <w:rFonts w:hint="eastAsia"/>
      </w:rPr>
    </w:lvl>
  </w:abstractNum>
  <w:abstractNum w:abstractNumId="39">
    <w:nsid w:val="14C55956"/>
    <w:multiLevelType w:val="singleLevel"/>
    <w:tmpl w:val="14C55956"/>
    <w:lvl w:ilvl="0" w:tentative="0">
      <w:start w:val="1"/>
      <w:numFmt w:val="chineseCounting"/>
      <w:suff w:val="nothing"/>
      <w:lvlText w:val="附件%1"/>
      <w:lvlJc w:val="left"/>
      <w:pPr>
        <w:tabs>
          <w:tab w:val="left" w:pos="0"/>
        </w:tabs>
      </w:pPr>
      <w:rPr>
        <w:rFonts w:hint="eastAsia" w:ascii="宋体" w:hAnsi="宋体" w:eastAsia="宋体" w:cs="宋体"/>
        <w:bCs/>
        <w:color w:val="000000" w:themeColor="text1"/>
        <w:sz w:val="28"/>
        <w14:textFill>
          <w14:solidFill>
            <w14:schemeClr w14:val="tx1"/>
          </w14:solidFill>
        </w14:textFill>
      </w:rPr>
    </w:lvl>
  </w:abstractNum>
  <w:abstractNum w:abstractNumId="40">
    <w:nsid w:val="15F7E4EC"/>
    <w:multiLevelType w:val="singleLevel"/>
    <w:tmpl w:val="15F7E4EC"/>
    <w:lvl w:ilvl="0" w:tentative="0">
      <w:start w:val="1"/>
      <w:numFmt w:val="chineseCounting"/>
      <w:suff w:val="nothing"/>
      <w:lvlText w:val="（%1）"/>
      <w:lvlJc w:val="left"/>
      <w:pPr>
        <w:ind w:left="0" w:firstLine="420"/>
      </w:pPr>
      <w:rPr>
        <w:rFonts w:hint="eastAsia"/>
      </w:rPr>
    </w:lvl>
  </w:abstractNum>
  <w:abstractNum w:abstractNumId="41">
    <w:nsid w:val="1964CFE3"/>
    <w:multiLevelType w:val="singleLevel"/>
    <w:tmpl w:val="1964CFE3"/>
    <w:lvl w:ilvl="0" w:tentative="0">
      <w:start w:val="1"/>
      <w:numFmt w:val="decimal"/>
      <w:suff w:val="nothing"/>
      <w:lvlText w:val="%1．"/>
      <w:lvlJc w:val="left"/>
      <w:pPr>
        <w:ind w:left="0" w:firstLine="400"/>
      </w:pPr>
      <w:rPr>
        <w:rFonts w:hint="default"/>
      </w:rPr>
    </w:lvl>
  </w:abstractNum>
  <w:abstractNum w:abstractNumId="42">
    <w:nsid w:val="196ADDEC"/>
    <w:multiLevelType w:val="singleLevel"/>
    <w:tmpl w:val="196ADDEC"/>
    <w:lvl w:ilvl="0" w:tentative="0">
      <w:start w:val="1"/>
      <w:numFmt w:val="decimal"/>
      <w:suff w:val="nothing"/>
      <w:lvlText w:val="%1．"/>
      <w:lvlJc w:val="left"/>
      <w:pPr>
        <w:ind w:left="0" w:firstLine="400"/>
      </w:pPr>
      <w:rPr>
        <w:rFonts w:hint="default"/>
      </w:rPr>
    </w:lvl>
  </w:abstractNum>
  <w:abstractNum w:abstractNumId="43">
    <w:nsid w:val="283BF254"/>
    <w:multiLevelType w:val="singleLevel"/>
    <w:tmpl w:val="283BF254"/>
    <w:lvl w:ilvl="0" w:tentative="0">
      <w:start w:val="1"/>
      <w:numFmt w:val="decimal"/>
      <w:suff w:val="nothing"/>
      <w:lvlText w:val="%1．"/>
      <w:lvlJc w:val="left"/>
      <w:pPr>
        <w:ind w:left="0" w:firstLine="400"/>
      </w:pPr>
      <w:rPr>
        <w:rFonts w:hint="default"/>
      </w:rPr>
    </w:lvl>
  </w:abstractNum>
  <w:abstractNum w:abstractNumId="44">
    <w:nsid w:val="2FE29936"/>
    <w:multiLevelType w:val="singleLevel"/>
    <w:tmpl w:val="2FE29936"/>
    <w:lvl w:ilvl="0" w:tentative="0">
      <w:start w:val="1"/>
      <w:numFmt w:val="lowerLetter"/>
      <w:lvlText w:val="%1."/>
      <w:lvlJc w:val="left"/>
      <w:pPr>
        <w:ind w:left="425" w:hanging="425"/>
      </w:pPr>
      <w:rPr>
        <w:rFonts w:hint="default"/>
      </w:rPr>
    </w:lvl>
  </w:abstractNum>
  <w:abstractNum w:abstractNumId="45">
    <w:nsid w:val="3128C229"/>
    <w:multiLevelType w:val="singleLevel"/>
    <w:tmpl w:val="3128C229"/>
    <w:lvl w:ilvl="0" w:tentative="0">
      <w:start w:val="1"/>
      <w:numFmt w:val="chineseCounting"/>
      <w:suff w:val="nothing"/>
      <w:lvlText w:val="（%1）"/>
      <w:lvlJc w:val="left"/>
      <w:pPr>
        <w:ind w:left="0" w:firstLine="420"/>
      </w:pPr>
      <w:rPr>
        <w:rFonts w:hint="eastAsia"/>
      </w:rPr>
    </w:lvl>
  </w:abstractNum>
  <w:abstractNum w:abstractNumId="46">
    <w:nsid w:val="3153F23C"/>
    <w:multiLevelType w:val="singleLevel"/>
    <w:tmpl w:val="3153F23C"/>
    <w:lvl w:ilvl="0" w:tentative="0">
      <w:start w:val="1"/>
      <w:numFmt w:val="chineseCounting"/>
      <w:suff w:val="nothing"/>
      <w:lvlText w:val="（%1）"/>
      <w:lvlJc w:val="left"/>
      <w:pPr>
        <w:ind w:left="0" w:firstLine="420"/>
      </w:pPr>
      <w:rPr>
        <w:rFonts w:hint="eastAsia"/>
      </w:rPr>
    </w:lvl>
  </w:abstractNum>
  <w:abstractNum w:abstractNumId="47">
    <w:nsid w:val="32B037BF"/>
    <w:multiLevelType w:val="singleLevel"/>
    <w:tmpl w:val="32B037BF"/>
    <w:lvl w:ilvl="0" w:tentative="0">
      <w:start w:val="1"/>
      <w:numFmt w:val="chineseCounting"/>
      <w:suff w:val="nothing"/>
      <w:lvlText w:val="%1、"/>
      <w:lvlJc w:val="left"/>
      <w:pPr>
        <w:ind w:left="0" w:firstLine="420"/>
      </w:pPr>
      <w:rPr>
        <w:rFonts w:hint="eastAsia"/>
      </w:rPr>
    </w:lvl>
  </w:abstractNum>
  <w:abstractNum w:abstractNumId="48">
    <w:nsid w:val="3437163E"/>
    <w:multiLevelType w:val="singleLevel"/>
    <w:tmpl w:val="3437163E"/>
    <w:lvl w:ilvl="0" w:tentative="0">
      <w:start w:val="1"/>
      <w:numFmt w:val="decimal"/>
      <w:suff w:val="nothing"/>
      <w:lvlText w:val="%1．"/>
      <w:lvlJc w:val="left"/>
      <w:pPr>
        <w:ind w:left="0" w:firstLine="400"/>
      </w:pPr>
      <w:rPr>
        <w:rFonts w:hint="default"/>
      </w:rPr>
    </w:lvl>
  </w:abstractNum>
  <w:abstractNum w:abstractNumId="49">
    <w:nsid w:val="383125FC"/>
    <w:multiLevelType w:val="singleLevel"/>
    <w:tmpl w:val="383125FC"/>
    <w:lvl w:ilvl="0" w:tentative="0">
      <w:start w:val="1"/>
      <w:numFmt w:val="decimalEnclosedCircleChinese"/>
      <w:suff w:val="nothing"/>
      <w:lvlText w:val="%1　"/>
      <w:lvlJc w:val="left"/>
      <w:pPr>
        <w:ind w:left="0" w:firstLine="400"/>
      </w:pPr>
      <w:rPr>
        <w:rFonts w:hint="eastAsia"/>
      </w:rPr>
    </w:lvl>
  </w:abstractNum>
  <w:abstractNum w:abstractNumId="50">
    <w:nsid w:val="40BF08A7"/>
    <w:multiLevelType w:val="singleLevel"/>
    <w:tmpl w:val="40BF08A7"/>
    <w:lvl w:ilvl="0" w:tentative="0">
      <w:start w:val="1"/>
      <w:numFmt w:val="chineseCounting"/>
      <w:suff w:val="nothing"/>
      <w:lvlText w:val="（%1）"/>
      <w:lvlJc w:val="left"/>
      <w:pPr>
        <w:ind w:left="0" w:firstLine="420"/>
      </w:pPr>
      <w:rPr>
        <w:rFonts w:hint="eastAsia"/>
      </w:rPr>
    </w:lvl>
  </w:abstractNum>
  <w:abstractNum w:abstractNumId="51">
    <w:nsid w:val="4114C2D3"/>
    <w:multiLevelType w:val="singleLevel"/>
    <w:tmpl w:val="4114C2D3"/>
    <w:lvl w:ilvl="0" w:tentative="0">
      <w:start w:val="1"/>
      <w:numFmt w:val="decimalEnclosedCircleChinese"/>
      <w:suff w:val="nothing"/>
      <w:lvlText w:val="%1　"/>
      <w:lvlJc w:val="left"/>
      <w:pPr>
        <w:ind w:left="0" w:firstLine="400"/>
      </w:pPr>
      <w:rPr>
        <w:rFonts w:hint="eastAsia"/>
      </w:rPr>
    </w:lvl>
  </w:abstractNum>
  <w:abstractNum w:abstractNumId="52">
    <w:nsid w:val="41FD3376"/>
    <w:multiLevelType w:val="singleLevel"/>
    <w:tmpl w:val="41FD3376"/>
    <w:lvl w:ilvl="0" w:tentative="0">
      <w:start w:val="1"/>
      <w:numFmt w:val="decimal"/>
      <w:lvlText w:val="%1."/>
      <w:lvlJc w:val="left"/>
      <w:pPr>
        <w:ind w:left="425" w:hanging="425"/>
      </w:pPr>
      <w:rPr>
        <w:rFonts w:hint="default"/>
      </w:rPr>
    </w:lvl>
  </w:abstractNum>
  <w:abstractNum w:abstractNumId="53">
    <w:nsid w:val="4C89070F"/>
    <w:multiLevelType w:val="singleLevel"/>
    <w:tmpl w:val="4C89070F"/>
    <w:lvl w:ilvl="0" w:tentative="0">
      <w:start w:val="1"/>
      <w:numFmt w:val="decimal"/>
      <w:lvlText w:val="%1."/>
      <w:lvlJc w:val="left"/>
      <w:pPr>
        <w:tabs>
          <w:tab w:val="left" w:pos="312"/>
        </w:tabs>
      </w:pPr>
    </w:lvl>
  </w:abstractNum>
  <w:abstractNum w:abstractNumId="54">
    <w:nsid w:val="4FE708C0"/>
    <w:multiLevelType w:val="singleLevel"/>
    <w:tmpl w:val="4FE708C0"/>
    <w:lvl w:ilvl="0" w:tentative="0">
      <w:start w:val="1"/>
      <w:numFmt w:val="decimal"/>
      <w:lvlText w:val="%1."/>
      <w:lvlJc w:val="left"/>
      <w:pPr>
        <w:ind w:left="425" w:hanging="425"/>
      </w:pPr>
      <w:rPr>
        <w:rFonts w:hint="default"/>
      </w:rPr>
    </w:lvl>
  </w:abstractNum>
  <w:abstractNum w:abstractNumId="55">
    <w:nsid w:val="509333B4"/>
    <w:multiLevelType w:val="singleLevel"/>
    <w:tmpl w:val="509333B4"/>
    <w:lvl w:ilvl="0" w:tentative="0">
      <w:start w:val="1"/>
      <w:numFmt w:val="decimalEnclosedCircleChinese"/>
      <w:suff w:val="nothing"/>
      <w:lvlText w:val="%1　"/>
      <w:lvlJc w:val="left"/>
      <w:pPr>
        <w:ind w:left="0" w:firstLine="400"/>
      </w:pPr>
      <w:rPr>
        <w:rFonts w:hint="eastAsia"/>
      </w:rPr>
    </w:lvl>
  </w:abstractNum>
  <w:abstractNum w:abstractNumId="56">
    <w:nsid w:val="5229B699"/>
    <w:multiLevelType w:val="singleLevel"/>
    <w:tmpl w:val="5229B699"/>
    <w:lvl w:ilvl="0" w:tentative="0">
      <w:start w:val="1"/>
      <w:numFmt w:val="decimal"/>
      <w:suff w:val="nothing"/>
      <w:lvlText w:val="%1．"/>
      <w:lvlJc w:val="left"/>
      <w:pPr>
        <w:ind w:left="0" w:firstLine="400"/>
      </w:pPr>
      <w:rPr>
        <w:rFonts w:hint="default"/>
      </w:rPr>
    </w:lvl>
  </w:abstractNum>
  <w:abstractNum w:abstractNumId="57">
    <w:nsid w:val="62F0365E"/>
    <w:multiLevelType w:val="singleLevel"/>
    <w:tmpl w:val="62F0365E"/>
    <w:lvl w:ilvl="0" w:tentative="0">
      <w:start w:val="1"/>
      <w:numFmt w:val="decimal"/>
      <w:suff w:val="nothing"/>
      <w:lvlText w:val="%1．"/>
      <w:lvlJc w:val="left"/>
      <w:pPr>
        <w:ind w:left="0" w:firstLine="400"/>
      </w:pPr>
      <w:rPr>
        <w:rFonts w:hint="default"/>
      </w:rPr>
    </w:lvl>
  </w:abstractNum>
  <w:abstractNum w:abstractNumId="58">
    <w:nsid w:val="65EC88FE"/>
    <w:multiLevelType w:val="singleLevel"/>
    <w:tmpl w:val="65EC88FE"/>
    <w:lvl w:ilvl="0" w:tentative="0">
      <w:start w:val="1"/>
      <w:numFmt w:val="decimal"/>
      <w:suff w:val="nothing"/>
      <w:lvlText w:val="%1．"/>
      <w:lvlJc w:val="left"/>
      <w:pPr>
        <w:ind w:left="0" w:firstLine="400"/>
      </w:pPr>
      <w:rPr>
        <w:rFonts w:hint="default"/>
      </w:rPr>
    </w:lvl>
  </w:abstractNum>
  <w:abstractNum w:abstractNumId="59">
    <w:nsid w:val="6F149BB0"/>
    <w:multiLevelType w:val="singleLevel"/>
    <w:tmpl w:val="6F149BB0"/>
    <w:lvl w:ilvl="0" w:tentative="0">
      <w:start w:val="1"/>
      <w:numFmt w:val="chineseCounting"/>
      <w:suff w:val="nothing"/>
      <w:lvlText w:val="%1、"/>
      <w:lvlJc w:val="left"/>
      <w:pPr>
        <w:ind w:left="0" w:firstLine="420"/>
      </w:pPr>
      <w:rPr>
        <w:rFonts w:hint="eastAsia"/>
      </w:rPr>
    </w:lvl>
  </w:abstractNum>
  <w:abstractNum w:abstractNumId="60">
    <w:nsid w:val="6F77925E"/>
    <w:multiLevelType w:val="singleLevel"/>
    <w:tmpl w:val="6F77925E"/>
    <w:lvl w:ilvl="0" w:tentative="0">
      <w:start w:val="1"/>
      <w:numFmt w:val="decimal"/>
      <w:suff w:val="nothing"/>
      <w:lvlText w:val="%1．"/>
      <w:lvlJc w:val="left"/>
      <w:pPr>
        <w:ind w:left="0" w:firstLine="400"/>
      </w:pPr>
      <w:rPr>
        <w:rFonts w:hint="default"/>
      </w:rPr>
    </w:lvl>
  </w:abstractNum>
  <w:abstractNum w:abstractNumId="61">
    <w:nsid w:val="754995FC"/>
    <w:multiLevelType w:val="singleLevel"/>
    <w:tmpl w:val="754995FC"/>
    <w:lvl w:ilvl="0" w:tentative="0">
      <w:start w:val="1"/>
      <w:numFmt w:val="decimal"/>
      <w:suff w:val="nothing"/>
      <w:lvlText w:val="%1．"/>
      <w:lvlJc w:val="left"/>
      <w:pPr>
        <w:ind w:left="0" w:firstLine="400"/>
      </w:pPr>
      <w:rPr>
        <w:rFonts w:hint="default"/>
      </w:rPr>
    </w:lvl>
  </w:abstractNum>
  <w:abstractNum w:abstractNumId="62">
    <w:nsid w:val="7D844F70"/>
    <w:multiLevelType w:val="singleLevel"/>
    <w:tmpl w:val="7D844F70"/>
    <w:lvl w:ilvl="0" w:tentative="0">
      <w:start w:val="1"/>
      <w:numFmt w:val="chineseCounting"/>
      <w:suff w:val="nothing"/>
      <w:lvlText w:val="（%1）"/>
      <w:lvlJc w:val="left"/>
      <w:pPr>
        <w:ind w:left="0" w:firstLine="420"/>
      </w:pPr>
      <w:rPr>
        <w:rFonts w:hint="eastAsia"/>
      </w:rPr>
    </w:lvl>
  </w:abstractNum>
  <w:num w:numId="1">
    <w:abstractNumId w:val="31"/>
  </w:num>
  <w:num w:numId="2">
    <w:abstractNumId w:val="52"/>
  </w:num>
  <w:num w:numId="3">
    <w:abstractNumId w:val="34"/>
  </w:num>
  <w:num w:numId="4">
    <w:abstractNumId w:val="32"/>
  </w:num>
  <w:num w:numId="5">
    <w:abstractNumId w:val="25"/>
  </w:num>
  <w:num w:numId="6">
    <w:abstractNumId w:val="56"/>
  </w:num>
  <w:num w:numId="7">
    <w:abstractNumId w:val="9"/>
  </w:num>
  <w:num w:numId="8">
    <w:abstractNumId w:val="23"/>
  </w:num>
  <w:num w:numId="9">
    <w:abstractNumId w:val="61"/>
  </w:num>
  <w:num w:numId="10">
    <w:abstractNumId w:val="33"/>
  </w:num>
  <w:num w:numId="11">
    <w:abstractNumId w:val="6"/>
  </w:num>
  <w:num w:numId="12">
    <w:abstractNumId w:val="51"/>
  </w:num>
  <w:num w:numId="13">
    <w:abstractNumId w:val="38"/>
  </w:num>
  <w:num w:numId="14">
    <w:abstractNumId w:val="13"/>
  </w:num>
  <w:num w:numId="15">
    <w:abstractNumId w:val="36"/>
  </w:num>
  <w:num w:numId="16">
    <w:abstractNumId w:val="11"/>
  </w:num>
  <w:num w:numId="17">
    <w:abstractNumId w:val="3"/>
  </w:num>
  <w:num w:numId="18">
    <w:abstractNumId w:val="43"/>
  </w:num>
  <w:num w:numId="19">
    <w:abstractNumId w:val="2"/>
  </w:num>
  <w:num w:numId="20">
    <w:abstractNumId w:val="5"/>
  </w:num>
  <w:num w:numId="21">
    <w:abstractNumId w:val="41"/>
  </w:num>
  <w:num w:numId="22">
    <w:abstractNumId w:val="28"/>
  </w:num>
  <w:num w:numId="23">
    <w:abstractNumId w:val="8"/>
  </w:num>
  <w:num w:numId="24">
    <w:abstractNumId w:val="16"/>
  </w:num>
  <w:num w:numId="25">
    <w:abstractNumId w:val="22"/>
  </w:num>
  <w:num w:numId="26">
    <w:abstractNumId w:val="27"/>
  </w:num>
  <w:num w:numId="27">
    <w:abstractNumId w:val="30"/>
  </w:num>
  <w:num w:numId="28">
    <w:abstractNumId w:val="20"/>
  </w:num>
  <w:num w:numId="29">
    <w:abstractNumId w:val="29"/>
  </w:num>
  <w:num w:numId="30">
    <w:abstractNumId w:val="35"/>
  </w:num>
  <w:num w:numId="31">
    <w:abstractNumId w:val="46"/>
  </w:num>
  <w:num w:numId="32">
    <w:abstractNumId w:val="50"/>
  </w:num>
  <w:num w:numId="33">
    <w:abstractNumId w:val="17"/>
  </w:num>
  <w:num w:numId="34">
    <w:abstractNumId w:val="48"/>
  </w:num>
  <w:num w:numId="35">
    <w:abstractNumId w:val="14"/>
  </w:num>
  <w:num w:numId="36">
    <w:abstractNumId w:val="4"/>
  </w:num>
  <w:num w:numId="37">
    <w:abstractNumId w:val="15"/>
  </w:num>
  <w:num w:numId="38">
    <w:abstractNumId w:val="47"/>
  </w:num>
  <w:num w:numId="39">
    <w:abstractNumId w:val="40"/>
  </w:num>
  <w:num w:numId="40">
    <w:abstractNumId w:val="7"/>
  </w:num>
  <w:num w:numId="41">
    <w:abstractNumId w:val="58"/>
  </w:num>
  <w:num w:numId="42">
    <w:abstractNumId w:val="1"/>
  </w:num>
  <w:num w:numId="43">
    <w:abstractNumId w:val="26"/>
  </w:num>
  <w:num w:numId="44">
    <w:abstractNumId w:val="0"/>
  </w:num>
  <w:num w:numId="45">
    <w:abstractNumId w:val="62"/>
  </w:num>
  <w:num w:numId="46">
    <w:abstractNumId w:val="45"/>
  </w:num>
  <w:num w:numId="47">
    <w:abstractNumId w:val="42"/>
  </w:num>
  <w:num w:numId="48">
    <w:abstractNumId w:val="53"/>
  </w:num>
  <w:num w:numId="49">
    <w:abstractNumId w:val="44"/>
  </w:num>
  <w:num w:numId="50">
    <w:abstractNumId w:val="10"/>
  </w:num>
  <w:num w:numId="51">
    <w:abstractNumId w:val="55"/>
  </w:num>
  <w:num w:numId="52">
    <w:abstractNumId w:val="21"/>
  </w:num>
  <w:num w:numId="53">
    <w:abstractNumId w:val="60"/>
  </w:num>
  <w:num w:numId="54">
    <w:abstractNumId w:val="59"/>
  </w:num>
  <w:num w:numId="55">
    <w:abstractNumId w:val="19"/>
  </w:num>
  <w:num w:numId="56">
    <w:abstractNumId w:val="24"/>
  </w:num>
  <w:num w:numId="57">
    <w:abstractNumId w:val="12"/>
  </w:num>
  <w:num w:numId="58">
    <w:abstractNumId w:val="37"/>
  </w:num>
  <w:num w:numId="59">
    <w:abstractNumId w:val="18"/>
  </w:num>
  <w:num w:numId="60">
    <w:abstractNumId w:val="39"/>
  </w:num>
  <w:num w:numId="61">
    <w:abstractNumId w:val="49"/>
  </w:num>
  <w:num w:numId="62">
    <w:abstractNumId w:val="54"/>
  </w:num>
  <w:num w:numId="63">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zYmYyZTBkM2ViZDkxYzNlZmMzOTAwNmM5MDUzMjkifQ=="/>
  </w:docVars>
  <w:rsids>
    <w:rsidRoot w:val="00000000"/>
    <w:rsid w:val="00680A79"/>
    <w:rsid w:val="008C3E1F"/>
    <w:rsid w:val="01654E41"/>
    <w:rsid w:val="016F5B6D"/>
    <w:rsid w:val="01BE3D88"/>
    <w:rsid w:val="023D010D"/>
    <w:rsid w:val="024A2E45"/>
    <w:rsid w:val="02E66FA5"/>
    <w:rsid w:val="03016292"/>
    <w:rsid w:val="03CE3E7D"/>
    <w:rsid w:val="04192157"/>
    <w:rsid w:val="042E228F"/>
    <w:rsid w:val="04360114"/>
    <w:rsid w:val="04503CFB"/>
    <w:rsid w:val="04971B0C"/>
    <w:rsid w:val="06367251"/>
    <w:rsid w:val="064B5346"/>
    <w:rsid w:val="06AA1BED"/>
    <w:rsid w:val="08596186"/>
    <w:rsid w:val="08B06B4D"/>
    <w:rsid w:val="09C36167"/>
    <w:rsid w:val="0A2D37C9"/>
    <w:rsid w:val="0AD8516C"/>
    <w:rsid w:val="0B3425C0"/>
    <w:rsid w:val="0B7F2E54"/>
    <w:rsid w:val="0BE01CD9"/>
    <w:rsid w:val="0C137ABD"/>
    <w:rsid w:val="0CA01579"/>
    <w:rsid w:val="0CA4416E"/>
    <w:rsid w:val="0D6E47F0"/>
    <w:rsid w:val="0DA472CF"/>
    <w:rsid w:val="0DC3019B"/>
    <w:rsid w:val="0E2D7140"/>
    <w:rsid w:val="0E4D58E6"/>
    <w:rsid w:val="0F3D395A"/>
    <w:rsid w:val="0F452020"/>
    <w:rsid w:val="0F5F3446"/>
    <w:rsid w:val="10157234"/>
    <w:rsid w:val="10A52B50"/>
    <w:rsid w:val="115846BA"/>
    <w:rsid w:val="115F74B9"/>
    <w:rsid w:val="11C77177"/>
    <w:rsid w:val="12EC6E55"/>
    <w:rsid w:val="137F52AC"/>
    <w:rsid w:val="13BE53EC"/>
    <w:rsid w:val="149F68BF"/>
    <w:rsid w:val="15B56419"/>
    <w:rsid w:val="15C73308"/>
    <w:rsid w:val="1645159B"/>
    <w:rsid w:val="16C6145B"/>
    <w:rsid w:val="17D7053D"/>
    <w:rsid w:val="17DD3E15"/>
    <w:rsid w:val="184E0465"/>
    <w:rsid w:val="18D314AE"/>
    <w:rsid w:val="194A4ECD"/>
    <w:rsid w:val="1BBF5275"/>
    <w:rsid w:val="1BE16A97"/>
    <w:rsid w:val="1BFD1D4C"/>
    <w:rsid w:val="1C31567C"/>
    <w:rsid w:val="1C3F01B1"/>
    <w:rsid w:val="1C552F3C"/>
    <w:rsid w:val="1C7B0D67"/>
    <w:rsid w:val="1D2062AC"/>
    <w:rsid w:val="1D334A92"/>
    <w:rsid w:val="1D5F30BB"/>
    <w:rsid w:val="1D720B52"/>
    <w:rsid w:val="1DB01B60"/>
    <w:rsid w:val="1E135AEA"/>
    <w:rsid w:val="1E9B2198"/>
    <w:rsid w:val="1FE86C2C"/>
    <w:rsid w:val="1FF73572"/>
    <w:rsid w:val="201C3916"/>
    <w:rsid w:val="21026779"/>
    <w:rsid w:val="217C0CFE"/>
    <w:rsid w:val="21F61A9F"/>
    <w:rsid w:val="226A4ED5"/>
    <w:rsid w:val="23183E34"/>
    <w:rsid w:val="236105FB"/>
    <w:rsid w:val="239A4E1D"/>
    <w:rsid w:val="24BF3896"/>
    <w:rsid w:val="24F136E8"/>
    <w:rsid w:val="250462D5"/>
    <w:rsid w:val="25EC1A07"/>
    <w:rsid w:val="2730787D"/>
    <w:rsid w:val="27367269"/>
    <w:rsid w:val="27683956"/>
    <w:rsid w:val="278D05AD"/>
    <w:rsid w:val="27FE0F0D"/>
    <w:rsid w:val="28630435"/>
    <w:rsid w:val="28E2329E"/>
    <w:rsid w:val="29043FC6"/>
    <w:rsid w:val="290B019B"/>
    <w:rsid w:val="29A403B8"/>
    <w:rsid w:val="2A9C7F7D"/>
    <w:rsid w:val="2AFC27CE"/>
    <w:rsid w:val="2B487ADA"/>
    <w:rsid w:val="2C5E473C"/>
    <w:rsid w:val="2CFC4382"/>
    <w:rsid w:val="2E2D4F92"/>
    <w:rsid w:val="2EDC42AC"/>
    <w:rsid w:val="2EF12B2D"/>
    <w:rsid w:val="2EFD16A9"/>
    <w:rsid w:val="2F025E38"/>
    <w:rsid w:val="2FA056A8"/>
    <w:rsid w:val="2FB943D6"/>
    <w:rsid w:val="2FC00347"/>
    <w:rsid w:val="31B4026A"/>
    <w:rsid w:val="3313518E"/>
    <w:rsid w:val="33962412"/>
    <w:rsid w:val="33DE436C"/>
    <w:rsid w:val="33F3014A"/>
    <w:rsid w:val="35064C8D"/>
    <w:rsid w:val="354B36A8"/>
    <w:rsid w:val="35576893"/>
    <w:rsid w:val="359B4769"/>
    <w:rsid w:val="35B67BBD"/>
    <w:rsid w:val="35DD1018"/>
    <w:rsid w:val="372C3001"/>
    <w:rsid w:val="37443E7E"/>
    <w:rsid w:val="37963C65"/>
    <w:rsid w:val="388947D4"/>
    <w:rsid w:val="38C50D7C"/>
    <w:rsid w:val="38D43E3C"/>
    <w:rsid w:val="3AF7024E"/>
    <w:rsid w:val="3B056BCC"/>
    <w:rsid w:val="3BE57BDE"/>
    <w:rsid w:val="3BEC3A1F"/>
    <w:rsid w:val="3DB00F3A"/>
    <w:rsid w:val="3ED51BCA"/>
    <w:rsid w:val="3EDF34BA"/>
    <w:rsid w:val="3EE621E7"/>
    <w:rsid w:val="3F425A32"/>
    <w:rsid w:val="402E2589"/>
    <w:rsid w:val="40B1615A"/>
    <w:rsid w:val="41AA0B03"/>
    <w:rsid w:val="41E5314E"/>
    <w:rsid w:val="41F85AAD"/>
    <w:rsid w:val="431558F8"/>
    <w:rsid w:val="435F3D0B"/>
    <w:rsid w:val="437F1009"/>
    <w:rsid w:val="43C27714"/>
    <w:rsid w:val="44284403"/>
    <w:rsid w:val="45C116F3"/>
    <w:rsid w:val="46562A61"/>
    <w:rsid w:val="46CC694B"/>
    <w:rsid w:val="46FE57E9"/>
    <w:rsid w:val="47462CC7"/>
    <w:rsid w:val="477D2799"/>
    <w:rsid w:val="48120FD2"/>
    <w:rsid w:val="48937CF2"/>
    <w:rsid w:val="4A0E1D14"/>
    <w:rsid w:val="4A612244"/>
    <w:rsid w:val="4ADB4694"/>
    <w:rsid w:val="4B1C017D"/>
    <w:rsid w:val="4BC06CFF"/>
    <w:rsid w:val="4BDD5D59"/>
    <w:rsid w:val="4C1357C8"/>
    <w:rsid w:val="4C2B5850"/>
    <w:rsid w:val="4CF423DD"/>
    <w:rsid w:val="4D521F3E"/>
    <w:rsid w:val="4D577AA4"/>
    <w:rsid w:val="4D6A4522"/>
    <w:rsid w:val="4DFF55D9"/>
    <w:rsid w:val="4F0B6E47"/>
    <w:rsid w:val="4F164C1C"/>
    <w:rsid w:val="4F852598"/>
    <w:rsid w:val="4F87180E"/>
    <w:rsid w:val="4F8B1361"/>
    <w:rsid w:val="4F92046E"/>
    <w:rsid w:val="500557DC"/>
    <w:rsid w:val="50712057"/>
    <w:rsid w:val="511C1E2E"/>
    <w:rsid w:val="513B6DDC"/>
    <w:rsid w:val="514F4968"/>
    <w:rsid w:val="52167619"/>
    <w:rsid w:val="52914CCA"/>
    <w:rsid w:val="52DB3974"/>
    <w:rsid w:val="53061AB9"/>
    <w:rsid w:val="532812A2"/>
    <w:rsid w:val="53BF5466"/>
    <w:rsid w:val="544B453F"/>
    <w:rsid w:val="547779F8"/>
    <w:rsid w:val="54CF4EB9"/>
    <w:rsid w:val="550C3202"/>
    <w:rsid w:val="55E232D9"/>
    <w:rsid w:val="56C1777C"/>
    <w:rsid w:val="56EC3EC4"/>
    <w:rsid w:val="572C04CA"/>
    <w:rsid w:val="57900BB3"/>
    <w:rsid w:val="57964810"/>
    <w:rsid w:val="57AE6548"/>
    <w:rsid w:val="57B50356"/>
    <w:rsid w:val="57EA51C1"/>
    <w:rsid w:val="581139ED"/>
    <w:rsid w:val="582E581E"/>
    <w:rsid w:val="58502F77"/>
    <w:rsid w:val="59923CB2"/>
    <w:rsid w:val="59AA667A"/>
    <w:rsid w:val="59C230A9"/>
    <w:rsid w:val="5A02678F"/>
    <w:rsid w:val="5A173428"/>
    <w:rsid w:val="5AE40183"/>
    <w:rsid w:val="5B10406B"/>
    <w:rsid w:val="5B605979"/>
    <w:rsid w:val="5BC02206"/>
    <w:rsid w:val="5C0504C0"/>
    <w:rsid w:val="5C130D0E"/>
    <w:rsid w:val="5C4927E0"/>
    <w:rsid w:val="5C7A5C7D"/>
    <w:rsid w:val="5CB810D4"/>
    <w:rsid w:val="5CFF4FB1"/>
    <w:rsid w:val="5D4A1CCF"/>
    <w:rsid w:val="5D66678E"/>
    <w:rsid w:val="5E201DA2"/>
    <w:rsid w:val="5E8F322C"/>
    <w:rsid w:val="5FB15E48"/>
    <w:rsid w:val="60040B4D"/>
    <w:rsid w:val="609D7F30"/>
    <w:rsid w:val="618E50F1"/>
    <w:rsid w:val="624B366E"/>
    <w:rsid w:val="627633DD"/>
    <w:rsid w:val="631040BD"/>
    <w:rsid w:val="63C37668"/>
    <w:rsid w:val="64C2082C"/>
    <w:rsid w:val="65D469A6"/>
    <w:rsid w:val="66500877"/>
    <w:rsid w:val="666C2F5C"/>
    <w:rsid w:val="667A75CF"/>
    <w:rsid w:val="66DF57D0"/>
    <w:rsid w:val="67AA1B91"/>
    <w:rsid w:val="67D31EFE"/>
    <w:rsid w:val="67F65ED4"/>
    <w:rsid w:val="68147868"/>
    <w:rsid w:val="68772688"/>
    <w:rsid w:val="691B4798"/>
    <w:rsid w:val="697B30FD"/>
    <w:rsid w:val="6BE04DCD"/>
    <w:rsid w:val="6CB67F6D"/>
    <w:rsid w:val="6DA377BB"/>
    <w:rsid w:val="6DD24D07"/>
    <w:rsid w:val="6DE97322"/>
    <w:rsid w:val="6E3F04A7"/>
    <w:rsid w:val="6E42081F"/>
    <w:rsid w:val="6E672D77"/>
    <w:rsid w:val="6FCE1FFE"/>
    <w:rsid w:val="70AF71B4"/>
    <w:rsid w:val="713A2B43"/>
    <w:rsid w:val="714B1770"/>
    <w:rsid w:val="71C1345D"/>
    <w:rsid w:val="71D20C58"/>
    <w:rsid w:val="73605D0D"/>
    <w:rsid w:val="74167B5C"/>
    <w:rsid w:val="74A447DD"/>
    <w:rsid w:val="74EA36EE"/>
    <w:rsid w:val="750A0A9B"/>
    <w:rsid w:val="76021450"/>
    <w:rsid w:val="767F677F"/>
    <w:rsid w:val="76BB5F4F"/>
    <w:rsid w:val="76CE1F2E"/>
    <w:rsid w:val="77570E8F"/>
    <w:rsid w:val="78DA40D2"/>
    <w:rsid w:val="78FF6743"/>
    <w:rsid w:val="79897ACA"/>
    <w:rsid w:val="79D43638"/>
    <w:rsid w:val="7A0467F6"/>
    <w:rsid w:val="7A8A63B5"/>
    <w:rsid w:val="7AFC4116"/>
    <w:rsid w:val="7B615D46"/>
    <w:rsid w:val="7BF35ED0"/>
    <w:rsid w:val="7C8B50A8"/>
    <w:rsid w:val="7D335671"/>
    <w:rsid w:val="7D8C4CD8"/>
    <w:rsid w:val="7E203F4B"/>
    <w:rsid w:val="7E641F7F"/>
    <w:rsid w:val="7EA944D5"/>
    <w:rsid w:val="7F8917BF"/>
    <w:rsid w:val="7FFC5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3">
    <w:name w:val="Default Paragraph Font"/>
    <w:qFormat/>
    <w:uiPriority w:val="1"/>
  </w:style>
  <w:style w:type="table" w:default="1" w:styleId="21">
    <w:name w:val="Normal Table"/>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styleId="7">
    <w:name w:val="List Number"/>
    <w:basedOn w:val="1"/>
    <w:qFormat/>
    <w:uiPriority w:val="0"/>
    <w:pPr>
      <w:numPr>
        <w:ilvl w:val="0"/>
        <w:numId w:val="1"/>
      </w:numPr>
    </w:pPr>
  </w:style>
  <w:style w:type="paragraph" w:styleId="8">
    <w:name w:val="annotation text"/>
    <w:basedOn w:val="1"/>
    <w:link w:val="46"/>
    <w:qFormat/>
    <w:uiPriority w:val="0"/>
    <w:pPr>
      <w:jc w:val="left"/>
    </w:pPr>
  </w:style>
  <w:style w:type="paragraph" w:styleId="9">
    <w:name w:val="Body Text"/>
    <w:basedOn w:val="1"/>
    <w:next w:val="10"/>
    <w:qFormat/>
    <w:uiPriority w:val="0"/>
    <w:pPr>
      <w:spacing w:line="360" w:lineRule="exact"/>
    </w:pPr>
    <w:rPr>
      <w:sz w:val="24"/>
    </w:rPr>
  </w:style>
  <w:style w:type="paragraph" w:styleId="10">
    <w:name w:val="toc 4"/>
    <w:basedOn w:val="1"/>
    <w:next w:val="1"/>
    <w:qFormat/>
    <w:uiPriority w:val="0"/>
    <w:pPr>
      <w:ind w:left="630"/>
      <w:jc w:val="left"/>
    </w:pPr>
    <w:rPr>
      <w:sz w:val="18"/>
      <w:szCs w:val="18"/>
    </w:rPr>
  </w:style>
  <w:style w:type="paragraph" w:styleId="11">
    <w:name w:val="Body Text Indent"/>
    <w:basedOn w:val="1"/>
    <w:next w:val="1"/>
    <w:link w:val="49"/>
    <w:qFormat/>
    <w:uiPriority w:val="0"/>
    <w:pPr>
      <w:spacing w:after="120"/>
      <w:ind w:left="420" w:leftChars="200"/>
    </w:pPr>
  </w:style>
  <w:style w:type="paragraph" w:styleId="12">
    <w:name w:val="Plain Text"/>
    <w:basedOn w:val="1"/>
    <w:next w:val="13"/>
    <w:qFormat/>
    <w:uiPriority w:val="0"/>
    <w:rPr>
      <w:rFonts w:ascii="宋体" w:hAnsi="Courier New" w:cs="宋体"/>
    </w:rPr>
  </w:style>
  <w:style w:type="paragraph" w:styleId="13">
    <w:name w:val="Date"/>
    <w:basedOn w:val="1"/>
    <w:next w:val="1"/>
    <w:qFormat/>
    <w:uiPriority w:val="0"/>
    <w:pPr>
      <w:ind w:left="2500" w:leftChars="2500"/>
    </w:pPr>
    <w:rPr>
      <w:rFonts w:ascii="Calibri" w:hAnsi="Calibri" w:eastAsia="楷体_GB2312" w:cs="宋体"/>
      <w:sz w:val="32"/>
      <w:szCs w:val="22"/>
    </w:rPr>
  </w:style>
  <w:style w:type="paragraph" w:styleId="14">
    <w:name w:val="Balloon Text"/>
    <w:basedOn w:val="1"/>
    <w:link w:val="48"/>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8">
    <w:name w:val="annotation subject"/>
    <w:basedOn w:val="8"/>
    <w:next w:val="8"/>
    <w:link w:val="47"/>
    <w:qFormat/>
    <w:uiPriority w:val="0"/>
    <w:rPr>
      <w:b/>
      <w:bCs/>
    </w:rPr>
  </w:style>
  <w:style w:type="paragraph" w:styleId="19">
    <w:name w:val="Body Text First Indent"/>
    <w:basedOn w:val="9"/>
    <w:qFormat/>
    <w:uiPriority w:val="0"/>
    <w:pPr>
      <w:tabs>
        <w:tab w:val="left" w:pos="574"/>
      </w:tabs>
      <w:ind w:firstLine="420" w:firstLineChars="100"/>
    </w:pPr>
  </w:style>
  <w:style w:type="paragraph" w:styleId="20">
    <w:name w:val="Body Text First Indent 2"/>
    <w:basedOn w:val="11"/>
    <w:qFormat/>
    <w:uiPriority w:val="0"/>
    <w:pPr>
      <w:spacing w:after="120" w:line="240" w:lineRule="auto"/>
      <w:ind w:left="420" w:firstLine="420"/>
    </w:pPr>
    <w:rPr>
      <w:sz w:val="21"/>
      <w:szCs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Emphasis"/>
    <w:basedOn w:val="23"/>
    <w:qFormat/>
    <w:uiPriority w:val="0"/>
    <w:rPr>
      <w:i/>
    </w:rPr>
  </w:style>
  <w:style w:type="character" w:styleId="26">
    <w:name w:val="Hyperlink"/>
    <w:basedOn w:val="23"/>
    <w:qFormat/>
    <w:uiPriority w:val="0"/>
    <w:rPr>
      <w:color w:val="0000FF"/>
      <w:u w:val="single"/>
    </w:rPr>
  </w:style>
  <w:style w:type="character" w:styleId="27">
    <w:name w:val="annotation reference"/>
    <w:basedOn w:val="23"/>
    <w:qFormat/>
    <w:uiPriority w:val="0"/>
    <w:rPr>
      <w:sz w:val="21"/>
      <w:szCs w:val="21"/>
    </w:rPr>
  </w:style>
  <w:style w:type="paragraph" w:customStyle="1" w:styleId="28">
    <w:name w:val="无间隔1"/>
    <w:qFormat/>
    <w:uiPriority w:val="99"/>
    <w:pPr>
      <w:adjustRightInd w:val="0"/>
      <w:snapToGrid w:val="0"/>
    </w:pPr>
    <w:rPr>
      <w:rFonts w:ascii="Tahoma" w:hAnsi="Tahoma" w:eastAsia="微软雅黑" w:cs="宋体"/>
      <w:sz w:val="22"/>
      <w:szCs w:val="22"/>
      <w:lang w:val="en-US" w:eastAsia="zh-CN" w:bidi="ar-SA"/>
    </w:rPr>
  </w:style>
  <w:style w:type="paragraph" w:customStyle="1" w:styleId="29">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30">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styleId="31">
    <w:name w:val="List Paragraph"/>
    <w:basedOn w:val="1"/>
    <w:qFormat/>
    <w:uiPriority w:val="34"/>
    <w:pPr>
      <w:ind w:firstLine="420" w:firstLineChars="200"/>
    </w:pPr>
    <w:rPr>
      <w:rFonts w:ascii="Calibri" w:hAnsi="Calibri"/>
      <w:szCs w:val="22"/>
    </w:rPr>
  </w:style>
  <w:style w:type="paragraph" w:customStyle="1" w:styleId="32">
    <w:name w:val="列出段落1"/>
    <w:basedOn w:val="1"/>
    <w:qFormat/>
    <w:uiPriority w:val="0"/>
    <w:pPr>
      <w:ind w:firstLine="420" w:firstLineChars="200"/>
    </w:pPr>
    <w:rPr>
      <w:rFonts w:ascii="Calibri" w:hAnsi="Calibri"/>
      <w:kern w:val="0"/>
      <w:szCs w:val="20"/>
    </w:rPr>
  </w:style>
  <w:style w:type="paragraph" w:customStyle="1" w:styleId="33">
    <w:name w:val="无间隔11"/>
    <w:qFormat/>
    <w:uiPriority w:val="0"/>
    <w:pPr>
      <w:adjustRightInd w:val="0"/>
      <w:snapToGrid w:val="0"/>
    </w:pPr>
    <w:rPr>
      <w:rFonts w:ascii="Tahoma" w:hAnsi="Tahoma" w:eastAsia="微软雅黑" w:cs="宋体"/>
      <w:sz w:val="22"/>
      <w:szCs w:val="22"/>
      <w:lang w:val="en-US" w:eastAsia="zh-CN" w:bidi="ar-SA"/>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4"/>
    <w:qFormat/>
    <w:uiPriority w:val="0"/>
    <w:rPr>
      <w:rFonts w:ascii="Times New Roman" w:hAnsi="Times New Roman" w:eastAsia="宋体" w:cs="Times New Roman"/>
      <w:sz w:val="21"/>
      <w:szCs w:val="22"/>
      <w:lang w:val="en-US" w:eastAsia="zh-CN" w:bidi="ar-SA"/>
    </w:rPr>
  </w:style>
  <w:style w:type="paragraph" w:customStyle="1" w:styleId="37">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纯文本_3"/>
    <w:basedOn w:val="39"/>
    <w:qFormat/>
    <w:uiPriority w:val="0"/>
    <w:pPr>
      <w:widowControl/>
      <w:jc w:val="left"/>
    </w:pPr>
    <w:rPr>
      <w:rFonts w:ascii="宋体" w:hAnsi="Courier New" w:eastAsia="宋体" w:cs="宋体"/>
      <w:szCs w:val="21"/>
    </w:rPr>
  </w:style>
  <w:style w:type="paragraph" w:customStyle="1" w:styleId="41">
    <w:name w:val="纯文本_0_1"/>
    <w:basedOn w:val="1"/>
    <w:qFormat/>
    <w:uiPriority w:val="0"/>
    <w:pPr>
      <w:widowControl/>
      <w:jc w:val="left"/>
    </w:pPr>
    <w:rPr>
      <w:rFonts w:ascii="宋体" w:hAnsi="Courier New" w:eastAsia="宋体" w:cs="宋体"/>
      <w:szCs w:val="21"/>
    </w:rPr>
  </w:style>
  <w:style w:type="paragraph" w:customStyle="1" w:styleId="4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6">
    <w:name w:val="批注文字 Char"/>
    <w:basedOn w:val="23"/>
    <w:link w:val="8"/>
    <w:qFormat/>
    <w:uiPriority w:val="0"/>
    <w:rPr>
      <w:rFonts w:ascii="Times New Roman" w:hAnsi="Times New Roman" w:eastAsia="宋体" w:cs="Times New Roman"/>
      <w:kern w:val="2"/>
      <w:sz w:val="21"/>
      <w:szCs w:val="24"/>
    </w:rPr>
  </w:style>
  <w:style w:type="character" w:customStyle="1" w:styleId="47">
    <w:name w:val="批注主题 Char"/>
    <w:basedOn w:val="46"/>
    <w:link w:val="18"/>
    <w:qFormat/>
    <w:uiPriority w:val="0"/>
    <w:rPr>
      <w:b/>
      <w:bCs/>
    </w:rPr>
  </w:style>
  <w:style w:type="character" w:customStyle="1" w:styleId="48">
    <w:name w:val="批注框文本 Char"/>
    <w:basedOn w:val="23"/>
    <w:link w:val="14"/>
    <w:qFormat/>
    <w:uiPriority w:val="0"/>
    <w:rPr>
      <w:rFonts w:ascii="Times New Roman" w:hAnsi="Times New Roman" w:eastAsia="宋体" w:cs="Times New Roman"/>
      <w:kern w:val="2"/>
      <w:sz w:val="18"/>
      <w:szCs w:val="18"/>
    </w:rPr>
  </w:style>
  <w:style w:type="character" w:customStyle="1" w:styleId="49">
    <w:name w:val="正文文本缩进 Char"/>
    <w:basedOn w:val="23"/>
    <w:link w:val="11"/>
    <w:qFormat/>
    <w:uiPriority w:val="0"/>
    <w:rPr>
      <w:kern w:val="2"/>
      <w:sz w:val="21"/>
      <w:szCs w:val="24"/>
    </w:rPr>
  </w:style>
  <w:style w:type="paragraph" w:customStyle="1" w:styleId="50">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_Style 2"/>
    <w:basedOn w:val="1"/>
    <w:qFormat/>
    <w:uiPriority w:val="99"/>
    <w:pPr>
      <w:adjustRightInd w:val="0"/>
      <w:snapToGrid w:val="0"/>
    </w:pPr>
    <w:rPr>
      <w:rFonts w:ascii="Tahoma" w:hAnsi="Tahoma" w:eastAsia="微软雅黑" w:cs="Tahoma"/>
      <w:sz w:val="22"/>
      <w:szCs w:val="22"/>
    </w:rPr>
  </w:style>
  <w:style w:type="paragraph" w:customStyle="1" w:styleId="52">
    <w:name w:val="Table Paragraph"/>
    <w:basedOn w:val="1"/>
    <w:qFormat/>
    <w:uiPriority w:val="1"/>
    <w:rPr>
      <w:rFonts w:ascii="Noto Sans Mono CJK JP Regular" w:hAnsi="Noto Sans Mono CJK JP Regular" w:eastAsia="Noto Sans Mono CJK JP Regular" w:cs="Noto Sans Mono CJK JP Regular"/>
    </w:rPr>
  </w:style>
  <w:style w:type="paragraph" w:customStyle="1" w:styleId="53">
    <w:name w:val="纯文本1"/>
    <w:basedOn w:val="54"/>
    <w:qFormat/>
    <w:uiPriority w:val="99"/>
    <w:pPr>
      <w:widowControl/>
      <w:jc w:val="left"/>
    </w:pPr>
    <w:rPr>
      <w:rFonts w:ascii="宋体" w:hAnsi="Courier New" w:cs="宋体"/>
    </w:rPr>
  </w:style>
  <w:style w:type="paragraph" w:customStyle="1" w:styleId="54">
    <w:name w:val="正文1"/>
    <w:qFormat/>
    <w:uiPriority w:val="99"/>
    <w:pPr>
      <w:widowControl w:val="0"/>
      <w:jc w:val="both"/>
    </w:pPr>
    <w:rPr>
      <w:rFonts w:ascii="Calibri" w:hAnsi="Calibri" w:eastAsia="宋体" w:cs="Calibri"/>
      <w:kern w:val="2"/>
      <w:sz w:val="21"/>
      <w:szCs w:val="21"/>
      <w:lang w:val="en-US" w:eastAsia="zh-CN" w:bidi="ar-SA"/>
    </w:rPr>
  </w:style>
  <w:style w:type="paragraph" w:customStyle="1" w:styleId="55">
    <w:name w:val="正文首行缩进 21"/>
    <w:basedOn w:val="56"/>
    <w:qFormat/>
    <w:uiPriority w:val="0"/>
    <w:pPr>
      <w:ind w:firstLine="420"/>
    </w:pPr>
    <w:rPr>
      <w:rFonts w:cs="宋体"/>
    </w:rPr>
  </w:style>
  <w:style w:type="paragraph" w:customStyle="1" w:styleId="56">
    <w:name w:val="正文文本缩进1"/>
    <w:basedOn w:val="1"/>
    <w:next w:val="1"/>
    <w:qFormat/>
    <w:uiPriority w:val="0"/>
    <w:pPr>
      <w:spacing w:after="120"/>
      <w:ind w:left="420" w:leftChars="200"/>
    </w:pPr>
    <w:rPr>
      <w:color w:val="000000"/>
      <w:szCs w:val="21"/>
    </w:rPr>
  </w:style>
  <w:style w:type="character" w:customStyle="1" w:styleId="57">
    <w:name w:val="NormalCharacter"/>
    <w:qFormat/>
    <w:uiPriority w:val="0"/>
    <w:rPr>
      <w:rFonts w:hint="default" w:ascii="Calibri" w:hAnsi="Calibri" w:cs="Calibri"/>
      <w:kern w:val="2"/>
      <w:sz w:val="21"/>
      <w:szCs w:val="24"/>
      <w:lang w:val="en-US" w:eastAsia="zh-CN" w:bidi="ar-SA"/>
    </w:rPr>
  </w:style>
  <w:style w:type="paragraph" w:customStyle="1" w:styleId="58">
    <w:name w:val="WPSOffice手动目录 1"/>
    <w:qFormat/>
    <w:uiPriority w:val="0"/>
    <w:pPr>
      <w:ind w:leftChars="0"/>
    </w:pPr>
    <w:rPr>
      <w:rFonts w:ascii="Times New Roman" w:hAnsi="Times New Roman" w:eastAsia="宋体" w:cs="Times New Roman"/>
      <w:sz w:val="20"/>
      <w:szCs w:val="20"/>
    </w:rPr>
  </w:style>
  <w:style w:type="paragraph" w:customStyle="1" w:styleId="59">
    <w:name w:val="WPSOffice手动目录 2"/>
    <w:qFormat/>
    <w:uiPriority w:val="0"/>
    <w:pPr>
      <w:ind w:leftChars="200"/>
    </w:pPr>
    <w:rPr>
      <w:rFonts w:ascii="Times New Roman" w:hAnsi="Times New Roman" w:eastAsia="宋体" w:cs="Times New Roman"/>
      <w:sz w:val="20"/>
      <w:szCs w:val="20"/>
    </w:rPr>
  </w:style>
  <w:style w:type="paragraph" w:customStyle="1" w:styleId="60">
    <w:name w:val="正文 A"/>
    <w:qFormat/>
    <w:uiPriority w:val="0"/>
    <w:pPr>
      <w:widowControl w:val="0"/>
      <w:jc w:val="both"/>
    </w:pPr>
    <w:rPr>
      <w:rFonts w:ascii="Arial Unicode MS" w:hAnsi="Arial Unicode MS" w:eastAsia="Arial Unicode MS"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48</Pages>
  <Words>22093</Words>
  <Characters>22883</Characters>
  <Paragraphs>1735</Paragraphs>
  <TotalTime>18</TotalTime>
  <ScaleCrop>false</ScaleCrop>
  <LinksUpToDate>false</LinksUpToDate>
  <CharactersWithSpaces>23293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2018-06-19T13:33:00Z</dcterms:created>
  <dc:creator>S-mile</dc:creator>
  <cp:lastModifiedBy>周正辉</cp:lastModifiedBy>
  <cp:lastPrinted>2020-03-06T05:47:00Z</cp:lastPrinted>
  <dcterms:modified xsi:type="dcterms:W3CDTF">2022-09-23T09:10:03Z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BEF2E172D15D4AFEAC16325A97E9B8AF</vt:lpwstr>
  </property>
</Properties>
</file>