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center"/>
        <w:textAlignment w:val="bottom"/>
        <w:rPr>
          <w:rFonts w:ascii="宋体"/>
          <w:b/>
          <w:kern w:val="0"/>
          <w:sz w:val="52"/>
          <w:szCs w:val="52"/>
        </w:rPr>
      </w:pPr>
    </w:p>
    <w:p>
      <w:pPr>
        <w:jc w:val="center"/>
        <w:rPr>
          <w:rFonts w:ascii="宋体" w:cs="宋体"/>
          <w:sz w:val="36"/>
          <w:szCs w:val="36"/>
        </w:rPr>
      </w:pPr>
      <w:r>
        <w:rPr>
          <w:rFonts w:ascii="宋体"/>
          <w:b/>
          <w:sz w:val="52"/>
          <w:szCs w:val="52"/>
        </w:rPr>
        <w:drawing>
          <wp:inline distT="0" distB="0" distL="114300" distR="114300">
            <wp:extent cx="2491105" cy="1848485"/>
            <wp:effectExtent l="0" t="0" r="4445" b="18415"/>
            <wp:docPr id="1" name="图片 1" descr="QQ截图20190808095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90808095141.jpg"/>
                    <pic:cNvPicPr>
                      <a:picLocks noChangeAspect="1"/>
                    </pic:cNvPicPr>
                  </pic:nvPicPr>
                  <pic:blipFill>
                    <a:blip r:embed="rId7"/>
                    <a:stretch>
                      <a:fillRect/>
                    </a:stretch>
                  </pic:blipFill>
                  <pic:spPr>
                    <a:xfrm>
                      <a:off x="0" y="0"/>
                      <a:ext cx="2491105" cy="1848485"/>
                    </a:xfrm>
                    <a:prstGeom prst="rect">
                      <a:avLst/>
                    </a:prstGeom>
                    <a:noFill/>
                    <a:ln>
                      <a:noFill/>
                    </a:ln>
                  </pic:spPr>
                </pic:pic>
              </a:graphicData>
            </a:graphic>
          </wp:inline>
        </w:drawing>
      </w:r>
    </w:p>
    <w:p>
      <w:pPr>
        <w:rPr>
          <w:rFonts w:ascii="宋体" w:cs="宋体"/>
          <w:sz w:val="72"/>
          <w:szCs w:val="72"/>
        </w:rPr>
      </w:pPr>
    </w:p>
    <w:p>
      <w:pPr>
        <w:shd w:val="clear" w:color="auto" w:fill="FFFFFF"/>
        <w:spacing w:line="360" w:lineRule="auto"/>
        <w:jc w:val="center"/>
        <w:textAlignment w:val="bottom"/>
        <w:rPr>
          <w:rFonts w:ascii="宋体"/>
          <w:b/>
          <w:kern w:val="0"/>
          <w:sz w:val="52"/>
          <w:szCs w:val="52"/>
        </w:rPr>
      </w:pPr>
      <w:r>
        <w:rPr>
          <w:rFonts w:hint="eastAsia" w:ascii="宋体"/>
          <w:b/>
          <w:kern w:val="0"/>
          <w:sz w:val="52"/>
          <w:szCs w:val="52"/>
        </w:rPr>
        <w:t>政府采购电子招标文件</w:t>
      </w:r>
    </w:p>
    <w:p>
      <w:pPr>
        <w:shd w:val="clear" w:color="auto" w:fill="FFFFFF"/>
        <w:spacing w:line="360" w:lineRule="auto"/>
        <w:jc w:val="center"/>
        <w:textAlignment w:val="bottom"/>
        <w:rPr>
          <w:rFonts w:ascii="宋体" w:hAnsi="宋体"/>
          <w:sz w:val="28"/>
          <w:szCs w:val="28"/>
        </w:rPr>
      </w:pPr>
    </w:p>
    <w:p>
      <w:pPr>
        <w:shd w:val="clear" w:color="auto" w:fill="FFFFFF"/>
        <w:spacing w:line="360" w:lineRule="auto"/>
        <w:jc w:val="center"/>
        <w:textAlignment w:val="bottom"/>
        <w:rPr>
          <w:rFonts w:ascii="宋体" w:hAnsi="宋体"/>
          <w:sz w:val="28"/>
          <w:szCs w:val="28"/>
        </w:rPr>
      </w:pPr>
      <w:r>
        <w:rPr>
          <w:rFonts w:hint="eastAsia" w:ascii="宋体" w:hAnsi="宋体"/>
          <w:sz w:val="28"/>
          <w:szCs w:val="28"/>
        </w:rPr>
        <w:t>项目编号：ZJJTCG-2022-GK134号</w:t>
      </w:r>
    </w:p>
    <w:p>
      <w:pPr>
        <w:shd w:val="clear" w:color="auto" w:fill="FFFFFF"/>
        <w:tabs>
          <w:tab w:val="left" w:pos="1860"/>
        </w:tabs>
        <w:spacing w:line="360" w:lineRule="auto"/>
        <w:textAlignment w:val="bottom"/>
        <w:rPr>
          <w:rFonts w:ascii="宋体"/>
          <w:kern w:val="0"/>
          <w:sz w:val="28"/>
        </w:rPr>
      </w:pPr>
    </w:p>
    <w:p>
      <w:pPr>
        <w:pStyle w:val="37"/>
      </w:pPr>
    </w:p>
    <w:p>
      <w:pPr>
        <w:shd w:val="clear" w:color="auto" w:fill="FFFFFF"/>
        <w:spacing w:line="360" w:lineRule="auto"/>
        <w:textAlignment w:val="bottom"/>
        <w:rPr>
          <w:rFonts w:ascii="宋体"/>
          <w:kern w:val="0"/>
          <w:sz w:val="28"/>
        </w:rPr>
      </w:pPr>
    </w:p>
    <w:p>
      <w:pPr>
        <w:autoSpaceDE w:val="0"/>
        <w:autoSpaceDN w:val="0"/>
        <w:adjustRightInd w:val="0"/>
        <w:spacing w:line="360" w:lineRule="auto"/>
        <w:jc w:val="center"/>
        <w:rPr>
          <w:rFonts w:ascii="宋体"/>
          <w:kern w:val="0"/>
          <w:sz w:val="28"/>
        </w:rPr>
      </w:pPr>
      <w:r>
        <w:rPr>
          <w:rFonts w:hint="eastAsia" w:ascii="宋体"/>
          <w:kern w:val="0"/>
          <w:sz w:val="28"/>
        </w:rPr>
        <w:t>采购项目：黄岩区小型水库大坝安全监测实施及服务项目</w:t>
      </w:r>
    </w:p>
    <w:p>
      <w:pPr>
        <w:autoSpaceDE w:val="0"/>
        <w:autoSpaceDN w:val="0"/>
        <w:adjustRightInd w:val="0"/>
        <w:spacing w:line="360" w:lineRule="auto"/>
        <w:ind w:firstLine="1960" w:firstLineChars="700"/>
        <w:rPr>
          <w:rFonts w:ascii="宋体"/>
          <w:kern w:val="0"/>
          <w:sz w:val="28"/>
        </w:rPr>
      </w:pPr>
      <w:r>
        <w:rPr>
          <w:rFonts w:hint="eastAsia" w:ascii="宋体"/>
          <w:kern w:val="0"/>
          <w:sz w:val="28"/>
        </w:rPr>
        <w:t>采购单位：台州市黄岩区水利局</w:t>
      </w:r>
    </w:p>
    <w:p>
      <w:pPr>
        <w:autoSpaceDE w:val="0"/>
        <w:autoSpaceDN w:val="0"/>
        <w:adjustRightInd w:val="0"/>
        <w:spacing w:line="360" w:lineRule="auto"/>
        <w:jc w:val="center"/>
        <w:rPr>
          <w:rFonts w:ascii="宋体"/>
          <w:kern w:val="0"/>
          <w:sz w:val="28"/>
        </w:rPr>
      </w:pPr>
    </w:p>
    <w:p>
      <w:pPr>
        <w:autoSpaceDE w:val="0"/>
        <w:autoSpaceDN w:val="0"/>
        <w:adjustRightInd w:val="0"/>
        <w:spacing w:line="360" w:lineRule="auto"/>
        <w:jc w:val="center"/>
        <w:rPr>
          <w:rFonts w:ascii="宋体"/>
          <w:kern w:val="0"/>
          <w:sz w:val="28"/>
        </w:rPr>
      </w:pPr>
    </w:p>
    <w:p>
      <w:pPr>
        <w:autoSpaceDE w:val="0"/>
        <w:autoSpaceDN w:val="0"/>
        <w:adjustRightInd w:val="0"/>
        <w:spacing w:line="360" w:lineRule="auto"/>
        <w:jc w:val="center"/>
        <w:rPr>
          <w:rFonts w:ascii="宋体"/>
          <w:kern w:val="0"/>
          <w:sz w:val="28"/>
        </w:rPr>
      </w:pPr>
      <w:r>
        <w:rPr>
          <w:rFonts w:hint="eastAsia" w:ascii="宋体"/>
          <w:kern w:val="0"/>
          <w:sz w:val="28"/>
        </w:rPr>
        <w:t>采购代理机构：浙江建通工程建设管理有限公司</w:t>
      </w:r>
    </w:p>
    <w:p>
      <w:pPr>
        <w:spacing w:line="360" w:lineRule="auto"/>
        <w:ind w:firstLine="560" w:firstLineChars="200"/>
        <w:jc w:val="center"/>
        <w:rPr>
          <w:rFonts w:ascii="宋体" w:hAnsi="宋体" w:cs="宋体"/>
          <w:sz w:val="24"/>
          <w:szCs w:val="32"/>
        </w:rPr>
      </w:pPr>
      <w:r>
        <w:rPr>
          <w:rFonts w:hint="eastAsia" w:ascii="宋体"/>
          <w:kern w:val="0"/>
          <w:sz w:val="28"/>
        </w:rPr>
        <w:t>2022年9月</w:t>
      </w:r>
    </w:p>
    <w:p>
      <w:pPr>
        <w:spacing w:line="360" w:lineRule="auto"/>
        <w:ind w:firstLine="480" w:firstLineChars="200"/>
        <w:rPr>
          <w:rFonts w:ascii="宋体" w:hAnsi="宋体" w:cs="宋体"/>
          <w:sz w:val="24"/>
          <w:szCs w:val="32"/>
        </w:rPr>
      </w:pPr>
    </w:p>
    <w:p>
      <w:pPr>
        <w:pStyle w:val="39"/>
      </w:pPr>
    </w:p>
    <w:p>
      <w:pPr>
        <w:spacing w:line="360" w:lineRule="auto"/>
        <w:ind w:firstLine="480" w:firstLineChars="200"/>
        <w:rPr>
          <w:rFonts w:ascii="宋体" w:hAnsi="宋体" w:cs="宋体"/>
          <w:sz w:val="24"/>
          <w:szCs w:val="32"/>
        </w:rPr>
      </w:pPr>
    </w:p>
    <w:p/>
    <w:p>
      <w:pPr>
        <w:jc w:val="center"/>
        <w:rPr>
          <w:rFonts w:ascii="宋体" w:hAnsi="宋体" w:cs="Arial"/>
          <w:b/>
          <w:bCs/>
          <w:sz w:val="36"/>
          <w:szCs w:val="36"/>
        </w:rPr>
      </w:pPr>
      <w:r>
        <w:rPr>
          <w:rFonts w:hint="eastAsia" w:ascii="宋体" w:hAnsi="宋体" w:cs="Arial"/>
          <w:b/>
          <w:bCs/>
          <w:sz w:val="36"/>
          <w:szCs w:val="36"/>
        </w:rPr>
        <w:t>目录</w:t>
      </w:r>
    </w:p>
    <w:p>
      <w:pPr>
        <w:spacing w:line="360" w:lineRule="auto"/>
        <w:rPr>
          <w:rFonts w:ascii="宋体" w:hAnsi="宋体" w:cs="宋体"/>
          <w:sz w:val="28"/>
          <w:szCs w:val="28"/>
        </w:rPr>
      </w:pPr>
    </w:p>
    <w:p>
      <w:pPr>
        <w:spacing w:line="360" w:lineRule="auto"/>
        <w:rPr>
          <w:rFonts w:ascii="宋体" w:hAnsi="宋体" w:cs="宋体"/>
          <w:b/>
          <w:bCs/>
          <w:sz w:val="32"/>
          <w:szCs w:val="32"/>
        </w:rPr>
      </w:pPr>
      <w:r>
        <w:rPr>
          <w:rFonts w:hint="eastAsia" w:ascii="宋体" w:hAnsi="宋体" w:cs="宋体"/>
          <w:b/>
          <w:bCs/>
          <w:sz w:val="32"/>
          <w:szCs w:val="32"/>
        </w:rPr>
        <w:t>第一章公开招标采购公告</w:t>
      </w:r>
    </w:p>
    <w:p>
      <w:pPr>
        <w:spacing w:line="360" w:lineRule="auto"/>
        <w:rPr>
          <w:rFonts w:ascii="宋体" w:hAnsi="宋体" w:cs="宋体"/>
          <w:b/>
          <w:bCs/>
          <w:sz w:val="32"/>
          <w:szCs w:val="32"/>
        </w:rPr>
      </w:pPr>
      <w:r>
        <w:rPr>
          <w:rFonts w:hint="eastAsia" w:ascii="宋体" w:hAnsi="宋体" w:cs="宋体"/>
          <w:b/>
          <w:bCs/>
          <w:sz w:val="32"/>
          <w:szCs w:val="32"/>
        </w:rPr>
        <w:t>第二章投标人须知</w:t>
      </w:r>
    </w:p>
    <w:p>
      <w:pPr>
        <w:spacing w:line="360" w:lineRule="auto"/>
        <w:rPr>
          <w:rFonts w:ascii="宋体" w:hAnsi="宋体" w:cs="宋体"/>
          <w:b/>
          <w:bCs/>
          <w:sz w:val="32"/>
          <w:szCs w:val="32"/>
        </w:rPr>
      </w:pPr>
      <w:r>
        <w:rPr>
          <w:rFonts w:hint="eastAsia" w:ascii="宋体" w:hAnsi="宋体" w:cs="宋体"/>
          <w:b/>
          <w:bCs/>
          <w:sz w:val="32"/>
          <w:szCs w:val="32"/>
        </w:rPr>
        <w:t>第三章评标办法及评分标准</w:t>
      </w:r>
    </w:p>
    <w:p>
      <w:pPr>
        <w:spacing w:line="360" w:lineRule="auto"/>
        <w:rPr>
          <w:rFonts w:ascii="宋体" w:hAnsi="宋体" w:cs="宋体"/>
          <w:b/>
          <w:bCs/>
          <w:sz w:val="32"/>
          <w:szCs w:val="32"/>
        </w:rPr>
      </w:pPr>
      <w:r>
        <w:rPr>
          <w:rFonts w:hint="eastAsia" w:ascii="宋体" w:hAnsi="宋体" w:cs="宋体"/>
          <w:b/>
          <w:bCs/>
          <w:sz w:val="32"/>
          <w:szCs w:val="32"/>
        </w:rPr>
        <w:t>第四章公开招标需求</w:t>
      </w:r>
    </w:p>
    <w:p>
      <w:pPr>
        <w:spacing w:line="360" w:lineRule="auto"/>
        <w:rPr>
          <w:rFonts w:ascii="宋体" w:hAnsi="宋体" w:cs="宋体"/>
          <w:b/>
          <w:bCs/>
          <w:sz w:val="32"/>
          <w:szCs w:val="32"/>
        </w:rPr>
      </w:pPr>
      <w:r>
        <w:rPr>
          <w:rFonts w:hint="eastAsia" w:ascii="宋体" w:hAnsi="宋体" w:cs="宋体"/>
          <w:b/>
          <w:bCs/>
          <w:sz w:val="32"/>
          <w:szCs w:val="32"/>
        </w:rPr>
        <w:t>第五章政府采购合同主要条款指引</w:t>
      </w:r>
    </w:p>
    <w:p>
      <w:pPr>
        <w:spacing w:line="360" w:lineRule="auto"/>
        <w:rPr>
          <w:rFonts w:ascii="宋体" w:hAnsi="宋体" w:cs="宋体"/>
          <w:b/>
          <w:bCs/>
          <w:sz w:val="32"/>
          <w:szCs w:val="32"/>
        </w:rPr>
      </w:pPr>
      <w:r>
        <w:rPr>
          <w:rFonts w:hint="eastAsia" w:ascii="宋体" w:hAnsi="宋体" w:cs="宋体"/>
          <w:b/>
          <w:bCs/>
          <w:sz w:val="32"/>
          <w:szCs w:val="32"/>
        </w:rPr>
        <w:t>第六章投标文件格式附件</w:t>
      </w:r>
    </w:p>
    <w:p>
      <w:pPr>
        <w:spacing w:line="360" w:lineRule="auto"/>
        <w:rPr>
          <w:sz w:val="24"/>
          <w:szCs w:val="32"/>
        </w:rPr>
      </w:pPr>
    </w:p>
    <w:p>
      <w:pPr>
        <w:spacing w:line="360" w:lineRule="auto"/>
        <w:rPr>
          <w:sz w:val="24"/>
          <w:szCs w:val="32"/>
        </w:rPr>
      </w:pPr>
    </w:p>
    <w:p>
      <w:pPr>
        <w:spacing w:line="360" w:lineRule="auto"/>
        <w:rPr>
          <w:sz w:val="24"/>
          <w:szCs w:val="32"/>
        </w:rPr>
      </w:pPr>
    </w:p>
    <w:p>
      <w:pPr>
        <w:widowControl/>
        <w:jc w:val="left"/>
        <w:rPr>
          <w:rFonts w:ascii="宋体" w:hAnsi="宋体" w:cs="宋体"/>
          <w:b/>
          <w:bCs/>
          <w:sz w:val="36"/>
          <w:szCs w:val="44"/>
        </w:rPr>
      </w:pPr>
      <w:r>
        <w:rPr>
          <w:rFonts w:ascii="宋体" w:hAnsi="宋体" w:cs="宋体"/>
          <w:b/>
          <w:bCs/>
          <w:sz w:val="36"/>
          <w:szCs w:val="44"/>
        </w:rPr>
        <w:br w:type="page"/>
      </w:r>
    </w:p>
    <w:p>
      <w:pPr>
        <w:spacing w:line="360" w:lineRule="auto"/>
        <w:jc w:val="center"/>
        <w:rPr>
          <w:rFonts w:ascii="宋体" w:hAnsi="宋体" w:cs="宋体"/>
          <w:b/>
          <w:bCs/>
          <w:sz w:val="36"/>
          <w:szCs w:val="44"/>
        </w:rPr>
      </w:pPr>
      <w:r>
        <w:rPr>
          <w:rFonts w:hint="eastAsia" w:ascii="宋体" w:hAnsi="宋体" w:cs="宋体"/>
          <w:b/>
          <w:bCs/>
          <w:sz w:val="36"/>
          <w:szCs w:val="44"/>
        </w:rPr>
        <w:t>第一章公开招标采购公告</w:t>
      </w:r>
    </w:p>
    <w:p>
      <w:pPr>
        <w:spacing w:line="360" w:lineRule="auto"/>
        <w:ind w:firstLine="420" w:firstLineChars="200"/>
        <w:rPr>
          <w:rFonts w:ascii="宋体" w:hAnsi="宋体" w:cs="宋体"/>
          <w:szCs w:val="21"/>
        </w:rPr>
      </w:pPr>
      <w:r>
        <w:rPr>
          <w:rFonts w:hint="eastAsia" w:ascii="宋体" w:hAnsi="宋体" w:cs="宋体"/>
          <w:szCs w:val="21"/>
        </w:rPr>
        <w:t>根据《中华人民共和国政府采购法》、《中华人民共和国政府采购法实施条例》和财政部令第87号《政府采购货物和服务招标投标管理办法》等有关规定，</w:t>
      </w:r>
      <w:r>
        <w:rPr>
          <w:rFonts w:hint="eastAsia" w:ascii="宋体" w:hAnsi="宋体" w:cs="宋体"/>
          <w:b/>
          <w:bCs/>
          <w:szCs w:val="21"/>
        </w:rPr>
        <w:t>浙江建通工程建设管理有限公司</w:t>
      </w:r>
      <w:r>
        <w:rPr>
          <w:rFonts w:hint="eastAsia" w:ascii="宋体" w:hAnsi="宋体" w:cs="宋体"/>
          <w:szCs w:val="21"/>
        </w:rPr>
        <w:t>受</w:t>
      </w:r>
      <w:r>
        <w:rPr>
          <w:rFonts w:hint="eastAsia" w:ascii="宋体" w:hAnsi="宋体" w:cs="宋体"/>
          <w:b/>
          <w:bCs/>
          <w:szCs w:val="21"/>
        </w:rPr>
        <w:t>台州市黄岩区水利局</w:t>
      </w:r>
      <w:r>
        <w:rPr>
          <w:rFonts w:hint="eastAsia" w:ascii="宋体" w:hAnsi="宋体" w:cs="宋体"/>
          <w:szCs w:val="21"/>
        </w:rPr>
        <w:t>委托，现就其</w:t>
      </w:r>
      <w:r>
        <w:rPr>
          <w:rFonts w:hint="eastAsia" w:ascii="宋体" w:hAnsi="宋体" w:cs="宋体"/>
          <w:b/>
          <w:bCs/>
          <w:szCs w:val="21"/>
        </w:rPr>
        <w:t>黄岩区小型水库大坝安全监测实施及服务项目</w:t>
      </w:r>
      <w:r>
        <w:rPr>
          <w:rFonts w:hint="eastAsia" w:ascii="宋体" w:hAnsi="宋体" w:cs="宋体"/>
          <w:szCs w:val="21"/>
        </w:rPr>
        <w:t>进行公开招标采购，欢迎合格供应商前来投标。</w:t>
      </w:r>
    </w:p>
    <w:p>
      <w:pPr>
        <w:spacing w:line="360" w:lineRule="auto"/>
        <w:ind w:firstLine="422" w:firstLineChars="200"/>
        <w:rPr>
          <w:rFonts w:ascii="宋体" w:hAnsi="宋体" w:cs="宋体"/>
          <w:szCs w:val="21"/>
        </w:rPr>
      </w:pPr>
      <w:r>
        <w:rPr>
          <w:rFonts w:hint="eastAsia" w:ascii="宋体" w:hAnsi="宋体" w:cs="宋体"/>
          <w:b/>
          <w:bCs/>
          <w:szCs w:val="21"/>
        </w:rPr>
        <w:t>一、项目编号：</w:t>
      </w:r>
      <w:r>
        <w:rPr>
          <w:rFonts w:hint="eastAsia" w:ascii="宋体" w:hAnsi="宋体" w:cs="宋体"/>
          <w:szCs w:val="21"/>
        </w:rPr>
        <w:t>ZJJTCG-2022-GK134号</w:t>
      </w:r>
    </w:p>
    <w:p>
      <w:pPr>
        <w:spacing w:line="360" w:lineRule="auto"/>
        <w:ind w:firstLine="422" w:firstLineChars="200"/>
        <w:rPr>
          <w:rFonts w:ascii="宋体" w:hAnsi="宋体" w:cs="宋体"/>
          <w:b/>
          <w:bCs/>
          <w:szCs w:val="21"/>
        </w:rPr>
      </w:pPr>
      <w:r>
        <w:rPr>
          <w:rFonts w:hint="eastAsia" w:ascii="宋体" w:hAnsi="宋体" w:cs="宋体"/>
          <w:b/>
          <w:bCs/>
          <w:szCs w:val="21"/>
        </w:rPr>
        <w:t>二、招标项目概况：</w:t>
      </w:r>
    </w:p>
    <w:tbl>
      <w:tblPr>
        <w:tblStyle w:val="40"/>
        <w:tblW w:w="8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398"/>
        <w:gridCol w:w="1200"/>
        <w:gridCol w:w="1500"/>
        <w:gridCol w:w="1823"/>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39" w:type="dxa"/>
            <w:vAlign w:val="center"/>
          </w:tcPr>
          <w:p>
            <w:pPr>
              <w:jc w:val="center"/>
              <w:rPr>
                <w:rFonts w:ascii="宋体" w:hAnsi="宋体"/>
                <w:b/>
                <w:szCs w:val="21"/>
              </w:rPr>
            </w:pPr>
            <w:bookmarkStart w:id="0" w:name="EBc3c9f0bc06b6413d849824fe98ba274c"/>
            <w:r>
              <w:rPr>
                <w:rFonts w:hint="eastAsia" w:ascii="宋体" w:hAnsi="宋体"/>
                <w:b/>
                <w:szCs w:val="21"/>
              </w:rPr>
              <w:t>标段</w:t>
            </w:r>
          </w:p>
        </w:tc>
        <w:tc>
          <w:tcPr>
            <w:tcW w:w="2398" w:type="dxa"/>
            <w:vAlign w:val="center"/>
          </w:tcPr>
          <w:p>
            <w:pPr>
              <w:jc w:val="center"/>
              <w:rPr>
                <w:rFonts w:ascii="宋体" w:hAnsi="宋体"/>
                <w:b/>
                <w:szCs w:val="21"/>
              </w:rPr>
            </w:pPr>
            <w:r>
              <w:rPr>
                <w:rFonts w:hint="eastAsia" w:ascii="宋体" w:hAnsi="宋体"/>
                <w:b/>
                <w:szCs w:val="21"/>
              </w:rPr>
              <w:t>项目名称</w:t>
            </w:r>
          </w:p>
        </w:tc>
        <w:tc>
          <w:tcPr>
            <w:tcW w:w="1200" w:type="dxa"/>
            <w:vAlign w:val="center"/>
          </w:tcPr>
          <w:p>
            <w:pPr>
              <w:jc w:val="center"/>
              <w:rPr>
                <w:rFonts w:ascii="宋体" w:hAnsi="宋体"/>
                <w:b/>
                <w:szCs w:val="21"/>
              </w:rPr>
            </w:pPr>
            <w:r>
              <w:rPr>
                <w:rFonts w:hint="eastAsia" w:ascii="宋体" w:hAnsi="宋体"/>
                <w:b/>
                <w:szCs w:val="21"/>
              </w:rPr>
              <w:t>数量</w:t>
            </w:r>
          </w:p>
        </w:tc>
        <w:tc>
          <w:tcPr>
            <w:tcW w:w="1500" w:type="dxa"/>
            <w:vAlign w:val="center"/>
          </w:tcPr>
          <w:p>
            <w:pPr>
              <w:jc w:val="center"/>
              <w:rPr>
                <w:rFonts w:ascii="宋体" w:hAnsi="宋体"/>
                <w:b/>
                <w:szCs w:val="21"/>
              </w:rPr>
            </w:pPr>
            <w:r>
              <w:rPr>
                <w:rFonts w:hint="eastAsia" w:ascii="宋体" w:hAnsi="宋体"/>
                <w:b/>
                <w:szCs w:val="21"/>
              </w:rPr>
              <w:t>预算价/最高限价</w:t>
            </w:r>
          </w:p>
        </w:tc>
        <w:tc>
          <w:tcPr>
            <w:tcW w:w="1823" w:type="dxa"/>
            <w:vAlign w:val="center"/>
          </w:tcPr>
          <w:p>
            <w:pPr>
              <w:jc w:val="center"/>
              <w:rPr>
                <w:rFonts w:ascii="宋体" w:hAnsi="宋体"/>
                <w:b/>
                <w:szCs w:val="21"/>
              </w:rPr>
            </w:pPr>
            <w:r>
              <w:rPr>
                <w:rFonts w:hint="eastAsia" w:ascii="宋体" w:hAnsi="宋体"/>
                <w:b/>
                <w:szCs w:val="21"/>
              </w:rPr>
              <w:t>简要技术要求</w:t>
            </w:r>
          </w:p>
        </w:tc>
        <w:tc>
          <w:tcPr>
            <w:tcW w:w="927" w:type="dxa"/>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639" w:type="dxa"/>
            <w:vAlign w:val="center"/>
          </w:tcPr>
          <w:p>
            <w:pPr>
              <w:jc w:val="center"/>
              <w:rPr>
                <w:rFonts w:ascii="宋体"/>
                <w:szCs w:val="21"/>
              </w:rPr>
            </w:pPr>
            <w:r>
              <w:rPr>
                <w:rFonts w:ascii="宋体" w:hAnsi="宋体"/>
                <w:szCs w:val="21"/>
              </w:rPr>
              <w:t>1</w:t>
            </w:r>
          </w:p>
        </w:tc>
        <w:tc>
          <w:tcPr>
            <w:tcW w:w="2398" w:type="dxa"/>
            <w:vAlign w:val="center"/>
          </w:tcPr>
          <w:p>
            <w:pPr>
              <w:jc w:val="center"/>
              <w:rPr>
                <w:rFonts w:ascii="宋体"/>
                <w:szCs w:val="21"/>
              </w:rPr>
            </w:pPr>
            <w:r>
              <w:rPr>
                <w:rFonts w:hint="eastAsia" w:ascii="宋体" w:hAnsi="宋体"/>
                <w:kern w:val="0"/>
                <w:szCs w:val="21"/>
              </w:rPr>
              <w:t>黄岩区小型水库大坝安全监测实施及服务项目</w:t>
            </w:r>
          </w:p>
        </w:tc>
        <w:tc>
          <w:tcPr>
            <w:tcW w:w="1200" w:type="dxa"/>
            <w:vAlign w:val="center"/>
          </w:tcPr>
          <w:p>
            <w:pPr>
              <w:jc w:val="center"/>
              <w:rPr>
                <w:rFonts w:ascii="宋体"/>
                <w:szCs w:val="21"/>
              </w:rPr>
            </w:pPr>
            <w:r>
              <w:rPr>
                <w:rFonts w:hint="eastAsia" w:ascii="宋体"/>
                <w:szCs w:val="21"/>
              </w:rPr>
              <w:t>1项</w:t>
            </w:r>
          </w:p>
        </w:tc>
        <w:tc>
          <w:tcPr>
            <w:tcW w:w="1500" w:type="dxa"/>
            <w:vAlign w:val="center"/>
          </w:tcPr>
          <w:p>
            <w:pPr>
              <w:jc w:val="center"/>
              <w:rPr>
                <w:rFonts w:ascii="宋体"/>
                <w:szCs w:val="21"/>
              </w:rPr>
            </w:pPr>
            <w:r>
              <w:rPr>
                <w:rFonts w:hint="eastAsia" w:ascii="宋体"/>
                <w:szCs w:val="21"/>
              </w:rPr>
              <w:t xml:space="preserve">  624.4689万元</w:t>
            </w:r>
          </w:p>
        </w:tc>
        <w:tc>
          <w:tcPr>
            <w:tcW w:w="1823" w:type="dxa"/>
            <w:vAlign w:val="center"/>
          </w:tcPr>
          <w:p>
            <w:pPr>
              <w:jc w:val="center"/>
              <w:rPr>
                <w:rFonts w:ascii="宋体"/>
                <w:szCs w:val="21"/>
              </w:rPr>
            </w:pPr>
            <w:r>
              <w:rPr>
                <w:rFonts w:hint="eastAsia" w:ascii="宋体" w:hAnsi="宋体"/>
                <w:szCs w:val="21"/>
              </w:rPr>
              <w:t>详见招标需求</w:t>
            </w:r>
          </w:p>
        </w:tc>
        <w:tc>
          <w:tcPr>
            <w:tcW w:w="927" w:type="dxa"/>
          </w:tcPr>
          <w:p>
            <w:pPr>
              <w:jc w:val="center"/>
              <w:rPr>
                <w:rFonts w:ascii="宋体" w:hAnsi="宋体"/>
                <w:szCs w:val="21"/>
              </w:rPr>
            </w:pPr>
          </w:p>
        </w:tc>
      </w:tr>
      <w:bookmarkEnd w:id="0"/>
    </w:tbl>
    <w:p>
      <w:pPr>
        <w:spacing w:line="360" w:lineRule="auto"/>
        <w:ind w:firstLine="422" w:firstLineChars="200"/>
        <w:rPr>
          <w:rFonts w:ascii="宋体" w:hAnsi="宋体" w:cs="宋体"/>
          <w:b/>
          <w:bCs/>
          <w:szCs w:val="21"/>
        </w:rPr>
      </w:pPr>
      <w:r>
        <w:rPr>
          <w:rFonts w:hint="eastAsia" w:ascii="宋体" w:hAnsi="宋体" w:cs="宋体"/>
          <w:b/>
          <w:bCs/>
          <w:szCs w:val="21"/>
        </w:rPr>
        <w:t>三、合格投标人的资格条件：</w:t>
      </w:r>
    </w:p>
    <w:p>
      <w:pPr>
        <w:spacing w:line="360" w:lineRule="auto"/>
        <w:ind w:firstLine="420" w:firstLineChars="200"/>
        <w:rPr>
          <w:rFonts w:ascii="宋体" w:hAnsi="宋体" w:cs="宋体"/>
          <w:szCs w:val="21"/>
        </w:rPr>
      </w:pPr>
      <w:r>
        <w:rPr>
          <w:rFonts w:hint="eastAsia" w:ascii="宋体" w:hAnsi="宋体" w:cs="宋体"/>
          <w:szCs w:val="21"/>
        </w:rPr>
        <w:t>1、符合《中华人民共和国政府采购法》第二十二条及其他法律、行政法规规定的对投标主体的要求；</w:t>
      </w:r>
    </w:p>
    <w:p>
      <w:pPr>
        <w:spacing w:line="360" w:lineRule="auto"/>
        <w:ind w:firstLine="420" w:firstLineChars="200"/>
        <w:rPr>
          <w:rFonts w:ascii="宋体" w:hAnsi="宋体" w:cs="宋体"/>
          <w:szCs w:val="21"/>
        </w:rPr>
      </w:pPr>
      <w:r>
        <w:rPr>
          <w:rFonts w:hint="eastAsia" w:ascii="宋体" w:hAnsi="宋体" w:cs="宋体"/>
          <w:szCs w:val="21"/>
        </w:rPr>
        <w:t>2、落实政府采购政策需满足的资格要求：根据《政府采购促进中小企业发展管理办法》财库〔2020〕46号文件的规定，本项目属于专门面向中小企业采购的项目。供应商为中小企业/小微企业（监狱企业及残疾人福利性单位视同小型、微型企业）。</w:t>
      </w:r>
    </w:p>
    <w:p>
      <w:pPr>
        <w:spacing w:line="360" w:lineRule="auto"/>
        <w:ind w:firstLine="420" w:firstLineChars="200"/>
        <w:rPr>
          <w:rFonts w:ascii="宋体" w:hAnsi="宋体" w:cs="宋体"/>
          <w:szCs w:val="21"/>
        </w:rPr>
      </w:pPr>
      <w:r>
        <w:rPr>
          <w:rFonts w:hint="eastAsia" w:ascii="宋体" w:hAnsi="宋体" w:cs="宋体"/>
          <w:szCs w:val="21"/>
        </w:rPr>
        <w:t>3、本项目不接受联合体投标。</w:t>
      </w:r>
    </w:p>
    <w:p>
      <w:pPr>
        <w:spacing w:line="360" w:lineRule="auto"/>
        <w:ind w:firstLine="422" w:firstLineChars="200"/>
        <w:rPr>
          <w:rFonts w:ascii="宋体" w:hAnsi="宋体" w:cs="宋体"/>
          <w:b/>
          <w:bCs/>
          <w:szCs w:val="21"/>
        </w:rPr>
      </w:pPr>
      <w:r>
        <w:rPr>
          <w:rFonts w:hint="eastAsia" w:ascii="宋体" w:hAnsi="宋体" w:cs="宋体"/>
          <w:b/>
          <w:bCs/>
          <w:szCs w:val="21"/>
        </w:rPr>
        <w:t>四、招标文件获取的时间、方式：</w:t>
      </w:r>
    </w:p>
    <w:p>
      <w:pPr>
        <w:spacing w:line="360" w:lineRule="auto"/>
        <w:ind w:firstLine="420" w:firstLineChars="200"/>
        <w:rPr>
          <w:rFonts w:ascii="宋体" w:hAnsi="宋体" w:cs="宋体"/>
          <w:szCs w:val="21"/>
        </w:rPr>
      </w:pPr>
      <w:r>
        <w:rPr>
          <w:rFonts w:hint="eastAsia" w:ascii="宋体" w:hAnsi="宋体" w:cs="宋体"/>
          <w:szCs w:val="21"/>
        </w:rPr>
        <w:t>1、本项目招标文件实行“政府采购云平台”在线获取，不提供招标文件纸质版。供应商获取招标文件前应先完成“政府采购云平台”的账号注册。</w:t>
      </w:r>
    </w:p>
    <w:p>
      <w:pPr>
        <w:spacing w:line="360" w:lineRule="auto"/>
        <w:ind w:firstLine="420" w:firstLineChars="200"/>
        <w:rPr>
          <w:rFonts w:ascii="宋体" w:hAnsi="宋体" w:cs="宋体"/>
          <w:szCs w:val="21"/>
        </w:rPr>
      </w:pPr>
      <w:r>
        <w:rPr>
          <w:rFonts w:hint="eastAsia" w:ascii="宋体" w:hAnsi="宋体" w:cs="宋体"/>
          <w:szCs w:val="21"/>
        </w:rPr>
        <w:t>2、获取时间：自本公告发布之日起至响应文件递交截止时间止（以供应商完成获取采购文件申请后下载采购文件的时间为准）。</w:t>
      </w:r>
    </w:p>
    <w:p>
      <w:pPr>
        <w:spacing w:line="360" w:lineRule="auto"/>
        <w:ind w:firstLine="420" w:firstLineChars="200"/>
        <w:rPr>
          <w:rFonts w:ascii="宋体" w:hAnsi="宋体" w:cs="宋体"/>
          <w:szCs w:val="21"/>
        </w:rPr>
      </w:pPr>
      <w:r>
        <w:rPr>
          <w:rFonts w:hint="eastAsia" w:ascii="宋体" w:hAnsi="宋体" w:cs="宋体"/>
          <w:szCs w:val="21"/>
        </w:rPr>
        <w:t>3、地点：</w:t>
      </w:r>
    </w:p>
    <w:p>
      <w:pPr>
        <w:spacing w:line="360" w:lineRule="auto"/>
        <w:ind w:firstLine="420" w:firstLineChars="200"/>
        <w:rPr>
          <w:rFonts w:ascii="宋体" w:hAnsi="宋体" w:cs="宋体"/>
          <w:szCs w:val="21"/>
        </w:rPr>
      </w:pPr>
      <w:r>
        <w:rPr>
          <w:rFonts w:hint="eastAsia" w:ascii="宋体" w:hAnsi="宋体" w:cs="宋体"/>
          <w:szCs w:val="21"/>
        </w:rPr>
        <w:t>（1）政采云平台（</w:t>
      </w:r>
      <w:r>
        <w:fldChar w:fldCharType="begin"/>
      </w:r>
      <w:r>
        <w:instrText xml:space="preserve"> HYPERLINK "http://zfcg.czt.zj.gov.cn/" </w:instrText>
      </w:r>
      <w:r>
        <w:fldChar w:fldCharType="separate"/>
      </w:r>
      <w:r>
        <w:rPr>
          <w:rFonts w:hint="eastAsia" w:ascii="宋体" w:hAnsi="宋体" w:cs="宋体"/>
          <w:szCs w:val="21"/>
        </w:rPr>
        <w:t>http：//zfcg.czt.zj.gov.cn</w:t>
      </w:r>
      <w:r>
        <w:rPr>
          <w:rFonts w:hint="eastAsia" w:ascii="宋体" w:hAnsi="宋体" w:cs="宋体"/>
          <w:szCs w:val="21"/>
        </w:rPr>
        <w:fldChar w:fldCharType="end"/>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（2）供应商网上报名操作指南：“浙江政府采购网-办事指南-省采中心-网上报名”（http：//zfcg.czt.zj.gov.cn/bs_other/2018-03-30/12002.html）。</w:t>
      </w:r>
    </w:p>
    <w:p>
      <w:pPr>
        <w:spacing w:line="360" w:lineRule="auto"/>
        <w:ind w:firstLine="420" w:firstLineChars="200"/>
        <w:rPr>
          <w:rFonts w:ascii="宋体" w:hAnsi="宋体" w:cs="宋体"/>
          <w:szCs w:val="21"/>
        </w:rPr>
      </w:pPr>
      <w:r>
        <w:rPr>
          <w:rFonts w:hint="eastAsia" w:ascii="宋体" w:hAnsi="宋体" w:cs="宋体"/>
          <w:szCs w:val="21"/>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ind w:firstLine="420" w:firstLineChars="200"/>
        <w:rPr>
          <w:rFonts w:ascii="宋体" w:hAnsi="宋体" w:cs="宋体"/>
          <w:szCs w:val="21"/>
        </w:rPr>
      </w:pPr>
      <w:r>
        <w:rPr>
          <w:rFonts w:hint="eastAsia" w:ascii="宋体" w:hAnsi="宋体" w:cs="宋体"/>
          <w:szCs w:val="21"/>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pacing w:line="360" w:lineRule="auto"/>
        <w:ind w:firstLine="422" w:firstLineChars="200"/>
        <w:rPr>
          <w:rFonts w:ascii="宋体" w:hAnsi="宋体" w:cs="宋体"/>
          <w:b/>
          <w:bCs/>
          <w:szCs w:val="21"/>
        </w:rPr>
      </w:pPr>
      <w:r>
        <w:rPr>
          <w:rFonts w:hint="eastAsia" w:ascii="宋体" w:hAnsi="宋体" w:cs="宋体"/>
          <w:b/>
          <w:bCs/>
          <w:szCs w:val="21"/>
        </w:rPr>
        <w:t>五、投标说明：</w:t>
      </w:r>
    </w:p>
    <w:p>
      <w:pPr>
        <w:spacing w:line="360" w:lineRule="auto"/>
        <w:ind w:firstLine="420" w:firstLineChars="200"/>
        <w:rPr>
          <w:rFonts w:ascii="宋体" w:hAnsi="宋体" w:cs="宋体"/>
          <w:szCs w:val="21"/>
        </w:rPr>
      </w:pPr>
      <w:r>
        <w:rPr>
          <w:rFonts w:hint="eastAsia" w:ascii="宋体" w:hAnsi="宋体" w:cs="宋体"/>
          <w:szCs w:val="21"/>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line="360" w:lineRule="auto"/>
        <w:ind w:firstLine="420" w:firstLineChars="200"/>
        <w:rPr>
          <w:rFonts w:ascii="宋体" w:hAnsi="宋体" w:cs="宋体"/>
          <w:szCs w:val="21"/>
        </w:rPr>
      </w:pPr>
      <w:r>
        <w:rPr>
          <w:rFonts w:hint="eastAsia" w:ascii="宋体" w:hAnsi="宋体" w:cs="宋体"/>
          <w:szCs w:val="21"/>
        </w:rPr>
        <w:t>2.投标人通过政采云平台电子投标工具制作投标文件，电子投标工具请供应商自行前往浙江政府采购网下载并安装，（下载网址：http://zfcg.czt.zj.gov.cn/bidClientTemplate/2019-05-27/12946.html），电子投标具体流程详见本招标公告附件：“政采云供应商项目采购-电子招投标操作指南.pdf”。</w:t>
      </w:r>
    </w:p>
    <w:p>
      <w:pPr>
        <w:spacing w:line="360" w:lineRule="auto"/>
        <w:ind w:firstLine="420" w:firstLineChars="200"/>
        <w:rPr>
          <w:rFonts w:ascii="宋体" w:hAnsi="宋体" w:cs="宋体"/>
          <w:szCs w:val="21"/>
        </w:rPr>
      </w:pPr>
      <w:r>
        <w:rPr>
          <w:rFonts w:hint="eastAsia" w:ascii="宋体" w:hAnsi="宋体" w:cs="宋体"/>
          <w:szCs w:val="21"/>
        </w:rPr>
        <w:t>3.投标人应在开标前完成CA数字证书办理。（办理流程详见http://zfcg.czt.zj.gov.cn/bidClientTemplate/2019-05-27/12945.html，完成CA数字证书办理预计一周左右，请各投标人自行把握时间）</w:t>
      </w:r>
    </w:p>
    <w:p>
      <w:pPr>
        <w:spacing w:line="360" w:lineRule="auto"/>
        <w:ind w:firstLine="420" w:firstLineChars="200"/>
        <w:rPr>
          <w:rFonts w:ascii="宋体" w:hAnsi="宋体" w:cs="宋体"/>
          <w:szCs w:val="21"/>
        </w:rPr>
      </w:pPr>
      <w:r>
        <w:rPr>
          <w:rFonts w:hint="eastAsia" w:ascii="宋体" w:hAnsi="宋体" w:cs="宋体"/>
          <w:szCs w:val="21"/>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在开标后规定的投标有效期内，投标人不能撤销投标文件。</w:t>
      </w:r>
    </w:p>
    <w:p>
      <w:pPr>
        <w:spacing w:line="360" w:lineRule="auto"/>
        <w:ind w:firstLine="420" w:firstLineChars="200"/>
        <w:rPr>
          <w:rFonts w:ascii="宋体" w:hAnsi="宋体" w:cs="宋体"/>
          <w:szCs w:val="21"/>
        </w:rPr>
      </w:pPr>
      <w:r>
        <w:rPr>
          <w:rFonts w:hint="eastAsia" w:ascii="宋体" w:hAnsi="宋体" w:cs="宋体"/>
          <w:szCs w:val="21"/>
        </w:rPr>
        <w:t>5.投标文件的组成、份数、密封、效力</w:t>
      </w:r>
    </w:p>
    <w:p>
      <w:pPr>
        <w:spacing w:line="360" w:lineRule="auto"/>
        <w:ind w:firstLine="420" w:firstLineChars="200"/>
        <w:rPr>
          <w:rFonts w:ascii="宋体" w:hAnsi="宋体" w:cs="宋体"/>
          <w:szCs w:val="21"/>
        </w:rPr>
      </w:pPr>
      <w:r>
        <w:rPr>
          <w:rFonts w:hint="eastAsia" w:ascii="宋体" w:hAnsi="宋体" w:cs="宋体"/>
          <w:szCs w:val="21"/>
        </w:rPr>
        <w:t>本项目实行电子投标，供应商应准备电子投标文件、以介质（U盘）存储的数据电文形式两类：</w:t>
      </w:r>
    </w:p>
    <w:p>
      <w:pPr>
        <w:spacing w:line="360" w:lineRule="auto"/>
        <w:ind w:firstLine="420" w:firstLineChars="200"/>
        <w:rPr>
          <w:rFonts w:ascii="宋体" w:hAnsi="宋体" w:cs="宋体"/>
          <w:szCs w:val="21"/>
        </w:rPr>
      </w:pPr>
      <w:r>
        <w:rPr>
          <w:rFonts w:hint="eastAsia" w:ascii="宋体" w:hAnsi="宋体" w:cs="宋体"/>
          <w:szCs w:val="21"/>
        </w:rPr>
        <w:t>5.1电子投标文件，按政采云平台项目采购--电子招投标操作指南及本招标文件要求编制。</w:t>
      </w:r>
    </w:p>
    <w:p>
      <w:pPr>
        <w:spacing w:line="360" w:lineRule="auto"/>
        <w:ind w:firstLine="420" w:firstLineChars="200"/>
        <w:rPr>
          <w:rFonts w:ascii="宋体" w:hAnsi="宋体" w:cs="宋体"/>
          <w:szCs w:val="21"/>
        </w:rPr>
      </w:pPr>
      <w:r>
        <w:rPr>
          <w:rFonts w:hint="eastAsia" w:ascii="宋体" w:hAnsi="宋体" w:cs="宋体"/>
          <w:szCs w:val="21"/>
        </w:rPr>
        <w:t>5.2投标供应商在“政府采购云平台”完成“电子加密投标文件”的上传递交后，需在投标截止时间前递交以介质（U盘）存储的数据电文形式的“备份投标文件”，“备份投标文件”应当密封包装并在包装上标注投标项目名称、投标单位名称并加盖公章。以介质（U盘）存储的数据电文形式需密封，可采用以下两种方式其中一种送达（逾期送达或未密封将被拒收）：</w:t>
      </w:r>
    </w:p>
    <w:p>
      <w:pPr>
        <w:spacing w:line="360" w:lineRule="auto"/>
        <w:ind w:firstLine="420" w:firstLineChars="200"/>
        <w:rPr>
          <w:rFonts w:ascii="宋体" w:hAnsi="宋体" w:cs="宋体"/>
          <w:szCs w:val="21"/>
        </w:rPr>
      </w:pPr>
      <w:r>
        <w:rPr>
          <w:rFonts w:hint="eastAsia" w:ascii="宋体" w:hAnsi="宋体" w:cs="宋体"/>
          <w:szCs w:val="21"/>
        </w:rPr>
        <w:t>①在投标截止时间前送交到开标地点；</w:t>
      </w:r>
    </w:p>
    <w:p>
      <w:pPr>
        <w:spacing w:line="360" w:lineRule="auto"/>
        <w:ind w:firstLine="420" w:firstLineChars="200"/>
        <w:rPr>
          <w:rFonts w:ascii="宋体" w:hAnsi="宋体" w:cs="宋体"/>
          <w:szCs w:val="21"/>
        </w:rPr>
      </w:pPr>
      <w:r>
        <w:rPr>
          <w:rFonts w:hint="eastAsia" w:ascii="宋体" w:hAnsi="宋体" w:cs="宋体"/>
          <w:szCs w:val="21"/>
        </w:rPr>
        <w:t>②采用邮寄方式，邮寄公司统一采用顺丰（包裹外包装上请注明单位、项目名称、联系电话等信息，以便代理机构作接收登记工作），邮寄接收截止时间为投标截止时间前一个工作日下午16:00整（邮寄地址：浙江建通工程建设管理有限公司</w:t>
      </w:r>
      <w:r>
        <w:rPr>
          <w:rFonts w:hint="eastAsia" w:ascii="宋体" w:cs="宋体"/>
          <w:szCs w:val="21"/>
        </w:rPr>
        <w:t>（台州市黄岩区桔乡大道281号7楼，联系人：章先生，电话：</w:t>
      </w:r>
      <w:r>
        <w:rPr>
          <w:rFonts w:hint="eastAsia" w:ascii="宋体" w:cs="宋体"/>
          <w:szCs w:val="21"/>
          <w:u w:val="single"/>
        </w:rPr>
        <w:t>0576-84271349；15958669222</w:t>
      </w:r>
      <w:r>
        <w:rPr>
          <w:rFonts w:hint="eastAsia" w:ascii="宋体" w:cs="宋体"/>
          <w:szCs w:val="21"/>
        </w:rPr>
        <w:t>。） )。</w:t>
      </w:r>
    </w:p>
    <w:p>
      <w:pPr>
        <w:spacing w:line="360" w:lineRule="auto"/>
        <w:ind w:firstLine="420" w:firstLineChars="200"/>
        <w:rPr>
          <w:rFonts w:ascii="宋体" w:hAnsi="宋体" w:cs="宋体"/>
          <w:szCs w:val="21"/>
        </w:rPr>
      </w:pPr>
      <w:r>
        <w:rPr>
          <w:rFonts w:hint="eastAsia" w:ascii="宋体" w:hAnsi="宋体" w:cs="宋体"/>
          <w:szCs w:val="21"/>
        </w:rPr>
        <w:t>5.3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pacing w:line="360" w:lineRule="auto"/>
        <w:ind w:firstLine="420" w:firstLineChars="200"/>
        <w:rPr>
          <w:rFonts w:ascii="宋体" w:hAnsi="宋体" w:cs="宋体"/>
          <w:szCs w:val="21"/>
        </w:rPr>
      </w:pPr>
      <w:r>
        <w:rPr>
          <w:rFonts w:hint="eastAsia" w:ascii="宋体" w:hAnsi="宋体" w:cs="宋体"/>
          <w:szCs w:val="21"/>
        </w:rPr>
        <w:t>5.4投标文件启用顺序和效力：投标文件的启用，按先后顺位分别为电子投标文件、以介质（U盘）存储的数据电文形式的备份投标文件。如果某位投标人的电子投标文件无法按时解密的，可启用以介质存储的数据电文形式的备份投标文件。</w:t>
      </w:r>
    </w:p>
    <w:p>
      <w:pPr>
        <w:spacing w:line="360" w:lineRule="auto"/>
        <w:ind w:firstLine="420" w:firstLineChars="200"/>
        <w:rPr>
          <w:rFonts w:ascii="宋体" w:hAnsi="宋体" w:cs="宋体"/>
          <w:szCs w:val="21"/>
        </w:rPr>
      </w:pPr>
      <w:r>
        <w:rPr>
          <w:rFonts w:hint="eastAsia" w:ascii="宋体" w:hAnsi="宋体" w:cs="宋体"/>
          <w:szCs w:val="21"/>
        </w:rPr>
        <w:t>5.5▲未传输递交电子投标文件的，投标无效。未按规定提供相应的备份投标文件，造成项目开评标活动无法进行下去的，投标无效。</w:t>
      </w:r>
    </w:p>
    <w:p>
      <w:pPr>
        <w:spacing w:line="360" w:lineRule="auto"/>
        <w:ind w:firstLine="422" w:firstLineChars="200"/>
        <w:rPr>
          <w:rFonts w:hint="eastAsia" w:ascii="宋体" w:hAnsi="宋体" w:eastAsia="宋体" w:cs="宋体"/>
          <w:szCs w:val="21"/>
          <w:lang w:eastAsia="zh-CN"/>
        </w:rPr>
      </w:pPr>
      <w:r>
        <w:rPr>
          <w:rFonts w:hint="eastAsia" w:ascii="宋体" w:hAnsi="宋体" w:cs="宋体"/>
          <w:b/>
          <w:bCs/>
          <w:szCs w:val="21"/>
        </w:rPr>
        <w:t>六、投标截止时间及开标时间：</w:t>
      </w:r>
      <w:r>
        <w:rPr>
          <w:rFonts w:hint="eastAsia" w:ascii="宋体" w:hAnsi="宋体" w:cs="宋体"/>
          <w:szCs w:val="21"/>
          <w:lang w:eastAsia="zh-CN"/>
        </w:rPr>
        <w:t>2022年10月13日下午14：00</w:t>
      </w:r>
    </w:p>
    <w:p>
      <w:pPr>
        <w:spacing w:line="360" w:lineRule="auto"/>
        <w:ind w:firstLine="422" w:firstLineChars="200"/>
        <w:rPr>
          <w:rFonts w:ascii="宋体" w:hAnsi="宋体" w:cs="宋体"/>
          <w:b w:val="0"/>
          <w:bCs w:val="0"/>
          <w:szCs w:val="21"/>
        </w:rPr>
      </w:pPr>
      <w:r>
        <w:rPr>
          <w:rFonts w:hint="eastAsia" w:ascii="宋体" w:hAnsi="宋体" w:cs="宋体"/>
          <w:b/>
          <w:bCs/>
          <w:szCs w:val="21"/>
        </w:rPr>
        <w:t>七、投标及开标地址：</w:t>
      </w:r>
      <w:r>
        <w:rPr>
          <w:rFonts w:hint="eastAsia" w:ascii="宋体" w:hAnsi="宋体" w:cs="宋体"/>
          <w:b w:val="0"/>
          <w:bCs w:val="0"/>
          <w:szCs w:val="21"/>
        </w:rPr>
        <w:t>黄岩区台州市黄岩区直下街69号 3号楼203室 黄岩区采购中心203评标室</w:t>
      </w:r>
      <w:bookmarkStart w:id="94" w:name="_GoBack"/>
      <w:bookmarkEnd w:id="94"/>
    </w:p>
    <w:p>
      <w:pPr>
        <w:spacing w:line="360" w:lineRule="auto"/>
        <w:ind w:firstLine="422" w:firstLineChars="200"/>
        <w:outlineLvl w:val="0"/>
        <w:rPr>
          <w:rFonts w:ascii="宋体" w:hAnsi="宋体" w:cs="宋体"/>
          <w:b/>
          <w:bCs/>
          <w:szCs w:val="21"/>
        </w:rPr>
      </w:pPr>
      <w:r>
        <w:rPr>
          <w:rFonts w:hint="eastAsia" w:ascii="宋体" w:hAnsi="宋体" w:cs="宋体"/>
          <w:b/>
          <w:bCs/>
          <w:szCs w:val="21"/>
        </w:rPr>
        <w:t>八、相关注意事项：</w:t>
      </w:r>
    </w:p>
    <w:p>
      <w:pPr>
        <w:widowControl/>
        <w:spacing w:line="360" w:lineRule="auto"/>
        <w:ind w:firstLine="420" w:firstLineChars="200"/>
        <w:jc w:val="left"/>
        <w:rPr>
          <w:rFonts w:ascii="宋体" w:hAnsi="宋体" w:cs="宋体"/>
          <w:szCs w:val="21"/>
        </w:rPr>
      </w:pPr>
      <w:r>
        <w:rPr>
          <w:rFonts w:hint="eastAsia" w:ascii="宋体" w:hAnsi="宋体" w:cs="宋体"/>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20" w:firstLineChars="200"/>
        <w:rPr>
          <w:rFonts w:ascii="宋体" w:hAnsi="宋体" w:cs="宋体"/>
          <w:szCs w:val="21"/>
        </w:rPr>
      </w:pPr>
      <w:r>
        <w:rPr>
          <w:rFonts w:hint="eastAsia" w:ascii="宋体" w:hAnsi="宋体" w:cs="宋体"/>
          <w:szCs w:val="21"/>
        </w:rPr>
        <w:t>2.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ascii="宋体" w:hAnsi="宋体" w:cs="宋体"/>
          <w:szCs w:val="21"/>
        </w:rPr>
      </w:pPr>
      <w:r>
        <w:rPr>
          <w:rFonts w:hint="eastAsia" w:ascii="宋体" w:hAnsi="宋体" w:cs="宋体"/>
          <w:szCs w:val="21"/>
        </w:rPr>
        <w:t>3.根据财库[2016]125号《关于在政府采购活动中查询及使用信用记录有关问题的通知》要求，采购代理机构会对供应商信用记录进行查询并甄别。</w:t>
      </w:r>
    </w:p>
    <w:p>
      <w:pPr>
        <w:spacing w:line="360" w:lineRule="auto"/>
        <w:ind w:firstLine="420" w:firstLineChars="200"/>
        <w:rPr>
          <w:rFonts w:ascii="宋体" w:hAnsi="宋体" w:cs="宋体"/>
          <w:szCs w:val="21"/>
        </w:rPr>
      </w:pPr>
      <w:r>
        <w:rPr>
          <w:rFonts w:hint="eastAsia" w:ascii="宋体" w:hAnsi="宋体" w:cs="宋体"/>
          <w:szCs w:val="21"/>
        </w:rPr>
        <w:t>1）信用信息查询的截止时点：开标后评标前；</w:t>
      </w:r>
    </w:p>
    <w:p>
      <w:pPr>
        <w:spacing w:line="360" w:lineRule="auto"/>
        <w:ind w:firstLine="420" w:firstLineChars="200"/>
        <w:rPr>
          <w:rFonts w:ascii="宋体" w:hAnsi="宋体" w:cs="宋体"/>
          <w:szCs w:val="21"/>
        </w:rPr>
      </w:pPr>
      <w:r>
        <w:rPr>
          <w:rFonts w:hint="eastAsia" w:ascii="宋体" w:hAnsi="宋体" w:cs="宋体"/>
          <w:szCs w:val="21"/>
        </w:rPr>
        <w:t>2）查询渠道：“信用中国”（www.creditchina.gov.cn）、“中国政府采购网”（www.ccgp.gov.cn）、“浙江政府采购网（www.zjzfcg.gov.cn）；</w:t>
      </w:r>
    </w:p>
    <w:p>
      <w:pPr>
        <w:spacing w:line="360" w:lineRule="auto"/>
        <w:ind w:firstLine="420" w:firstLineChars="200"/>
        <w:rPr>
          <w:rFonts w:ascii="宋体" w:hAnsi="宋体" w:cs="宋体"/>
          <w:szCs w:val="21"/>
        </w:rPr>
      </w:pPr>
      <w:r>
        <w:rPr>
          <w:rFonts w:hint="eastAsia" w:ascii="宋体" w:hAnsi="宋体" w:cs="宋体"/>
          <w:szCs w:val="21"/>
        </w:rPr>
        <w:t>3）信用信息查询记录和证据留存具体方式：采购代理机构经办人和监督人员将查询网页打印与其他采购相关文件一并保存；</w:t>
      </w:r>
    </w:p>
    <w:p>
      <w:pPr>
        <w:spacing w:line="360" w:lineRule="auto"/>
        <w:ind w:firstLine="420" w:firstLineChars="200"/>
        <w:rPr>
          <w:rFonts w:ascii="宋体" w:hAnsi="宋体" w:cs="宋体"/>
          <w:szCs w:val="21"/>
        </w:rPr>
      </w:pPr>
      <w:r>
        <w:rPr>
          <w:rFonts w:hint="eastAsia" w:ascii="宋体" w:hAnsi="宋体" w:cs="宋体"/>
          <w:szCs w:val="21"/>
        </w:rPr>
        <w:t>4）信用信息的使用规则：投标人存在不良信用记录的，其投标将被作为无效投标被拒绝。</w:t>
      </w:r>
    </w:p>
    <w:p>
      <w:pPr>
        <w:spacing w:line="360" w:lineRule="auto"/>
        <w:ind w:firstLine="420" w:firstLineChars="200"/>
        <w:rPr>
          <w:rFonts w:ascii="宋体" w:hAnsi="宋体" w:cs="宋体"/>
          <w:szCs w:val="21"/>
        </w:rPr>
      </w:pPr>
      <w:r>
        <w:rPr>
          <w:rFonts w:hint="eastAsia" w:ascii="宋体" w:hAnsi="宋体" w:cs="宋体"/>
          <w:szCs w:val="21"/>
        </w:rPr>
        <w:t>4.不良信用记录指：被列入失信被执行人、重大税收违法案件当事人名单、政府采购严重违法失信行为记录名单或浙江政府采购网曝光台中尚在行政处罚期内的。</w:t>
      </w:r>
    </w:p>
    <w:p>
      <w:pPr>
        <w:spacing w:line="360" w:lineRule="auto"/>
        <w:ind w:firstLine="422" w:firstLineChars="200"/>
        <w:rPr>
          <w:rFonts w:ascii="宋体" w:hAnsi="宋体" w:cs="宋体"/>
          <w:b/>
          <w:bCs/>
          <w:szCs w:val="21"/>
        </w:rPr>
      </w:pPr>
      <w:r>
        <w:rPr>
          <w:rFonts w:hint="eastAsia" w:ascii="宋体" w:hAnsi="宋体" w:cs="宋体"/>
          <w:b/>
          <w:bCs/>
          <w:szCs w:val="21"/>
        </w:rPr>
        <w:t>5.开标时间后30分钟内供应商须携带CA自备电脑登录“政采云”平台，用“项目采购-开标评标”功能解密投标文件，投标人未按时解密或解密失败的，其上传的电子投标文件自动失效。</w:t>
      </w:r>
    </w:p>
    <w:p>
      <w:pPr>
        <w:spacing w:line="360" w:lineRule="auto"/>
        <w:ind w:firstLine="422" w:firstLineChars="200"/>
        <w:rPr>
          <w:rFonts w:ascii="宋体" w:hAnsi="宋体" w:cs="宋体"/>
          <w:b/>
          <w:bCs/>
          <w:szCs w:val="21"/>
        </w:rPr>
      </w:pPr>
      <w:r>
        <w:rPr>
          <w:rFonts w:hint="eastAsia" w:ascii="宋体" w:hAnsi="宋体" w:cs="宋体"/>
          <w:b/>
          <w:bCs/>
          <w:szCs w:val="21"/>
        </w:rPr>
        <w:t>九、联系方式：</w:t>
      </w:r>
    </w:p>
    <w:p>
      <w:pPr>
        <w:spacing w:line="360" w:lineRule="auto"/>
        <w:ind w:firstLine="422" w:firstLineChars="200"/>
        <w:rPr>
          <w:rFonts w:ascii="宋体" w:cs="宋体"/>
          <w:b/>
          <w:bCs/>
          <w:szCs w:val="21"/>
        </w:rPr>
      </w:pPr>
      <w:r>
        <w:rPr>
          <w:rFonts w:hint="eastAsia" w:ascii="宋体" w:cs="宋体"/>
          <w:b/>
          <w:bCs/>
          <w:szCs w:val="21"/>
        </w:rPr>
        <w:t>（一）采购代理机构</w:t>
      </w:r>
    </w:p>
    <w:p>
      <w:pPr>
        <w:spacing w:line="360" w:lineRule="auto"/>
        <w:ind w:firstLine="420" w:firstLineChars="200"/>
        <w:rPr>
          <w:rFonts w:ascii="宋体" w:cs="宋体"/>
          <w:kern w:val="0"/>
          <w:szCs w:val="21"/>
        </w:rPr>
      </w:pPr>
      <w:r>
        <w:rPr>
          <w:rFonts w:hint="eastAsia" w:ascii="宋体" w:cs="宋体"/>
          <w:kern w:val="0"/>
          <w:szCs w:val="21"/>
        </w:rPr>
        <w:t>采购代理机构名称：浙江建通工程建设管理有限公司；</w:t>
      </w:r>
    </w:p>
    <w:p>
      <w:pPr>
        <w:spacing w:line="360" w:lineRule="auto"/>
        <w:ind w:firstLine="420" w:firstLineChars="200"/>
        <w:rPr>
          <w:rFonts w:ascii="宋体" w:cs="宋体"/>
          <w:kern w:val="0"/>
          <w:szCs w:val="21"/>
        </w:rPr>
      </w:pPr>
      <w:r>
        <w:rPr>
          <w:rFonts w:hint="eastAsia" w:ascii="宋体" w:cs="宋体"/>
          <w:kern w:val="0"/>
          <w:szCs w:val="21"/>
        </w:rPr>
        <w:t>项目联系人：王女士；联系电话：0576-84271349；</w:t>
      </w:r>
    </w:p>
    <w:p>
      <w:pPr>
        <w:spacing w:line="360" w:lineRule="auto"/>
        <w:ind w:firstLine="420" w:firstLineChars="200"/>
        <w:rPr>
          <w:rFonts w:ascii="宋体" w:cs="宋体"/>
          <w:kern w:val="0"/>
          <w:szCs w:val="21"/>
        </w:rPr>
      </w:pPr>
      <w:r>
        <w:rPr>
          <w:rFonts w:hint="eastAsia" w:ascii="宋体" w:cs="宋体"/>
          <w:kern w:val="0"/>
          <w:szCs w:val="21"/>
        </w:rPr>
        <w:t>报名联系人：王女士；联系电话：0576-84271349；</w:t>
      </w:r>
    </w:p>
    <w:p>
      <w:pPr>
        <w:spacing w:line="360" w:lineRule="auto"/>
        <w:ind w:firstLine="420" w:firstLineChars="200"/>
        <w:rPr>
          <w:rFonts w:ascii="宋体" w:cs="宋体"/>
          <w:kern w:val="0"/>
          <w:szCs w:val="21"/>
        </w:rPr>
      </w:pPr>
      <w:r>
        <w:rPr>
          <w:rFonts w:hint="eastAsia" w:ascii="宋体" w:cs="宋体"/>
          <w:kern w:val="0"/>
          <w:szCs w:val="21"/>
        </w:rPr>
        <w:t>地址：台州市黄岩区桔乡大道281号7楼</w:t>
      </w:r>
    </w:p>
    <w:p>
      <w:pPr>
        <w:spacing w:line="360" w:lineRule="auto"/>
        <w:ind w:firstLine="420" w:firstLineChars="200"/>
        <w:rPr>
          <w:rFonts w:ascii="宋体" w:cs="宋体"/>
          <w:kern w:val="0"/>
          <w:szCs w:val="21"/>
        </w:rPr>
      </w:pPr>
      <w:r>
        <w:rPr>
          <w:rFonts w:hint="eastAsia" w:ascii="宋体" w:cs="宋体"/>
          <w:kern w:val="0"/>
          <w:szCs w:val="21"/>
        </w:rPr>
        <w:t>接收供应商质疑联系人：蔡景；联系电话：0576-84271331；</w:t>
      </w:r>
    </w:p>
    <w:p>
      <w:pPr>
        <w:spacing w:line="360" w:lineRule="auto"/>
        <w:ind w:firstLine="422" w:firstLineChars="200"/>
        <w:rPr>
          <w:rFonts w:ascii="宋体" w:cs="宋体"/>
          <w:b/>
          <w:bCs/>
          <w:szCs w:val="21"/>
        </w:rPr>
      </w:pPr>
      <w:r>
        <w:rPr>
          <w:rFonts w:hint="eastAsia" w:ascii="宋体" w:cs="宋体"/>
          <w:b/>
          <w:bCs/>
          <w:szCs w:val="21"/>
        </w:rPr>
        <w:t>（二）采购人</w:t>
      </w:r>
    </w:p>
    <w:p>
      <w:pPr>
        <w:spacing w:line="360" w:lineRule="auto"/>
        <w:ind w:firstLine="420" w:firstLineChars="200"/>
        <w:rPr>
          <w:rFonts w:ascii="宋体" w:cs="宋体"/>
          <w:szCs w:val="21"/>
        </w:rPr>
      </w:pPr>
      <w:r>
        <w:rPr>
          <w:rFonts w:hint="eastAsia" w:ascii="宋体" w:cs="宋体"/>
          <w:szCs w:val="21"/>
        </w:rPr>
        <w:t>采购人名称：台州市黄岩区水利局</w:t>
      </w:r>
    </w:p>
    <w:p>
      <w:pPr>
        <w:spacing w:line="360" w:lineRule="auto"/>
        <w:ind w:firstLine="420" w:firstLineChars="200"/>
        <w:rPr>
          <w:rFonts w:ascii="宋体" w:cs="宋体"/>
          <w:szCs w:val="21"/>
        </w:rPr>
      </w:pPr>
      <w:r>
        <w:rPr>
          <w:rFonts w:hint="eastAsia" w:ascii="宋体" w:cs="宋体"/>
          <w:szCs w:val="21"/>
        </w:rPr>
        <w:t xml:space="preserve">项目联系人：林先生；联系电话：0576-84010751  </w:t>
      </w:r>
    </w:p>
    <w:p>
      <w:pPr>
        <w:spacing w:line="360" w:lineRule="auto"/>
        <w:ind w:firstLine="420" w:firstLineChars="200"/>
        <w:rPr>
          <w:rFonts w:ascii="宋体" w:cs="宋体"/>
          <w:szCs w:val="21"/>
        </w:rPr>
      </w:pPr>
      <w:r>
        <w:rPr>
          <w:rFonts w:hint="eastAsia" w:ascii="宋体" w:cs="宋体"/>
          <w:szCs w:val="21"/>
        </w:rPr>
        <w:t>质疑联系人：吉先生；联系电话：0576-84015018</w:t>
      </w:r>
    </w:p>
    <w:p>
      <w:pPr>
        <w:spacing w:line="360" w:lineRule="auto"/>
        <w:ind w:firstLine="420" w:firstLineChars="200"/>
        <w:rPr>
          <w:rFonts w:ascii="宋体" w:cs="宋体"/>
          <w:szCs w:val="21"/>
        </w:rPr>
      </w:pPr>
      <w:r>
        <w:rPr>
          <w:rFonts w:hint="eastAsia" w:ascii="宋体" w:cs="宋体"/>
          <w:szCs w:val="21"/>
        </w:rPr>
        <w:t>地址：台州市黄岩区</w:t>
      </w:r>
    </w:p>
    <w:p>
      <w:pPr>
        <w:spacing w:line="360" w:lineRule="auto"/>
        <w:ind w:firstLine="413" w:firstLineChars="196"/>
        <w:rPr>
          <w:rFonts w:ascii="宋体" w:cs="宋体"/>
          <w:b/>
          <w:szCs w:val="21"/>
        </w:rPr>
      </w:pPr>
      <w:r>
        <w:rPr>
          <w:rFonts w:hint="eastAsia" w:ascii="宋体" w:cs="宋体"/>
          <w:b/>
          <w:szCs w:val="21"/>
        </w:rPr>
        <w:t>（三）同级政府采购监督管理部门</w:t>
      </w:r>
    </w:p>
    <w:p>
      <w:pPr>
        <w:snapToGrid w:val="0"/>
        <w:spacing w:line="360" w:lineRule="auto"/>
        <w:ind w:firstLine="525" w:firstLineChars="250"/>
        <w:rPr>
          <w:rFonts w:ascii="宋体" w:cs="宋体"/>
          <w:szCs w:val="21"/>
        </w:rPr>
      </w:pPr>
      <w:r>
        <w:rPr>
          <w:rFonts w:hint="eastAsia" w:ascii="宋体" w:cs="宋体"/>
          <w:szCs w:val="21"/>
        </w:rPr>
        <w:t>同级政府采购监督管理部门名称：台州市黄岩区政府采购监管科；</w:t>
      </w:r>
    </w:p>
    <w:p>
      <w:pPr>
        <w:snapToGrid w:val="0"/>
        <w:spacing w:line="360" w:lineRule="auto"/>
        <w:ind w:firstLine="525" w:firstLineChars="250"/>
        <w:rPr>
          <w:rFonts w:ascii="宋体" w:cs="宋体"/>
          <w:szCs w:val="21"/>
        </w:rPr>
      </w:pPr>
      <w:r>
        <w:rPr>
          <w:rFonts w:hint="eastAsia" w:ascii="宋体" w:cs="宋体"/>
          <w:szCs w:val="21"/>
        </w:rPr>
        <w:t>联系人：宋先生；监督投诉电话：0576-84222959；</w:t>
      </w:r>
    </w:p>
    <w:p>
      <w:pPr>
        <w:snapToGrid w:val="0"/>
        <w:spacing w:line="360" w:lineRule="auto"/>
        <w:ind w:firstLine="525" w:firstLineChars="250"/>
        <w:rPr>
          <w:rFonts w:ascii="宋体" w:cs="宋体"/>
          <w:szCs w:val="21"/>
        </w:rPr>
      </w:pPr>
      <w:r>
        <w:rPr>
          <w:rFonts w:hint="eastAsia" w:ascii="宋体" w:cs="宋体"/>
          <w:szCs w:val="21"/>
        </w:rPr>
        <w:t>地址：台州市黄岩区劳动南路289号。</w:t>
      </w:r>
    </w:p>
    <w:p>
      <w:pPr>
        <w:spacing w:line="360" w:lineRule="auto"/>
        <w:jc w:val="right"/>
        <w:rPr>
          <w:rFonts w:ascii="宋体" w:hAnsi="宋体" w:cs="宋体"/>
          <w:szCs w:val="21"/>
        </w:rPr>
      </w:pPr>
      <w:r>
        <w:rPr>
          <w:rFonts w:hint="eastAsia" w:ascii="宋体" w:hAnsi="宋体" w:cs="宋体"/>
          <w:szCs w:val="21"/>
        </w:rPr>
        <w:t>浙江建通工程建设管理有限公司</w:t>
      </w:r>
    </w:p>
    <w:p>
      <w:pPr>
        <w:spacing w:line="360" w:lineRule="auto"/>
        <w:ind w:firstLine="5460" w:firstLineChars="2600"/>
        <w:rPr>
          <w:rFonts w:ascii="宋体" w:hAnsi="宋体" w:cs="宋体"/>
          <w:szCs w:val="21"/>
        </w:rPr>
      </w:pPr>
      <w:r>
        <w:rPr>
          <w:rFonts w:hint="eastAsia" w:ascii="宋体" w:hAnsi="宋体" w:cs="宋体"/>
          <w:szCs w:val="21"/>
        </w:rPr>
        <w:t>2022年9月</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pStyle w:val="8"/>
        <w:rPr>
          <w:rFonts w:ascii="宋体" w:hAnsi="宋体" w:cs="宋体"/>
          <w:sz w:val="24"/>
        </w:rPr>
      </w:pPr>
    </w:p>
    <w:p>
      <w:pPr>
        <w:rPr>
          <w:rFonts w:ascii="宋体" w:hAnsi="宋体" w:cs="宋体"/>
          <w:sz w:val="24"/>
          <w:szCs w:val="32"/>
        </w:rPr>
      </w:pPr>
    </w:p>
    <w:p>
      <w:pPr>
        <w:pStyle w:val="8"/>
        <w:rPr>
          <w:rFonts w:ascii="宋体" w:hAnsi="宋体" w:cs="宋体"/>
          <w:sz w:val="24"/>
        </w:rPr>
      </w:pPr>
    </w:p>
    <w:p>
      <w:pPr>
        <w:rPr>
          <w:rFonts w:ascii="宋体" w:hAnsi="宋体" w:cs="宋体"/>
          <w:sz w:val="24"/>
          <w:szCs w:val="32"/>
        </w:rPr>
      </w:pPr>
    </w:p>
    <w:p>
      <w:pPr>
        <w:pStyle w:val="8"/>
        <w:rPr>
          <w:rFonts w:ascii="宋体" w:hAnsi="宋体" w:cs="宋体"/>
          <w:sz w:val="24"/>
        </w:rPr>
      </w:pPr>
    </w:p>
    <w:p>
      <w:pPr>
        <w:pStyle w:val="6"/>
        <w:rPr>
          <w:rFonts w:ascii="宋体" w:hAnsi="宋体" w:cs="宋体"/>
          <w:sz w:val="24"/>
          <w:szCs w:val="32"/>
        </w:rPr>
      </w:pPr>
    </w:p>
    <w:p>
      <w:pPr>
        <w:spacing w:line="360" w:lineRule="auto"/>
        <w:jc w:val="center"/>
        <w:rPr>
          <w:rFonts w:ascii="宋体" w:hAnsi="宋体" w:cs="宋体"/>
          <w:b/>
          <w:bCs/>
          <w:sz w:val="36"/>
          <w:szCs w:val="44"/>
        </w:rPr>
      </w:pPr>
    </w:p>
    <w:p>
      <w:pPr>
        <w:widowControl/>
        <w:jc w:val="left"/>
        <w:rPr>
          <w:rFonts w:ascii="宋体" w:hAnsi="宋体" w:cs="宋体"/>
          <w:b/>
          <w:bCs/>
          <w:sz w:val="36"/>
          <w:szCs w:val="44"/>
        </w:rPr>
      </w:pPr>
      <w:r>
        <w:rPr>
          <w:rFonts w:ascii="宋体" w:hAnsi="宋体" w:cs="宋体"/>
          <w:b/>
          <w:bCs/>
          <w:sz w:val="36"/>
          <w:szCs w:val="44"/>
        </w:rPr>
        <w:br w:type="page"/>
      </w:r>
    </w:p>
    <w:p>
      <w:pPr>
        <w:spacing w:line="360" w:lineRule="auto"/>
        <w:jc w:val="center"/>
        <w:rPr>
          <w:rFonts w:ascii="宋体" w:hAnsi="宋体" w:cs="宋体"/>
          <w:b/>
          <w:bCs/>
          <w:sz w:val="36"/>
          <w:szCs w:val="44"/>
        </w:rPr>
      </w:pPr>
      <w:r>
        <w:rPr>
          <w:rFonts w:hint="eastAsia" w:ascii="宋体" w:hAnsi="宋体" w:cs="宋体"/>
          <w:b/>
          <w:bCs/>
          <w:sz w:val="36"/>
          <w:szCs w:val="44"/>
        </w:rPr>
        <w:t>第二章投标人须知</w:t>
      </w:r>
    </w:p>
    <w:p>
      <w:pPr>
        <w:spacing w:line="360" w:lineRule="auto"/>
        <w:jc w:val="center"/>
        <w:rPr>
          <w:rFonts w:ascii="宋体" w:hAnsi="宋体" w:cs="宋体"/>
          <w:b/>
          <w:bCs/>
          <w:sz w:val="24"/>
          <w:szCs w:val="32"/>
        </w:rPr>
      </w:pPr>
      <w:r>
        <w:rPr>
          <w:rFonts w:hint="eastAsia" w:ascii="宋体" w:hAnsi="宋体" w:cs="宋体"/>
          <w:b/>
          <w:bCs/>
          <w:sz w:val="24"/>
          <w:szCs w:val="32"/>
        </w:rPr>
        <w:t>前附表</w:t>
      </w:r>
    </w:p>
    <w:tbl>
      <w:tblPr>
        <w:tblStyle w:val="40"/>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41"/>
        <w:gridCol w:w="6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65" w:type="dxa"/>
            <w:vAlign w:val="center"/>
          </w:tcPr>
          <w:p>
            <w:pPr>
              <w:jc w:val="center"/>
              <w:rPr>
                <w:rFonts w:ascii="宋体" w:hAnsi="宋体" w:cs="宋体"/>
                <w:b/>
                <w:bCs/>
                <w:szCs w:val="21"/>
              </w:rPr>
            </w:pPr>
            <w:r>
              <w:rPr>
                <w:rFonts w:hint="eastAsia" w:ascii="宋体" w:hAnsi="宋体" w:cs="宋体"/>
                <w:b/>
                <w:bCs/>
                <w:szCs w:val="21"/>
              </w:rPr>
              <w:t>序号</w:t>
            </w:r>
          </w:p>
        </w:tc>
        <w:tc>
          <w:tcPr>
            <w:tcW w:w="1641" w:type="dxa"/>
            <w:vAlign w:val="center"/>
          </w:tcPr>
          <w:p>
            <w:pPr>
              <w:jc w:val="center"/>
              <w:rPr>
                <w:rFonts w:ascii="宋体" w:hAnsi="宋体" w:cs="宋体"/>
                <w:b/>
                <w:bCs/>
                <w:szCs w:val="21"/>
              </w:rPr>
            </w:pPr>
            <w:r>
              <w:rPr>
                <w:rFonts w:hint="eastAsia" w:ascii="宋体" w:hAnsi="宋体" w:cs="宋体"/>
                <w:b/>
                <w:bCs/>
                <w:szCs w:val="21"/>
              </w:rPr>
              <w:t>项目</w:t>
            </w:r>
          </w:p>
        </w:tc>
        <w:tc>
          <w:tcPr>
            <w:tcW w:w="6913" w:type="dxa"/>
            <w:vAlign w:val="center"/>
          </w:tcPr>
          <w:p>
            <w:pPr>
              <w:jc w:val="center"/>
              <w:rPr>
                <w:rFonts w:ascii="宋体" w:hAnsi="宋体" w:cs="宋体"/>
                <w:b/>
                <w:bCs/>
                <w:szCs w:val="21"/>
              </w:rPr>
            </w:pPr>
            <w:r>
              <w:rPr>
                <w:rFonts w:hint="eastAsia" w:ascii="宋体" w:hAnsi="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vAlign w:val="center"/>
          </w:tcPr>
          <w:p>
            <w:pPr>
              <w:jc w:val="center"/>
              <w:rPr>
                <w:rFonts w:ascii="宋体" w:hAnsi="宋体" w:cs="宋体"/>
                <w:szCs w:val="21"/>
              </w:rPr>
            </w:pPr>
            <w:r>
              <w:rPr>
                <w:rFonts w:hint="eastAsia" w:ascii="宋体" w:hAnsi="宋体" w:cs="宋体"/>
                <w:szCs w:val="21"/>
              </w:rPr>
              <w:t>1</w:t>
            </w:r>
          </w:p>
        </w:tc>
        <w:tc>
          <w:tcPr>
            <w:tcW w:w="1641" w:type="dxa"/>
            <w:vAlign w:val="center"/>
          </w:tcPr>
          <w:p>
            <w:pPr>
              <w:jc w:val="center"/>
              <w:rPr>
                <w:rFonts w:ascii="宋体" w:hAnsi="宋体" w:cs="宋体"/>
                <w:szCs w:val="21"/>
              </w:rPr>
            </w:pPr>
            <w:r>
              <w:rPr>
                <w:rFonts w:hint="eastAsia" w:ascii="宋体" w:hAnsi="宋体" w:cs="宋体"/>
                <w:szCs w:val="21"/>
              </w:rPr>
              <w:t>项目说明</w:t>
            </w:r>
          </w:p>
        </w:tc>
        <w:tc>
          <w:tcPr>
            <w:tcW w:w="6913" w:type="dxa"/>
            <w:vAlign w:val="center"/>
          </w:tcPr>
          <w:p>
            <w:pPr>
              <w:jc w:val="left"/>
              <w:rPr>
                <w:rFonts w:ascii="宋体" w:hAnsi="宋体" w:cs="宋体"/>
                <w:b/>
                <w:bCs/>
                <w:szCs w:val="21"/>
              </w:rPr>
            </w:pPr>
            <w:r>
              <w:rPr>
                <w:rFonts w:hint="eastAsia" w:ascii="宋体" w:hAnsi="宋体" w:cs="宋体"/>
                <w:szCs w:val="21"/>
              </w:rPr>
              <w:t>项目类别：其他服务类</w:t>
            </w:r>
          </w:p>
          <w:p>
            <w:pPr>
              <w:jc w:val="left"/>
              <w:rPr>
                <w:rFonts w:ascii="宋体" w:hAnsi="宋体" w:cs="宋体"/>
                <w:szCs w:val="21"/>
              </w:rPr>
            </w:pPr>
            <w:r>
              <w:rPr>
                <w:rFonts w:hint="eastAsia" w:ascii="宋体" w:hAnsi="宋体" w:cs="宋体"/>
                <w:szCs w:val="21"/>
              </w:rPr>
              <w:t>采购标的所属行业：根据《工业和信息化部、国际统计局、国家发展和改革委员会、财政部关于印发中小企业划型标准规定的通知》（工信部联企业[2011]300号）规定，本项目采购标的对应的中小企业划分标准所属行业为：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65" w:type="dxa"/>
            <w:vAlign w:val="center"/>
          </w:tcPr>
          <w:p>
            <w:pPr>
              <w:jc w:val="center"/>
              <w:rPr>
                <w:rFonts w:ascii="宋体" w:hAnsi="宋体" w:cs="宋体"/>
                <w:szCs w:val="21"/>
              </w:rPr>
            </w:pPr>
            <w:r>
              <w:rPr>
                <w:rFonts w:hint="eastAsia" w:ascii="宋体" w:hAnsi="宋体" w:cs="宋体"/>
                <w:szCs w:val="21"/>
              </w:rPr>
              <w:t>2</w:t>
            </w:r>
          </w:p>
        </w:tc>
        <w:tc>
          <w:tcPr>
            <w:tcW w:w="1641" w:type="dxa"/>
            <w:vAlign w:val="center"/>
          </w:tcPr>
          <w:p>
            <w:pPr>
              <w:jc w:val="center"/>
              <w:rPr>
                <w:rFonts w:ascii="宋体" w:hAnsi="宋体" w:cs="宋体"/>
                <w:szCs w:val="21"/>
              </w:rPr>
            </w:pPr>
            <w:r>
              <w:rPr>
                <w:rFonts w:hint="eastAsia" w:ascii="宋体" w:hAnsi="宋体" w:cs="宋体"/>
                <w:kern w:val="0"/>
                <w:szCs w:val="21"/>
              </w:rPr>
              <w:t>答疑会或</w:t>
            </w:r>
            <w:r>
              <w:rPr>
                <w:rFonts w:hint="eastAsia" w:ascii="宋体" w:hAnsi="宋体" w:cs="宋体"/>
                <w:szCs w:val="21"/>
              </w:rPr>
              <w:t>现场踏勘</w:t>
            </w:r>
          </w:p>
        </w:tc>
        <w:tc>
          <w:tcPr>
            <w:tcW w:w="6913" w:type="dxa"/>
            <w:vAlign w:val="center"/>
          </w:tcPr>
          <w:p>
            <w:pPr>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4" w:hRule="atLeast"/>
          <w:jc w:val="center"/>
        </w:trPr>
        <w:tc>
          <w:tcPr>
            <w:tcW w:w="765" w:type="dxa"/>
            <w:vAlign w:val="center"/>
          </w:tcPr>
          <w:p>
            <w:pPr>
              <w:jc w:val="center"/>
              <w:rPr>
                <w:rFonts w:ascii="宋体" w:hAnsi="宋体" w:cs="宋体"/>
                <w:szCs w:val="21"/>
              </w:rPr>
            </w:pPr>
            <w:r>
              <w:rPr>
                <w:rFonts w:hint="eastAsia" w:ascii="宋体" w:hAnsi="宋体" w:cs="宋体"/>
                <w:szCs w:val="21"/>
              </w:rPr>
              <w:t>3</w:t>
            </w:r>
          </w:p>
        </w:tc>
        <w:tc>
          <w:tcPr>
            <w:tcW w:w="1641" w:type="dxa"/>
            <w:vAlign w:val="center"/>
          </w:tcPr>
          <w:p>
            <w:pPr>
              <w:jc w:val="center"/>
              <w:rPr>
                <w:rFonts w:ascii="宋体" w:hAnsi="宋体" w:cs="宋体"/>
                <w:kern w:val="0"/>
                <w:szCs w:val="21"/>
              </w:rPr>
            </w:pPr>
            <w:r>
              <w:rPr>
                <w:rFonts w:hint="eastAsia" w:ascii="宋体" w:hAnsi="宋体" w:cs="宋体"/>
                <w:szCs w:val="21"/>
              </w:rPr>
              <w:t>投标文件的组成、份数、效力</w:t>
            </w:r>
          </w:p>
        </w:tc>
        <w:tc>
          <w:tcPr>
            <w:tcW w:w="6913" w:type="dxa"/>
            <w:vAlign w:val="center"/>
          </w:tcPr>
          <w:p>
            <w:pPr>
              <w:ind w:firstLine="420" w:firstLineChars="200"/>
              <w:rPr>
                <w:rFonts w:ascii="宋体" w:hAnsi="宋体" w:cs="宋体"/>
                <w:szCs w:val="21"/>
              </w:rPr>
            </w:pPr>
            <w:r>
              <w:rPr>
                <w:rFonts w:hint="eastAsia" w:ascii="宋体" w:hAnsi="宋体" w:cs="宋体"/>
                <w:szCs w:val="21"/>
              </w:rPr>
              <w:t>本项目实行电子投标，供应商应准备电子投标文件、以介质（U盘）存储的数据电文形式的备份投标文件两类：</w:t>
            </w:r>
          </w:p>
          <w:p>
            <w:pPr>
              <w:ind w:firstLine="420" w:firstLineChars="200"/>
              <w:rPr>
                <w:rFonts w:ascii="宋体" w:hAnsi="宋体" w:cs="宋体"/>
                <w:szCs w:val="21"/>
              </w:rPr>
            </w:pPr>
            <w:r>
              <w:rPr>
                <w:rFonts w:hint="eastAsia" w:ascii="宋体" w:hAnsi="宋体" w:cs="宋体"/>
                <w:szCs w:val="21"/>
              </w:rPr>
              <w:t>1.电子投标文件，按政采云平台项目采购--电子招投标操作指南及本招标文件要求编制、递交。</w:t>
            </w:r>
          </w:p>
          <w:p>
            <w:pPr>
              <w:ind w:firstLine="420" w:firstLineChars="200"/>
              <w:rPr>
                <w:rFonts w:ascii="宋体" w:hAnsi="宋体" w:cs="宋体"/>
                <w:szCs w:val="21"/>
              </w:rPr>
            </w:pPr>
            <w:r>
              <w:rPr>
                <w:rFonts w:hint="eastAsia" w:ascii="宋体" w:hAnsi="宋体" w:cs="宋体"/>
                <w:szCs w:val="21"/>
              </w:rPr>
              <w:t>2.以介质（U盘）存储的数据电文形式的备份投标文件，按政采云平台项目采购-电子招投标操作指南中上传的电子投标文件格式，以U盘形式提供。</w:t>
            </w:r>
          </w:p>
          <w:p>
            <w:pPr>
              <w:ind w:firstLine="420" w:firstLineChars="200"/>
              <w:rPr>
                <w:rFonts w:ascii="宋体" w:hAnsi="宋体" w:cs="宋体"/>
                <w:szCs w:val="21"/>
              </w:rPr>
            </w:pPr>
            <w:r>
              <w:rPr>
                <w:rFonts w:hint="eastAsia" w:ascii="宋体" w:hAnsi="宋体" w:cs="宋体"/>
                <w:szCs w:val="21"/>
              </w:rPr>
              <w:t>3.投标文件启用顺序和效力：投标文件的启用，按先后顺位分别为电子投标文件、以介质（U盘）存储的数据电文形式的备份投标文件。顺位在先的投标文件已按时解密的，备份投标文件自动失效。在下一顺位的投标文件启用时，前一顺位的投标文件自动失效。</w:t>
            </w:r>
          </w:p>
          <w:p>
            <w:pPr>
              <w:ind w:firstLine="420" w:firstLineChars="200"/>
              <w:rPr>
                <w:rFonts w:ascii="宋体" w:hAnsi="宋体" w:cs="宋体"/>
                <w:szCs w:val="21"/>
              </w:rPr>
            </w:pPr>
            <w:r>
              <w:rPr>
                <w:rFonts w:hint="eastAsia" w:ascii="宋体" w:hAnsi="宋体" w:cs="宋体"/>
                <w:szCs w:val="21"/>
              </w:rPr>
              <w:t>4.▲未传输递交电子投标文件的，投标无效。未按规定提供相应的备份投标文件，造成项目开评标活动无法进行下去的，投标无效。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65" w:type="dxa"/>
            <w:vAlign w:val="center"/>
          </w:tcPr>
          <w:p>
            <w:pPr>
              <w:jc w:val="center"/>
              <w:rPr>
                <w:rFonts w:ascii="宋体" w:hAnsi="宋体" w:cs="宋体"/>
                <w:szCs w:val="21"/>
              </w:rPr>
            </w:pPr>
            <w:r>
              <w:rPr>
                <w:rFonts w:hint="eastAsia" w:ascii="宋体" w:hAnsi="宋体" w:cs="宋体"/>
                <w:szCs w:val="21"/>
              </w:rPr>
              <w:t>4</w:t>
            </w:r>
          </w:p>
        </w:tc>
        <w:tc>
          <w:tcPr>
            <w:tcW w:w="1641" w:type="dxa"/>
            <w:vAlign w:val="center"/>
          </w:tcPr>
          <w:p>
            <w:pPr>
              <w:jc w:val="center"/>
              <w:rPr>
                <w:rFonts w:ascii="宋体" w:hAnsi="宋体" w:cs="宋体"/>
                <w:szCs w:val="21"/>
              </w:rPr>
            </w:pPr>
            <w:r>
              <w:rPr>
                <w:rFonts w:hint="eastAsia" w:ascii="宋体" w:hAnsi="宋体" w:cs="宋体"/>
                <w:szCs w:val="21"/>
              </w:rPr>
              <w:t>投标有效期</w:t>
            </w:r>
          </w:p>
        </w:tc>
        <w:tc>
          <w:tcPr>
            <w:tcW w:w="6913" w:type="dxa"/>
            <w:vAlign w:val="center"/>
          </w:tcPr>
          <w:p>
            <w:pPr>
              <w:rPr>
                <w:rFonts w:ascii="宋体" w:hAnsi="宋体" w:cs="宋体"/>
                <w:szCs w:val="21"/>
              </w:rPr>
            </w:pPr>
            <w:r>
              <w:rPr>
                <w:rFonts w:hint="eastAsia" w:ascii="宋体" w:hAnsi="宋体" w:cs="宋体"/>
                <w:szCs w:val="21"/>
              </w:rPr>
              <w:t>投标有效期为开标后90天，</w:t>
            </w:r>
            <w:r>
              <w:rPr>
                <w:rFonts w:hint="eastAsia" w:ascii="宋体" w:hAnsi="宋体" w:cs="宋体"/>
                <w:kern w:val="0"/>
                <w:szCs w:val="21"/>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65" w:type="dxa"/>
            <w:vAlign w:val="center"/>
          </w:tcPr>
          <w:p>
            <w:pPr>
              <w:jc w:val="center"/>
              <w:rPr>
                <w:rFonts w:ascii="宋体" w:hAnsi="宋体" w:cs="宋体"/>
                <w:szCs w:val="21"/>
              </w:rPr>
            </w:pPr>
            <w:r>
              <w:rPr>
                <w:rFonts w:hint="eastAsia" w:ascii="宋体" w:hAnsi="宋体" w:cs="宋体"/>
                <w:szCs w:val="21"/>
              </w:rPr>
              <w:t>5</w:t>
            </w:r>
          </w:p>
        </w:tc>
        <w:tc>
          <w:tcPr>
            <w:tcW w:w="1641" w:type="dxa"/>
            <w:vAlign w:val="center"/>
          </w:tcPr>
          <w:p>
            <w:pPr>
              <w:jc w:val="center"/>
              <w:rPr>
                <w:rFonts w:ascii="宋体" w:hAnsi="宋体" w:cs="宋体"/>
                <w:szCs w:val="21"/>
              </w:rPr>
            </w:pPr>
            <w:r>
              <w:rPr>
                <w:rFonts w:hint="eastAsia" w:ascii="宋体" w:hAnsi="宋体" w:cs="宋体"/>
                <w:szCs w:val="21"/>
              </w:rPr>
              <w:t>投标文件递交</w:t>
            </w:r>
          </w:p>
        </w:tc>
        <w:tc>
          <w:tcPr>
            <w:tcW w:w="6913" w:type="dxa"/>
            <w:vAlign w:val="center"/>
          </w:tcPr>
          <w:p>
            <w:pPr>
              <w:rPr>
                <w:rFonts w:hint="eastAsia" w:ascii="宋体" w:hAnsi="宋体" w:eastAsia="宋体" w:cs="宋体"/>
                <w:szCs w:val="21"/>
                <w:lang w:eastAsia="zh-CN"/>
              </w:rPr>
            </w:pPr>
            <w:r>
              <w:rPr>
                <w:rFonts w:hint="eastAsia" w:ascii="宋体" w:hAnsi="宋体" w:cs="宋体"/>
                <w:szCs w:val="21"/>
              </w:rPr>
              <w:t>截止时间：北京时间</w:t>
            </w:r>
            <w:r>
              <w:rPr>
                <w:rFonts w:hint="eastAsia" w:ascii="宋体" w:hAnsi="宋体" w:cs="宋体"/>
                <w:szCs w:val="21"/>
                <w:lang w:eastAsia="zh-CN"/>
              </w:rPr>
              <w:t>2022年10月13日下午14：00</w:t>
            </w:r>
          </w:p>
          <w:p>
            <w:pPr>
              <w:rPr>
                <w:rFonts w:ascii="宋体" w:hAnsi="宋体" w:cs="宋体"/>
                <w:szCs w:val="21"/>
              </w:rPr>
            </w:pPr>
            <w:r>
              <w:rPr>
                <w:rFonts w:hint="eastAsia" w:ascii="宋体" w:hAnsi="宋体" w:cs="宋体"/>
                <w:szCs w:val="21"/>
              </w:rPr>
              <w:t>投标供应商应当在投标截止时间前将生成的“电子加密投标文件”上传递交至“政府采购云平台”。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65" w:type="dxa"/>
            <w:vAlign w:val="center"/>
          </w:tcPr>
          <w:p>
            <w:pPr>
              <w:jc w:val="center"/>
              <w:rPr>
                <w:rFonts w:ascii="宋体" w:hAnsi="宋体" w:cs="宋体"/>
                <w:szCs w:val="21"/>
              </w:rPr>
            </w:pPr>
            <w:r>
              <w:rPr>
                <w:rFonts w:hint="eastAsia" w:ascii="宋体" w:hAnsi="宋体" w:cs="宋体"/>
                <w:szCs w:val="21"/>
              </w:rPr>
              <w:t>6</w:t>
            </w:r>
          </w:p>
        </w:tc>
        <w:tc>
          <w:tcPr>
            <w:tcW w:w="1641" w:type="dxa"/>
            <w:vAlign w:val="center"/>
          </w:tcPr>
          <w:p>
            <w:pPr>
              <w:jc w:val="center"/>
              <w:rPr>
                <w:rFonts w:ascii="宋体" w:hAnsi="宋体" w:cs="宋体"/>
                <w:szCs w:val="21"/>
              </w:rPr>
            </w:pPr>
            <w:r>
              <w:rPr>
                <w:rFonts w:hint="eastAsia" w:ascii="宋体" w:hAnsi="宋体" w:cs="宋体"/>
                <w:szCs w:val="21"/>
              </w:rPr>
              <w:t>开标时间及地点</w:t>
            </w:r>
          </w:p>
        </w:tc>
        <w:tc>
          <w:tcPr>
            <w:tcW w:w="6913" w:type="dxa"/>
            <w:vAlign w:val="center"/>
          </w:tcPr>
          <w:p>
            <w:pPr>
              <w:rPr>
                <w:rFonts w:hint="eastAsia" w:ascii="宋体" w:hAnsi="宋体" w:eastAsia="宋体" w:cs="宋体"/>
                <w:szCs w:val="21"/>
                <w:lang w:eastAsia="zh-CN"/>
              </w:rPr>
            </w:pPr>
            <w:r>
              <w:rPr>
                <w:rFonts w:hint="eastAsia" w:ascii="宋体" w:hAnsi="宋体" w:cs="宋体"/>
                <w:szCs w:val="21"/>
              </w:rPr>
              <w:t>时间：北京时间</w:t>
            </w:r>
            <w:r>
              <w:rPr>
                <w:rFonts w:hint="eastAsia" w:ascii="宋体" w:hAnsi="宋体" w:cs="宋体"/>
                <w:szCs w:val="21"/>
                <w:lang w:eastAsia="zh-CN"/>
              </w:rPr>
              <w:t>2022年10月13日下午14：00</w:t>
            </w:r>
          </w:p>
          <w:p>
            <w:pPr>
              <w:rPr>
                <w:rFonts w:ascii="宋体" w:hAnsi="宋体" w:cs="宋体"/>
                <w:szCs w:val="21"/>
              </w:rPr>
            </w:pPr>
            <w:r>
              <w:rPr>
                <w:rFonts w:hint="eastAsia" w:ascii="宋体" w:hAnsi="宋体" w:cs="宋体"/>
                <w:szCs w:val="21"/>
              </w:rPr>
              <w:t>地点：黄岩区台州市黄岩区直下街69号 3号楼203室 黄岩区采购中心203评标室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65" w:type="dxa"/>
            <w:vAlign w:val="center"/>
          </w:tcPr>
          <w:p>
            <w:pPr>
              <w:jc w:val="center"/>
              <w:rPr>
                <w:rFonts w:ascii="宋体" w:hAnsi="宋体" w:cs="宋体"/>
                <w:szCs w:val="21"/>
              </w:rPr>
            </w:pPr>
            <w:r>
              <w:rPr>
                <w:rFonts w:hint="eastAsia" w:ascii="宋体" w:hAnsi="宋体" w:cs="宋体"/>
                <w:szCs w:val="21"/>
              </w:rPr>
              <w:t>7</w:t>
            </w:r>
          </w:p>
        </w:tc>
        <w:tc>
          <w:tcPr>
            <w:tcW w:w="1641" w:type="dxa"/>
            <w:vAlign w:val="center"/>
          </w:tcPr>
          <w:p>
            <w:pPr>
              <w:jc w:val="center"/>
              <w:rPr>
                <w:rFonts w:ascii="宋体" w:hAnsi="宋体" w:cs="宋体"/>
                <w:szCs w:val="21"/>
              </w:rPr>
            </w:pPr>
            <w:r>
              <w:rPr>
                <w:rFonts w:hint="eastAsia" w:ascii="宋体" w:hAnsi="宋体" w:cs="宋体"/>
                <w:szCs w:val="21"/>
              </w:rPr>
              <w:t>履约保证金</w:t>
            </w:r>
          </w:p>
        </w:tc>
        <w:tc>
          <w:tcPr>
            <w:tcW w:w="6913" w:type="dxa"/>
            <w:vAlign w:val="center"/>
          </w:tcPr>
          <w:p>
            <w:pPr>
              <w:jc w:val="left"/>
              <w:rPr>
                <w:rFonts w:ascii="宋体" w:hAnsi="宋体" w:cs="宋体"/>
                <w:szCs w:val="21"/>
              </w:rPr>
            </w:pPr>
            <w:r>
              <w:rPr>
                <w:rFonts w:hint="eastAsia" w:cs="宋体"/>
                <w:szCs w:val="21"/>
              </w:rPr>
              <w:t>乙方在收到中标通知书5个工作日内，需向甲方提供合同总金额的</w:t>
            </w:r>
            <w:r>
              <w:rPr>
                <w:rFonts w:hint="eastAsia" w:cs="宋体"/>
                <w:szCs w:val="21"/>
                <w:u w:val="single"/>
              </w:rPr>
              <w:t>1%</w:t>
            </w:r>
            <w:r>
              <w:rPr>
                <w:rFonts w:hint="eastAsia" w:cs="宋体"/>
                <w:szCs w:val="21"/>
              </w:rPr>
              <w:t>为履约保证金。供应商以银行、保险公司出具保函形式提交履约保证金的，采购单位不得拒收。以现金形式提交履约保证金的，采购单位需在项目验收结束后及时退还。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65" w:type="dxa"/>
            <w:vAlign w:val="center"/>
          </w:tcPr>
          <w:p>
            <w:pPr>
              <w:jc w:val="center"/>
              <w:rPr>
                <w:rFonts w:ascii="宋体" w:hAnsi="宋体" w:cs="宋体"/>
                <w:szCs w:val="21"/>
              </w:rPr>
            </w:pPr>
            <w:r>
              <w:rPr>
                <w:rFonts w:hint="eastAsia" w:ascii="宋体" w:hAnsi="宋体" w:cs="宋体"/>
                <w:szCs w:val="21"/>
              </w:rPr>
              <w:t>8</w:t>
            </w:r>
          </w:p>
        </w:tc>
        <w:tc>
          <w:tcPr>
            <w:tcW w:w="1641" w:type="dxa"/>
            <w:vAlign w:val="center"/>
          </w:tcPr>
          <w:p>
            <w:pPr>
              <w:autoSpaceDE w:val="0"/>
              <w:autoSpaceDN w:val="0"/>
              <w:adjustRightInd w:val="0"/>
              <w:jc w:val="center"/>
              <w:rPr>
                <w:rFonts w:ascii="宋体" w:hAnsi="宋体" w:cs="宋体"/>
                <w:szCs w:val="21"/>
              </w:rPr>
            </w:pPr>
            <w:r>
              <w:rPr>
                <w:rFonts w:hint="eastAsia" w:ascii="宋体" w:hAnsi="宋体" w:cs="宋体"/>
                <w:szCs w:val="21"/>
                <w:lang w:val="zh-CN"/>
              </w:rPr>
              <w:t>实质性条款</w:t>
            </w:r>
          </w:p>
        </w:tc>
        <w:tc>
          <w:tcPr>
            <w:tcW w:w="6913" w:type="dxa"/>
            <w:vAlign w:val="center"/>
          </w:tcPr>
          <w:p>
            <w:pPr>
              <w:rPr>
                <w:rFonts w:ascii="宋体" w:hAnsi="宋体" w:cs="宋体"/>
                <w:szCs w:val="21"/>
              </w:rPr>
            </w:pPr>
            <w:r>
              <w:rPr>
                <w:rFonts w:hint="eastAsia" w:ascii="宋体" w:hAnsi="宋体" w:cs="宋体"/>
                <w:szCs w:val="21"/>
                <w:lang w:val="zh-CN"/>
              </w:rPr>
              <w:t>带“</w:t>
            </w:r>
            <w:r>
              <w:rPr>
                <w:rFonts w:hint="eastAsia" w:ascii="宋体" w:hAnsi="宋体" w:cs="宋体"/>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65" w:type="dxa"/>
            <w:vAlign w:val="center"/>
          </w:tcPr>
          <w:p>
            <w:pPr>
              <w:jc w:val="center"/>
              <w:rPr>
                <w:rFonts w:ascii="宋体" w:hAnsi="宋体" w:cs="宋体"/>
                <w:szCs w:val="21"/>
              </w:rPr>
            </w:pPr>
            <w:r>
              <w:rPr>
                <w:rFonts w:hint="eastAsia" w:ascii="宋体" w:hAnsi="宋体" w:cs="宋体"/>
                <w:szCs w:val="21"/>
              </w:rPr>
              <w:t>9</w:t>
            </w:r>
          </w:p>
        </w:tc>
        <w:tc>
          <w:tcPr>
            <w:tcW w:w="1641" w:type="dxa"/>
            <w:vAlign w:val="center"/>
          </w:tcPr>
          <w:p>
            <w:pPr>
              <w:jc w:val="center"/>
              <w:rPr>
                <w:rFonts w:ascii="宋体" w:hAnsi="宋体" w:cs="宋体"/>
                <w:szCs w:val="21"/>
              </w:rPr>
            </w:pPr>
            <w:r>
              <w:rPr>
                <w:rFonts w:hint="eastAsia" w:ascii="宋体" w:hAnsi="宋体" w:cs="宋体"/>
                <w:szCs w:val="21"/>
              </w:rPr>
              <w:t>样品及演示</w:t>
            </w:r>
          </w:p>
        </w:tc>
        <w:tc>
          <w:tcPr>
            <w:tcW w:w="6913" w:type="dxa"/>
            <w:vAlign w:val="center"/>
          </w:tcPr>
          <w:p>
            <w:pPr>
              <w:jc w:val="left"/>
              <w:rPr>
                <w:rFonts w:ascii="宋体" w:hAnsi="宋体" w:cs="宋体"/>
                <w:szCs w:val="21"/>
              </w:rPr>
            </w:pPr>
            <w:r>
              <w:rPr>
                <w:rFonts w:hint="eastAsia" w:ascii="宋体" w:hAnsi="宋体" w:cs="宋体"/>
                <w:szCs w:val="21"/>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节能环保</w:t>
            </w:r>
          </w:p>
        </w:tc>
        <w:tc>
          <w:tcPr>
            <w:tcW w:w="69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11</w:t>
            </w:r>
          </w:p>
        </w:tc>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解释权</w:t>
            </w:r>
          </w:p>
        </w:tc>
        <w:tc>
          <w:tcPr>
            <w:tcW w:w="69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本招标文件解释权属于采购人和浙江建通工程建设管理有限公司。</w:t>
            </w:r>
          </w:p>
        </w:tc>
      </w:tr>
    </w:tbl>
    <w:p>
      <w:pPr>
        <w:spacing w:line="360" w:lineRule="auto"/>
        <w:ind w:firstLine="420" w:firstLineChars="200"/>
        <w:rPr>
          <w:rFonts w:ascii="宋体" w:hAnsi="宋体" w:cs="宋体"/>
          <w:szCs w:val="21"/>
        </w:rPr>
      </w:pPr>
      <w:r>
        <w:rPr>
          <w:rFonts w:hint="eastAsia" w:ascii="宋体" w:hAnsi="宋体" w:cs="宋体"/>
          <w:szCs w:val="21"/>
        </w:rPr>
        <w:t>其余事项：中标供应商如有融资需求，可使用以下银行的政采贷服务。</w:t>
      </w:r>
    </w:p>
    <w:tbl>
      <w:tblPr>
        <w:tblStyle w:val="40"/>
        <w:tblW w:w="8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500"/>
        <w:gridCol w:w="1290"/>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pacing w:line="460" w:lineRule="exact"/>
              <w:jc w:val="center"/>
              <w:rPr>
                <w:rFonts w:ascii="宋体" w:hAnsi="宋体" w:cs="宋体"/>
                <w:szCs w:val="21"/>
              </w:rPr>
            </w:pPr>
            <w:r>
              <w:rPr>
                <w:rFonts w:hint="eastAsia" w:ascii="宋体" w:hAnsi="宋体" w:cs="宋体"/>
                <w:szCs w:val="21"/>
              </w:rPr>
              <w:t>银行</w:t>
            </w:r>
          </w:p>
        </w:tc>
        <w:tc>
          <w:tcPr>
            <w:tcW w:w="1500" w:type="dxa"/>
            <w:vAlign w:val="center"/>
          </w:tcPr>
          <w:p>
            <w:pPr>
              <w:spacing w:line="460" w:lineRule="exact"/>
              <w:jc w:val="center"/>
              <w:rPr>
                <w:rFonts w:ascii="宋体" w:hAnsi="宋体" w:cs="宋体"/>
                <w:szCs w:val="21"/>
              </w:rPr>
            </w:pPr>
            <w:r>
              <w:rPr>
                <w:rFonts w:hint="eastAsia" w:ascii="宋体" w:hAnsi="宋体" w:cs="宋体"/>
                <w:szCs w:val="21"/>
              </w:rPr>
              <w:t>贷款年利率</w:t>
            </w:r>
          </w:p>
        </w:tc>
        <w:tc>
          <w:tcPr>
            <w:tcW w:w="1290" w:type="dxa"/>
            <w:vAlign w:val="center"/>
          </w:tcPr>
          <w:p>
            <w:pPr>
              <w:spacing w:line="460" w:lineRule="exact"/>
              <w:jc w:val="center"/>
              <w:rPr>
                <w:rFonts w:ascii="宋体" w:hAnsi="宋体" w:cs="宋体"/>
                <w:szCs w:val="21"/>
              </w:rPr>
            </w:pPr>
            <w:r>
              <w:rPr>
                <w:rFonts w:hint="eastAsia" w:ascii="宋体" w:hAnsi="宋体" w:cs="宋体"/>
                <w:szCs w:val="21"/>
              </w:rPr>
              <w:t>联系人</w:t>
            </w:r>
          </w:p>
        </w:tc>
        <w:tc>
          <w:tcPr>
            <w:tcW w:w="2817" w:type="dxa"/>
            <w:vAlign w:val="center"/>
          </w:tcPr>
          <w:p>
            <w:pPr>
              <w:spacing w:line="460" w:lineRule="exact"/>
              <w:jc w:val="center"/>
              <w:rPr>
                <w:rFonts w:ascii="宋体" w:hAnsi="宋体" w:cs="宋体"/>
                <w:szCs w:val="21"/>
              </w:rPr>
            </w:pPr>
            <w:r>
              <w:rPr>
                <w:rFonts w:hint="eastAsia" w:ascii="宋体" w:hAnsi="宋体" w:cs="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pacing w:line="460" w:lineRule="exact"/>
              <w:jc w:val="center"/>
              <w:rPr>
                <w:rFonts w:ascii="宋体" w:hAnsi="宋体" w:cs="宋体"/>
                <w:szCs w:val="21"/>
              </w:rPr>
            </w:pPr>
            <w:r>
              <w:rPr>
                <w:rFonts w:hint="eastAsia" w:ascii="宋体" w:hAnsi="宋体" w:cs="宋体"/>
                <w:szCs w:val="21"/>
              </w:rPr>
              <w:t>中国工商银行</w:t>
            </w:r>
          </w:p>
        </w:tc>
        <w:tc>
          <w:tcPr>
            <w:tcW w:w="1500" w:type="dxa"/>
            <w:vAlign w:val="center"/>
          </w:tcPr>
          <w:p>
            <w:pPr>
              <w:spacing w:line="460" w:lineRule="exact"/>
              <w:jc w:val="center"/>
              <w:rPr>
                <w:rFonts w:ascii="宋体" w:hAnsi="宋体" w:cs="宋体"/>
                <w:szCs w:val="21"/>
              </w:rPr>
            </w:pPr>
            <w:r>
              <w:rPr>
                <w:rFonts w:hint="eastAsia" w:ascii="宋体" w:hAnsi="宋体" w:cs="宋体"/>
                <w:szCs w:val="21"/>
              </w:rPr>
              <w:t>3.8%起</w:t>
            </w:r>
          </w:p>
        </w:tc>
        <w:tc>
          <w:tcPr>
            <w:tcW w:w="1290" w:type="dxa"/>
            <w:vAlign w:val="center"/>
          </w:tcPr>
          <w:p>
            <w:pPr>
              <w:spacing w:line="460" w:lineRule="exact"/>
              <w:jc w:val="center"/>
              <w:rPr>
                <w:rFonts w:ascii="宋体" w:hAnsi="宋体" w:cs="宋体"/>
                <w:szCs w:val="21"/>
              </w:rPr>
            </w:pPr>
            <w:r>
              <w:rPr>
                <w:rFonts w:hint="eastAsia" w:ascii="宋体" w:hAnsi="宋体" w:cs="宋体"/>
                <w:szCs w:val="21"/>
              </w:rPr>
              <w:t>王霖</w:t>
            </w:r>
          </w:p>
        </w:tc>
        <w:tc>
          <w:tcPr>
            <w:tcW w:w="2817" w:type="dxa"/>
            <w:vAlign w:val="center"/>
          </w:tcPr>
          <w:p>
            <w:pPr>
              <w:spacing w:line="460" w:lineRule="exact"/>
              <w:jc w:val="center"/>
              <w:rPr>
                <w:rFonts w:ascii="宋体" w:hAnsi="宋体" w:cs="宋体"/>
                <w:szCs w:val="21"/>
              </w:rPr>
            </w:pPr>
            <w:r>
              <w:rPr>
                <w:rFonts w:hint="eastAsia" w:ascii="宋体" w:hAnsi="宋体" w:cs="宋体"/>
                <w:szCs w:val="21"/>
              </w:rPr>
              <w:t>88588246/13857654562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pacing w:line="460" w:lineRule="exact"/>
              <w:jc w:val="center"/>
              <w:rPr>
                <w:rFonts w:ascii="宋体" w:hAnsi="宋体" w:cs="宋体"/>
                <w:szCs w:val="21"/>
              </w:rPr>
            </w:pPr>
            <w:r>
              <w:rPr>
                <w:rFonts w:hint="eastAsia" w:ascii="宋体" w:hAnsi="宋体" w:cs="宋体"/>
                <w:szCs w:val="21"/>
              </w:rPr>
              <w:t>中国农业银行</w:t>
            </w:r>
          </w:p>
        </w:tc>
        <w:tc>
          <w:tcPr>
            <w:tcW w:w="1500" w:type="dxa"/>
            <w:vAlign w:val="center"/>
          </w:tcPr>
          <w:p>
            <w:pPr>
              <w:spacing w:line="460" w:lineRule="exact"/>
              <w:jc w:val="center"/>
              <w:rPr>
                <w:rFonts w:ascii="宋体" w:hAnsi="宋体" w:cs="宋体"/>
                <w:szCs w:val="21"/>
              </w:rPr>
            </w:pPr>
            <w:r>
              <w:rPr>
                <w:rFonts w:hint="eastAsia" w:ascii="宋体" w:hAnsi="宋体" w:cs="宋体"/>
                <w:szCs w:val="21"/>
              </w:rPr>
              <w:t>3.8%起</w:t>
            </w:r>
          </w:p>
        </w:tc>
        <w:tc>
          <w:tcPr>
            <w:tcW w:w="1290" w:type="dxa"/>
            <w:vAlign w:val="center"/>
          </w:tcPr>
          <w:p>
            <w:pPr>
              <w:spacing w:line="460" w:lineRule="exact"/>
              <w:jc w:val="center"/>
              <w:rPr>
                <w:rFonts w:ascii="宋体" w:hAnsi="宋体" w:cs="宋体"/>
                <w:szCs w:val="21"/>
              </w:rPr>
            </w:pPr>
            <w:r>
              <w:rPr>
                <w:rFonts w:hint="eastAsia" w:ascii="宋体" w:hAnsi="宋体" w:cs="宋体"/>
                <w:szCs w:val="21"/>
              </w:rPr>
              <w:t>龚盛</w:t>
            </w:r>
          </w:p>
        </w:tc>
        <w:tc>
          <w:tcPr>
            <w:tcW w:w="2817" w:type="dxa"/>
            <w:vAlign w:val="center"/>
          </w:tcPr>
          <w:p>
            <w:pPr>
              <w:spacing w:line="460" w:lineRule="exact"/>
              <w:jc w:val="center"/>
              <w:rPr>
                <w:rFonts w:ascii="宋体" w:hAnsi="宋体" w:cs="宋体"/>
                <w:szCs w:val="21"/>
              </w:rPr>
            </w:pPr>
            <w:r>
              <w:rPr>
                <w:rFonts w:hint="eastAsia" w:ascii="宋体" w:hAnsi="宋体" w:cs="宋体"/>
                <w:szCs w:val="21"/>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pacing w:line="460" w:lineRule="exact"/>
              <w:jc w:val="center"/>
              <w:rPr>
                <w:rFonts w:ascii="宋体" w:hAnsi="宋体" w:cs="宋体"/>
                <w:szCs w:val="21"/>
              </w:rPr>
            </w:pPr>
            <w:r>
              <w:rPr>
                <w:rFonts w:hint="eastAsia" w:ascii="宋体" w:hAnsi="宋体" w:cs="宋体"/>
                <w:szCs w:val="21"/>
              </w:rPr>
              <w:t>中国建设银行</w:t>
            </w:r>
          </w:p>
        </w:tc>
        <w:tc>
          <w:tcPr>
            <w:tcW w:w="1500" w:type="dxa"/>
            <w:vAlign w:val="center"/>
          </w:tcPr>
          <w:p>
            <w:pPr>
              <w:spacing w:line="460" w:lineRule="exact"/>
              <w:jc w:val="center"/>
              <w:rPr>
                <w:rFonts w:ascii="宋体" w:hAnsi="宋体" w:cs="宋体"/>
                <w:szCs w:val="21"/>
              </w:rPr>
            </w:pPr>
            <w:r>
              <w:rPr>
                <w:rFonts w:hint="eastAsia" w:ascii="宋体" w:hAnsi="宋体" w:cs="宋体"/>
                <w:szCs w:val="21"/>
              </w:rPr>
              <w:t>3.8%起</w:t>
            </w:r>
          </w:p>
        </w:tc>
        <w:tc>
          <w:tcPr>
            <w:tcW w:w="1290" w:type="dxa"/>
            <w:vAlign w:val="center"/>
          </w:tcPr>
          <w:p>
            <w:pPr>
              <w:spacing w:line="460" w:lineRule="exact"/>
              <w:jc w:val="center"/>
              <w:rPr>
                <w:rFonts w:ascii="宋体" w:hAnsi="宋体" w:cs="宋体"/>
                <w:szCs w:val="21"/>
              </w:rPr>
            </w:pPr>
            <w:r>
              <w:rPr>
                <w:rFonts w:hint="eastAsia" w:ascii="宋体" w:hAnsi="宋体" w:cs="宋体"/>
                <w:szCs w:val="21"/>
              </w:rPr>
              <w:t>梅晶晶</w:t>
            </w:r>
          </w:p>
        </w:tc>
        <w:tc>
          <w:tcPr>
            <w:tcW w:w="2817" w:type="dxa"/>
            <w:vAlign w:val="center"/>
          </w:tcPr>
          <w:p>
            <w:pPr>
              <w:spacing w:line="460" w:lineRule="exact"/>
              <w:jc w:val="center"/>
              <w:rPr>
                <w:rFonts w:ascii="宋体" w:hAnsi="宋体" w:cs="宋体"/>
                <w:szCs w:val="21"/>
              </w:rPr>
            </w:pPr>
            <w:r>
              <w:rPr>
                <w:rFonts w:hint="eastAsia" w:ascii="宋体" w:hAnsi="宋体" w:cs="宋体"/>
                <w:szCs w:val="21"/>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pacing w:line="460" w:lineRule="exact"/>
              <w:jc w:val="center"/>
              <w:rPr>
                <w:rFonts w:ascii="宋体" w:hAnsi="宋体" w:cs="宋体"/>
                <w:szCs w:val="21"/>
              </w:rPr>
            </w:pPr>
            <w:r>
              <w:rPr>
                <w:rFonts w:hint="eastAsia" w:ascii="宋体" w:hAnsi="宋体" w:cs="宋体"/>
                <w:szCs w:val="21"/>
              </w:rPr>
              <w:t>中国银行</w:t>
            </w:r>
          </w:p>
        </w:tc>
        <w:tc>
          <w:tcPr>
            <w:tcW w:w="1500" w:type="dxa"/>
            <w:vAlign w:val="center"/>
          </w:tcPr>
          <w:p>
            <w:pPr>
              <w:spacing w:line="460" w:lineRule="exact"/>
              <w:jc w:val="center"/>
              <w:rPr>
                <w:rFonts w:ascii="宋体" w:hAnsi="宋体" w:cs="宋体"/>
                <w:szCs w:val="21"/>
              </w:rPr>
            </w:pPr>
            <w:r>
              <w:rPr>
                <w:rFonts w:hint="eastAsia" w:ascii="宋体" w:hAnsi="宋体" w:cs="宋体"/>
                <w:szCs w:val="21"/>
              </w:rPr>
              <w:t>3.75%起</w:t>
            </w:r>
          </w:p>
        </w:tc>
        <w:tc>
          <w:tcPr>
            <w:tcW w:w="1290" w:type="dxa"/>
            <w:vAlign w:val="center"/>
          </w:tcPr>
          <w:p>
            <w:pPr>
              <w:spacing w:line="460" w:lineRule="exact"/>
              <w:jc w:val="center"/>
              <w:rPr>
                <w:rFonts w:ascii="宋体" w:hAnsi="宋体" w:cs="宋体"/>
                <w:szCs w:val="21"/>
              </w:rPr>
            </w:pPr>
            <w:r>
              <w:rPr>
                <w:rFonts w:hint="eastAsia" w:ascii="宋体" w:hAnsi="宋体" w:cs="宋体"/>
                <w:szCs w:val="21"/>
              </w:rPr>
              <w:t>任茜</w:t>
            </w:r>
          </w:p>
        </w:tc>
        <w:tc>
          <w:tcPr>
            <w:tcW w:w="2817" w:type="dxa"/>
            <w:vAlign w:val="center"/>
          </w:tcPr>
          <w:p>
            <w:pPr>
              <w:spacing w:line="460" w:lineRule="exact"/>
              <w:jc w:val="center"/>
              <w:rPr>
                <w:rFonts w:ascii="宋体" w:hAnsi="宋体" w:cs="宋体"/>
                <w:szCs w:val="21"/>
              </w:rPr>
            </w:pPr>
            <w:r>
              <w:rPr>
                <w:rFonts w:hint="eastAsia" w:ascii="宋体" w:hAnsi="宋体" w:cs="宋体"/>
                <w:szCs w:val="21"/>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pacing w:line="460" w:lineRule="exact"/>
              <w:jc w:val="center"/>
              <w:rPr>
                <w:rFonts w:ascii="宋体" w:hAnsi="宋体" w:cs="宋体"/>
                <w:szCs w:val="21"/>
              </w:rPr>
            </w:pPr>
            <w:r>
              <w:rPr>
                <w:rFonts w:hint="eastAsia" w:ascii="宋体" w:hAnsi="宋体" w:cs="宋体"/>
                <w:szCs w:val="21"/>
              </w:rPr>
              <w:t>浦发银行台州分行</w:t>
            </w:r>
          </w:p>
        </w:tc>
        <w:tc>
          <w:tcPr>
            <w:tcW w:w="1500" w:type="dxa"/>
            <w:vAlign w:val="center"/>
          </w:tcPr>
          <w:p>
            <w:pPr>
              <w:spacing w:line="460" w:lineRule="exact"/>
              <w:jc w:val="center"/>
              <w:rPr>
                <w:rFonts w:ascii="宋体" w:hAnsi="宋体" w:cs="宋体"/>
                <w:szCs w:val="21"/>
              </w:rPr>
            </w:pPr>
            <w:r>
              <w:rPr>
                <w:rFonts w:hint="eastAsia" w:ascii="宋体" w:hAnsi="宋体" w:cs="宋体"/>
                <w:szCs w:val="21"/>
              </w:rPr>
              <w:t>4.05%起</w:t>
            </w:r>
          </w:p>
        </w:tc>
        <w:tc>
          <w:tcPr>
            <w:tcW w:w="1290" w:type="dxa"/>
            <w:vAlign w:val="center"/>
          </w:tcPr>
          <w:p>
            <w:pPr>
              <w:spacing w:line="460" w:lineRule="exact"/>
              <w:jc w:val="center"/>
              <w:rPr>
                <w:rFonts w:ascii="宋体" w:hAnsi="宋体" w:cs="宋体"/>
                <w:szCs w:val="21"/>
              </w:rPr>
            </w:pPr>
            <w:r>
              <w:rPr>
                <w:rFonts w:hint="eastAsia" w:ascii="宋体" w:hAnsi="宋体" w:cs="宋体"/>
                <w:szCs w:val="21"/>
              </w:rPr>
              <w:t>王渊</w:t>
            </w:r>
          </w:p>
        </w:tc>
        <w:tc>
          <w:tcPr>
            <w:tcW w:w="2817" w:type="dxa"/>
            <w:vAlign w:val="center"/>
          </w:tcPr>
          <w:p>
            <w:pPr>
              <w:spacing w:line="460" w:lineRule="exact"/>
              <w:jc w:val="center"/>
              <w:rPr>
                <w:rFonts w:ascii="宋体" w:hAnsi="宋体" w:cs="宋体"/>
                <w:szCs w:val="21"/>
              </w:rPr>
            </w:pPr>
            <w:r>
              <w:rPr>
                <w:rFonts w:hint="eastAsia" w:ascii="宋体" w:hAnsi="宋体" w:cs="宋体"/>
                <w:szCs w:val="21"/>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pacing w:line="460" w:lineRule="exact"/>
              <w:jc w:val="center"/>
              <w:rPr>
                <w:rFonts w:ascii="宋体" w:hAnsi="宋体" w:cs="宋体"/>
                <w:szCs w:val="21"/>
              </w:rPr>
            </w:pPr>
            <w:r>
              <w:rPr>
                <w:rFonts w:hint="eastAsia" w:ascii="宋体" w:hAnsi="宋体" w:cs="宋体"/>
                <w:szCs w:val="21"/>
              </w:rPr>
              <w:t>浦发银行椒江分行</w:t>
            </w:r>
          </w:p>
        </w:tc>
        <w:tc>
          <w:tcPr>
            <w:tcW w:w="1500" w:type="dxa"/>
            <w:vAlign w:val="center"/>
          </w:tcPr>
          <w:p>
            <w:pPr>
              <w:spacing w:line="460" w:lineRule="exact"/>
              <w:jc w:val="center"/>
              <w:rPr>
                <w:rFonts w:ascii="宋体" w:hAnsi="宋体" w:cs="宋体"/>
                <w:szCs w:val="21"/>
              </w:rPr>
            </w:pPr>
            <w:r>
              <w:rPr>
                <w:rFonts w:hint="eastAsia" w:ascii="宋体" w:hAnsi="宋体" w:cs="宋体"/>
                <w:szCs w:val="21"/>
              </w:rPr>
              <w:t>4.05%起</w:t>
            </w:r>
          </w:p>
        </w:tc>
        <w:tc>
          <w:tcPr>
            <w:tcW w:w="1290" w:type="dxa"/>
            <w:vAlign w:val="center"/>
          </w:tcPr>
          <w:p>
            <w:pPr>
              <w:spacing w:line="460" w:lineRule="exact"/>
              <w:jc w:val="center"/>
              <w:rPr>
                <w:rFonts w:ascii="宋体" w:hAnsi="宋体" w:cs="宋体"/>
                <w:szCs w:val="21"/>
              </w:rPr>
            </w:pPr>
            <w:r>
              <w:rPr>
                <w:rFonts w:hint="eastAsia" w:ascii="宋体" w:hAnsi="宋体" w:cs="宋体"/>
                <w:szCs w:val="21"/>
              </w:rPr>
              <w:t>孙瑞华</w:t>
            </w:r>
          </w:p>
        </w:tc>
        <w:tc>
          <w:tcPr>
            <w:tcW w:w="2817" w:type="dxa"/>
            <w:vAlign w:val="center"/>
          </w:tcPr>
          <w:p>
            <w:pPr>
              <w:spacing w:line="460" w:lineRule="exact"/>
              <w:jc w:val="center"/>
              <w:rPr>
                <w:rFonts w:ascii="宋体" w:hAnsi="宋体" w:cs="宋体"/>
                <w:szCs w:val="21"/>
              </w:rPr>
            </w:pPr>
            <w:r>
              <w:rPr>
                <w:rFonts w:hint="eastAsia" w:ascii="宋体" w:hAnsi="宋体" w:cs="宋体"/>
                <w:szCs w:val="21"/>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pacing w:line="460" w:lineRule="exact"/>
              <w:jc w:val="center"/>
              <w:rPr>
                <w:rFonts w:ascii="宋体" w:hAnsi="宋体" w:cs="宋体"/>
                <w:szCs w:val="21"/>
              </w:rPr>
            </w:pPr>
            <w:r>
              <w:rPr>
                <w:rFonts w:hint="eastAsia" w:ascii="宋体" w:hAnsi="宋体" w:cs="宋体"/>
                <w:szCs w:val="21"/>
              </w:rPr>
              <w:t>交通银行台州分行</w:t>
            </w:r>
          </w:p>
        </w:tc>
        <w:tc>
          <w:tcPr>
            <w:tcW w:w="1500" w:type="dxa"/>
            <w:vAlign w:val="center"/>
          </w:tcPr>
          <w:p>
            <w:pPr>
              <w:spacing w:line="460" w:lineRule="exact"/>
              <w:jc w:val="center"/>
              <w:rPr>
                <w:rFonts w:ascii="宋体" w:hAnsi="宋体" w:cs="宋体"/>
                <w:szCs w:val="21"/>
              </w:rPr>
            </w:pPr>
            <w:r>
              <w:rPr>
                <w:rFonts w:hint="eastAsia" w:ascii="宋体" w:hAnsi="宋体" w:cs="宋体"/>
                <w:szCs w:val="21"/>
              </w:rPr>
              <w:t>3.75%起</w:t>
            </w:r>
          </w:p>
        </w:tc>
        <w:tc>
          <w:tcPr>
            <w:tcW w:w="1290" w:type="dxa"/>
            <w:vAlign w:val="center"/>
          </w:tcPr>
          <w:p>
            <w:pPr>
              <w:spacing w:line="460" w:lineRule="exact"/>
              <w:jc w:val="center"/>
              <w:rPr>
                <w:rFonts w:ascii="宋体" w:hAnsi="宋体" w:cs="宋体"/>
                <w:szCs w:val="21"/>
              </w:rPr>
            </w:pPr>
            <w:r>
              <w:rPr>
                <w:rFonts w:hint="eastAsia" w:ascii="宋体" w:hAnsi="宋体" w:cs="宋体"/>
                <w:szCs w:val="21"/>
              </w:rPr>
              <w:t>周翔宇</w:t>
            </w:r>
          </w:p>
        </w:tc>
        <w:tc>
          <w:tcPr>
            <w:tcW w:w="2817" w:type="dxa"/>
            <w:vAlign w:val="center"/>
          </w:tcPr>
          <w:p>
            <w:pPr>
              <w:spacing w:line="460" w:lineRule="exact"/>
              <w:jc w:val="center"/>
              <w:rPr>
                <w:rFonts w:ascii="宋体" w:hAnsi="宋体" w:cs="宋体"/>
                <w:szCs w:val="21"/>
              </w:rPr>
            </w:pPr>
            <w:r>
              <w:rPr>
                <w:rFonts w:hint="eastAsia" w:ascii="宋体" w:hAnsi="宋体" w:cs="宋体"/>
                <w:szCs w:val="21"/>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pacing w:line="460" w:lineRule="exact"/>
              <w:jc w:val="center"/>
              <w:rPr>
                <w:rFonts w:ascii="宋体" w:hAnsi="宋体" w:cs="宋体"/>
                <w:szCs w:val="21"/>
              </w:rPr>
            </w:pPr>
            <w:r>
              <w:rPr>
                <w:rFonts w:hint="eastAsia" w:ascii="宋体" w:hAnsi="宋体" w:cs="宋体"/>
                <w:szCs w:val="21"/>
              </w:rPr>
              <w:t>招商银行台州分行</w:t>
            </w:r>
          </w:p>
        </w:tc>
        <w:tc>
          <w:tcPr>
            <w:tcW w:w="1500" w:type="dxa"/>
            <w:vAlign w:val="center"/>
          </w:tcPr>
          <w:p>
            <w:pPr>
              <w:spacing w:line="460" w:lineRule="exact"/>
              <w:jc w:val="center"/>
              <w:rPr>
                <w:rFonts w:ascii="宋体" w:hAnsi="宋体" w:cs="宋体"/>
                <w:szCs w:val="21"/>
              </w:rPr>
            </w:pPr>
            <w:r>
              <w:rPr>
                <w:rFonts w:hint="eastAsia" w:ascii="宋体" w:hAnsi="宋体" w:cs="宋体"/>
                <w:szCs w:val="21"/>
              </w:rPr>
              <w:t>4.32%起</w:t>
            </w:r>
          </w:p>
        </w:tc>
        <w:tc>
          <w:tcPr>
            <w:tcW w:w="1290" w:type="dxa"/>
            <w:vAlign w:val="center"/>
          </w:tcPr>
          <w:p>
            <w:pPr>
              <w:spacing w:line="460" w:lineRule="exact"/>
              <w:jc w:val="center"/>
              <w:rPr>
                <w:rFonts w:ascii="宋体" w:hAnsi="宋体" w:cs="宋体"/>
                <w:szCs w:val="21"/>
              </w:rPr>
            </w:pPr>
            <w:r>
              <w:rPr>
                <w:rFonts w:hint="eastAsia" w:ascii="宋体" w:hAnsi="宋体" w:cs="宋体"/>
                <w:szCs w:val="21"/>
              </w:rPr>
              <w:t>王海玲</w:t>
            </w:r>
          </w:p>
        </w:tc>
        <w:tc>
          <w:tcPr>
            <w:tcW w:w="2817" w:type="dxa"/>
            <w:vAlign w:val="center"/>
          </w:tcPr>
          <w:p>
            <w:pPr>
              <w:spacing w:line="460" w:lineRule="exact"/>
              <w:jc w:val="center"/>
              <w:rPr>
                <w:rFonts w:ascii="宋体" w:hAnsi="宋体" w:cs="宋体"/>
                <w:szCs w:val="21"/>
              </w:rPr>
            </w:pPr>
            <w:r>
              <w:rPr>
                <w:rFonts w:hint="eastAsia" w:ascii="宋体" w:hAnsi="宋体" w:cs="宋体"/>
                <w:szCs w:val="21"/>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pacing w:line="460" w:lineRule="exact"/>
              <w:jc w:val="center"/>
              <w:rPr>
                <w:rFonts w:ascii="宋体" w:hAnsi="宋体" w:cs="宋体"/>
                <w:szCs w:val="21"/>
              </w:rPr>
            </w:pPr>
            <w:r>
              <w:rPr>
                <w:rFonts w:hint="eastAsia" w:ascii="宋体" w:hAnsi="宋体" w:cs="宋体"/>
                <w:szCs w:val="21"/>
              </w:rPr>
              <w:t>浙商银行台州分行</w:t>
            </w:r>
          </w:p>
        </w:tc>
        <w:tc>
          <w:tcPr>
            <w:tcW w:w="1500" w:type="dxa"/>
            <w:vAlign w:val="center"/>
          </w:tcPr>
          <w:p>
            <w:pPr>
              <w:spacing w:line="460" w:lineRule="exact"/>
              <w:jc w:val="center"/>
              <w:rPr>
                <w:rFonts w:ascii="宋体" w:hAnsi="宋体" w:cs="宋体"/>
                <w:szCs w:val="21"/>
              </w:rPr>
            </w:pPr>
            <w:r>
              <w:rPr>
                <w:rFonts w:hint="eastAsia" w:ascii="宋体" w:hAnsi="宋体" w:cs="宋体"/>
                <w:szCs w:val="21"/>
              </w:rPr>
              <w:t>5.01%起</w:t>
            </w:r>
          </w:p>
        </w:tc>
        <w:tc>
          <w:tcPr>
            <w:tcW w:w="1290" w:type="dxa"/>
            <w:vAlign w:val="center"/>
          </w:tcPr>
          <w:p>
            <w:pPr>
              <w:spacing w:line="460" w:lineRule="exact"/>
              <w:jc w:val="center"/>
              <w:rPr>
                <w:rFonts w:ascii="宋体" w:hAnsi="宋体" w:cs="宋体"/>
                <w:szCs w:val="21"/>
              </w:rPr>
            </w:pPr>
            <w:r>
              <w:rPr>
                <w:rFonts w:hint="eastAsia" w:ascii="宋体" w:hAnsi="宋体" w:cs="宋体"/>
                <w:szCs w:val="21"/>
              </w:rPr>
              <w:t>章涉漪</w:t>
            </w:r>
          </w:p>
        </w:tc>
        <w:tc>
          <w:tcPr>
            <w:tcW w:w="2817" w:type="dxa"/>
            <w:vAlign w:val="center"/>
          </w:tcPr>
          <w:p>
            <w:pPr>
              <w:spacing w:line="460" w:lineRule="exact"/>
              <w:jc w:val="center"/>
              <w:rPr>
                <w:rFonts w:ascii="宋体" w:hAnsi="宋体" w:cs="宋体"/>
                <w:szCs w:val="21"/>
              </w:rPr>
            </w:pPr>
            <w:r>
              <w:rPr>
                <w:rFonts w:hint="eastAsia" w:ascii="宋体" w:hAnsi="宋体" w:cs="宋体"/>
                <w:szCs w:val="21"/>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pacing w:line="460" w:lineRule="exact"/>
              <w:jc w:val="center"/>
              <w:rPr>
                <w:rFonts w:ascii="宋体" w:hAnsi="宋体" w:cs="宋体"/>
                <w:szCs w:val="21"/>
              </w:rPr>
            </w:pPr>
            <w:r>
              <w:rPr>
                <w:rFonts w:hint="eastAsia" w:ascii="宋体" w:hAnsi="宋体" w:cs="宋体"/>
                <w:szCs w:val="21"/>
              </w:rPr>
              <w:t>中信银行台州分行</w:t>
            </w:r>
          </w:p>
        </w:tc>
        <w:tc>
          <w:tcPr>
            <w:tcW w:w="1500" w:type="dxa"/>
            <w:vAlign w:val="center"/>
          </w:tcPr>
          <w:p>
            <w:pPr>
              <w:spacing w:line="460" w:lineRule="exact"/>
              <w:jc w:val="center"/>
              <w:rPr>
                <w:rFonts w:ascii="宋体" w:hAnsi="宋体" w:cs="宋体"/>
                <w:szCs w:val="21"/>
              </w:rPr>
            </w:pPr>
            <w:r>
              <w:rPr>
                <w:rFonts w:hint="eastAsia" w:ascii="宋体" w:hAnsi="宋体" w:cs="宋体"/>
                <w:szCs w:val="21"/>
              </w:rPr>
              <w:t>4.15%起</w:t>
            </w:r>
          </w:p>
        </w:tc>
        <w:tc>
          <w:tcPr>
            <w:tcW w:w="1290" w:type="dxa"/>
            <w:vAlign w:val="center"/>
          </w:tcPr>
          <w:p>
            <w:pPr>
              <w:spacing w:line="460" w:lineRule="exact"/>
              <w:jc w:val="center"/>
              <w:rPr>
                <w:rFonts w:ascii="宋体" w:hAnsi="宋体" w:cs="宋体"/>
                <w:szCs w:val="21"/>
              </w:rPr>
            </w:pPr>
            <w:r>
              <w:rPr>
                <w:rFonts w:hint="eastAsia" w:ascii="宋体" w:hAnsi="宋体" w:cs="宋体"/>
                <w:szCs w:val="21"/>
              </w:rPr>
              <w:t>陈金园</w:t>
            </w:r>
          </w:p>
        </w:tc>
        <w:tc>
          <w:tcPr>
            <w:tcW w:w="2817" w:type="dxa"/>
            <w:vAlign w:val="center"/>
          </w:tcPr>
          <w:p>
            <w:pPr>
              <w:spacing w:line="460" w:lineRule="exact"/>
              <w:jc w:val="center"/>
              <w:rPr>
                <w:rFonts w:ascii="宋体" w:hAnsi="宋体" w:cs="宋体"/>
                <w:szCs w:val="21"/>
              </w:rPr>
            </w:pPr>
            <w:r>
              <w:rPr>
                <w:rFonts w:hint="eastAsia" w:ascii="宋体" w:hAnsi="宋体" w:cs="宋体"/>
                <w:szCs w:val="21"/>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pacing w:line="460" w:lineRule="exact"/>
              <w:jc w:val="center"/>
              <w:rPr>
                <w:rFonts w:ascii="宋体" w:hAnsi="宋体" w:cs="宋体"/>
                <w:szCs w:val="21"/>
              </w:rPr>
            </w:pPr>
            <w:r>
              <w:rPr>
                <w:rFonts w:hint="eastAsia" w:ascii="宋体" w:hAnsi="宋体" w:cs="宋体"/>
                <w:szCs w:val="21"/>
              </w:rPr>
              <w:t>华夏银行台州分行</w:t>
            </w:r>
          </w:p>
        </w:tc>
        <w:tc>
          <w:tcPr>
            <w:tcW w:w="1500" w:type="dxa"/>
            <w:vAlign w:val="center"/>
          </w:tcPr>
          <w:p>
            <w:pPr>
              <w:spacing w:line="460" w:lineRule="exact"/>
              <w:jc w:val="center"/>
              <w:rPr>
                <w:rFonts w:ascii="宋体" w:hAnsi="宋体" w:cs="宋体"/>
                <w:szCs w:val="21"/>
              </w:rPr>
            </w:pPr>
            <w:r>
              <w:rPr>
                <w:rFonts w:hint="eastAsia" w:ascii="宋体" w:hAnsi="宋体" w:cs="宋体"/>
                <w:szCs w:val="21"/>
              </w:rPr>
              <w:t>4.5%起</w:t>
            </w:r>
          </w:p>
        </w:tc>
        <w:tc>
          <w:tcPr>
            <w:tcW w:w="1290" w:type="dxa"/>
            <w:vAlign w:val="center"/>
          </w:tcPr>
          <w:p>
            <w:pPr>
              <w:spacing w:line="460" w:lineRule="exact"/>
              <w:jc w:val="center"/>
              <w:rPr>
                <w:rFonts w:ascii="宋体" w:hAnsi="宋体" w:cs="宋体"/>
                <w:szCs w:val="21"/>
              </w:rPr>
            </w:pPr>
            <w:r>
              <w:rPr>
                <w:rFonts w:hint="eastAsia" w:ascii="宋体" w:hAnsi="宋体" w:cs="宋体"/>
                <w:szCs w:val="21"/>
              </w:rPr>
              <w:t>邱明达</w:t>
            </w:r>
          </w:p>
        </w:tc>
        <w:tc>
          <w:tcPr>
            <w:tcW w:w="2817" w:type="dxa"/>
            <w:vAlign w:val="center"/>
          </w:tcPr>
          <w:p>
            <w:pPr>
              <w:spacing w:line="460" w:lineRule="exact"/>
              <w:jc w:val="center"/>
              <w:rPr>
                <w:rFonts w:ascii="宋体" w:hAnsi="宋体" w:cs="宋体"/>
                <w:szCs w:val="21"/>
              </w:rPr>
            </w:pPr>
            <w:r>
              <w:rPr>
                <w:rFonts w:hint="eastAsia" w:ascii="宋体" w:hAnsi="宋体" w:cs="宋体"/>
                <w:szCs w:val="21"/>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pacing w:line="460" w:lineRule="exact"/>
              <w:jc w:val="center"/>
              <w:rPr>
                <w:rFonts w:ascii="宋体" w:hAnsi="宋体" w:cs="宋体"/>
                <w:szCs w:val="21"/>
              </w:rPr>
            </w:pPr>
            <w:r>
              <w:rPr>
                <w:rFonts w:hint="eastAsia" w:ascii="宋体" w:hAnsi="宋体" w:cs="宋体"/>
                <w:szCs w:val="21"/>
              </w:rPr>
              <w:t>泰隆银行开发区支行</w:t>
            </w:r>
          </w:p>
        </w:tc>
        <w:tc>
          <w:tcPr>
            <w:tcW w:w="1500" w:type="dxa"/>
            <w:vAlign w:val="center"/>
          </w:tcPr>
          <w:p>
            <w:pPr>
              <w:spacing w:line="460" w:lineRule="exact"/>
              <w:jc w:val="center"/>
              <w:rPr>
                <w:rFonts w:ascii="宋体" w:hAnsi="宋体" w:cs="宋体"/>
                <w:szCs w:val="21"/>
              </w:rPr>
            </w:pPr>
            <w:r>
              <w:rPr>
                <w:rFonts w:hint="eastAsia" w:ascii="宋体" w:hAnsi="宋体" w:cs="宋体"/>
                <w:szCs w:val="21"/>
              </w:rPr>
              <w:t>5.6%起</w:t>
            </w:r>
          </w:p>
        </w:tc>
        <w:tc>
          <w:tcPr>
            <w:tcW w:w="1290" w:type="dxa"/>
            <w:vAlign w:val="center"/>
          </w:tcPr>
          <w:p>
            <w:pPr>
              <w:spacing w:line="460" w:lineRule="exact"/>
              <w:jc w:val="center"/>
              <w:rPr>
                <w:rFonts w:ascii="宋体" w:hAnsi="宋体" w:cs="宋体"/>
                <w:szCs w:val="21"/>
              </w:rPr>
            </w:pPr>
            <w:r>
              <w:rPr>
                <w:rFonts w:hint="eastAsia" w:ascii="宋体" w:hAnsi="宋体" w:cs="宋体"/>
                <w:szCs w:val="21"/>
              </w:rPr>
              <w:t>梁宛莉</w:t>
            </w:r>
          </w:p>
        </w:tc>
        <w:tc>
          <w:tcPr>
            <w:tcW w:w="2817" w:type="dxa"/>
            <w:vAlign w:val="center"/>
          </w:tcPr>
          <w:p>
            <w:pPr>
              <w:spacing w:line="460" w:lineRule="exact"/>
              <w:jc w:val="center"/>
              <w:rPr>
                <w:rFonts w:ascii="宋体" w:hAnsi="宋体" w:cs="宋体"/>
                <w:szCs w:val="21"/>
              </w:rPr>
            </w:pPr>
            <w:r>
              <w:rPr>
                <w:rFonts w:hint="eastAsia" w:ascii="宋体" w:hAnsi="宋体" w:cs="宋体"/>
                <w:szCs w:val="21"/>
              </w:rPr>
              <w:t>139.800006869100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pacing w:line="460" w:lineRule="exact"/>
              <w:jc w:val="center"/>
              <w:rPr>
                <w:rFonts w:ascii="宋体" w:hAnsi="宋体" w:cs="宋体"/>
                <w:szCs w:val="21"/>
              </w:rPr>
            </w:pPr>
            <w:r>
              <w:rPr>
                <w:rFonts w:hint="eastAsia" w:ascii="宋体" w:hAnsi="宋体" w:cs="宋体"/>
                <w:szCs w:val="21"/>
              </w:rPr>
              <w:t>民泰银行椒江支行</w:t>
            </w:r>
          </w:p>
        </w:tc>
        <w:tc>
          <w:tcPr>
            <w:tcW w:w="1500" w:type="dxa"/>
            <w:vAlign w:val="center"/>
          </w:tcPr>
          <w:p>
            <w:pPr>
              <w:spacing w:line="460" w:lineRule="exact"/>
              <w:jc w:val="center"/>
              <w:rPr>
                <w:rFonts w:ascii="宋体" w:hAnsi="宋体" w:cs="宋体"/>
                <w:szCs w:val="21"/>
              </w:rPr>
            </w:pPr>
            <w:r>
              <w:rPr>
                <w:rFonts w:hint="eastAsia" w:ascii="宋体" w:hAnsi="宋体" w:cs="宋体"/>
                <w:szCs w:val="21"/>
              </w:rPr>
              <w:t>5.8%起</w:t>
            </w:r>
          </w:p>
        </w:tc>
        <w:tc>
          <w:tcPr>
            <w:tcW w:w="1290" w:type="dxa"/>
            <w:vAlign w:val="center"/>
          </w:tcPr>
          <w:p>
            <w:pPr>
              <w:spacing w:line="460" w:lineRule="exact"/>
              <w:jc w:val="center"/>
              <w:rPr>
                <w:rFonts w:ascii="宋体" w:hAnsi="宋体" w:cs="宋体"/>
                <w:szCs w:val="21"/>
              </w:rPr>
            </w:pPr>
            <w:r>
              <w:rPr>
                <w:rFonts w:hint="eastAsia" w:ascii="宋体" w:hAnsi="宋体" w:cs="宋体"/>
                <w:szCs w:val="21"/>
              </w:rPr>
              <w:t>陈慧珠</w:t>
            </w:r>
          </w:p>
        </w:tc>
        <w:tc>
          <w:tcPr>
            <w:tcW w:w="2817" w:type="dxa"/>
            <w:vAlign w:val="center"/>
          </w:tcPr>
          <w:p>
            <w:pPr>
              <w:spacing w:line="460" w:lineRule="exact"/>
              <w:jc w:val="center"/>
              <w:rPr>
                <w:rFonts w:ascii="宋体" w:hAnsi="宋体" w:cs="宋体"/>
                <w:szCs w:val="21"/>
              </w:rPr>
            </w:pPr>
            <w:r>
              <w:rPr>
                <w:rFonts w:hint="eastAsia" w:ascii="宋体" w:hAnsi="宋体" w:cs="宋体"/>
                <w:szCs w:val="21"/>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pacing w:line="460" w:lineRule="exact"/>
              <w:jc w:val="center"/>
              <w:rPr>
                <w:rFonts w:ascii="宋体" w:hAnsi="宋体" w:cs="宋体"/>
                <w:szCs w:val="21"/>
              </w:rPr>
            </w:pPr>
            <w:r>
              <w:rPr>
                <w:rFonts w:hint="eastAsia" w:ascii="宋体" w:hAnsi="宋体" w:cs="宋体"/>
                <w:szCs w:val="21"/>
              </w:rPr>
              <w:t>绍兴银行台州分行</w:t>
            </w:r>
          </w:p>
        </w:tc>
        <w:tc>
          <w:tcPr>
            <w:tcW w:w="1500" w:type="dxa"/>
            <w:vAlign w:val="center"/>
          </w:tcPr>
          <w:p>
            <w:pPr>
              <w:spacing w:line="460" w:lineRule="exact"/>
              <w:jc w:val="center"/>
              <w:rPr>
                <w:rFonts w:ascii="宋体" w:hAnsi="宋体" w:cs="宋体"/>
                <w:szCs w:val="21"/>
              </w:rPr>
            </w:pPr>
            <w:r>
              <w:rPr>
                <w:rFonts w:hint="eastAsia" w:ascii="宋体" w:hAnsi="宋体" w:cs="宋体"/>
                <w:szCs w:val="21"/>
              </w:rPr>
              <w:t>5.1%起</w:t>
            </w:r>
          </w:p>
        </w:tc>
        <w:tc>
          <w:tcPr>
            <w:tcW w:w="1290" w:type="dxa"/>
            <w:vAlign w:val="center"/>
          </w:tcPr>
          <w:p>
            <w:pPr>
              <w:spacing w:line="460" w:lineRule="exact"/>
              <w:jc w:val="center"/>
              <w:rPr>
                <w:rFonts w:ascii="宋体" w:hAnsi="宋体" w:cs="宋体"/>
                <w:szCs w:val="21"/>
              </w:rPr>
            </w:pPr>
            <w:r>
              <w:rPr>
                <w:rFonts w:hint="eastAsia" w:ascii="宋体" w:hAnsi="宋体" w:cs="宋体"/>
                <w:szCs w:val="21"/>
              </w:rPr>
              <w:t>郭庭斌</w:t>
            </w:r>
          </w:p>
        </w:tc>
        <w:tc>
          <w:tcPr>
            <w:tcW w:w="2817" w:type="dxa"/>
            <w:vAlign w:val="center"/>
          </w:tcPr>
          <w:p>
            <w:pPr>
              <w:spacing w:line="460" w:lineRule="exact"/>
              <w:jc w:val="center"/>
              <w:rPr>
                <w:rFonts w:ascii="宋体" w:hAnsi="宋体" w:cs="宋体"/>
                <w:szCs w:val="21"/>
              </w:rPr>
            </w:pPr>
            <w:r>
              <w:rPr>
                <w:rFonts w:hint="eastAsia" w:ascii="宋体" w:hAnsi="宋体" w:cs="宋体"/>
                <w:szCs w:val="21"/>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pacing w:line="460" w:lineRule="exact"/>
              <w:jc w:val="center"/>
              <w:rPr>
                <w:rFonts w:ascii="宋体" w:hAnsi="宋体" w:cs="宋体"/>
                <w:szCs w:val="21"/>
              </w:rPr>
            </w:pPr>
            <w:r>
              <w:rPr>
                <w:rFonts w:hint="eastAsia" w:ascii="宋体" w:hAnsi="宋体" w:cs="宋体"/>
                <w:szCs w:val="21"/>
              </w:rPr>
              <w:t>温州银行台州分行</w:t>
            </w:r>
          </w:p>
        </w:tc>
        <w:tc>
          <w:tcPr>
            <w:tcW w:w="1500" w:type="dxa"/>
            <w:vAlign w:val="center"/>
          </w:tcPr>
          <w:p>
            <w:pPr>
              <w:spacing w:line="460" w:lineRule="exact"/>
              <w:jc w:val="center"/>
              <w:rPr>
                <w:rFonts w:ascii="宋体" w:hAnsi="宋体" w:cs="宋体"/>
                <w:szCs w:val="21"/>
              </w:rPr>
            </w:pPr>
            <w:r>
              <w:rPr>
                <w:rFonts w:hint="eastAsia" w:ascii="宋体" w:hAnsi="宋体" w:cs="宋体"/>
                <w:szCs w:val="21"/>
              </w:rPr>
              <w:t>4.55%起</w:t>
            </w:r>
          </w:p>
        </w:tc>
        <w:tc>
          <w:tcPr>
            <w:tcW w:w="1290" w:type="dxa"/>
            <w:vAlign w:val="center"/>
          </w:tcPr>
          <w:p>
            <w:pPr>
              <w:spacing w:line="460" w:lineRule="exact"/>
              <w:jc w:val="center"/>
              <w:rPr>
                <w:rFonts w:ascii="宋体" w:hAnsi="宋体" w:cs="宋体"/>
                <w:szCs w:val="21"/>
              </w:rPr>
            </w:pPr>
            <w:r>
              <w:rPr>
                <w:rFonts w:hint="eastAsia" w:ascii="宋体" w:hAnsi="宋体" w:cs="宋体"/>
                <w:szCs w:val="21"/>
              </w:rPr>
              <w:t>王晓波</w:t>
            </w:r>
          </w:p>
        </w:tc>
        <w:tc>
          <w:tcPr>
            <w:tcW w:w="2817" w:type="dxa"/>
            <w:vAlign w:val="center"/>
          </w:tcPr>
          <w:p>
            <w:pPr>
              <w:spacing w:line="460" w:lineRule="exact"/>
              <w:jc w:val="center"/>
              <w:rPr>
                <w:rFonts w:ascii="宋体" w:hAnsi="宋体" w:cs="宋体"/>
                <w:szCs w:val="21"/>
              </w:rPr>
            </w:pPr>
            <w:r>
              <w:rPr>
                <w:rFonts w:hint="eastAsia" w:ascii="宋体" w:hAnsi="宋体" w:cs="宋体"/>
                <w:szCs w:val="21"/>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pacing w:line="460" w:lineRule="exact"/>
              <w:jc w:val="center"/>
              <w:rPr>
                <w:rFonts w:ascii="宋体" w:hAnsi="宋体" w:cs="宋体"/>
                <w:szCs w:val="21"/>
              </w:rPr>
            </w:pPr>
            <w:r>
              <w:rPr>
                <w:rFonts w:hint="eastAsia" w:ascii="宋体" w:hAnsi="宋体" w:cs="宋体"/>
                <w:szCs w:val="21"/>
              </w:rPr>
              <w:t>平安银行台州分行</w:t>
            </w:r>
          </w:p>
        </w:tc>
        <w:tc>
          <w:tcPr>
            <w:tcW w:w="1500" w:type="dxa"/>
            <w:vAlign w:val="center"/>
          </w:tcPr>
          <w:p>
            <w:pPr>
              <w:spacing w:line="460" w:lineRule="exact"/>
              <w:jc w:val="center"/>
              <w:rPr>
                <w:rFonts w:ascii="宋体" w:hAnsi="宋体" w:cs="宋体"/>
                <w:szCs w:val="21"/>
              </w:rPr>
            </w:pPr>
            <w:r>
              <w:rPr>
                <w:rFonts w:hint="eastAsia" w:ascii="宋体" w:hAnsi="宋体" w:cs="宋体"/>
                <w:szCs w:val="21"/>
              </w:rPr>
              <w:t>6.53%起</w:t>
            </w:r>
          </w:p>
        </w:tc>
        <w:tc>
          <w:tcPr>
            <w:tcW w:w="1290" w:type="dxa"/>
            <w:vAlign w:val="center"/>
          </w:tcPr>
          <w:p>
            <w:pPr>
              <w:spacing w:line="460" w:lineRule="exact"/>
              <w:jc w:val="center"/>
              <w:rPr>
                <w:rFonts w:ascii="宋体" w:hAnsi="宋体" w:cs="宋体"/>
                <w:szCs w:val="21"/>
              </w:rPr>
            </w:pPr>
            <w:r>
              <w:rPr>
                <w:rFonts w:hint="eastAsia" w:ascii="宋体" w:hAnsi="宋体" w:cs="宋体"/>
                <w:szCs w:val="21"/>
              </w:rPr>
              <w:t>李俊丽</w:t>
            </w:r>
          </w:p>
        </w:tc>
        <w:tc>
          <w:tcPr>
            <w:tcW w:w="2817" w:type="dxa"/>
            <w:vAlign w:val="center"/>
          </w:tcPr>
          <w:p>
            <w:pPr>
              <w:spacing w:line="460" w:lineRule="exact"/>
              <w:jc w:val="center"/>
              <w:rPr>
                <w:rFonts w:ascii="宋体" w:hAnsi="宋体" w:cs="宋体"/>
                <w:szCs w:val="21"/>
              </w:rPr>
            </w:pPr>
            <w:r>
              <w:rPr>
                <w:rFonts w:hint="eastAsia" w:ascii="宋体" w:hAnsi="宋体" w:cs="宋体"/>
                <w:szCs w:val="21"/>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pacing w:line="460" w:lineRule="exact"/>
              <w:jc w:val="center"/>
              <w:rPr>
                <w:rFonts w:ascii="宋体" w:hAnsi="宋体" w:cs="宋体"/>
                <w:szCs w:val="21"/>
              </w:rPr>
            </w:pPr>
            <w:r>
              <w:rPr>
                <w:rFonts w:hint="eastAsia" w:ascii="宋体" w:hAnsi="宋体" w:cs="宋体"/>
                <w:szCs w:val="21"/>
              </w:rPr>
              <w:t>宁波银行台州分行</w:t>
            </w:r>
          </w:p>
        </w:tc>
        <w:tc>
          <w:tcPr>
            <w:tcW w:w="1500" w:type="dxa"/>
            <w:vAlign w:val="center"/>
          </w:tcPr>
          <w:p>
            <w:pPr>
              <w:spacing w:line="460" w:lineRule="exact"/>
              <w:jc w:val="center"/>
              <w:rPr>
                <w:rFonts w:ascii="宋体" w:hAnsi="宋体" w:cs="宋体"/>
                <w:szCs w:val="21"/>
              </w:rPr>
            </w:pPr>
            <w:r>
              <w:rPr>
                <w:rFonts w:hint="eastAsia" w:ascii="宋体" w:hAnsi="宋体" w:cs="宋体"/>
                <w:szCs w:val="21"/>
              </w:rPr>
              <w:t>4.35%起</w:t>
            </w:r>
          </w:p>
        </w:tc>
        <w:tc>
          <w:tcPr>
            <w:tcW w:w="1290" w:type="dxa"/>
            <w:vAlign w:val="center"/>
          </w:tcPr>
          <w:p>
            <w:pPr>
              <w:spacing w:line="460" w:lineRule="exact"/>
              <w:jc w:val="center"/>
              <w:rPr>
                <w:rFonts w:ascii="宋体" w:hAnsi="宋体" w:cs="宋体"/>
                <w:szCs w:val="21"/>
              </w:rPr>
            </w:pPr>
            <w:r>
              <w:rPr>
                <w:rFonts w:hint="eastAsia" w:ascii="宋体" w:hAnsi="宋体" w:cs="宋体"/>
                <w:szCs w:val="21"/>
              </w:rPr>
              <w:t>戴莉丽</w:t>
            </w:r>
          </w:p>
        </w:tc>
        <w:tc>
          <w:tcPr>
            <w:tcW w:w="2817" w:type="dxa"/>
            <w:vAlign w:val="center"/>
          </w:tcPr>
          <w:p>
            <w:pPr>
              <w:spacing w:line="460" w:lineRule="exact"/>
              <w:jc w:val="center"/>
              <w:rPr>
                <w:rFonts w:ascii="宋体" w:hAnsi="宋体" w:cs="宋体"/>
                <w:szCs w:val="21"/>
              </w:rPr>
            </w:pPr>
            <w:r>
              <w:rPr>
                <w:rFonts w:hint="eastAsia" w:ascii="宋体" w:hAnsi="宋体" w:cs="宋体"/>
                <w:szCs w:val="21"/>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pacing w:line="460" w:lineRule="exact"/>
              <w:jc w:val="center"/>
              <w:rPr>
                <w:rFonts w:ascii="宋体" w:hAnsi="宋体" w:cs="宋体"/>
                <w:szCs w:val="21"/>
              </w:rPr>
            </w:pPr>
            <w:r>
              <w:rPr>
                <w:rFonts w:hint="eastAsia" w:ascii="宋体" w:hAnsi="宋体" w:cs="宋体"/>
                <w:szCs w:val="21"/>
              </w:rPr>
              <w:t>金华银行台州分行</w:t>
            </w:r>
          </w:p>
        </w:tc>
        <w:tc>
          <w:tcPr>
            <w:tcW w:w="1500" w:type="dxa"/>
            <w:vAlign w:val="center"/>
          </w:tcPr>
          <w:p>
            <w:pPr>
              <w:spacing w:line="460" w:lineRule="exact"/>
              <w:jc w:val="center"/>
              <w:rPr>
                <w:rFonts w:ascii="宋体" w:hAnsi="宋体" w:cs="宋体"/>
                <w:szCs w:val="21"/>
              </w:rPr>
            </w:pPr>
            <w:r>
              <w:rPr>
                <w:rFonts w:hint="eastAsia" w:ascii="宋体" w:hAnsi="宋体" w:cs="宋体"/>
                <w:szCs w:val="21"/>
              </w:rPr>
              <w:t>4.05%起</w:t>
            </w:r>
          </w:p>
        </w:tc>
        <w:tc>
          <w:tcPr>
            <w:tcW w:w="1290" w:type="dxa"/>
            <w:vAlign w:val="center"/>
          </w:tcPr>
          <w:p>
            <w:pPr>
              <w:spacing w:line="460" w:lineRule="exact"/>
              <w:jc w:val="center"/>
              <w:rPr>
                <w:rFonts w:ascii="宋体" w:hAnsi="宋体" w:cs="宋体"/>
                <w:szCs w:val="21"/>
              </w:rPr>
            </w:pPr>
            <w:r>
              <w:rPr>
                <w:rFonts w:hint="eastAsia" w:ascii="宋体" w:hAnsi="宋体" w:cs="宋体"/>
                <w:szCs w:val="21"/>
              </w:rPr>
              <w:t>金雪婷</w:t>
            </w:r>
          </w:p>
        </w:tc>
        <w:tc>
          <w:tcPr>
            <w:tcW w:w="2817" w:type="dxa"/>
            <w:vAlign w:val="center"/>
          </w:tcPr>
          <w:p>
            <w:pPr>
              <w:spacing w:line="460" w:lineRule="exact"/>
              <w:jc w:val="center"/>
              <w:rPr>
                <w:rFonts w:ascii="宋体" w:hAnsi="宋体" w:cs="宋体"/>
                <w:szCs w:val="21"/>
              </w:rPr>
            </w:pPr>
            <w:r>
              <w:rPr>
                <w:rFonts w:hint="eastAsia" w:ascii="宋体" w:hAnsi="宋体" w:cs="宋体"/>
                <w:szCs w:val="21"/>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pacing w:line="460" w:lineRule="exact"/>
              <w:jc w:val="center"/>
              <w:rPr>
                <w:rFonts w:ascii="宋体" w:hAnsi="宋体" w:cs="宋体"/>
                <w:szCs w:val="21"/>
              </w:rPr>
            </w:pPr>
            <w:r>
              <w:rPr>
                <w:rFonts w:hint="eastAsia" w:ascii="宋体" w:hAnsi="宋体" w:cs="宋体"/>
                <w:szCs w:val="21"/>
              </w:rPr>
              <w:t>台州银行</w:t>
            </w:r>
          </w:p>
        </w:tc>
        <w:tc>
          <w:tcPr>
            <w:tcW w:w="1500" w:type="dxa"/>
            <w:vAlign w:val="center"/>
          </w:tcPr>
          <w:p>
            <w:pPr>
              <w:spacing w:line="460" w:lineRule="exact"/>
              <w:jc w:val="center"/>
              <w:rPr>
                <w:rFonts w:ascii="宋体" w:hAnsi="宋体" w:cs="宋体"/>
                <w:szCs w:val="21"/>
              </w:rPr>
            </w:pPr>
            <w:r>
              <w:rPr>
                <w:rFonts w:hint="eastAsia" w:ascii="宋体" w:hAnsi="宋体" w:cs="宋体"/>
                <w:szCs w:val="21"/>
              </w:rPr>
              <w:t>5.6%起</w:t>
            </w:r>
          </w:p>
        </w:tc>
        <w:tc>
          <w:tcPr>
            <w:tcW w:w="1290" w:type="dxa"/>
            <w:vAlign w:val="center"/>
          </w:tcPr>
          <w:p>
            <w:pPr>
              <w:spacing w:line="460" w:lineRule="exact"/>
              <w:jc w:val="center"/>
              <w:rPr>
                <w:rFonts w:ascii="宋体" w:hAnsi="宋体" w:cs="宋体"/>
                <w:szCs w:val="21"/>
              </w:rPr>
            </w:pPr>
            <w:r>
              <w:rPr>
                <w:rFonts w:hint="eastAsia" w:ascii="宋体" w:hAnsi="宋体" w:cs="宋体"/>
                <w:szCs w:val="21"/>
              </w:rPr>
              <w:t>洪婷</w:t>
            </w:r>
          </w:p>
        </w:tc>
        <w:tc>
          <w:tcPr>
            <w:tcW w:w="2817" w:type="dxa"/>
            <w:vAlign w:val="center"/>
          </w:tcPr>
          <w:p>
            <w:pPr>
              <w:spacing w:line="460" w:lineRule="exact"/>
              <w:jc w:val="center"/>
              <w:rPr>
                <w:rFonts w:ascii="宋体" w:hAnsi="宋体" w:cs="宋体"/>
                <w:szCs w:val="21"/>
              </w:rPr>
            </w:pPr>
            <w:r>
              <w:rPr>
                <w:rFonts w:hint="eastAsia" w:ascii="宋体" w:hAnsi="宋体" w:cs="宋体"/>
                <w:szCs w:val="21"/>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pacing w:line="460" w:lineRule="exact"/>
              <w:jc w:val="center"/>
              <w:rPr>
                <w:rFonts w:ascii="宋体" w:hAnsi="宋体" w:cs="宋体"/>
                <w:szCs w:val="21"/>
              </w:rPr>
            </w:pPr>
            <w:r>
              <w:rPr>
                <w:rFonts w:hint="eastAsia" w:ascii="宋体" w:hAnsi="宋体" w:cs="宋体"/>
                <w:szCs w:val="21"/>
              </w:rPr>
              <w:t>邮储银行台州分行</w:t>
            </w:r>
          </w:p>
        </w:tc>
        <w:tc>
          <w:tcPr>
            <w:tcW w:w="1500" w:type="dxa"/>
            <w:vAlign w:val="center"/>
          </w:tcPr>
          <w:p>
            <w:pPr>
              <w:spacing w:line="460" w:lineRule="exact"/>
              <w:jc w:val="center"/>
              <w:rPr>
                <w:rFonts w:ascii="宋体" w:hAnsi="宋体" w:cs="宋体"/>
                <w:szCs w:val="21"/>
              </w:rPr>
            </w:pPr>
            <w:r>
              <w:rPr>
                <w:rFonts w:hint="eastAsia" w:ascii="宋体" w:hAnsi="宋体" w:cs="宋体"/>
                <w:szCs w:val="21"/>
              </w:rPr>
              <w:t>3.85%起</w:t>
            </w:r>
          </w:p>
        </w:tc>
        <w:tc>
          <w:tcPr>
            <w:tcW w:w="1290" w:type="dxa"/>
            <w:vAlign w:val="center"/>
          </w:tcPr>
          <w:p>
            <w:pPr>
              <w:spacing w:line="460" w:lineRule="exact"/>
              <w:jc w:val="center"/>
              <w:rPr>
                <w:rFonts w:ascii="宋体" w:hAnsi="宋体" w:cs="宋体"/>
                <w:szCs w:val="21"/>
              </w:rPr>
            </w:pPr>
            <w:r>
              <w:rPr>
                <w:rFonts w:hint="eastAsia" w:ascii="宋体" w:hAnsi="宋体" w:cs="宋体"/>
                <w:szCs w:val="21"/>
              </w:rPr>
              <w:t>董庆</w:t>
            </w:r>
          </w:p>
        </w:tc>
        <w:tc>
          <w:tcPr>
            <w:tcW w:w="2817" w:type="dxa"/>
            <w:vAlign w:val="center"/>
          </w:tcPr>
          <w:p>
            <w:pPr>
              <w:spacing w:line="460" w:lineRule="exact"/>
              <w:jc w:val="center"/>
              <w:rPr>
                <w:rFonts w:ascii="宋体" w:hAnsi="宋体" w:cs="宋体"/>
                <w:szCs w:val="21"/>
              </w:rPr>
            </w:pPr>
            <w:r>
              <w:rPr>
                <w:rFonts w:hint="eastAsia" w:ascii="宋体" w:hAnsi="宋体" w:cs="宋体"/>
                <w:szCs w:val="21"/>
              </w:rPr>
              <w:t>81888982/18957683735</w:t>
            </w:r>
          </w:p>
        </w:tc>
      </w:tr>
    </w:tbl>
    <w:p>
      <w:pPr>
        <w:spacing w:line="360" w:lineRule="auto"/>
        <w:rPr>
          <w:rFonts w:ascii="宋体" w:hAnsi="宋体" w:cs="宋体"/>
          <w:szCs w:val="21"/>
        </w:rPr>
      </w:pPr>
      <w:r>
        <w:rPr>
          <w:rFonts w:hint="eastAsia" w:ascii="宋体" w:hAnsi="宋体" w:cs="宋体"/>
          <w:szCs w:val="21"/>
        </w:rPr>
        <w:t>合同保函联系方式</w:t>
      </w:r>
    </w:p>
    <w:p>
      <w:pPr>
        <w:spacing w:line="360" w:lineRule="auto"/>
        <w:ind w:firstLine="735" w:firstLineChars="350"/>
        <w:jc w:val="center"/>
        <w:rPr>
          <w:rFonts w:ascii="宋体" w:hAnsi="宋体" w:cs="宋体"/>
          <w:szCs w:val="21"/>
        </w:rPr>
      </w:pPr>
      <w:r>
        <w:rPr>
          <w:rFonts w:hint="eastAsia" w:ascii="宋体" w:hAnsi="宋体" w:cs="宋体"/>
          <w:szCs w:val="21"/>
        </w:rPr>
        <w:t>合同履约保函联系方式</w:t>
      </w:r>
    </w:p>
    <w:tbl>
      <w:tblPr>
        <w:tblStyle w:val="40"/>
        <w:tblW w:w="8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35"/>
        <w:gridCol w:w="2260"/>
        <w:gridCol w:w="984"/>
        <w:gridCol w:w="15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735" w:type="dxa"/>
            <w:vAlign w:val="center"/>
          </w:tcPr>
          <w:p>
            <w:pPr>
              <w:spacing w:line="360" w:lineRule="auto"/>
              <w:jc w:val="center"/>
              <w:rPr>
                <w:rFonts w:ascii="宋体" w:hAnsi="宋体" w:cs="宋体"/>
                <w:szCs w:val="21"/>
              </w:rPr>
            </w:pPr>
            <w:r>
              <w:rPr>
                <w:rFonts w:hint="eastAsia" w:ascii="宋体" w:hAnsi="宋体" w:cs="宋体"/>
                <w:szCs w:val="21"/>
              </w:rPr>
              <w:t>保险公司名称</w:t>
            </w:r>
          </w:p>
        </w:tc>
        <w:tc>
          <w:tcPr>
            <w:tcW w:w="2260" w:type="dxa"/>
            <w:vAlign w:val="center"/>
          </w:tcPr>
          <w:p>
            <w:pPr>
              <w:spacing w:line="360" w:lineRule="auto"/>
              <w:jc w:val="center"/>
              <w:rPr>
                <w:rFonts w:ascii="宋体" w:hAnsi="宋体" w:cs="宋体"/>
                <w:szCs w:val="21"/>
              </w:rPr>
            </w:pPr>
            <w:r>
              <w:rPr>
                <w:rFonts w:hint="eastAsia" w:ascii="宋体" w:hAnsi="宋体" w:cs="宋体"/>
                <w:szCs w:val="21"/>
              </w:rPr>
              <w:t>保费率</w:t>
            </w:r>
          </w:p>
        </w:tc>
        <w:tc>
          <w:tcPr>
            <w:tcW w:w="984" w:type="dxa"/>
            <w:vAlign w:val="center"/>
          </w:tcPr>
          <w:p>
            <w:pPr>
              <w:spacing w:line="360" w:lineRule="auto"/>
              <w:jc w:val="center"/>
              <w:rPr>
                <w:rFonts w:ascii="宋体" w:hAnsi="宋体" w:cs="宋体"/>
                <w:szCs w:val="21"/>
              </w:rPr>
            </w:pPr>
            <w:r>
              <w:rPr>
                <w:rFonts w:hint="eastAsia" w:ascii="宋体" w:hAnsi="宋体" w:cs="宋体"/>
                <w:szCs w:val="21"/>
              </w:rPr>
              <w:t>联系人</w:t>
            </w:r>
          </w:p>
        </w:tc>
        <w:tc>
          <w:tcPr>
            <w:tcW w:w="1537" w:type="dxa"/>
            <w:vAlign w:val="center"/>
          </w:tcPr>
          <w:p>
            <w:pPr>
              <w:spacing w:line="360" w:lineRule="auto"/>
              <w:jc w:val="center"/>
              <w:rPr>
                <w:rFonts w:ascii="宋体" w:hAnsi="宋体" w:cs="宋体"/>
                <w:szCs w:val="21"/>
              </w:rPr>
            </w:pPr>
            <w:r>
              <w:rPr>
                <w:rFonts w:hint="eastAsia" w:ascii="宋体" w:hAnsi="宋体" w:cs="宋体"/>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pPr>
              <w:spacing w:line="360" w:lineRule="auto"/>
              <w:jc w:val="center"/>
              <w:rPr>
                <w:rFonts w:ascii="宋体" w:hAnsi="宋体" w:cs="宋体"/>
                <w:szCs w:val="21"/>
              </w:rPr>
            </w:pPr>
            <w:r>
              <w:rPr>
                <w:rFonts w:hint="eastAsia" w:ascii="宋体" w:hAnsi="宋体" w:cs="宋体"/>
                <w:szCs w:val="21"/>
              </w:rPr>
              <w:t>中国人寿财产保险股份有限公司台州中心支公司</w:t>
            </w:r>
          </w:p>
        </w:tc>
        <w:tc>
          <w:tcPr>
            <w:tcW w:w="2260" w:type="dxa"/>
            <w:vAlign w:val="center"/>
          </w:tcPr>
          <w:p>
            <w:pPr>
              <w:spacing w:line="360" w:lineRule="auto"/>
              <w:jc w:val="center"/>
              <w:rPr>
                <w:rFonts w:ascii="宋体" w:hAnsi="宋体" w:cs="宋体"/>
                <w:szCs w:val="21"/>
              </w:rPr>
            </w:pPr>
            <w:r>
              <w:rPr>
                <w:rFonts w:hint="eastAsia" w:ascii="宋体" w:hAnsi="宋体" w:cs="宋体"/>
                <w:szCs w:val="21"/>
              </w:rPr>
              <w:t>年费率1%，最低保费500元</w:t>
            </w:r>
          </w:p>
        </w:tc>
        <w:tc>
          <w:tcPr>
            <w:tcW w:w="984" w:type="dxa"/>
            <w:vAlign w:val="center"/>
          </w:tcPr>
          <w:p>
            <w:pPr>
              <w:spacing w:line="360" w:lineRule="auto"/>
              <w:jc w:val="center"/>
              <w:rPr>
                <w:rFonts w:ascii="宋体" w:hAnsi="宋体" w:cs="宋体"/>
                <w:szCs w:val="21"/>
              </w:rPr>
            </w:pPr>
            <w:r>
              <w:rPr>
                <w:rFonts w:hint="eastAsia" w:ascii="宋体" w:hAnsi="宋体" w:cs="宋体"/>
                <w:szCs w:val="21"/>
              </w:rPr>
              <w:t>徐凌</w:t>
            </w:r>
          </w:p>
        </w:tc>
        <w:tc>
          <w:tcPr>
            <w:tcW w:w="1537" w:type="dxa"/>
            <w:vAlign w:val="center"/>
          </w:tcPr>
          <w:p>
            <w:pPr>
              <w:spacing w:line="360" w:lineRule="auto"/>
              <w:jc w:val="center"/>
              <w:rPr>
                <w:rFonts w:ascii="宋体" w:hAnsi="宋体" w:cs="宋体"/>
                <w:szCs w:val="21"/>
              </w:rPr>
            </w:pPr>
            <w:r>
              <w:rPr>
                <w:rFonts w:hint="eastAsia" w:ascii="宋体" w:hAnsi="宋体" w:cs="宋体"/>
                <w:szCs w:val="21"/>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pPr>
              <w:spacing w:line="360" w:lineRule="auto"/>
              <w:jc w:val="center"/>
              <w:rPr>
                <w:rFonts w:ascii="宋体" w:hAnsi="宋体" w:cs="宋体"/>
                <w:szCs w:val="21"/>
              </w:rPr>
            </w:pPr>
            <w:r>
              <w:rPr>
                <w:rFonts w:hint="eastAsia" w:ascii="宋体" w:hAnsi="宋体" w:cs="宋体"/>
                <w:szCs w:val="21"/>
              </w:rPr>
              <w:t>永诚财产保险股份有限公司台州分公司</w:t>
            </w:r>
          </w:p>
        </w:tc>
        <w:tc>
          <w:tcPr>
            <w:tcW w:w="2260" w:type="dxa"/>
            <w:vAlign w:val="center"/>
          </w:tcPr>
          <w:p>
            <w:pPr>
              <w:spacing w:line="360" w:lineRule="auto"/>
              <w:jc w:val="center"/>
              <w:rPr>
                <w:rFonts w:ascii="宋体" w:hAnsi="宋体" w:cs="宋体"/>
                <w:szCs w:val="21"/>
              </w:rPr>
            </w:pPr>
            <w:r>
              <w:rPr>
                <w:rFonts w:hint="eastAsia" w:ascii="宋体" w:hAnsi="宋体" w:cs="宋体"/>
                <w:szCs w:val="21"/>
              </w:rPr>
              <w:t>年费率1%，最低保费1000元</w:t>
            </w:r>
          </w:p>
        </w:tc>
        <w:tc>
          <w:tcPr>
            <w:tcW w:w="984" w:type="dxa"/>
            <w:vAlign w:val="center"/>
          </w:tcPr>
          <w:p>
            <w:pPr>
              <w:spacing w:line="360" w:lineRule="auto"/>
              <w:jc w:val="center"/>
              <w:rPr>
                <w:rFonts w:ascii="宋体" w:hAnsi="宋体" w:cs="宋体"/>
                <w:szCs w:val="21"/>
              </w:rPr>
            </w:pPr>
            <w:r>
              <w:rPr>
                <w:rFonts w:hint="eastAsia" w:ascii="宋体" w:hAnsi="宋体" w:cs="宋体"/>
                <w:szCs w:val="21"/>
              </w:rPr>
              <w:t>尹刚强</w:t>
            </w:r>
          </w:p>
        </w:tc>
        <w:tc>
          <w:tcPr>
            <w:tcW w:w="1537" w:type="dxa"/>
            <w:vAlign w:val="center"/>
          </w:tcPr>
          <w:p>
            <w:pPr>
              <w:spacing w:line="360" w:lineRule="auto"/>
              <w:jc w:val="center"/>
              <w:rPr>
                <w:rFonts w:ascii="宋体" w:hAnsi="宋体" w:cs="宋体"/>
                <w:szCs w:val="21"/>
              </w:rPr>
            </w:pPr>
            <w:r>
              <w:rPr>
                <w:rFonts w:hint="eastAsia" w:ascii="宋体" w:hAnsi="宋体" w:cs="宋体"/>
                <w:szCs w:val="21"/>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pPr>
              <w:spacing w:line="360" w:lineRule="auto"/>
              <w:jc w:val="center"/>
              <w:rPr>
                <w:rFonts w:ascii="宋体" w:hAnsi="宋体" w:cs="宋体"/>
                <w:szCs w:val="21"/>
              </w:rPr>
            </w:pPr>
            <w:r>
              <w:rPr>
                <w:rFonts w:hint="eastAsia" w:ascii="宋体" w:hAnsi="宋体" w:cs="宋体"/>
                <w:szCs w:val="21"/>
              </w:rPr>
              <w:t>华泰财产保险有限公司台州中心支公司</w:t>
            </w:r>
          </w:p>
        </w:tc>
        <w:tc>
          <w:tcPr>
            <w:tcW w:w="2260" w:type="dxa"/>
            <w:vAlign w:val="center"/>
          </w:tcPr>
          <w:p>
            <w:pPr>
              <w:spacing w:line="360" w:lineRule="auto"/>
              <w:jc w:val="center"/>
              <w:rPr>
                <w:rFonts w:ascii="宋体" w:hAnsi="宋体" w:cs="宋体"/>
                <w:szCs w:val="21"/>
              </w:rPr>
            </w:pPr>
            <w:r>
              <w:rPr>
                <w:rFonts w:hint="eastAsia" w:ascii="宋体" w:hAnsi="宋体" w:cs="宋体"/>
                <w:szCs w:val="21"/>
              </w:rPr>
              <w:t>年费率0.5%，最低保费1000元</w:t>
            </w:r>
          </w:p>
        </w:tc>
        <w:tc>
          <w:tcPr>
            <w:tcW w:w="984" w:type="dxa"/>
            <w:vAlign w:val="center"/>
          </w:tcPr>
          <w:p>
            <w:pPr>
              <w:spacing w:line="360" w:lineRule="auto"/>
              <w:jc w:val="center"/>
              <w:rPr>
                <w:rFonts w:ascii="宋体" w:hAnsi="宋体" w:cs="宋体"/>
                <w:szCs w:val="21"/>
              </w:rPr>
            </w:pPr>
            <w:r>
              <w:rPr>
                <w:rFonts w:hint="eastAsia" w:ascii="宋体" w:hAnsi="宋体" w:cs="宋体"/>
                <w:szCs w:val="21"/>
              </w:rPr>
              <w:t>王灵芳</w:t>
            </w:r>
          </w:p>
        </w:tc>
        <w:tc>
          <w:tcPr>
            <w:tcW w:w="1537" w:type="dxa"/>
            <w:vAlign w:val="center"/>
          </w:tcPr>
          <w:p>
            <w:pPr>
              <w:spacing w:line="360" w:lineRule="auto"/>
              <w:jc w:val="center"/>
              <w:rPr>
                <w:rFonts w:ascii="宋体" w:hAnsi="宋体" w:cs="宋体"/>
                <w:szCs w:val="21"/>
              </w:rPr>
            </w:pPr>
            <w:r>
              <w:rPr>
                <w:rFonts w:hint="eastAsia" w:ascii="宋体" w:hAnsi="宋体" w:cs="宋体"/>
                <w:szCs w:val="21"/>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pPr>
              <w:spacing w:line="360" w:lineRule="auto"/>
              <w:jc w:val="center"/>
              <w:rPr>
                <w:rFonts w:ascii="宋体" w:hAnsi="宋体" w:cs="宋体"/>
                <w:szCs w:val="21"/>
              </w:rPr>
            </w:pPr>
            <w:r>
              <w:rPr>
                <w:rFonts w:hint="eastAsia" w:ascii="宋体" w:hAnsi="宋体" w:cs="宋体"/>
                <w:szCs w:val="21"/>
              </w:rPr>
              <w:t>中国大地财产保险股份有限公司台州中心支公司</w:t>
            </w:r>
          </w:p>
        </w:tc>
        <w:tc>
          <w:tcPr>
            <w:tcW w:w="2260" w:type="dxa"/>
            <w:vAlign w:val="center"/>
          </w:tcPr>
          <w:p>
            <w:pPr>
              <w:spacing w:line="360" w:lineRule="auto"/>
              <w:jc w:val="center"/>
              <w:rPr>
                <w:rFonts w:ascii="宋体" w:hAnsi="宋体" w:cs="宋体"/>
                <w:szCs w:val="21"/>
              </w:rPr>
            </w:pPr>
            <w:r>
              <w:rPr>
                <w:rFonts w:hint="eastAsia" w:ascii="宋体" w:hAnsi="宋体" w:cs="宋体"/>
                <w:szCs w:val="21"/>
              </w:rPr>
              <w:t>年费率1.5%，最低保费1000元</w:t>
            </w:r>
          </w:p>
        </w:tc>
        <w:tc>
          <w:tcPr>
            <w:tcW w:w="984" w:type="dxa"/>
            <w:vAlign w:val="center"/>
          </w:tcPr>
          <w:p>
            <w:pPr>
              <w:spacing w:line="360" w:lineRule="auto"/>
              <w:jc w:val="center"/>
              <w:rPr>
                <w:rFonts w:ascii="宋体" w:hAnsi="宋体" w:cs="宋体"/>
                <w:szCs w:val="21"/>
              </w:rPr>
            </w:pPr>
            <w:r>
              <w:rPr>
                <w:rFonts w:hint="eastAsia" w:ascii="宋体" w:hAnsi="宋体" w:cs="宋体"/>
                <w:szCs w:val="21"/>
              </w:rPr>
              <w:t>徐小明</w:t>
            </w:r>
          </w:p>
        </w:tc>
        <w:tc>
          <w:tcPr>
            <w:tcW w:w="1537" w:type="dxa"/>
            <w:vAlign w:val="center"/>
          </w:tcPr>
          <w:p>
            <w:pPr>
              <w:spacing w:line="360" w:lineRule="auto"/>
              <w:jc w:val="center"/>
              <w:rPr>
                <w:rFonts w:ascii="宋体" w:hAnsi="宋体" w:cs="宋体"/>
                <w:szCs w:val="21"/>
              </w:rPr>
            </w:pPr>
            <w:r>
              <w:rPr>
                <w:rFonts w:hint="eastAsia" w:ascii="宋体" w:hAnsi="宋体" w:cs="宋体"/>
                <w:szCs w:val="21"/>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pPr>
              <w:spacing w:line="360" w:lineRule="auto"/>
              <w:jc w:val="center"/>
              <w:rPr>
                <w:rFonts w:ascii="宋体" w:hAnsi="宋体" w:cs="宋体"/>
                <w:szCs w:val="21"/>
              </w:rPr>
            </w:pPr>
            <w:r>
              <w:rPr>
                <w:rFonts w:hint="eastAsia" w:ascii="宋体" w:hAnsi="宋体" w:cs="宋体"/>
                <w:szCs w:val="21"/>
              </w:rPr>
              <w:t>阳光保险台州中心支公司</w:t>
            </w:r>
          </w:p>
        </w:tc>
        <w:tc>
          <w:tcPr>
            <w:tcW w:w="2260" w:type="dxa"/>
            <w:vAlign w:val="center"/>
          </w:tcPr>
          <w:p>
            <w:pPr>
              <w:spacing w:line="360" w:lineRule="auto"/>
              <w:jc w:val="center"/>
              <w:rPr>
                <w:rFonts w:ascii="宋体" w:hAnsi="宋体" w:cs="宋体"/>
                <w:szCs w:val="21"/>
              </w:rPr>
            </w:pPr>
            <w:r>
              <w:rPr>
                <w:rFonts w:hint="eastAsia" w:ascii="宋体" w:hAnsi="宋体" w:cs="宋体"/>
                <w:szCs w:val="21"/>
              </w:rPr>
              <w:t>年费率1%，最低保费500元</w:t>
            </w:r>
          </w:p>
        </w:tc>
        <w:tc>
          <w:tcPr>
            <w:tcW w:w="984" w:type="dxa"/>
            <w:vAlign w:val="center"/>
          </w:tcPr>
          <w:p>
            <w:pPr>
              <w:spacing w:line="360" w:lineRule="auto"/>
              <w:jc w:val="center"/>
              <w:rPr>
                <w:rFonts w:ascii="宋体" w:hAnsi="宋体" w:cs="宋体"/>
                <w:szCs w:val="21"/>
              </w:rPr>
            </w:pPr>
            <w:r>
              <w:rPr>
                <w:rFonts w:hint="eastAsia" w:ascii="宋体" w:hAnsi="宋体" w:cs="宋体"/>
                <w:szCs w:val="21"/>
              </w:rPr>
              <w:t>林高明</w:t>
            </w:r>
          </w:p>
        </w:tc>
        <w:tc>
          <w:tcPr>
            <w:tcW w:w="1537" w:type="dxa"/>
            <w:vAlign w:val="center"/>
          </w:tcPr>
          <w:p>
            <w:pPr>
              <w:spacing w:line="360" w:lineRule="auto"/>
              <w:jc w:val="center"/>
              <w:rPr>
                <w:rFonts w:ascii="宋体" w:hAnsi="宋体" w:cs="宋体"/>
                <w:szCs w:val="21"/>
              </w:rPr>
            </w:pPr>
            <w:r>
              <w:rPr>
                <w:rFonts w:hint="eastAsia" w:ascii="宋体" w:hAnsi="宋体" w:cs="宋体"/>
                <w:szCs w:val="21"/>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pPr>
              <w:spacing w:line="360" w:lineRule="auto"/>
              <w:jc w:val="center"/>
              <w:rPr>
                <w:rFonts w:ascii="宋体" w:hAnsi="宋体" w:cs="宋体"/>
                <w:szCs w:val="21"/>
              </w:rPr>
            </w:pPr>
            <w:r>
              <w:rPr>
                <w:rFonts w:hint="eastAsia" w:ascii="宋体" w:hAnsi="宋体" w:cs="宋体"/>
                <w:szCs w:val="21"/>
              </w:rPr>
              <w:t>中华联合财产保险股份有限公司台州中心支公司</w:t>
            </w:r>
          </w:p>
        </w:tc>
        <w:tc>
          <w:tcPr>
            <w:tcW w:w="2260" w:type="dxa"/>
            <w:vAlign w:val="center"/>
          </w:tcPr>
          <w:p>
            <w:pPr>
              <w:spacing w:line="360" w:lineRule="auto"/>
              <w:jc w:val="center"/>
              <w:rPr>
                <w:rFonts w:ascii="宋体" w:hAnsi="宋体" w:cs="宋体"/>
                <w:szCs w:val="21"/>
              </w:rPr>
            </w:pPr>
            <w:r>
              <w:rPr>
                <w:rFonts w:hint="eastAsia" w:ascii="宋体" w:hAnsi="宋体" w:cs="宋体"/>
                <w:szCs w:val="21"/>
              </w:rPr>
              <w:t>年费率2%，最低保费500元</w:t>
            </w:r>
          </w:p>
        </w:tc>
        <w:tc>
          <w:tcPr>
            <w:tcW w:w="984" w:type="dxa"/>
            <w:vAlign w:val="center"/>
          </w:tcPr>
          <w:p>
            <w:pPr>
              <w:spacing w:line="360" w:lineRule="auto"/>
              <w:jc w:val="center"/>
              <w:rPr>
                <w:rFonts w:ascii="宋体" w:hAnsi="宋体" w:cs="宋体"/>
                <w:szCs w:val="21"/>
              </w:rPr>
            </w:pPr>
            <w:r>
              <w:rPr>
                <w:rFonts w:hint="eastAsia" w:ascii="宋体" w:hAnsi="宋体" w:cs="宋体"/>
                <w:szCs w:val="21"/>
              </w:rPr>
              <w:t>王仙高</w:t>
            </w:r>
          </w:p>
        </w:tc>
        <w:tc>
          <w:tcPr>
            <w:tcW w:w="1537" w:type="dxa"/>
            <w:vAlign w:val="center"/>
          </w:tcPr>
          <w:p>
            <w:pPr>
              <w:spacing w:line="360" w:lineRule="auto"/>
              <w:jc w:val="center"/>
              <w:rPr>
                <w:rFonts w:ascii="宋体" w:hAnsi="宋体" w:cs="宋体"/>
                <w:szCs w:val="21"/>
              </w:rPr>
            </w:pPr>
            <w:r>
              <w:rPr>
                <w:rFonts w:hint="eastAsia" w:ascii="宋体" w:hAnsi="宋体" w:cs="宋体"/>
                <w:szCs w:val="21"/>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pPr>
              <w:spacing w:line="360" w:lineRule="auto"/>
              <w:jc w:val="center"/>
              <w:rPr>
                <w:rFonts w:ascii="宋体" w:hAnsi="宋体" w:cs="宋体"/>
                <w:szCs w:val="21"/>
              </w:rPr>
            </w:pPr>
            <w:r>
              <w:rPr>
                <w:rFonts w:hint="eastAsia" w:ascii="宋体" w:hAnsi="宋体" w:cs="宋体"/>
                <w:szCs w:val="21"/>
              </w:rPr>
              <w:t>中国人民财产保险股份有限公司台州中心支公司</w:t>
            </w:r>
          </w:p>
        </w:tc>
        <w:tc>
          <w:tcPr>
            <w:tcW w:w="2260" w:type="dxa"/>
            <w:vAlign w:val="center"/>
          </w:tcPr>
          <w:p>
            <w:pPr>
              <w:spacing w:line="360" w:lineRule="auto"/>
              <w:jc w:val="center"/>
              <w:rPr>
                <w:rFonts w:ascii="宋体" w:hAnsi="宋体" w:cs="宋体"/>
                <w:szCs w:val="21"/>
              </w:rPr>
            </w:pPr>
            <w:r>
              <w:rPr>
                <w:rFonts w:hint="eastAsia" w:ascii="宋体" w:hAnsi="宋体" w:cs="宋体"/>
                <w:szCs w:val="21"/>
              </w:rPr>
              <w:t>年费率0.3%，最低保费1000元</w:t>
            </w:r>
          </w:p>
        </w:tc>
        <w:tc>
          <w:tcPr>
            <w:tcW w:w="984" w:type="dxa"/>
            <w:vAlign w:val="center"/>
          </w:tcPr>
          <w:p>
            <w:pPr>
              <w:spacing w:line="360" w:lineRule="auto"/>
              <w:jc w:val="center"/>
              <w:rPr>
                <w:rFonts w:ascii="宋体" w:hAnsi="宋体" w:cs="宋体"/>
                <w:szCs w:val="21"/>
              </w:rPr>
            </w:pPr>
            <w:r>
              <w:rPr>
                <w:rFonts w:hint="eastAsia" w:ascii="宋体" w:hAnsi="宋体" w:cs="宋体"/>
                <w:szCs w:val="21"/>
              </w:rPr>
              <w:t>王仙春</w:t>
            </w:r>
          </w:p>
        </w:tc>
        <w:tc>
          <w:tcPr>
            <w:tcW w:w="1537" w:type="dxa"/>
            <w:vAlign w:val="center"/>
          </w:tcPr>
          <w:p>
            <w:pPr>
              <w:spacing w:line="360" w:lineRule="auto"/>
              <w:jc w:val="center"/>
              <w:rPr>
                <w:rFonts w:ascii="宋体" w:hAnsi="宋体" w:cs="宋体"/>
                <w:szCs w:val="21"/>
              </w:rPr>
            </w:pPr>
            <w:r>
              <w:rPr>
                <w:rFonts w:hint="eastAsia" w:ascii="宋体" w:hAnsi="宋体" w:cs="宋体"/>
                <w:szCs w:val="21"/>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pPr>
              <w:spacing w:line="360" w:lineRule="auto"/>
              <w:jc w:val="center"/>
              <w:rPr>
                <w:rFonts w:ascii="宋体" w:hAnsi="宋体" w:cs="宋体"/>
                <w:szCs w:val="21"/>
              </w:rPr>
            </w:pPr>
            <w:r>
              <w:rPr>
                <w:rFonts w:hint="eastAsia" w:ascii="宋体" w:hAnsi="宋体" w:cs="宋体"/>
                <w:szCs w:val="21"/>
              </w:rPr>
              <w:t>永安财产保险股份有限公司台州中心支公司</w:t>
            </w:r>
          </w:p>
        </w:tc>
        <w:tc>
          <w:tcPr>
            <w:tcW w:w="2260" w:type="dxa"/>
            <w:vAlign w:val="center"/>
          </w:tcPr>
          <w:p>
            <w:pPr>
              <w:spacing w:line="360" w:lineRule="auto"/>
              <w:jc w:val="center"/>
              <w:rPr>
                <w:rFonts w:ascii="宋体" w:hAnsi="宋体" w:cs="宋体"/>
                <w:szCs w:val="21"/>
              </w:rPr>
            </w:pPr>
            <w:r>
              <w:rPr>
                <w:rFonts w:hint="eastAsia" w:ascii="宋体" w:hAnsi="宋体" w:cs="宋体"/>
                <w:szCs w:val="21"/>
              </w:rPr>
              <w:t>年费率0.3%，最低保费1000</w:t>
            </w:r>
          </w:p>
        </w:tc>
        <w:tc>
          <w:tcPr>
            <w:tcW w:w="984" w:type="dxa"/>
            <w:vAlign w:val="center"/>
          </w:tcPr>
          <w:p>
            <w:pPr>
              <w:spacing w:line="360" w:lineRule="auto"/>
              <w:jc w:val="center"/>
              <w:rPr>
                <w:rFonts w:ascii="宋体" w:hAnsi="宋体" w:cs="宋体"/>
                <w:szCs w:val="21"/>
              </w:rPr>
            </w:pPr>
            <w:r>
              <w:rPr>
                <w:rFonts w:hint="eastAsia" w:ascii="宋体" w:hAnsi="宋体" w:cs="宋体"/>
                <w:szCs w:val="21"/>
              </w:rPr>
              <w:t>王春宇</w:t>
            </w:r>
          </w:p>
        </w:tc>
        <w:tc>
          <w:tcPr>
            <w:tcW w:w="1537" w:type="dxa"/>
            <w:vAlign w:val="center"/>
          </w:tcPr>
          <w:p>
            <w:pPr>
              <w:spacing w:line="360" w:lineRule="auto"/>
              <w:jc w:val="center"/>
              <w:rPr>
                <w:rFonts w:ascii="宋体" w:hAnsi="宋体" w:cs="宋体"/>
                <w:szCs w:val="21"/>
              </w:rPr>
            </w:pPr>
            <w:r>
              <w:rPr>
                <w:rFonts w:hint="eastAsia" w:ascii="宋体" w:hAnsi="宋体" w:cs="宋体"/>
                <w:szCs w:val="21"/>
              </w:rPr>
              <w:t>13676675331</w:t>
            </w:r>
          </w:p>
        </w:tc>
      </w:tr>
    </w:tbl>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预付款保函联系方式</w:t>
      </w:r>
    </w:p>
    <w:tbl>
      <w:tblPr>
        <w:tblStyle w:val="40"/>
        <w:tblW w:w="8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23"/>
        <w:gridCol w:w="2273"/>
        <w:gridCol w:w="984"/>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3723" w:type="dxa"/>
            <w:vAlign w:val="center"/>
          </w:tcPr>
          <w:p>
            <w:pPr>
              <w:spacing w:line="360" w:lineRule="auto"/>
              <w:jc w:val="center"/>
              <w:rPr>
                <w:rFonts w:ascii="宋体" w:hAnsi="宋体" w:cs="宋体"/>
                <w:szCs w:val="21"/>
              </w:rPr>
            </w:pPr>
            <w:r>
              <w:rPr>
                <w:rFonts w:hint="eastAsia" w:ascii="宋体" w:hAnsi="宋体" w:cs="宋体"/>
                <w:szCs w:val="21"/>
              </w:rPr>
              <w:t>保险公司名称</w:t>
            </w:r>
          </w:p>
        </w:tc>
        <w:tc>
          <w:tcPr>
            <w:tcW w:w="2273" w:type="dxa"/>
            <w:vAlign w:val="center"/>
          </w:tcPr>
          <w:p>
            <w:pPr>
              <w:spacing w:line="360" w:lineRule="auto"/>
              <w:jc w:val="center"/>
              <w:rPr>
                <w:rFonts w:ascii="宋体" w:hAnsi="宋体" w:cs="宋体"/>
                <w:szCs w:val="21"/>
              </w:rPr>
            </w:pPr>
            <w:r>
              <w:rPr>
                <w:rFonts w:hint="eastAsia" w:ascii="宋体" w:hAnsi="宋体" w:cs="宋体"/>
                <w:szCs w:val="21"/>
              </w:rPr>
              <w:t>保费率</w:t>
            </w:r>
          </w:p>
        </w:tc>
        <w:tc>
          <w:tcPr>
            <w:tcW w:w="984" w:type="dxa"/>
            <w:vAlign w:val="center"/>
          </w:tcPr>
          <w:p>
            <w:pPr>
              <w:spacing w:line="360" w:lineRule="auto"/>
              <w:jc w:val="center"/>
              <w:rPr>
                <w:rFonts w:ascii="宋体" w:hAnsi="宋体" w:cs="宋体"/>
                <w:szCs w:val="21"/>
              </w:rPr>
            </w:pPr>
            <w:r>
              <w:rPr>
                <w:rFonts w:hint="eastAsia" w:ascii="宋体" w:hAnsi="宋体" w:cs="宋体"/>
                <w:szCs w:val="21"/>
              </w:rPr>
              <w:t>联系人</w:t>
            </w:r>
          </w:p>
        </w:tc>
        <w:tc>
          <w:tcPr>
            <w:tcW w:w="1536" w:type="dxa"/>
            <w:vAlign w:val="center"/>
          </w:tcPr>
          <w:p>
            <w:pPr>
              <w:spacing w:line="360" w:lineRule="auto"/>
              <w:jc w:val="center"/>
              <w:rPr>
                <w:rFonts w:ascii="宋体" w:hAnsi="宋体" w:cs="宋体"/>
                <w:szCs w:val="21"/>
              </w:rPr>
            </w:pPr>
            <w:r>
              <w:rPr>
                <w:rFonts w:hint="eastAsia" w:ascii="宋体" w:hAnsi="宋体" w:cs="宋体"/>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723" w:type="dxa"/>
            <w:vAlign w:val="center"/>
          </w:tcPr>
          <w:p>
            <w:pPr>
              <w:spacing w:line="360" w:lineRule="auto"/>
              <w:jc w:val="center"/>
              <w:rPr>
                <w:rFonts w:ascii="宋体" w:hAnsi="宋体" w:cs="宋体"/>
                <w:szCs w:val="21"/>
              </w:rPr>
            </w:pPr>
            <w:r>
              <w:rPr>
                <w:rFonts w:hint="eastAsia" w:ascii="宋体" w:hAnsi="宋体" w:cs="宋体"/>
                <w:szCs w:val="21"/>
              </w:rPr>
              <w:t>中国人寿财产保险股份有限公司台州中心支公司</w:t>
            </w:r>
          </w:p>
        </w:tc>
        <w:tc>
          <w:tcPr>
            <w:tcW w:w="2273" w:type="dxa"/>
            <w:vAlign w:val="center"/>
          </w:tcPr>
          <w:p>
            <w:pPr>
              <w:spacing w:line="360" w:lineRule="auto"/>
              <w:jc w:val="center"/>
              <w:rPr>
                <w:rFonts w:ascii="宋体" w:hAnsi="宋体" w:cs="宋体"/>
                <w:szCs w:val="21"/>
              </w:rPr>
            </w:pPr>
            <w:r>
              <w:rPr>
                <w:rFonts w:hint="eastAsia" w:ascii="宋体" w:hAnsi="宋体" w:cs="宋体"/>
                <w:szCs w:val="21"/>
              </w:rPr>
              <w:t>年费率3%，最低保费500元</w:t>
            </w:r>
          </w:p>
        </w:tc>
        <w:tc>
          <w:tcPr>
            <w:tcW w:w="984" w:type="dxa"/>
            <w:vAlign w:val="center"/>
          </w:tcPr>
          <w:p>
            <w:pPr>
              <w:spacing w:line="360" w:lineRule="auto"/>
              <w:jc w:val="center"/>
              <w:rPr>
                <w:rFonts w:ascii="宋体" w:hAnsi="宋体" w:cs="宋体"/>
                <w:szCs w:val="21"/>
              </w:rPr>
            </w:pPr>
            <w:r>
              <w:rPr>
                <w:rFonts w:hint="eastAsia" w:ascii="宋体" w:hAnsi="宋体" w:cs="宋体"/>
                <w:szCs w:val="21"/>
              </w:rPr>
              <w:t>徐凌</w:t>
            </w:r>
          </w:p>
        </w:tc>
        <w:tc>
          <w:tcPr>
            <w:tcW w:w="1536" w:type="dxa"/>
            <w:vAlign w:val="center"/>
          </w:tcPr>
          <w:p>
            <w:pPr>
              <w:spacing w:line="360" w:lineRule="auto"/>
              <w:jc w:val="center"/>
              <w:rPr>
                <w:rFonts w:ascii="宋体" w:hAnsi="宋体" w:cs="宋体"/>
                <w:szCs w:val="21"/>
              </w:rPr>
            </w:pPr>
            <w:r>
              <w:rPr>
                <w:rFonts w:hint="eastAsia" w:ascii="宋体" w:hAnsi="宋体" w:cs="宋体"/>
                <w:szCs w:val="21"/>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723" w:type="dxa"/>
            <w:vAlign w:val="center"/>
          </w:tcPr>
          <w:p>
            <w:pPr>
              <w:spacing w:line="360" w:lineRule="auto"/>
              <w:jc w:val="center"/>
              <w:rPr>
                <w:rFonts w:ascii="宋体" w:hAnsi="宋体" w:cs="宋体"/>
                <w:szCs w:val="21"/>
              </w:rPr>
            </w:pPr>
            <w:r>
              <w:rPr>
                <w:rFonts w:hint="eastAsia" w:ascii="宋体" w:hAnsi="宋体" w:cs="宋体"/>
                <w:szCs w:val="21"/>
              </w:rPr>
              <w:t>阳光保险台州中心支公司</w:t>
            </w:r>
          </w:p>
        </w:tc>
        <w:tc>
          <w:tcPr>
            <w:tcW w:w="2273" w:type="dxa"/>
            <w:vAlign w:val="center"/>
          </w:tcPr>
          <w:p>
            <w:pPr>
              <w:spacing w:line="360" w:lineRule="auto"/>
              <w:jc w:val="center"/>
              <w:rPr>
                <w:rFonts w:ascii="宋体" w:hAnsi="宋体" w:cs="宋体"/>
                <w:szCs w:val="21"/>
              </w:rPr>
            </w:pPr>
            <w:r>
              <w:rPr>
                <w:rFonts w:hint="eastAsia" w:ascii="宋体" w:hAnsi="宋体" w:cs="宋体"/>
                <w:szCs w:val="21"/>
              </w:rPr>
              <w:t>年费率1%，最低保费500元</w:t>
            </w:r>
          </w:p>
        </w:tc>
        <w:tc>
          <w:tcPr>
            <w:tcW w:w="984" w:type="dxa"/>
            <w:vAlign w:val="center"/>
          </w:tcPr>
          <w:p>
            <w:pPr>
              <w:spacing w:line="360" w:lineRule="auto"/>
              <w:jc w:val="center"/>
              <w:rPr>
                <w:rFonts w:ascii="宋体" w:hAnsi="宋体" w:cs="宋体"/>
                <w:szCs w:val="21"/>
              </w:rPr>
            </w:pPr>
            <w:r>
              <w:rPr>
                <w:rFonts w:hint="eastAsia" w:ascii="宋体" w:hAnsi="宋体" w:cs="宋体"/>
                <w:szCs w:val="21"/>
              </w:rPr>
              <w:t>林高明</w:t>
            </w:r>
          </w:p>
        </w:tc>
        <w:tc>
          <w:tcPr>
            <w:tcW w:w="1536" w:type="dxa"/>
            <w:vAlign w:val="center"/>
          </w:tcPr>
          <w:p>
            <w:pPr>
              <w:spacing w:line="360" w:lineRule="auto"/>
              <w:jc w:val="center"/>
              <w:rPr>
                <w:rFonts w:ascii="宋体" w:hAnsi="宋体" w:cs="宋体"/>
                <w:szCs w:val="21"/>
              </w:rPr>
            </w:pPr>
            <w:r>
              <w:rPr>
                <w:rFonts w:hint="eastAsia" w:ascii="宋体" w:hAnsi="宋体" w:cs="宋体"/>
                <w:szCs w:val="21"/>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723" w:type="dxa"/>
            <w:vAlign w:val="center"/>
          </w:tcPr>
          <w:p>
            <w:pPr>
              <w:spacing w:line="360" w:lineRule="auto"/>
              <w:jc w:val="center"/>
              <w:rPr>
                <w:rFonts w:ascii="宋体" w:hAnsi="宋体" w:cs="宋体"/>
                <w:szCs w:val="21"/>
              </w:rPr>
            </w:pPr>
            <w:r>
              <w:rPr>
                <w:rFonts w:hint="eastAsia" w:ascii="宋体" w:hAnsi="宋体" w:cs="宋体"/>
                <w:szCs w:val="21"/>
              </w:rPr>
              <w:t>天安财产保险股份有限公司台州中心支公司</w:t>
            </w:r>
          </w:p>
        </w:tc>
        <w:tc>
          <w:tcPr>
            <w:tcW w:w="2273" w:type="dxa"/>
            <w:vAlign w:val="center"/>
          </w:tcPr>
          <w:p>
            <w:pPr>
              <w:spacing w:line="360" w:lineRule="auto"/>
              <w:jc w:val="center"/>
              <w:rPr>
                <w:rFonts w:ascii="宋体" w:hAnsi="宋体" w:cs="宋体"/>
                <w:szCs w:val="21"/>
              </w:rPr>
            </w:pPr>
            <w:r>
              <w:rPr>
                <w:rFonts w:hint="eastAsia" w:ascii="宋体" w:hAnsi="宋体" w:cs="宋体"/>
                <w:szCs w:val="21"/>
              </w:rPr>
              <w:t>年费率1%-2%，最低保费500元</w:t>
            </w:r>
          </w:p>
        </w:tc>
        <w:tc>
          <w:tcPr>
            <w:tcW w:w="984" w:type="dxa"/>
            <w:vAlign w:val="center"/>
          </w:tcPr>
          <w:p>
            <w:pPr>
              <w:spacing w:line="360" w:lineRule="auto"/>
              <w:jc w:val="center"/>
              <w:rPr>
                <w:rFonts w:ascii="宋体" w:hAnsi="宋体" w:cs="宋体"/>
                <w:szCs w:val="21"/>
              </w:rPr>
            </w:pPr>
            <w:r>
              <w:rPr>
                <w:rFonts w:hint="eastAsia" w:ascii="宋体" w:hAnsi="宋体" w:cs="宋体"/>
                <w:szCs w:val="21"/>
              </w:rPr>
              <w:t>罗赛</w:t>
            </w:r>
          </w:p>
        </w:tc>
        <w:tc>
          <w:tcPr>
            <w:tcW w:w="1536" w:type="dxa"/>
            <w:vAlign w:val="center"/>
          </w:tcPr>
          <w:p>
            <w:pPr>
              <w:spacing w:line="360" w:lineRule="auto"/>
              <w:jc w:val="center"/>
              <w:rPr>
                <w:rFonts w:ascii="宋体" w:hAnsi="宋体" w:cs="宋体"/>
                <w:szCs w:val="21"/>
              </w:rPr>
            </w:pPr>
            <w:r>
              <w:rPr>
                <w:rFonts w:hint="eastAsia" w:ascii="宋体" w:hAnsi="宋体" w:cs="宋体"/>
                <w:szCs w:val="21"/>
              </w:rPr>
              <w:t>13736605643</w:t>
            </w:r>
          </w:p>
        </w:tc>
      </w:tr>
    </w:tbl>
    <w:p>
      <w:pPr>
        <w:pStyle w:val="5"/>
        <w:ind w:firstLine="240"/>
        <w:rPr>
          <w:szCs w:val="21"/>
        </w:rPr>
      </w:pPr>
    </w:p>
    <w:p>
      <w:pPr>
        <w:pStyle w:val="4"/>
        <w:rPr>
          <w:rFonts w:ascii="宋体"/>
          <w:b/>
          <w:kern w:val="0"/>
          <w:sz w:val="21"/>
          <w:szCs w:val="21"/>
        </w:rPr>
      </w:pPr>
    </w:p>
    <w:p>
      <w:pPr>
        <w:spacing w:line="360" w:lineRule="auto"/>
        <w:rPr>
          <w:rFonts w:ascii="宋体" w:hAnsi="宋体" w:cs="宋体"/>
          <w:b/>
          <w:bCs/>
          <w:sz w:val="24"/>
          <w:szCs w:val="32"/>
        </w:rPr>
      </w:pPr>
    </w:p>
    <w:p>
      <w:pPr>
        <w:pStyle w:val="4"/>
      </w:pPr>
    </w:p>
    <w:p>
      <w:pPr>
        <w:spacing w:line="360" w:lineRule="auto"/>
        <w:rPr>
          <w:rFonts w:ascii="宋体" w:hAnsi="宋体" w:cs="宋体"/>
          <w:b/>
          <w:bCs/>
          <w:sz w:val="24"/>
          <w:szCs w:val="32"/>
        </w:rPr>
      </w:pPr>
    </w:p>
    <w:p>
      <w:pPr>
        <w:widowControl/>
        <w:jc w:val="left"/>
        <w:rPr>
          <w:rFonts w:ascii="宋体" w:hAnsi="宋体" w:cs="宋体"/>
          <w:b/>
          <w:bCs/>
          <w:sz w:val="24"/>
          <w:szCs w:val="32"/>
        </w:rPr>
      </w:pPr>
      <w:r>
        <w:rPr>
          <w:rFonts w:ascii="宋体" w:hAnsi="宋体" w:cs="宋体"/>
          <w:b/>
          <w:bCs/>
          <w:sz w:val="24"/>
          <w:szCs w:val="32"/>
        </w:rPr>
        <w:br w:type="page"/>
      </w:r>
    </w:p>
    <w:p>
      <w:pPr>
        <w:spacing w:line="360" w:lineRule="auto"/>
        <w:rPr>
          <w:rFonts w:ascii="宋体" w:hAnsi="宋体" w:cs="宋体"/>
          <w:b/>
          <w:bCs/>
          <w:szCs w:val="21"/>
        </w:rPr>
      </w:pPr>
      <w:r>
        <w:rPr>
          <w:rFonts w:hint="eastAsia" w:ascii="宋体" w:hAnsi="宋体" w:cs="宋体"/>
          <w:b/>
          <w:bCs/>
          <w:szCs w:val="21"/>
        </w:rPr>
        <w:t>一、总则</w:t>
      </w:r>
    </w:p>
    <w:p>
      <w:pPr>
        <w:spacing w:line="360" w:lineRule="auto"/>
        <w:ind w:firstLine="422" w:firstLineChars="200"/>
        <w:rPr>
          <w:rFonts w:ascii="宋体" w:hAnsi="宋体" w:cs="宋体"/>
          <w:b/>
          <w:bCs/>
          <w:szCs w:val="21"/>
        </w:rPr>
      </w:pPr>
      <w:r>
        <w:rPr>
          <w:rFonts w:hint="eastAsia" w:ascii="宋体" w:hAnsi="宋体" w:cs="宋体"/>
          <w:b/>
          <w:bCs/>
          <w:szCs w:val="21"/>
        </w:rPr>
        <w:t>（一）适用范围</w:t>
      </w:r>
    </w:p>
    <w:p>
      <w:pPr>
        <w:spacing w:line="360" w:lineRule="auto"/>
        <w:ind w:firstLine="420" w:firstLineChars="200"/>
        <w:rPr>
          <w:rFonts w:ascii="宋体" w:hAnsi="宋体" w:cs="宋体"/>
          <w:szCs w:val="21"/>
        </w:rPr>
      </w:pPr>
      <w:r>
        <w:rPr>
          <w:rFonts w:hint="eastAsia" w:ascii="宋体" w:hAnsi="宋体" w:cs="宋体"/>
          <w:szCs w:val="21"/>
        </w:rPr>
        <w:t>本招标文件适用于本次项目的招标、投标、评标、定标、验收、合同履约、付款等行为（法律、法规另有规定的，从其规定）。</w:t>
      </w:r>
    </w:p>
    <w:p>
      <w:pPr>
        <w:spacing w:line="360" w:lineRule="auto"/>
        <w:ind w:firstLine="422" w:firstLineChars="200"/>
        <w:rPr>
          <w:rFonts w:ascii="宋体" w:hAnsi="宋体" w:cs="宋体"/>
          <w:b/>
          <w:bCs/>
          <w:szCs w:val="21"/>
        </w:rPr>
      </w:pPr>
      <w:r>
        <w:rPr>
          <w:rFonts w:hint="eastAsia" w:ascii="宋体" w:hAnsi="宋体" w:cs="宋体"/>
          <w:b/>
          <w:bCs/>
          <w:szCs w:val="21"/>
        </w:rPr>
        <w:t>（二）定义</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zh-CN"/>
        </w:rPr>
        <w:t>“采购组织机构”指采购人委托组织招标的采购代理机构。</w:t>
      </w:r>
    </w:p>
    <w:p>
      <w:pPr>
        <w:spacing w:line="360" w:lineRule="auto"/>
        <w:ind w:firstLine="420" w:firstLineChars="200"/>
        <w:rPr>
          <w:rFonts w:ascii="宋体" w:hAnsi="宋体" w:cs="宋体"/>
          <w:szCs w:val="21"/>
        </w:rPr>
      </w:pPr>
      <w:r>
        <w:rPr>
          <w:rFonts w:hint="eastAsia" w:ascii="宋体" w:hAnsi="宋体" w:cs="宋体"/>
          <w:szCs w:val="21"/>
        </w:rPr>
        <w:t>2、采购人：是指委托采购代理机构采购本次项目的国家机关、事业单位和团体组织。</w:t>
      </w:r>
    </w:p>
    <w:p>
      <w:pPr>
        <w:spacing w:line="360" w:lineRule="auto"/>
        <w:ind w:firstLine="420" w:firstLineChars="200"/>
        <w:rPr>
          <w:rFonts w:ascii="宋体" w:hAnsi="宋体" w:cs="宋体"/>
          <w:szCs w:val="21"/>
        </w:rPr>
      </w:pPr>
      <w:r>
        <w:rPr>
          <w:rFonts w:hint="eastAsia" w:ascii="宋体" w:hAnsi="宋体" w:cs="宋体"/>
          <w:szCs w:val="21"/>
        </w:rPr>
        <w:t>3、投标人：是指向采购</w:t>
      </w:r>
      <w:r>
        <w:rPr>
          <w:rFonts w:hint="eastAsia" w:ascii="宋体" w:hAnsi="宋体" w:cs="宋体"/>
          <w:szCs w:val="21"/>
          <w:lang w:val="zh-CN"/>
        </w:rPr>
        <w:t>组织</w:t>
      </w:r>
      <w:r>
        <w:rPr>
          <w:rFonts w:hint="eastAsia" w:ascii="宋体" w:hAnsi="宋体" w:cs="宋体"/>
          <w:szCs w:val="21"/>
        </w:rPr>
        <w:t>机构提交投标文件的单位或个人。</w:t>
      </w:r>
    </w:p>
    <w:p>
      <w:pPr>
        <w:spacing w:line="360" w:lineRule="auto"/>
        <w:ind w:firstLine="420" w:firstLineChars="200"/>
        <w:rPr>
          <w:rFonts w:ascii="宋体" w:hAnsi="宋体" w:cs="宋体"/>
          <w:szCs w:val="21"/>
        </w:rPr>
      </w:pPr>
      <w:r>
        <w:rPr>
          <w:rFonts w:hint="eastAsia" w:ascii="宋体" w:hAnsi="宋体" w:cs="宋体"/>
          <w:szCs w:val="21"/>
        </w:rPr>
        <w:t>4、货物：是指各种形态和种类的物品，包括原材料、燃料、设备、产品等。</w:t>
      </w:r>
    </w:p>
    <w:p>
      <w:pPr>
        <w:spacing w:line="360" w:lineRule="auto"/>
        <w:ind w:firstLine="420" w:firstLineChars="200"/>
        <w:rPr>
          <w:rFonts w:ascii="宋体" w:hAnsi="宋体" w:cs="宋体"/>
          <w:szCs w:val="21"/>
        </w:rPr>
      </w:pPr>
      <w:r>
        <w:rPr>
          <w:rFonts w:hint="eastAsia" w:ascii="宋体" w:hAnsi="宋体" w:cs="宋体"/>
          <w:szCs w:val="21"/>
        </w:rPr>
        <w:t>5、服务：是指除货物和工程以外的政府采购对象，包括各类专业服务、信息网络开发服务、金融保险服务、运输服务，以及维修与维护服务等。</w:t>
      </w:r>
    </w:p>
    <w:p>
      <w:pPr>
        <w:spacing w:line="360" w:lineRule="auto"/>
        <w:ind w:firstLine="420" w:firstLineChars="200"/>
        <w:rPr>
          <w:rFonts w:ascii="宋体" w:hAnsi="宋体" w:cs="宋体"/>
          <w:szCs w:val="21"/>
        </w:rPr>
      </w:pPr>
      <w:r>
        <w:rPr>
          <w:rFonts w:hint="eastAsia" w:ascii="宋体" w:hAnsi="宋体" w:cs="宋体"/>
          <w:szCs w:val="21"/>
        </w:rPr>
        <w:t>6、“书面形式”包括信函、传真等。</w:t>
      </w:r>
    </w:p>
    <w:p>
      <w:pPr>
        <w:spacing w:line="360" w:lineRule="auto"/>
        <w:ind w:firstLine="420" w:firstLineChars="200"/>
        <w:rPr>
          <w:rFonts w:ascii="宋体" w:hAnsi="宋体" w:cs="宋体"/>
          <w:szCs w:val="21"/>
        </w:rPr>
      </w:pPr>
      <w:r>
        <w:rPr>
          <w:rFonts w:hint="eastAsia" w:ascii="宋体" w:hAnsi="宋体" w:cs="宋体"/>
          <w:szCs w:val="21"/>
        </w:rPr>
        <w:t>7、“▲”系指实质性要求条款。</w:t>
      </w:r>
    </w:p>
    <w:p>
      <w:pPr>
        <w:spacing w:line="360" w:lineRule="auto"/>
        <w:ind w:firstLine="422" w:firstLineChars="200"/>
        <w:rPr>
          <w:rFonts w:ascii="宋体" w:hAnsi="宋体" w:cs="宋体"/>
          <w:b/>
          <w:bCs/>
          <w:szCs w:val="21"/>
        </w:rPr>
      </w:pPr>
      <w:r>
        <w:rPr>
          <w:rFonts w:hint="eastAsia" w:ascii="宋体" w:hAnsi="宋体" w:cs="宋体"/>
          <w:b/>
          <w:bCs/>
          <w:szCs w:val="21"/>
        </w:rPr>
        <w:t>（三）投标费用</w:t>
      </w:r>
    </w:p>
    <w:p>
      <w:pPr>
        <w:spacing w:line="360" w:lineRule="auto"/>
        <w:ind w:firstLine="420" w:firstLineChars="200"/>
        <w:rPr>
          <w:rFonts w:ascii="宋体" w:hAnsi="宋体" w:cs="宋体"/>
          <w:szCs w:val="21"/>
        </w:rPr>
      </w:pPr>
      <w:r>
        <w:rPr>
          <w:rFonts w:hint="eastAsia" w:ascii="宋体" w:hAnsi="宋体" w:cs="宋体"/>
          <w:szCs w:val="21"/>
        </w:rPr>
        <w:t>不论投标结果如何，投标人均应自行承担所有与投标有关的全部费用（招标文件有相关规定除外）。</w:t>
      </w:r>
    </w:p>
    <w:p>
      <w:pPr>
        <w:spacing w:line="360" w:lineRule="auto"/>
        <w:ind w:firstLine="422" w:firstLineChars="200"/>
        <w:rPr>
          <w:rFonts w:ascii="宋体" w:hAnsi="宋体" w:cs="宋体"/>
          <w:b/>
          <w:bCs/>
          <w:szCs w:val="21"/>
        </w:rPr>
      </w:pPr>
      <w:r>
        <w:rPr>
          <w:rFonts w:hint="eastAsia" w:ascii="宋体" w:hAnsi="宋体" w:cs="宋体"/>
          <w:b/>
          <w:bCs/>
          <w:szCs w:val="21"/>
        </w:rPr>
        <w:t>（四）特别说明</w:t>
      </w:r>
    </w:p>
    <w:p>
      <w:pPr>
        <w:spacing w:line="360" w:lineRule="auto"/>
        <w:ind w:firstLine="420" w:firstLineChars="200"/>
        <w:jc w:val="left"/>
        <w:rPr>
          <w:rFonts w:ascii="宋体" w:hAnsi="宋体" w:cs="宋体"/>
          <w:szCs w:val="21"/>
        </w:rPr>
      </w:pPr>
      <w:r>
        <w:rPr>
          <w:rFonts w:hint="eastAsia" w:ascii="宋体" w:hAnsi="宋体" w:cs="宋体"/>
          <w:szCs w:val="21"/>
        </w:rPr>
        <w:t>1、投标人投标所使用的资格、信誉、荣誉、业绩与企业认证必须为本法人所拥有。投标人投标所使用的采购项目实施人员必须为本法人员工（指本法人或控股公司正式员工）。</w:t>
      </w:r>
    </w:p>
    <w:p>
      <w:pPr>
        <w:spacing w:line="360" w:lineRule="auto"/>
        <w:ind w:firstLine="420" w:firstLineChars="200"/>
        <w:jc w:val="left"/>
        <w:rPr>
          <w:rFonts w:ascii="宋体" w:hAnsi="宋体" w:cs="宋体"/>
          <w:szCs w:val="21"/>
        </w:rPr>
      </w:pPr>
      <w:r>
        <w:rPr>
          <w:rFonts w:hint="eastAsia" w:ascii="宋体" w:hAnsi="宋体" w:cs="宋体"/>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人所投产品、投标文件技术参数与招标需求存在重大偏离、错误、甚至造假的情况，应提供具体有效的证明材料。</w:t>
      </w:r>
      <w:r>
        <w:rPr>
          <w:rFonts w:hint="eastAsia" w:ascii="宋体" w:hAnsi="宋体" w:cs="宋体"/>
          <w:szCs w:val="21"/>
        </w:rPr>
        <w:tab/>
      </w:r>
    </w:p>
    <w:p>
      <w:pPr>
        <w:spacing w:line="360" w:lineRule="auto"/>
        <w:ind w:firstLine="420" w:firstLineChars="200"/>
        <w:jc w:val="left"/>
        <w:rPr>
          <w:rFonts w:ascii="宋体" w:hAnsi="宋体" w:cs="宋体"/>
          <w:szCs w:val="21"/>
        </w:rPr>
      </w:pPr>
      <w:r>
        <w:rPr>
          <w:rFonts w:hint="eastAsia" w:ascii="宋体" w:hAnsi="宋体" w:cs="宋体"/>
          <w:szCs w:val="21"/>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20" w:firstLineChars="200"/>
        <w:jc w:val="left"/>
        <w:rPr>
          <w:rFonts w:ascii="宋体" w:hAnsi="宋体" w:cs="宋体"/>
          <w:szCs w:val="21"/>
        </w:rPr>
      </w:pPr>
      <w:r>
        <w:rPr>
          <w:rFonts w:hint="eastAsia" w:ascii="宋体" w:hAnsi="宋体" w:cs="宋体"/>
          <w:szCs w:val="21"/>
        </w:rPr>
        <w:t>4、投标人不得相互串通投标报价，不得妨碍其他投标人的公平竞争，不得损害采购人或其他投标人的合法权益，投标人不得以向采购人、评标委员会成员行贿或者采取其他不正当手段谋取中标。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20" w:firstLineChars="200"/>
        <w:jc w:val="left"/>
        <w:rPr>
          <w:rFonts w:ascii="宋体" w:hAnsi="宋体" w:cs="宋体"/>
          <w:szCs w:val="21"/>
        </w:rPr>
      </w:pPr>
      <w:r>
        <w:rPr>
          <w:rFonts w:hint="eastAsia" w:ascii="宋体" w:hAnsi="宋体" w:cs="宋体"/>
          <w:szCs w:val="21"/>
        </w:rPr>
        <w:t>5、为采购项目提供整体设计、规范编制或者项目管理、监理、检测等服务的供应商，不得再参加该采购项目的其他采购活动。</w:t>
      </w:r>
    </w:p>
    <w:p>
      <w:pPr>
        <w:spacing w:line="360" w:lineRule="auto"/>
        <w:ind w:firstLine="420" w:firstLineChars="200"/>
        <w:jc w:val="left"/>
        <w:rPr>
          <w:rFonts w:ascii="宋体" w:hAnsi="宋体" w:cs="宋体"/>
          <w:szCs w:val="21"/>
        </w:rPr>
      </w:pPr>
      <w:r>
        <w:rPr>
          <w:rFonts w:hint="eastAsia" w:ascii="宋体" w:hAnsi="宋体" w:cs="宋体"/>
          <w:szCs w:val="21"/>
        </w:rPr>
        <w:t>6、投标文件格式中的表格式样可以根据项目差别做适当调整，但应当保持表格样式基本形态不变。</w:t>
      </w:r>
    </w:p>
    <w:p>
      <w:pPr>
        <w:spacing w:line="360" w:lineRule="auto"/>
        <w:ind w:firstLine="420" w:firstLineChars="200"/>
        <w:jc w:val="left"/>
        <w:rPr>
          <w:rFonts w:ascii="宋体" w:hAnsi="宋体" w:cs="宋体"/>
          <w:szCs w:val="21"/>
        </w:rPr>
      </w:pPr>
      <w:r>
        <w:rPr>
          <w:rFonts w:hint="eastAsia" w:ascii="宋体" w:hAnsi="宋体" w:cs="宋体"/>
          <w:szCs w:val="21"/>
        </w:rPr>
        <w:t>7、单位负责人为同一人或者存在直接控股、管理关系的不同供应商，不得参加同一合同项下的政府采购活动。</w:t>
      </w:r>
    </w:p>
    <w:p>
      <w:pPr>
        <w:spacing w:line="360" w:lineRule="auto"/>
        <w:ind w:firstLine="420" w:firstLineChars="200"/>
        <w:jc w:val="left"/>
        <w:rPr>
          <w:rFonts w:ascii="宋体" w:hAnsi="宋体" w:cs="宋体"/>
          <w:szCs w:val="21"/>
        </w:rPr>
      </w:pPr>
      <w:r>
        <w:rPr>
          <w:rFonts w:hint="eastAsia" w:ascii="宋体" w:hAnsi="宋体" w:cs="宋体"/>
          <w:szCs w:val="21"/>
        </w:rPr>
        <w:t>8、本项目不允许分包。</w:t>
      </w:r>
    </w:p>
    <w:p>
      <w:pPr>
        <w:spacing w:line="360" w:lineRule="auto"/>
        <w:rPr>
          <w:rFonts w:ascii="宋体" w:hAnsi="宋体" w:cs="宋体"/>
          <w:b/>
          <w:bCs/>
          <w:szCs w:val="21"/>
        </w:rPr>
      </w:pPr>
      <w:r>
        <w:rPr>
          <w:rFonts w:hint="eastAsia" w:ascii="宋体" w:hAnsi="宋体" w:cs="宋体"/>
          <w:b/>
          <w:bCs/>
          <w:szCs w:val="21"/>
        </w:rPr>
        <w:t>二、招标文件</w:t>
      </w:r>
    </w:p>
    <w:p>
      <w:pPr>
        <w:spacing w:line="360" w:lineRule="auto"/>
        <w:ind w:firstLine="420" w:firstLineChars="200"/>
        <w:rPr>
          <w:rFonts w:ascii="宋体" w:hAnsi="宋体" w:cs="宋体"/>
          <w:szCs w:val="21"/>
        </w:rPr>
      </w:pPr>
      <w:r>
        <w:rPr>
          <w:rFonts w:hint="eastAsia" w:ascii="宋体" w:hAnsi="宋体" w:cs="宋体"/>
          <w:szCs w:val="21"/>
        </w:rPr>
        <w:t>（一）招标文件由招标文件总目录所列内容组成。</w:t>
      </w:r>
    </w:p>
    <w:p>
      <w:pPr>
        <w:spacing w:line="360" w:lineRule="auto"/>
        <w:ind w:firstLine="420" w:firstLineChars="200"/>
        <w:rPr>
          <w:rFonts w:ascii="宋体" w:hAnsi="宋体" w:cs="宋体"/>
          <w:szCs w:val="21"/>
        </w:rPr>
      </w:pPr>
      <w:r>
        <w:rPr>
          <w:rFonts w:hint="eastAsia" w:ascii="宋体" w:hAnsi="宋体" w:cs="宋体"/>
          <w:szCs w:val="21"/>
        </w:rPr>
        <w:t>（二）招标文件的澄清或修改</w:t>
      </w:r>
    </w:p>
    <w:p>
      <w:pPr>
        <w:spacing w:line="360" w:lineRule="auto"/>
        <w:ind w:firstLine="420" w:firstLineChars="200"/>
        <w:rPr>
          <w:rFonts w:ascii="宋体" w:hAnsi="宋体" w:cs="宋体"/>
          <w:szCs w:val="21"/>
        </w:rPr>
      </w:pPr>
      <w:r>
        <w:rPr>
          <w:rFonts w:hint="eastAsia" w:ascii="宋体" w:hAnsi="宋体" w:cs="宋体"/>
          <w:szCs w:val="21"/>
        </w:rPr>
        <w:t>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w:t>
      </w:r>
    </w:p>
    <w:p>
      <w:pPr>
        <w:spacing w:line="360" w:lineRule="auto"/>
        <w:ind w:firstLine="420" w:firstLineChars="200"/>
        <w:rPr>
          <w:rFonts w:ascii="宋体" w:hAnsi="宋体" w:cs="宋体"/>
          <w:szCs w:val="21"/>
        </w:rPr>
      </w:pPr>
      <w:r>
        <w:rPr>
          <w:rFonts w:hint="eastAsia" w:ascii="宋体" w:hAnsi="宋体" w:cs="宋体"/>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rPr>
          <w:rFonts w:ascii="宋体" w:hAnsi="宋体" w:cs="宋体"/>
          <w:b/>
          <w:bCs/>
          <w:szCs w:val="21"/>
        </w:rPr>
      </w:pPr>
      <w:r>
        <w:rPr>
          <w:rFonts w:hint="eastAsia" w:ascii="宋体" w:hAnsi="宋体" w:cs="宋体"/>
          <w:b/>
          <w:bCs/>
          <w:szCs w:val="21"/>
        </w:rPr>
        <w:t>三、投标文件</w:t>
      </w:r>
    </w:p>
    <w:p>
      <w:pPr>
        <w:spacing w:line="360" w:lineRule="auto"/>
        <w:ind w:firstLine="422" w:firstLineChars="200"/>
        <w:rPr>
          <w:rFonts w:ascii="宋体" w:hAnsi="宋体" w:cs="宋体"/>
          <w:b/>
          <w:bCs/>
          <w:szCs w:val="21"/>
        </w:rPr>
      </w:pPr>
      <w:r>
        <w:rPr>
          <w:rFonts w:hint="eastAsia" w:ascii="宋体" w:hAnsi="宋体" w:cs="宋体"/>
          <w:b/>
          <w:bCs/>
          <w:szCs w:val="21"/>
          <w:lang w:val="zh-CN"/>
        </w:rPr>
        <w:t>（一）</w:t>
      </w:r>
      <w:r>
        <w:rPr>
          <w:rFonts w:hint="eastAsia" w:ascii="宋体" w:hAnsi="宋体" w:cs="宋体"/>
          <w:b/>
          <w:bCs/>
          <w:szCs w:val="21"/>
        </w:rPr>
        <w:t>投标文件的组成</w:t>
      </w:r>
    </w:p>
    <w:p>
      <w:pPr>
        <w:spacing w:line="360" w:lineRule="auto"/>
        <w:ind w:firstLine="420" w:firstLineChars="200"/>
        <w:rPr>
          <w:rFonts w:ascii="宋体" w:hAnsi="宋体" w:cs="宋体"/>
          <w:szCs w:val="21"/>
          <w:lang w:val="zh-CN"/>
        </w:rPr>
      </w:pPr>
      <w:r>
        <w:rPr>
          <w:rFonts w:hint="eastAsia" w:ascii="宋体" w:hAnsi="宋体" w:cs="宋体"/>
          <w:szCs w:val="21"/>
        </w:rPr>
        <w:t>投标人接到招标文件后，按照采购组织机构的要求提供：资格证明文件、商务与技术文件和报价文件。</w:t>
      </w:r>
    </w:p>
    <w:p>
      <w:pPr>
        <w:spacing w:line="360" w:lineRule="auto"/>
        <w:ind w:firstLine="422" w:firstLineChars="200"/>
        <w:rPr>
          <w:rFonts w:ascii="宋体" w:hAnsi="宋体" w:cs="宋体"/>
          <w:b/>
          <w:bCs/>
          <w:szCs w:val="21"/>
        </w:rPr>
      </w:pPr>
      <w:r>
        <w:rPr>
          <w:rFonts w:hint="eastAsia" w:ascii="宋体" w:hAnsi="宋体" w:cs="宋体"/>
          <w:b/>
          <w:bCs/>
          <w:szCs w:val="21"/>
        </w:rPr>
        <w:t>1、资格及商务技术文件的组成</w:t>
      </w:r>
    </w:p>
    <w:p>
      <w:pPr>
        <w:spacing w:line="360" w:lineRule="auto"/>
        <w:ind w:firstLine="420" w:firstLineChars="200"/>
        <w:rPr>
          <w:rFonts w:ascii="宋体" w:hAnsi="宋体" w:cs="宋体"/>
          <w:szCs w:val="21"/>
        </w:rPr>
      </w:pPr>
      <w:r>
        <w:rPr>
          <w:rFonts w:hint="eastAsia" w:ascii="宋体" w:hAnsi="宋体" w:cs="宋体"/>
          <w:szCs w:val="21"/>
        </w:rPr>
        <w:t>资格及商务技术文件由资格证明文件、商务与技术文件两部分内容组成。</w:t>
      </w:r>
    </w:p>
    <w:p>
      <w:pPr>
        <w:spacing w:line="360" w:lineRule="auto"/>
        <w:ind w:firstLine="422" w:firstLineChars="200"/>
        <w:rPr>
          <w:rFonts w:ascii="宋体" w:hAnsi="宋体" w:cs="宋体"/>
          <w:b/>
          <w:bCs/>
          <w:szCs w:val="21"/>
        </w:rPr>
      </w:pPr>
      <w:r>
        <w:rPr>
          <w:rFonts w:hint="eastAsia" w:ascii="宋体" w:hAnsi="宋体" w:cs="宋体"/>
          <w:b/>
          <w:bCs/>
          <w:szCs w:val="21"/>
        </w:rPr>
        <w:t>第一部分资格证明文件的组成：</w:t>
      </w:r>
    </w:p>
    <w:p>
      <w:pPr>
        <w:spacing w:line="360" w:lineRule="auto"/>
        <w:ind w:firstLine="420" w:firstLineChars="200"/>
        <w:rPr>
          <w:rFonts w:ascii="宋体" w:hAnsi="宋体" w:cs="宋体"/>
          <w:szCs w:val="21"/>
        </w:rPr>
      </w:pPr>
      <w:r>
        <w:rPr>
          <w:rFonts w:hint="eastAsia" w:ascii="宋体" w:hAnsi="宋体" w:cs="宋体"/>
          <w:szCs w:val="21"/>
        </w:rPr>
        <w:t>（1）投标声明书；</w:t>
      </w:r>
    </w:p>
    <w:p>
      <w:pPr>
        <w:spacing w:line="360" w:lineRule="auto"/>
        <w:ind w:firstLine="420" w:firstLineChars="200"/>
        <w:rPr>
          <w:rFonts w:ascii="宋体" w:hAnsi="宋体" w:cs="宋体"/>
          <w:szCs w:val="21"/>
        </w:rPr>
      </w:pPr>
      <w:r>
        <w:rPr>
          <w:rFonts w:hint="eastAsia" w:ascii="宋体" w:hAnsi="宋体" w:cs="宋体"/>
          <w:szCs w:val="21"/>
        </w:rPr>
        <w:t>（2）授权委托书（法定代表人亲自办理投标事宜的，则无需提交本证明书)；</w:t>
      </w:r>
    </w:p>
    <w:p>
      <w:pPr>
        <w:spacing w:line="360" w:lineRule="auto"/>
        <w:ind w:firstLine="420" w:firstLineChars="200"/>
        <w:rPr>
          <w:rFonts w:ascii="宋体" w:hAnsi="宋体" w:cs="宋体"/>
          <w:szCs w:val="21"/>
        </w:rPr>
      </w:pPr>
      <w:r>
        <w:rPr>
          <w:rFonts w:hint="eastAsia" w:ascii="宋体" w:hAnsi="宋体" w:cs="宋体"/>
          <w:szCs w:val="21"/>
        </w:rPr>
        <w:t>（3）法人或者其他组织的营业执照等证明文件，自然人的身份证明；</w:t>
      </w:r>
    </w:p>
    <w:p>
      <w:pPr>
        <w:spacing w:line="360" w:lineRule="auto"/>
        <w:ind w:firstLine="420" w:firstLineChars="200"/>
        <w:rPr>
          <w:rFonts w:ascii="宋体" w:hAnsi="宋体" w:cs="宋体"/>
          <w:szCs w:val="21"/>
        </w:rPr>
      </w:pPr>
      <w:r>
        <w:rPr>
          <w:rFonts w:hint="eastAsia" w:ascii="宋体" w:hAnsi="宋体" w:cs="宋体"/>
          <w:szCs w:val="21"/>
        </w:rPr>
        <w:t>（4）财务状况报告，依法缴纳税收和社会保障资金的相关材料；</w:t>
      </w:r>
    </w:p>
    <w:p>
      <w:pPr>
        <w:spacing w:line="360" w:lineRule="auto"/>
        <w:ind w:firstLine="420" w:firstLineChars="200"/>
        <w:rPr>
          <w:rFonts w:ascii="宋体" w:hAnsi="宋体" w:cs="宋体"/>
          <w:szCs w:val="21"/>
        </w:rPr>
      </w:pPr>
      <w:r>
        <w:rPr>
          <w:rFonts w:hint="eastAsia" w:ascii="宋体" w:hAnsi="宋体" w:cs="宋体"/>
          <w:szCs w:val="21"/>
        </w:rPr>
        <w:t>（5）具备履行合同所必需的设备和专业技术能力的证明材料；</w:t>
      </w:r>
    </w:p>
    <w:p>
      <w:pPr>
        <w:spacing w:line="360" w:lineRule="auto"/>
        <w:ind w:firstLine="420" w:firstLineChars="200"/>
        <w:rPr>
          <w:rFonts w:ascii="宋体" w:hAnsi="宋体" w:cs="宋体"/>
          <w:szCs w:val="21"/>
        </w:rPr>
      </w:pPr>
      <w:r>
        <w:rPr>
          <w:rFonts w:hint="eastAsia" w:ascii="宋体" w:hAnsi="宋体" w:cs="宋体"/>
          <w:szCs w:val="21"/>
        </w:rPr>
        <w:t>（6）提供采购公告中符合供应商特定条件的有效资质证书复印件（投标供应商特定条件中有要求的必须提供），以及需要说明的其他资料；</w:t>
      </w:r>
    </w:p>
    <w:p>
      <w:pPr>
        <w:spacing w:line="360" w:lineRule="auto"/>
        <w:ind w:firstLine="422" w:firstLineChars="200"/>
        <w:rPr>
          <w:rFonts w:ascii="宋体" w:hAnsi="宋体" w:cs="宋体"/>
          <w:b/>
          <w:bCs/>
          <w:szCs w:val="21"/>
        </w:rPr>
      </w:pPr>
      <w:r>
        <w:rPr>
          <w:rFonts w:hint="eastAsia" w:ascii="宋体" w:hAnsi="宋体" w:cs="宋体"/>
          <w:b/>
          <w:bCs/>
          <w:szCs w:val="21"/>
        </w:rPr>
        <w:t>第二部分商务与技术文件的组成：</w:t>
      </w:r>
    </w:p>
    <w:p>
      <w:pPr>
        <w:spacing w:line="360" w:lineRule="auto"/>
        <w:ind w:firstLine="420" w:firstLineChars="200"/>
        <w:rPr>
          <w:rFonts w:ascii="宋体" w:hAnsi="宋体" w:cs="宋体"/>
          <w:szCs w:val="21"/>
        </w:rPr>
      </w:pPr>
      <w:r>
        <w:rPr>
          <w:rFonts w:hint="eastAsia" w:ascii="宋体" w:hAnsi="宋体" w:cs="宋体"/>
          <w:szCs w:val="21"/>
        </w:rPr>
        <w:t>（1）投标人情况介绍（人员与技术力量、企业规模、经营业绩等）。</w:t>
      </w:r>
    </w:p>
    <w:p>
      <w:pPr>
        <w:spacing w:line="360" w:lineRule="auto"/>
        <w:ind w:firstLine="420" w:firstLineChars="200"/>
        <w:rPr>
          <w:rFonts w:ascii="宋体" w:hAnsi="宋体" w:cs="宋体"/>
          <w:szCs w:val="21"/>
        </w:rPr>
      </w:pPr>
      <w:r>
        <w:rPr>
          <w:rFonts w:hint="eastAsia" w:ascii="宋体" w:hAnsi="宋体" w:cs="宋体"/>
          <w:szCs w:val="21"/>
        </w:rPr>
        <w:t>（2）投标方案描述：</w:t>
      </w:r>
    </w:p>
    <w:p>
      <w:pPr>
        <w:spacing w:line="360" w:lineRule="auto"/>
        <w:ind w:firstLine="420" w:firstLineChars="200"/>
        <w:rPr>
          <w:rFonts w:ascii="宋体" w:hAnsi="宋体" w:cs="宋体"/>
          <w:szCs w:val="21"/>
        </w:rPr>
      </w:pPr>
      <w:r>
        <w:rPr>
          <w:rFonts w:hint="eastAsia" w:ascii="宋体" w:hAnsi="宋体" w:cs="宋体"/>
          <w:szCs w:val="21"/>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pacing w:line="360" w:lineRule="auto"/>
        <w:ind w:firstLine="420" w:firstLineChars="200"/>
        <w:rPr>
          <w:rFonts w:ascii="宋体" w:hAnsi="宋体" w:cs="宋体"/>
          <w:szCs w:val="21"/>
        </w:rPr>
      </w:pPr>
      <w:r>
        <w:rPr>
          <w:rFonts w:hint="eastAsia" w:ascii="宋体" w:hAnsi="宋体" w:cs="宋体"/>
          <w:szCs w:val="21"/>
        </w:rPr>
        <w:t>B.项目组织实施方案（包括项目工期、确保项目质量的措施或方案、项目实施进度安排、项目实施人员及项目负责人的资质、类似经验及社保证明等）。</w:t>
      </w:r>
    </w:p>
    <w:p>
      <w:pPr>
        <w:spacing w:line="360" w:lineRule="auto"/>
        <w:ind w:firstLine="420" w:firstLineChars="200"/>
        <w:rPr>
          <w:rFonts w:ascii="宋体" w:hAnsi="宋体" w:cs="宋体"/>
          <w:szCs w:val="21"/>
        </w:rPr>
      </w:pPr>
      <w:r>
        <w:rPr>
          <w:rFonts w:hint="eastAsia" w:ascii="宋体" w:hAnsi="宋体" w:cs="宋体"/>
          <w:szCs w:val="21"/>
        </w:rPr>
        <w:t>C.安装、调试及验收方案（包括项目验收标准和验收方法等）和措施；</w:t>
      </w:r>
    </w:p>
    <w:p>
      <w:pPr>
        <w:spacing w:line="360" w:lineRule="auto"/>
        <w:ind w:firstLine="420" w:firstLineChars="200"/>
        <w:rPr>
          <w:rFonts w:ascii="宋体" w:hAnsi="宋体" w:cs="宋体"/>
          <w:szCs w:val="21"/>
        </w:rPr>
      </w:pPr>
      <w:r>
        <w:rPr>
          <w:rFonts w:hint="eastAsia" w:ascii="宋体" w:hAnsi="宋体" w:cs="宋体"/>
          <w:szCs w:val="21"/>
        </w:rPr>
        <w:t>（3）投标描述及相关资料：</w:t>
      </w:r>
    </w:p>
    <w:p>
      <w:pPr>
        <w:spacing w:line="360" w:lineRule="auto"/>
        <w:ind w:firstLine="420" w:firstLineChars="200"/>
        <w:rPr>
          <w:rFonts w:ascii="宋体" w:hAnsi="宋体" w:cs="宋体"/>
          <w:szCs w:val="21"/>
        </w:rPr>
      </w:pPr>
      <w:r>
        <w:rPr>
          <w:rFonts w:hint="eastAsia" w:ascii="宋体" w:hAnsi="宋体" w:cs="宋体"/>
          <w:szCs w:val="21"/>
        </w:rPr>
        <w:t>A.投标人提供的产品供货清单及原产地</w:t>
      </w:r>
      <w:r>
        <w:rPr>
          <w:rFonts w:hint="eastAsia" w:ascii="宋体" w:hAnsi="宋体" w:cs="宋体"/>
          <w:b/>
          <w:bCs/>
          <w:szCs w:val="21"/>
        </w:rPr>
        <w:t>（均不含报价）</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B.商务及技术响应表。</w:t>
      </w:r>
    </w:p>
    <w:p>
      <w:pPr>
        <w:spacing w:line="360" w:lineRule="auto"/>
        <w:ind w:firstLine="420" w:firstLineChars="200"/>
        <w:rPr>
          <w:rFonts w:ascii="宋体" w:hAnsi="宋体" w:cs="宋体"/>
          <w:szCs w:val="21"/>
        </w:rPr>
      </w:pPr>
      <w:r>
        <w:rPr>
          <w:rFonts w:hint="eastAsia" w:ascii="宋体" w:hAnsi="宋体" w:cs="宋体"/>
          <w:szCs w:val="21"/>
        </w:rPr>
        <w:t>C.投标产品中有节能产品的，应列明投标产品中有列入最新一期财政部、发展改革委公布的“节能产品政府采购品目清单”明细（提供所投产品在清单中所处的页码、截图，并以明显标识标注）；投标产品中有环保产品的，应列明投标产品中有列入最新一期财政部、生态环境部公布的“环境标志产品政府采购品目清单”明细（提供所投产品在清单中所处的页码、截图，并以明显标识标注）。</w:t>
      </w:r>
    </w:p>
    <w:p>
      <w:pPr>
        <w:spacing w:line="360" w:lineRule="auto"/>
        <w:ind w:firstLine="420" w:firstLineChars="200"/>
        <w:rPr>
          <w:rFonts w:ascii="宋体" w:hAnsi="宋体" w:cs="宋体"/>
          <w:szCs w:val="21"/>
        </w:rPr>
      </w:pPr>
      <w:r>
        <w:rPr>
          <w:rFonts w:hint="eastAsia" w:ascii="宋体" w:hAnsi="宋体" w:cs="宋体"/>
          <w:szCs w:val="21"/>
        </w:rPr>
        <w:t>（4）投标人通过的质量管理和质量保证体系、环保体系、自主创新相关证书等等与本项目相关的认证证书或文件；</w:t>
      </w:r>
    </w:p>
    <w:p>
      <w:pPr>
        <w:spacing w:line="360" w:lineRule="auto"/>
        <w:ind w:firstLine="420" w:firstLineChars="200"/>
        <w:rPr>
          <w:rFonts w:ascii="宋体" w:hAnsi="宋体" w:cs="宋体"/>
          <w:szCs w:val="21"/>
        </w:rPr>
      </w:pPr>
      <w:r>
        <w:rPr>
          <w:rFonts w:hint="eastAsia" w:ascii="宋体" w:hAnsi="宋体" w:cs="宋体"/>
          <w:szCs w:val="21"/>
        </w:rPr>
        <w:t>（5）类似项目的成功案例（投标人类似项目实施情况一览表、合同复印件及其相应的发票、用户验收报告等；</w:t>
      </w:r>
    </w:p>
    <w:p>
      <w:pPr>
        <w:spacing w:line="360" w:lineRule="auto"/>
        <w:ind w:firstLine="420" w:firstLineChars="200"/>
        <w:rPr>
          <w:rFonts w:ascii="宋体" w:hAnsi="宋体" w:cs="宋体"/>
          <w:szCs w:val="21"/>
        </w:rPr>
      </w:pPr>
      <w:r>
        <w:rPr>
          <w:rFonts w:hint="eastAsia" w:ascii="宋体" w:hAnsi="宋体" w:cs="宋体"/>
          <w:szCs w:val="21"/>
        </w:rPr>
        <w:t>（6）投标人认为需要提供的其他资料（包括可能影响投标人商务与技术文件评分的各类证明材料）。</w:t>
      </w:r>
    </w:p>
    <w:p>
      <w:pPr>
        <w:spacing w:line="360" w:lineRule="auto"/>
        <w:ind w:firstLine="420" w:firstLineChars="200"/>
        <w:rPr>
          <w:rFonts w:ascii="宋体" w:hAnsi="宋体" w:cs="宋体"/>
          <w:szCs w:val="21"/>
        </w:rPr>
      </w:pPr>
      <w:r>
        <w:rPr>
          <w:rFonts w:hint="eastAsia" w:ascii="宋体" w:hAnsi="宋体" w:cs="宋体"/>
          <w:szCs w:val="21"/>
        </w:rPr>
        <w:t>（7）售后服务描述及承诺：</w:t>
      </w:r>
    </w:p>
    <w:p>
      <w:pPr>
        <w:spacing w:line="360" w:lineRule="auto"/>
        <w:ind w:firstLine="420" w:firstLineChars="200"/>
        <w:rPr>
          <w:rFonts w:ascii="宋体" w:hAnsi="宋体" w:cs="宋体"/>
          <w:szCs w:val="21"/>
        </w:rPr>
      </w:pPr>
      <w:r>
        <w:rPr>
          <w:rFonts w:hint="eastAsia" w:ascii="宋体" w:hAnsi="宋体" w:cs="宋体"/>
          <w:szCs w:val="21"/>
        </w:rPr>
        <w:t>A.距采购人最近的服务网点详细介绍（包括地理位置、资质资格、技术力量、工作业绩、服务内容及联系电话等）。</w:t>
      </w:r>
    </w:p>
    <w:p>
      <w:pPr>
        <w:spacing w:line="360" w:lineRule="auto"/>
        <w:ind w:firstLine="420" w:firstLineChars="200"/>
        <w:rPr>
          <w:rFonts w:ascii="宋体" w:hAnsi="宋体" w:cs="宋体"/>
          <w:szCs w:val="21"/>
        </w:rPr>
      </w:pPr>
      <w:r>
        <w:rPr>
          <w:rFonts w:hint="eastAsia" w:ascii="宋体" w:hAnsi="宋体" w:cs="宋体"/>
          <w:szCs w:val="21"/>
        </w:rPr>
        <w:t>B.针对本项目的售后服务措施及承诺（售后技术服务方案、人员配备、故障响应时间、技术培训方案等）。</w:t>
      </w:r>
    </w:p>
    <w:p>
      <w:pPr>
        <w:spacing w:line="360" w:lineRule="auto"/>
        <w:ind w:firstLine="422" w:firstLineChars="200"/>
        <w:rPr>
          <w:rFonts w:ascii="宋体" w:hAnsi="宋体" w:cs="宋体"/>
          <w:b/>
          <w:bCs/>
          <w:szCs w:val="21"/>
        </w:rPr>
      </w:pPr>
      <w:r>
        <w:rPr>
          <w:rFonts w:hint="eastAsia" w:ascii="宋体" w:hAnsi="宋体" w:cs="宋体"/>
          <w:b/>
          <w:bCs/>
          <w:szCs w:val="21"/>
        </w:rPr>
        <w:t>3、报价文件的组成</w:t>
      </w:r>
    </w:p>
    <w:p>
      <w:pPr>
        <w:spacing w:line="360" w:lineRule="auto"/>
        <w:ind w:firstLine="420" w:firstLineChars="200"/>
        <w:rPr>
          <w:rFonts w:ascii="宋体" w:hAnsi="宋体" w:cs="宋体"/>
          <w:szCs w:val="21"/>
        </w:rPr>
      </w:pPr>
      <w:r>
        <w:rPr>
          <w:rFonts w:hint="eastAsia" w:ascii="宋体" w:hAnsi="宋体" w:cs="宋体"/>
          <w:szCs w:val="21"/>
        </w:rPr>
        <w:t>（1）报价文件由开标一览表、报价明细表以及投标人认为其他需要说明的内容组成。</w:t>
      </w:r>
    </w:p>
    <w:p>
      <w:pPr>
        <w:spacing w:line="360" w:lineRule="auto"/>
        <w:ind w:firstLine="420" w:firstLineChars="200"/>
        <w:rPr>
          <w:rFonts w:ascii="宋体" w:hAnsi="宋体" w:cs="宋体"/>
          <w:szCs w:val="21"/>
        </w:rPr>
      </w:pPr>
      <w:r>
        <w:rPr>
          <w:rFonts w:hint="eastAsia" w:ascii="宋体" w:hAnsi="宋体" w:cs="宋体"/>
          <w:szCs w:val="21"/>
        </w:rPr>
        <w:t>（2）此报价为投标人一次性报出唯一的最终价格，包含其它一切所要涉及到的费用，有选择的报价将被拒绝。</w:t>
      </w:r>
    </w:p>
    <w:p>
      <w:pPr>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）投标报价包括</w:t>
      </w:r>
      <w:r>
        <w:rPr>
          <w:rFonts w:hint="eastAsia" w:ascii="宋体" w:hAnsi="宋体" w:cs="宋体"/>
          <w:szCs w:val="21"/>
        </w:rPr>
        <w:t>项目设备、材料、安装、质保期间维护费、运输、保险、税金、验收、3年监测服务等所有涉及的费用。包含</w:t>
      </w:r>
      <w:r>
        <w:rPr>
          <w:rFonts w:hint="eastAsia" w:ascii="宋体" w:hAnsi="宋体" w:cs="宋体"/>
          <w:szCs w:val="21"/>
          <w:lang w:val="zh-CN"/>
        </w:rPr>
        <w:t>必备的附件、服务费、人工费、技术支持、招标代理费、税金、完成本项目的其它费用和政策性文件规定及合同包含的所有风险、责任等所有费用，投标人所投报的投标报价为投标人所能承受的整个项目的一次性最终最低报价（为本采购项目总价），如有漏项，视同已包含在其它项目中，合同总价和单价不做调整。</w:t>
      </w:r>
    </w:p>
    <w:p>
      <w:pPr>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w:t>
      </w:r>
      <w:r>
        <w:rPr>
          <w:rFonts w:hint="eastAsia" w:ascii="宋体" w:hAnsi="宋体" w:cs="宋体"/>
          <w:szCs w:val="21"/>
        </w:rPr>
        <w:t>政府采购优惠政策相关资料（如有）。</w:t>
      </w:r>
    </w:p>
    <w:p>
      <w:pPr>
        <w:spacing w:line="360" w:lineRule="auto"/>
        <w:ind w:firstLine="420" w:firstLineChars="200"/>
        <w:rPr>
          <w:rFonts w:ascii="宋体" w:hAnsi="宋体" w:cs="宋体"/>
          <w:szCs w:val="21"/>
        </w:rPr>
      </w:pPr>
      <w:r>
        <w:rPr>
          <w:rFonts w:hint="eastAsia" w:ascii="宋体" w:hAnsi="宋体" w:cs="宋体"/>
          <w:szCs w:val="21"/>
        </w:rPr>
        <w:t>（5）相关报价单需打印或用不退色的墨水填写，投标报价单不得涂改和增删，如有错漏必须修改，修改处须由同一签署人签字或盖章。由于字迹模糊或表达不清引起的后果由投标人负责。</w:t>
      </w:r>
    </w:p>
    <w:p>
      <w:pPr>
        <w:spacing w:line="360" w:lineRule="auto"/>
        <w:ind w:firstLine="420" w:firstLineChars="200"/>
        <w:rPr>
          <w:rFonts w:ascii="宋体" w:hAnsi="宋体" w:cs="宋体"/>
          <w:szCs w:val="21"/>
        </w:rPr>
      </w:pPr>
      <w:r>
        <w:rPr>
          <w:rFonts w:hint="eastAsia" w:ascii="宋体" w:hAnsi="宋体" w:cs="宋体"/>
          <w:szCs w:val="21"/>
        </w:rPr>
        <w:t>（6）投标报价应按招标文件中相关附表格式填写。</w:t>
      </w:r>
    </w:p>
    <w:p>
      <w:pPr>
        <w:spacing w:line="360" w:lineRule="auto"/>
        <w:ind w:firstLine="422" w:firstLineChars="200"/>
        <w:rPr>
          <w:rFonts w:ascii="宋体" w:hAnsi="宋体" w:cs="宋体"/>
          <w:b/>
          <w:bCs/>
          <w:szCs w:val="21"/>
        </w:rPr>
      </w:pPr>
      <w:r>
        <w:rPr>
          <w:rFonts w:hint="eastAsia" w:ascii="宋体" w:hAnsi="宋体" w:cs="宋体"/>
          <w:b/>
          <w:bCs/>
          <w:szCs w:val="21"/>
        </w:rPr>
        <w:t>（二）投标文件的制作、封装及递交要求</w:t>
      </w:r>
    </w:p>
    <w:p>
      <w:pPr>
        <w:pStyle w:val="97"/>
        <w:snapToGrid w:val="0"/>
        <w:spacing w:before="0"/>
        <w:ind w:firstLine="422"/>
        <w:outlineLvl w:val="0"/>
        <w:rPr>
          <w:rFonts w:ascii="宋体" w:hAnsi="宋体" w:cs="宋体"/>
          <w:b/>
          <w:bCs/>
          <w:sz w:val="21"/>
          <w:szCs w:val="21"/>
          <w:lang w:val="en-GB"/>
        </w:rPr>
      </w:pPr>
      <w:r>
        <w:rPr>
          <w:rFonts w:hint="eastAsia" w:ascii="宋体" w:hAnsi="宋体" w:cs="宋体"/>
          <w:b/>
          <w:bCs/>
          <w:sz w:val="21"/>
          <w:szCs w:val="21"/>
        </w:rPr>
        <w:t xml:space="preserve">1. </w:t>
      </w:r>
      <w:r>
        <w:rPr>
          <w:rFonts w:hint="eastAsia" w:ascii="宋体" w:hAnsi="宋体" w:cs="宋体"/>
          <w:b/>
          <w:bCs/>
          <w:sz w:val="21"/>
          <w:szCs w:val="21"/>
          <w:lang w:val="en-GB"/>
        </w:rPr>
        <w:t>投标文件的编制</w:t>
      </w:r>
    </w:p>
    <w:p>
      <w:pPr>
        <w:spacing w:line="360" w:lineRule="auto"/>
        <w:ind w:firstLine="420" w:firstLineChars="200"/>
        <w:rPr>
          <w:rFonts w:ascii="宋体" w:hAnsi="宋体" w:cs="宋体"/>
          <w:szCs w:val="21"/>
          <w:lang w:val="en-GB"/>
        </w:rPr>
      </w:pPr>
      <w:r>
        <w:rPr>
          <w:rFonts w:hint="eastAsia" w:ascii="宋体" w:hAnsi="宋体" w:cs="宋体"/>
          <w:szCs w:val="21"/>
        </w:rPr>
        <w:t>1</w:t>
      </w:r>
      <w:r>
        <w:rPr>
          <w:rFonts w:hint="eastAsia" w:ascii="宋体" w:hAnsi="宋体" w:cs="宋体"/>
          <w:szCs w:val="21"/>
          <w:lang w:val="en-GB"/>
        </w:rPr>
        <w:t>.1本项目通过“政府采购云平台（www.zcygov.cn）”实行在线投标响应（电子投标）。投标人应通过“政采云电子交易客户端”，并按照本招标文件和“政府采购云平台”的要求编制并加密投标文件。</w:t>
      </w:r>
    </w:p>
    <w:p>
      <w:pPr>
        <w:spacing w:line="360" w:lineRule="auto"/>
        <w:ind w:firstLine="420" w:firstLineChars="200"/>
        <w:rPr>
          <w:rFonts w:ascii="宋体" w:hAnsi="宋体" w:cs="宋体"/>
          <w:szCs w:val="21"/>
          <w:lang w:val="en-GB"/>
        </w:rPr>
      </w:pPr>
      <w:r>
        <w:rPr>
          <w:rFonts w:hint="eastAsia" w:ascii="宋体" w:hAnsi="宋体" w:cs="宋体"/>
          <w:szCs w:val="21"/>
          <w:lang w:val="en-GB"/>
        </w:rPr>
        <w:t>1.2投标人应当按照本章节“投标文件组成”规定的内容及顺序在“政采云电子交易客户端”编制投标文件。其中</w:t>
      </w:r>
      <w:r>
        <w:rPr>
          <w:rFonts w:hint="eastAsia" w:ascii="宋体" w:hAnsi="宋体" w:cs="宋体"/>
          <w:szCs w:val="21"/>
        </w:rPr>
        <w:t>资格及商务技术文件</w:t>
      </w:r>
      <w:r>
        <w:rPr>
          <w:rFonts w:hint="eastAsia" w:ascii="宋体" w:hAnsi="宋体" w:cs="宋体"/>
          <w:szCs w:val="21"/>
          <w:lang w:val="en-GB"/>
        </w:rPr>
        <w:t>中不得出现本项目投标报价，如因投标人原因提前泄露投标报价，是投标人的责任。</w:t>
      </w:r>
    </w:p>
    <w:p>
      <w:pPr>
        <w:spacing w:line="360" w:lineRule="auto"/>
        <w:ind w:firstLine="420" w:firstLineChars="200"/>
        <w:rPr>
          <w:rFonts w:ascii="宋体" w:hAnsi="宋体" w:cs="宋体"/>
          <w:szCs w:val="21"/>
          <w:lang w:val="en-GB"/>
        </w:rPr>
      </w:pPr>
      <w:r>
        <w:rPr>
          <w:rFonts w:hint="eastAsia" w:ascii="宋体" w:hAnsi="宋体" w:cs="宋体"/>
          <w:szCs w:val="21"/>
          <w:lang w:val="zh-CN"/>
        </w:rPr>
        <w:t>1.3投标文件分为</w:t>
      </w:r>
      <w:r>
        <w:rPr>
          <w:rFonts w:hint="eastAsia" w:ascii="宋体" w:hAnsi="宋体" w:cs="宋体"/>
          <w:szCs w:val="21"/>
        </w:rPr>
        <w:t>资格及商务技术文件、报价文件二部分</w:t>
      </w:r>
      <w:r>
        <w:rPr>
          <w:rFonts w:hint="eastAsia" w:ascii="宋体" w:hAnsi="宋体" w:cs="宋体"/>
          <w:szCs w:val="21"/>
          <w:lang w:val="zh-CN"/>
        </w:rPr>
        <w:t>。各投标人在编制投标文件时请按照采购文件第六部分规定的格式进行，</w:t>
      </w:r>
      <w:r>
        <w:rPr>
          <w:rFonts w:hint="eastAsia" w:ascii="宋体" w:hAnsi="宋体" w:cs="宋体"/>
          <w:szCs w:val="21"/>
          <w:lang w:val="en-GB"/>
        </w:rPr>
        <w:t>并按格式要求在指定位置根据要求进行签章，否则视为未提供，未提供格式的，请各投标人自行拟定格式，并加盖单位公章并由法定代表人或其授权代表签署（签字或盖章），否则视为未提供。</w:t>
      </w:r>
    </w:p>
    <w:p>
      <w:pPr>
        <w:spacing w:line="360" w:lineRule="auto"/>
        <w:ind w:firstLine="420" w:firstLineChars="200"/>
        <w:rPr>
          <w:rFonts w:ascii="宋体" w:hAnsi="宋体" w:cs="宋体"/>
          <w:szCs w:val="21"/>
          <w:lang w:val="en-GB"/>
        </w:rPr>
      </w:pPr>
      <w:r>
        <w:rPr>
          <w:rFonts w:hint="eastAsia" w:ascii="宋体" w:hAnsi="宋体" w:cs="宋体"/>
          <w:szCs w:val="21"/>
          <w:lang w:val="en-GB"/>
        </w:rPr>
        <w:t>1.4《投标文件》内容不完整、</w:t>
      </w:r>
      <w:r>
        <w:rPr>
          <w:rFonts w:hint="eastAsia" w:ascii="宋体" w:hAnsi="宋体" w:cs="宋体"/>
          <w:szCs w:val="21"/>
          <w:lang w:val="zh-CN"/>
        </w:rPr>
        <w:t>混乱的编排导致投标文件被误读或评标委员会查找不到有效文件是投标人的责任。</w:t>
      </w:r>
      <w:r>
        <w:rPr>
          <w:rFonts w:hint="eastAsia" w:ascii="宋体" w:hAnsi="宋体" w:cs="宋体"/>
          <w:szCs w:val="21"/>
          <w:lang w:val="en-GB"/>
        </w:rPr>
        <w:t>《投标文件》因字迹潦草或表达不清所引起的后果由投标人负责。</w:t>
      </w:r>
    </w:p>
    <w:p>
      <w:pPr>
        <w:snapToGrid w:val="0"/>
        <w:spacing w:line="360" w:lineRule="auto"/>
        <w:ind w:firstLine="422" w:firstLineChars="200"/>
        <w:rPr>
          <w:rFonts w:ascii="宋体" w:hAnsi="宋体" w:cs="宋体"/>
          <w:b/>
          <w:bCs/>
          <w:szCs w:val="21"/>
          <w:lang w:val="en-GB"/>
        </w:rPr>
      </w:pPr>
      <w:r>
        <w:rPr>
          <w:rFonts w:hint="eastAsia" w:ascii="宋体" w:hAnsi="宋体" w:cs="宋体"/>
          <w:b/>
          <w:bCs/>
          <w:szCs w:val="21"/>
        </w:rPr>
        <w:t>2</w:t>
      </w:r>
      <w:r>
        <w:rPr>
          <w:rFonts w:hint="eastAsia" w:ascii="宋体" w:hAnsi="宋体" w:cs="宋体"/>
          <w:b/>
          <w:bCs/>
          <w:szCs w:val="21"/>
          <w:lang w:val="en-GB"/>
        </w:rPr>
        <w:t>.投标文件的签章</w:t>
      </w:r>
    </w:p>
    <w:p>
      <w:pPr>
        <w:pStyle w:val="97"/>
        <w:snapToGrid w:val="0"/>
        <w:spacing w:before="0"/>
        <w:ind w:firstLine="420"/>
        <w:rPr>
          <w:rFonts w:ascii="宋体" w:hAnsi="宋体" w:cs="宋体"/>
          <w:sz w:val="21"/>
          <w:szCs w:val="21"/>
          <w:lang w:val="en-GB"/>
        </w:rPr>
      </w:pPr>
      <w:r>
        <w:rPr>
          <w:rFonts w:hint="eastAsia" w:ascii="宋体" w:hAnsi="宋体" w:cs="宋体"/>
          <w:sz w:val="21"/>
          <w:szCs w:val="21"/>
          <w:lang w:val="en-GB"/>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pPr>
        <w:pStyle w:val="23"/>
        <w:spacing w:line="360" w:lineRule="auto"/>
        <w:ind w:firstLine="422" w:firstLineChars="200"/>
        <w:rPr>
          <w:rFonts w:hAnsi="宋体" w:cs="宋体"/>
          <w:b/>
          <w:bCs/>
          <w:szCs w:val="21"/>
          <w:lang w:val="en-GB"/>
        </w:rPr>
      </w:pPr>
      <w:r>
        <w:rPr>
          <w:rFonts w:hint="eastAsia" w:hAnsi="宋体" w:cs="宋体"/>
          <w:b/>
          <w:bCs/>
          <w:szCs w:val="21"/>
          <w:lang w:val="en-GB"/>
        </w:rPr>
        <w:t>3. 备份投标文件的密封与标志</w:t>
      </w:r>
    </w:p>
    <w:p>
      <w:pPr>
        <w:pStyle w:val="97"/>
        <w:spacing w:before="0"/>
        <w:ind w:firstLine="420"/>
        <w:rPr>
          <w:rFonts w:ascii="宋体" w:hAnsi="宋体" w:cs="宋体"/>
          <w:sz w:val="21"/>
          <w:szCs w:val="21"/>
          <w:lang w:val="en-GB"/>
        </w:rPr>
      </w:pPr>
      <w:r>
        <w:rPr>
          <w:rFonts w:hint="eastAsia" w:ascii="宋体" w:hAnsi="宋体" w:cs="宋体"/>
          <w:sz w:val="21"/>
          <w:szCs w:val="21"/>
          <w:lang w:val="en-GB"/>
        </w:rPr>
        <w:t>3.1备份投标文件须密封包装。没有密封包装的投标文件，将被拒收。</w:t>
      </w:r>
    </w:p>
    <w:p>
      <w:pPr>
        <w:snapToGrid w:val="0"/>
        <w:spacing w:line="360" w:lineRule="auto"/>
        <w:ind w:firstLine="420" w:firstLineChars="200"/>
        <w:rPr>
          <w:rFonts w:ascii="宋体" w:hAnsi="宋体" w:cs="宋体"/>
          <w:szCs w:val="21"/>
          <w:lang w:val="en-GB"/>
        </w:rPr>
      </w:pPr>
      <w:r>
        <w:rPr>
          <w:rFonts w:hint="eastAsia" w:ascii="宋体" w:hAnsi="宋体" w:cs="宋体"/>
          <w:szCs w:val="21"/>
          <w:lang w:val="en-GB"/>
        </w:rPr>
        <w:t>3.2备份投标文件包装封面物应写明项目名称、投标人名称(联合体投标的，包装物封面需注明联合体投标，并注明联合体成员各方的名称和联合体协议中约定的牵头人的名称)。</w:t>
      </w:r>
    </w:p>
    <w:p>
      <w:pPr>
        <w:pStyle w:val="97"/>
        <w:spacing w:before="0"/>
        <w:ind w:firstLine="422"/>
        <w:rPr>
          <w:rFonts w:ascii="宋体" w:hAnsi="宋体" w:cs="宋体"/>
          <w:b/>
          <w:bCs/>
          <w:sz w:val="21"/>
          <w:szCs w:val="21"/>
          <w:lang w:val="en-GB"/>
        </w:rPr>
      </w:pPr>
      <w:r>
        <w:rPr>
          <w:rFonts w:hint="eastAsia" w:ascii="宋体" w:hAnsi="宋体" w:cs="宋体"/>
          <w:b/>
          <w:bCs/>
          <w:sz w:val="21"/>
          <w:szCs w:val="21"/>
          <w:lang w:val="en-GB"/>
        </w:rPr>
        <w:t>4. 投标文件的上传和递交</w:t>
      </w:r>
    </w:p>
    <w:p>
      <w:pPr>
        <w:pStyle w:val="97"/>
        <w:spacing w:before="0"/>
        <w:ind w:firstLine="420"/>
        <w:rPr>
          <w:rFonts w:ascii="宋体" w:hAnsi="宋体" w:cs="宋体"/>
          <w:sz w:val="21"/>
          <w:szCs w:val="21"/>
          <w:lang w:val="en-GB"/>
        </w:rPr>
      </w:pPr>
      <w:r>
        <w:rPr>
          <w:rFonts w:hint="eastAsia" w:ascii="宋体" w:hAnsi="宋体" w:cs="宋体"/>
          <w:sz w:val="21"/>
          <w:szCs w:val="21"/>
          <w:lang w:val="en-GB"/>
        </w:rPr>
        <w:t>4.1“投标文件”的上传、递交：见《前附表》。▲未传输递交电子投标文件的，投标无效。</w:t>
      </w:r>
    </w:p>
    <w:p>
      <w:pPr>
        <w:pStyle w:val="97"/>
        <w:spacing w:before="0"/>
        <w:ind w:firstLine="420"/>
        <w:rPr>
          <w:rFonts w:ascii="宋体" w:hAnsi="宋体" w:cs="宋体"/>
          <w:sz w:val="21"/>
          <w:szCs w:val="21"/>
          <w:lang w:val="en-GB"/>
        </w:rPr>
      </w:pPr>
      <w:r>
        <w:rPr>
          <w:rFonts w:hint="eastAsia" w:ascii="宋体" w:hAnsi="宋体" w:cs="宋体"/>
          <w:sz w:val="21"/>
          <w:szCs w:val="21"/>
          <w:lang w:val="en-GB"/>
        </w:rPr>
        <w:t>4.</w:t>
      </w:r>
      <w:r>
        <w:rPr>
          <w:rFonts w:hint="eastAsia" w:ascii="宋体" w:hAnsi="宋体" w:cs="宋体"/>
          <w:sz w:val="21"/>
          <w:szCs w:val="21"/>
        </w:rPr>
        <w:t>2</w:t>
      </w:r>
      <w:r>
        <w:rPr>
          <w:rFonts w:hint="eastAsia" w:ascii="宋体" w:hAnsi="宋体" w:cs="宋体"/>
          <w:sz w:val="21"/>
          <w:szCs w:val="21"/>
          <w:lang w:val="en-GB"/>
        </w:rPr>
        <w:t>投标人应当在投标截止时间将以介质存储的数据电文形式的备份投标文件密封送交到招标公告规定的投标地点。▲未按规定提供相应的备份投标文件，造成项目开评标活动无法进行下去的，投标无效。采购机构将拒绝接受逾期送达的投标文件。</w:t>
      </w:r>
    </w:p>
    <w:p>
      <w:pPr>
        <w:pStyle w:val="97"/>
        <w:ind w:firstLine="420"/>
        <w:rPr>
          <w:rFonts w:ascii="宋体" w:hAnsi="宋体" w:cs="宋体"/>
          <w:sz w:val="21"/>
          <w:szCs w:val="21"/>
          <w:lang w:val="en-GB"/>
        </w:rPr>
      </w:pPr>
      <w:r>
        <w:rPr>
          <w:rFonts w:hint="eastAsia" w:ascii="宋体" w:hAnsi="宋体" w:cs="宋体"/>
          <w:sz w:val="21"/>
          <w:szCs w:val="21"/>
          <w:lang w:val="en-GB"/>
        </w:rPr>
        <w:t>4.</w:t>
      </w:r>
      <w:r>
        <w:rPr>
          <w:rFonts w:hint="eastAsia" w:ascii="宋体" w:hAnsi="宋体" w:cs="宋体"/>
          <w:sz w:val="21"/>
          <w:szCs w:val="21"/>
        </w:rPr>
        <w:t>3</w:t>
      </w:r>
      <w:r>
        <w:rPr>
          <w:rFonts w:hint="eastAsia" w:ascii="宋体" w:hAnsi="宋体" w:cs="宋体"/>
          <w:sz w:val="21"/>
          <w:szCs w:val="21"/>
          <w:lang w:val="en-GB"/>
        </w:rPr>
        <w:t>投标文件的备选方案</w:t>
      </w:r>
    </w:p>
    <w:p>
      <w:pPr>
        <w:pStyle w:val="97"/>
        <w:ind w:firstLine="420"/>
        <w:rPr>
          <w:rFonts w:ascii="宋体" w:hAnsi="宋体" w:cs="宋体"/>
          <w:sz w:val="21"/>
          <w:szCs w:val="21"/>
          <w:lang w:val="en-GB"/>
        </w:rPr>
      </w:pPr>
      <w:r>
        <w:rPr>
          <w:rFonts w:hint="eastAsia" w:ascii="宋体" w:hAnsi="宋体" w:cs="宋体"/>
          <w:sz w:val="21"/>
          <w:szCs w:val="21"/>
          <w:lang w:val="en-GB"/>
        </w:rPr>
        <w:t>投标人不得递交任何的投标备选（替代）方案，否则其投标文件将作无效标处理。与“电子加密投标文件”同时生成的“备份投标文件”不是投标备选（替代）方案。</w:t>
      </w:r>
    </w:p>
    <w:p>
      <w:pPr>
        <w:pStyle w:val="23"/>
        <w:spacing w:line="360" w:lineRule="auto"/>
        <w:ind w:firstLine="420" w:firstLineChars="200"/>
        <w:rPr>
          <w:rFonts w:hAnsi="宋体" w:cs="宋体"/>
          <w:szCs w:val="21"/>
          <w:lang w:val="en-GB"/>
        </w:rPr>
      </w:pPr>
      <w:r>
        <w:rPr>
          <w:rFonts w:hint="eastAsia" w:hAnsi="宋体" w:cs="宋体"/>
          <w:szCs w:val="21"/>
          <w:lang w:val="en-GB"/>
        </w:rPr>
        <w:t>5. 投标文件的补充、修改、撤回</w:t>
      </w:r>
    </w:p>
    <w:p>
      <w:pPr>
        <w:pStyle w:val="97"/>
        <w:ind w:firstLine="420"/>
        <w:rPr>
          <w:rFonts w:ascii="宋体" w:hAnsi="宋体" w:cs="宋体"/>
          <w:sz w:val="21"/>
          <w:szCs w:val="21"/>
          <w:lang w:val="en-GB"/>
        </w:rPr>
      </w:pPr>
      <w:r>
        <w:rPr>
          <w:rFonts w:hint="eastAsia" w:ascii="宋体" w:hAnsi="宋体" w:cs="宋体"/>
          <w:sz w:val="21"/>
          <w:szCs w:val="21"/>
          <w:lang w:val="en-GB"/>
        </w:rPr>
        <w:t>5.1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97"/>
        <w:ind w:firstLine="420"/>
        <w:rPr>
          <w:rFonts w:ascii="宋体" w:hAnsi="宋体" w:cs="宋体"/>
          <w:sz w:val="21"/>
          <w:szCs w:val="21"/>
          <w:lang w:val="en-GB"/>
        </w:rPr>
      </w:pPr>
      <w:r>
        <w:rPr>
          <w:rFonts w:hint="eastAsia" w:ascii="宋体" w:hAnsi="宋体" w:cs="宋体"/>
          <w:sz w:val="21"/>
          <w:szCs w:val="21"/>
          <w:lang w:val="en-GB"/>
        </w:rPr>
        <w:t>5.</w:t>
      </w:r>
      <w:r>
        <w:rPr>
          <w:rFonts w:hint="eastAsia" w:ascii="宋体" w:hAnsi="宋体" w:cs="宋体"/>
          <w:sz w:val="21"/>
          <w:szCs w:val="21"/>
        </w:rPr>
        <w:t>2</w:t>
      </w:r>
      <w:r>
        <w:rPr>
          <w:rFonts w:hint="eastAsia" w:ascii="宋体" w:hAnsi="宋体" w:cs="宋体"/>
          <w:sz w:val="21"/>
          <w:szCs w:val="21"/>
          <w:lang w:val="en-GB"/>
        </w:rPr>
        <w:t>投标截止时间后，投标供应商不得撤回、修改投标文件。</w:t>
      </w:r>
    </w:p>
    <w:p>
      <w:pPr>
        <w:pStyle w:val="97"/>
        <w:ind w:firstLine="420"/>
        <w:rPr>
          <w:rFonts w:ascii="宋体" w:hAnsi="宋体" w:cs="宋体"/>
          <w:sz w:val="21"/>
          <w:szCs w:val="21"/>
          <w:lang w:val="en-GB"/>
        </w:rPr>
      </w:pPr>
      <w:r>
        <w:rPr>
          <w:rFonts w:hint="eastAsia" w:ascii="宋体" w:hAnsi="宋体" w:cs="宋体"/>
          <w:sz w:val="21"/>
          <w:szCs w:val="21"/>
        </w:rPr>
        <w:t>5.3</w:t>
      </w:r>
      <w:r>
        <w:rPr>
          <w:rFonts w:hint="eastAsia" w:ascii="宋体" w:hAnsi="宋体" w:cs="宋体"/>
          <w:sz w:val="21"/>
          <w:szCs w:val="21"/>
          <w:lang w:val="en-GB"/>
        </w:rPr>
        <w:t>在开标后规定的投标有效期内，投标人不能撤销投标文件。</w:t>
      </w:r>
    </w:p>
    <w:p>
      <w:pPr>
        <w:spacing w:line="360" w:lineRule="auto"/>
        <w:ind w:firstLine="422" w:firstLineChars="200"/>
        <w:rPr>
          <w:rFonts w:ascii="宋体" w:hAnsi="宋体" w:cs="宋体"/>
          <w:b/>
          <w:bCs/>
          <w:szCs w:val="21"/>
        </w:rPr>
      </w:pPr>
      <w:r>
        <w:rPr>
          <w:rFonts w:hint="eastAsia" w:ascii="宋体" w:hAnsi="宋体" w:cs="宋体"/>
          <w:b/>
          <w:bCs/>
          <w:szCs w:val="21"/>
        </w:rPr>
        <w:t>（三）投标文件的有效期</w:t>
      </w:r>
    </w:p>
    <w:p>
      <w:pPr>
        <w:spacing w:line="360" w:lineRule="auto"/>
        <w:ind w:firstLine="420" w:firstLineChars="200"/>
        <w:rPr>
          <w:rFonts w:ascii="宋体" w:hAnsi="宋体" w:cs="宋体"/>
          <w:szCs w:val="21"/>
          <w:lang w:val="en-GB"/>
        </w:rPr>
      </w:pPr>
      <w:r>
        <w:rPr>
          <w:rFonts w:hint="eastAsia" w:ascii="宋体" w:hAnsi="宋体" w:cs="宋体"/>
          <w:szCs w:val="21"/>
        </w:rPr>
        <w:t>1、</w:t>
      </w:r>
      <w:r>
        <w:rPr>
          <w:rFonts w:hint="eastAsia" w:ascii="宋体" w:hAnsi="宋体" w:cs="宋体"/>
          <w:szCs w:val="21"/>
          <w:lang w:val="en-GB"/>
        </w:rPr>
        <w:t>自投标截止日起90天投标文件应保持有效。有效期不足的投标文件将被拒绝。</w:t>
      </w:r>
    </w:p>
    <w:p>
      <w:pPr>
        <w:spacing w:line="360" w:lineRule="auto"/>
        <w:ind w:firstLine="420" w:firstLineChars="200"/>
        <w:rPr>
          <w:rFonts w:ascii="宋体" w:hAnsi="宋体" w:cs="宋体"/>
          <w:szCs w:val="21"/>
          <w:lang w:val="en-GB"/>
        </w:rPr>
      </w:pPr>
      <w:r>
        <w:rPr>
          <w:rFonts w:hint="eastAsia" w:ascii="宋体" w:hAnsi="宋体" w:cs="宋体"/>
          <w:szCs w:val="21"/>
        </w:rPr>
        <w:t>2、</w:t>
      </w:r>
      <w:r>
        <w:rPr>
          <w:rFonts w:hint="eastAsia" w:ascii="宋体" w:hAnsi="宋体" w:cs="宋体"/>
          <w:szCs w:val="21"/>
          <w:lang w:val="en-GB"/>
        </w:rPr>
        <w:t>在特殊情况下，采购人可与投标人协商延长投标文件的有效期，这种要求和答复均以书面形式进行。</w:t>
      </w:r>
    </w:p>
    <w:p>
      <w:pPr>
        <w:spacing w:line="360" w:lineRule="auto"/>
        <w:ind w:firstLine="420" w:firstLineChars="200"/>
        <w:rPr>
          <w:rFonts w:ascii="宋体" w:hAnsi="宋体" w:cs="宋体"/>
          <w:szCs w:val="21"/>
        </w:rPr>
      </w:pPr>
      <w:r>
        <w:rPr>
          <w:rFonts w:hint="eastAsia" w:ascii="宋体" w:hAnsi="宋体" w:cs="宋体"/>
          <w:szCs w:val="21"/>
        </w:rPr>
        <w:t>3、中标人的投标文件自开标之日起至合同履行完毕均应保持有效。</w:t>
      </w:r>
    </w:p>
    <w:p>
      <w:pPr>
        <w:spacing w:line="360" w:lineRule="auto"/>
        <w:ind w:firstLine="422" w:firstLineChars="200"/>
        <w:rPr>
          <w:rFonts w:ascii="宋体" w:hAnsi="宋体" w:cs="宋体"/>
          <w:szCs w:val="21"/>
        </w:rPr>
      </w:pPr>
      <w:r>
        <w:rPr>
          <w:rFonts w:hint="eastAsia" w:ascii="宋体" w:hAnsi="宋体" w:cs="宋体"/>
          <w:b/>
          <w:bCs/>
          <w:szCs w:val="21"/>
        </w:rPr>
        <w:t>四、开标</w:t>
      </w:r>
    </w:p>
    <w:p>
      <w:pPr>
        <w:spacing w:line="360" w:lineRule="auto"/>
        <w:ind w:firstLine="420" w:firstLineChars="200"/>
        <w:rPr>
          <w:rFonts w:ascii="宋体" w:hAnsi="宋体" w:cs="宋体"/>
          <w:szCs w:val="21"/>
        </w:rPr>
      </w:pPr>
      <w:r>
        <w:rPr>
          <w:rFonts w:hint="eastAsia" w:ascii="宋体" w:hAnsi="宋体" w:cs="宋体"/>
          <w:szCs w:val="21"/>
        </w:rPr>
        <w:t>（一）开标事项</w:t>
      </w:r>
    </w:p>
    <w:p>
      <w:pPr>
        <w:spacing w:line="360" w:lineRule="auto"/>
        <w:ind w:firstLine="420" w:firstLineChars="200"/>
        <w:rPr>
          <w:rFonts w:ascii="宋体" w:hAnsi="宋体" w:cs="宋体"/>
          <w:szCs w:val="21"/>
        </w:rPr>
      </w:pPr>
      <w:r>
        <w:rPr>
          <w:rFonts w:hint="eastAsia" w:ascii="宋体" w:hAnsi="宋体" w:cs="宋体"/>
          <w:szCs w:val="21"/>
        </w:rPr>
        <w:t>采购组织机构在“招标公告”规定的时间和地点公开开标，本次招标采用先评审商务资格和技术服务方案，后公开并评审报价的办法实施。</w:t>
      </w:r>
    </w:p>
    <w:p>
      <w:pPr>
        <w:spacing w:line="360" w:lineRule="auto"/>
        <w:ind w:firstLine="420" w:firstLineChars="200"/>
        <w:rPr>
          <w:rFonts w:ascii="宋体" w:hAnsi="宋体" w:cs="宋体"/>
          <w:szCs w:val="21"/>
        </w:rPr>
      </w:pPr>
      <w:r>
        <w:rPr>
          <w:rFonts w:hint="eastAsia" w:ascii="宋体" w:hAnsi="宋体" w:cs="宋体"/>
          <w:szCs w:val="21"/>
        </w:rPr>
        <w:t>采购过程中出现以下情形，导致电子交易平台无法正常运行，或者无法保证电子交易的公平、公正和安全时，采购组织机构可中止电子交易活动：</w:t>
      </w:r>
    </w:p>
    <w:p>
      <w:pPr>
        <w:spacing w:line="360" w:lineRule="auto"/>
        <w:ind w:firstLine="420" w:firstLineChars="200"/>
        <w:rPr>
          <w:rFonts w:ascii="宋体" w:hAnsi="宋体" w:cs="宋体"/>
          <w:szCs w:val="21"/>
        </w:rPr>
      </w:pPr>
      <w:r>
        <w:rPr>
          <w:rFonts w:hint="eastAsia" w:ascii="宋体" w:hAnsi="宋体" w:cs="宋体"/>
          <w:szCs w:val="21"/>
        </w:rPr>
        <w:t>（1）电子交易平台发生故障而无法登录访问的；</w:t>
      </w:r>
    </w:p>
    <w:p>
      <w:pPr>
        <w:spacing w:line="360" w:lineRule="auto"/>
        <w:ind w:firstLine="420" w:firstLineChars="200"/>
        <w:rPr>
          <w:rFonts w:ascii="宋体" w:hAnsi="宋体" w:cs="宋体"/>
          <w:szCs w:val="21"/>
        </w:rPr>
      </w:pPr>
      <w:r>
        <w:rPr>
          <w:rFonts w:hint="eastAsia" w:ascii="宋体" w:hAnsi="宋体" w:cs="宋体"/>
          <w:szCs w:val="21"/>
        </w:rPr>
        <w:t>（2）电子交易平台应用或数据库出现错误，不能进行正常操作的；</w:t>
      </w:r>
    </w:p>
    <w:p>
      <w:pPr>
        <w:spacing w:line="360" w:lineRule="auto"/>
        <w:ind w:firstLine="420" w:firstLineChars="200"/>
        <w:rPr>
          <w:rFonts w:ascii="宋体" w:hAnsi="宋体" w:cs="宋体"/>
          <w:szCs w:val="21"/>
        </w:rPr>
      </w:pPr>
      <w:r>
        <w:rPr>
          <w:rFonts w:hint="eastAsia" w:ascii="宋体" w:hAnsi="宋体" w:cs="宋体"/>
          <w:szCs w:val="21"/>
        </w:rPr>
        <w:t>（3）电子交易平台发现严重安全漏洞，有潜在泄密危险的；</w:t>
      </w:r>
    </w:p>
    <w:p>
      <w:pPr>
        <w:spacing w:line="360" w:lineRule="auto"/>
        <w:ind w:firstLine="420" w:firstLineChars="200"/>
        <w:rPr>
          <w:rFonts w:ascii="宋体" w:hAnsi="宋体" w:cs="宋体"/>
          <w:szCs w:val="21"/>
        </w:rPr>
      </w:pPr>
      <w:r>
        <w:rPr>
          <w:rFonts w:hint="eastAsia" w:ascii="宋体" w:hAnsi="宋体" w:cs="宋体"/>
          <w:szCs w:val="21"/>
        </w:rPr>
        <w:t>（4）病毒发作导致不能进行正常操作的；</w:t>
      </w:r>
    </w:p>
    <w:p>
      <w:pPr>
        <w:spacing w:line="360" w:lineRule="auto"/>
        <w:ind w:firstLine="420" w:firstLineChars="200"/>
        <w:rPr>
          <w:rFonts w:ascii="宋体" w:hAnsi="宋体" w:cs="宋体"/>
          <w:szCs w:val="21"/>
        </w:rPr>
      </w:pPr>
      <w:r>
        <w:rPr>
          <w:rFonts w:hint="eastAsia" w:ascii="宋体" w:hAnsi="宋体" w:cs="宋体"/>
          <w:szCs w:val="21"/>
        </w:rPr>
        <w:t>（5）其他无法保证电子交易的公平、公正和安全的情况。</w:t>
      </w:r>
    </w:p>
    <w:p>
      <w:pPr>
        <w:spacing w:line="360" w:lineRule="auto"/>
        <w:ind w:firstLine="420" w:firstLineChars="200"/>
        <w:rPr>
          <w:rFonts w:ascii="宋体" w:hAnsi="宋体" w:cs="宋体"/>
          <w:szCs w:val="21"/>
        </w:rPr>
      </w:pPr>
      <w:r>
        <w:rPr>
          <w:rFonts w:hint="eastAsia" w:ascii="宋体" w:hAnsi="宋体" w:cs="宋体"/>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20" w:firstLineChars="200"/>
        <w:rPr>
          <w:rFonts w:ascii="宋体" w:hAnsi="宋体" w:cs="宋体"/>
          <w:szCs w:val="21"/>
        </w:rPr>
      </w:pPr>
      <w:r>
        <w:rPr>
          <w:rFonts w:hint="eastAsia" w:ascii="宋体" w:hAnsi="宋体" w:cs="宋体"/>
          <w:szCs w:val="21"/>
        </w:rPr>
        <w:t>（二）开标程序</w:t>
      </w:r>
    </w:p>
    <w:p>
      <w:pPr>
        <w:spacing w:line="360" w:lineRule="auto"/>
        <w:ind w:firstLine="420" w:firstLineChars="200"/>
        <w:rPr>
          <w:rFonts w:ascii="宋体" w:hAnsi="宋体" w:cs="宋体"/>
          <w:szCs w:val="21"/>
        </w:rPr>
      </w:pPr>
      <w:r>
        <w:rPr>
          <w:rFonts w:hint="eastAsia" w:ascii="宋体" w:hAnsi="宋体" w:cs="宋体"/>
          <w:szCs w:val="21"/>
        </w:rPr>
        <w:t>1、开标会由招标项目负责人主持，主持人宣布开标会议开始；</w:t>
      </w:r>
    </w:p>
    <w:p>
      <w:pPr>
        <w:spacing w:line="360" w:lineRule="auto"/>
        <w:ind w:firstLine="420" w:firstLineChars="200"/>
        <w:rPr>
          <w:rFonts w:ascii="宋体" w:hAnsi="宋体" w:cs="宋体"/>
          <w:szCs w:val="21"/>
        </w:rPr>
      </w:pPr>
      <w:r>
        <w:rPr>
          <w:rFonts w:hint="eastAsia" w:ascii="宋体" w:hAnsi="宋体" w:cs="宋体"/>
          <w:szCs w:val="21"/>
        </w:rPr>
        <w:t>2、主持人介绍参加开标会的人员名单；</w:t>
      </w:r>
    </w:p>
    <w:p>
      <w:pPr>
        <w:spacing w:line="360" w:lineRule="auto"/>
        <w:ind w:firstLine="420" w:firstLineChars="200"/>
        <w:rPr>
          <w:rFonts w:ascii="宋体" w:hAnsi="宋体" w:cs="宋体"/>
          <w:szCs w:val="21"/>
        </w:rPr>
      </w:pPr>
      <w:r>
        <w:rPr>
          <w:rFonts w:hint="eastAsia" w:ascii="宋体" w:hAnsi="宋体" w:cs="宋体"/>
          <w:szCs w:val="21"/>
        </w:rPr>
        <w:t>3、主持人宣布评标期间的有关事项，告知应当回避的情形,提请有关人员回避；对投标人进行签到验证。</w:t>
      </w:r>
    </w:p>
    <w:p>
      <w:pPr>
        <w:spacing w:line="360" w:lineRule="auto"/>
        <w:ind w:firstLine="420" w:firstLineChars="200"/>
        <w:rPr>
          <w:rFonts w:ascii="宋体" w:hAnsi="宋体" w:cs="宋体"/>
          <w:szCs w:val="21"/>
        </w:rPr>
      </w:pPr>
      <w:r>
        <w:rPr>
          <w:rFonts w:hint="eastAsia" w:ascii="宋体" w:hAnsi="宋体" w:cs="宋体"/>
          <w:szCs w:val="21"/>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20" w:firstLineChars="200"/>
        <w:rPr>
          <w:rFonts w:ascii="宋体" w:hAnsi="宋体" w:cs="宋体"/>
          <w:szCs w:val="21"/>
        </w:rPr>
      </w:pPr>
      <w:r>
        <w:rPr>
          <w:rFonts w:hint="eastAsia" w:ascii="宋体" w:hAnsi="宋体" w:cs="宋体"/>
          <w:szCs w:val="21"/>
        </w:rPr>
        <w:t>5、采购组织机构点击【开启标书信息】，开启标书成功后进入开标流程。</w:t>
      </w:r>
    </w:p>
    <w:p>
      <w:pPr>
        <w:spacing w:line="360" w:lineRule="auto"/>
        <w:ind w:firstLine="420" w:firstLineChars="200"/>
        <w:rPr>
          <w:rFonts w:ascii="宋体" w:hAnsi="宋体" w:cs="宋体"/>
          <w:szCs w:val="21"/>
        </w:rPr>
      </w:pPr>
      <w:r>
        <w:rPr>
          <w:rFonts w:hint="eastAsia" w:ascii="宋体" w:hAnsi="宋体" w:cs="宋体"/>
          <w:szCs w:val="21"/>
        </w:rPr>
        <w:t>6、资格及商务技术文件评审；</w:t>
      </w:r>
    </w:p>
    <w:p>
      <w:pPr>
        <w:spacing w:line="360" w:lineRule="auto"/>
        <w:ind w:firstLine="420" w:firstLineChars="200"/>
        <w:rPr>
          <w:rFonts w:ascii="宋体" w:hAnsi="宋体" w:cs="宋体"/>
          <w:szCs w:val="21"/>
        </w:rPr>
      </w:pPr>
      <w:r>
        <w:rPr>
          <w:rFonts w:hint="eastAsia" w:ascii="宋体" w:hAnsi="宋体" w:cs="宋体"/>
          <w:szCs w:val="21"/>
        </w:rPr>
        <w:t>7、由主持人公布无效投标的投标人名单、投标无效的原因及其他有效投标的评分汇总分；</w:t>
      </w:r>
    </w:p>
    <w:p>
      <w:pPr>
        <w:spacing w:line="360" w:lineRule="auto"/>
        <w:ind w:firstLine="420" w:firstLineChars="200"/>
        <w:rPr>
          <w:rFonts w:ascii="宋体" w:hAnsi="宋体" w:cs="宋体"/>
          <w:szCs w:val="21"/>
        </w:rPr>
      </w:pPr>
      <w:r>
        <w:rPr>
          <w:rFonts w:hint="eastAsia" w:ascii="宋体" w:hAnsi="宋体" w:cs="宋体"/>
          <w:szCs w:val="21"/>
        </w:rPr>
        <w:t>8、开启报价响应文件：采购代理机构成功开启报价响应文件后，方可查看各供应商报价情况。</w:t>
      </w:r>
    </w:p>
    <w:p>
      <w:pPr>
        <w:spacing w:line="360" w:lineRule="auto"/>
        <w:ind w:firstLine="420" w:firstLineChars="200"/>
        <w:rPr>
          <w:rFonts w:ascii="宋体" w:hAnsi="宋体" w:cs="宋体"/>
          <w:szCs w:val="21"/>
        </w:rPr>
      </w:pPr>
      <w:r>
        <w:rPr>
          <w:rFonts w:hint="eastAsia" w:ascii="宋体" w:hAnsi="宋体" w:cs="宋体"/>
          <w:szCs w:val="21"/>
        </w:rPr>
        <w:t>9、报价文件评审；</w:t>
      </w:r>
    </w:p>
    <w:p>
      <w:pPr>
        <w:spacing w:line="360" w:lineRule="auto"/>
        <w:ind w:firstLine="420" w:firstLineChars="200"/>
        <w:rPr>
          <w:rFonts w:ascii="宋体" w:hAnsi="宋体" w:cs="宋体"/>
          <w:szCs w:val="21"/>
        </w:rPr>
      </w:pPr>
      <w:r>
        <w:rPr>
          <w:rFonts w:hint="eastAsia" w:ascii="宋体" w:hAnsi="宋体" w:cs="宋体"/>
          <w:szCs w:val="21"/>
        </w:rPr>
        <w:t>10、由主持人公布无效投标的投标人名单、投标无效的原因及其他有效投标的报价文件得分；</w:t>
      </w:r>
    </w:p>
    <w:p>
      <w:pPr>
        <w:spacing w:line="360" w:lineRule="auto"/>
        <w:ind w:firstLine="420" w:firstLineChars="200"/>
        <w:rPr>
          <w:rFonts w:ascii="宋体" w:hAnsi="宋体" w:cs="宋体"/>
          <w:szCs w:val="21"/>
        </w:rPr>
      </w:pPr>
      <w:r>
        <w:rPr>
          <w:rFonts w:hint="eastAsia" w:ascii="宋体" w:hAnsi="宋体" w:cs="宋体"/>
          <w:szCs w:val="21"/>
        </w:rPr>
        <w:t>11、宣布综合得分结果及中标候选人名单；</w:t>
      </w:r>
    </w:p>
    <w:p>
      <w:pPr>
        <w:spacing w:line="360" w:lineRule="auto"/>
        <w:ind w:firstLine="420" w:firstLineChars="200"/>
        <w:rPr>
          <w:rFonts w:ascii="宋体" w:hAnsi="宋体" w:cs="宋体"/>
          <w:szCs w:val="21"/>
        </w:rPr>
      </w:pPr>
      <w:r>
        <w:rPr>
          <w:rFonts w:hint="eastAsia" w:ascii="宋体" w:hAnsi="宋体" w:cs="宋体"/>
          <w:szCs w:val="21"/>
        </w:rPr>
        <w:t>12、开标会议结束。</w:t>
      </w:r>
    </w:p>
    <w:p>
      <w:pPr>
        <w:spacing w:line="360" w:lineRule="auto"/>
        <w:ind w:firstLine="422" w:firstLineChars="200"/>
        <w:rPr>
          <w:rFonts w:ascii="宋体" w:hAnsi="宋体" w:cs="宋体"/>
          <w:b/>
          <w:bCs/>
          <w:szCs w:val="21"/>
        </w:rPr>
      </w:pPr>
      <w:r>
        <w:rPr>
          <w:rFonts w:hint="eastAsia" w:ascii="宋体" w:hAnsi="宋体" w:cs="宋体"/>
          <w:b/>
          <w:bCs/>
          <w:szCs w:val="21"/>
        </w:rPr>
        <w:t>五、评标</w:t>
      </w:r>
    </w:p>
    <w:p>
      <w:pPr>
        <w:spacing w:line="360" w:lineRule="auto"/>
        <w:ind w:firstLine="420" w:firstLineChars="200"/>
        <w:rPr>
          <w:rFonts w:ascii="宋体" w:hAnsi="宋体" w:cs="宋体"/>
          <w:szCs w:val="21"/>
        </w:rPr>
      </w:pPr>
      <w:r>
        <w:rPr>
          <w:rFonts w:hint="eastAsia" w:ascii="宋体" w:hAnsi="宋体" w:cs="宋体"/>
          <w:szCs w:val="21"/>
        </w:rPr>
        <w:t>本项目采用不公开方式评标，评标的依据为招标文件和投标文件，本项目采用电子评审方法。</w:t>
      </w:r>
    </w:p>
    <w:p>
      <w:pPr>
        <w:spacing w:line="360" w:lineRule="auto"/>
        <w:ind w:firstLine="422" w:firstLineChars="200"/>
        <w:rPr>
          <w:rFonts w:ascii="宋体" w:hAnsi="宋体" w:cs="宋体"/>
          <w:b/>
          <w:bCs/>
          <w:szCs w:val="21"/>
        </w:rPr>
      </w:pPr>
      <w:r>
        <w:rPr>
          <w:rFonts w:hint="eastAsia" w:ascii="宋体" w:hAnsi="宋体" w:cs="宋体"/>
          <w:b/>
          <w:bCs/>
          <w:szCs w:val="21"/>
        </w:rPr>
        <w:t>（一）组建评标委员会</w:t>
      </w:r>
    </w:p>
    <w:p>
      <w:pPr>
        <w:spacing w:line="360" w:lineRule="auto"/>
        <w:ind w:firstLine="420" w:firstLineChars="200"/>
        <w:rPr>
          <w:rFonts w:ascii="宋体" w:hAnsi="宋体" w:cs="宋体"/>
          <w:szCs w:val="21"/>
        </w:rPr>
      </w:pPr>
      <w:r>
        <w:rPr>
          <w:rFonts w:hint="eastAsia" w:ascii="宋体" w:hAnsi="宋体" w:cs="宋体"/>
          <w:szCs w:val="21"/>
        </w:rPr>
        <w:t>评标委员会由采购人代表和评审专家组成，成员人数为5人以上单数，其中评审专家不得少于成员总数的三分之二。</w:t>
      </w:r>
    </w:p>
    <w:p>
      <w:pPr>
        <w:spacing w:line="360" w:lineRule="auto"/>
        <w:ind w:firstLine="422" w:firstLineChars="200"/>
        <w:rPr>
          <w:rFonts w:ascii="宋体" w:hAnsi="宋体" w:cs="宋体"/>
          <w:b/>
          <w:bCs/>
          <w:szCs w:val="21"/>
        </w:rPr>
      </w:pPr>
      <w:r>
        <w:rPr>
          <w:rFonts w:hint="eastAsia" w:ascii="宋体" w:hAnsi="宋体" w:cs="宋体"/>
          <w:b/>
          <w:bCs/>
          <w:szCs w:val="21"/>
        </w:rPr>
        <w:t>（二）评标程序</w:t>
      </w:r>
    </w:p>
    <w:p>
      <w:pPr>
        <w:spacing w:line="360" w:lineRule="auto"/>
        <w:ind w:firstLine="422" w:firstLineChars="200"/>
        <w:rPr>
          <w:rFonts w:ascii="宋体" w:hAnsi="宋体" w:cs="宋体"/>
          <w:b/>
          <w:bCs/>
          <w:szCs w:val="21"/>
        </w:rPr>
      </w:pPr>
      <w:r>
        <w:rPr>
          <w:rFonts w:hint="eastAsia" w:ascii="宋体" w:hAnsi="宋体" w:cs="宋体"/>
          <w:b/>
          <w:bCs/>
          <w:szCs w:val="21"/>
        </w:rPr>
        <w:t>1、资格审查</w:t>
      </w:r>
    </w:p>
    <w:p>
      <w:pPr>
        <w:spacing w:line="360" w:lineRule="auto"/>
        <w:ind w:firstLine="420" w:firstLineChars="200"/>
        <w:rPr>
          <w:rFonts w:ascii="宋体" w:hAnsi="宋体" w:cs="宋体"/>
          <w:szCs w:val="21"/>
        </w:rPr>
      </w:pPr>
      <w:r>
        <w:rPr>
          <w:rFonts w:hint="eastAsia" w:ascii="宋体" w:hAnsi="宋体" w:cs="宋体"/>
          <w:szCs w:val="21"/>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22" w:firstLineChars="200"/>
        <w:rPr>
          <w:rFonts w:ascii="宋体" w:hAnsi="宋体" w:cs="宋体"/>
          <w:b/>
          <w:bCs/>
          <w:szCs w:val="21"/>
        </w:rPr>
      </w:pPr>
      <w:r>
        <w:rPr>
          <w:rFonts w:hint="eastAsia" w:ascii="宋体" w:hAnsi="宋体" w:cs="宋体"/>
          <w:b/>
          <w:bCs/>
          <w:szCs w:val="21"/>
        </w:rPr>
        <w:t>2、符合性审查</w:t>
      </w:r>
    </w:p>
    <w:p>
      <w:pPr>
        <w:spacing w:line="360" w:lineRule="auto"/>
        <w:ind w:firstLine="420" w:firstLineChars="200"/>
        <w:rPr>
          <w:rFonts w:ascii="宋体" w:hAnsi="宋体" w:cs="宋体"/>
          <w:szCs w:val="21"/>
        </w:rPr>
      </w:pPr>
      <w:r>
        <w:rPr>
          <w:rFonts w:hint="eastAsia" w:ascii="宋体" w:hAnsi="宋体" w:cs="宋体"/>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22" w:firstLineChars="200"/>
        <w:rPr>
          <w:rFonts w:ascii="宋体" w:hAnsi="宋体" w:cs="宋体"/>
          <w:b/>
          <w:bCs/>
          <w:szCs w:val="21"/>
        </w:rPr>
      </w:pPr>
      <w:r>
        <w:rPr>
          <w:rFonts w:hint="eastAsia" w:ascii="宋体" w:hAnsi="宋体" w:cs="宋体"/>
          <w:b/>
          <w:bCs/>
          <w:szCs w:val="21"/>
        </w:rPr>
        <w:t>3、综合比较与评价</w:t>
      </w:r>
    </w:p>
    <w:p>
      <w:pPr>
        <w:spacing w:line="360" w:lineRule="auto"/>
        <w:ind w:firstLine="420" w:firstLineChars="200"/>
        <w:rPr>
          <w:rFonts w:ascii="宋体" w:hAnsi="宋体" w:cs="宋体"/>
          <w:szCs w:val="21"/>
        </w:rPr>
      </w:pPr>
      <w:r>
        <w:rPr>
          <w:rFonts w:hint="eastAsia" w:ascii="宋体" w:hAnsi="宋体" w:cs="宋体"/>
          <w:szCs w:val="21"/>
        </w:rPr>
        <w:t>（1）对于投标文件中含义不明确、同类问题表述不一致或者有明显文字和计算错误的内容，评标委员会应当以书面形式要求投标人作出必要的澄清、说明或者补正。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rPr>
          <w:rFonts w:ascii="宋体" w:hAnsi="宋体" w:cs="宋体"/>
          <w:szCs w:val="21"/>
        </w:rPr>
      </w:pPr>
      <w:r>
        <w:rPr>
          <w:rFonts w:hint="eastAsia" w:ascii="宋体" w:hAnsi="宋体" w:cs="宋体"/>
          <w:szCs w:val="21"/>
        </w:rPr>
        <w:t>（2）评标委员会应当按照招标文件中规定的评标方法和标准，对符合性审查合格的投标文件进行商务和技术评估，综合比较与评价。</w:t>
      </w:r>
    </w:p>
    <w:p>
      <w:pPr>
        <w:spacing w:line="360" w:lineRule="auto"/>
        <w:ind w:firstLine="420" w:firstLineChars="200"/>
        <w:rPr>
          <w:rFonts w:ascii="宋体" w:hAnsi="宋体" w:cs="宋体"/>
          <w:szCs w:val="21"/>
        </w:rPr>
      </w:pPr>
      <w:r>
        <w:rPr>
          <w:rFonts w:hint="eastAsia" w:ascii="宋体" w:hAnsi="宋体" w:cs="宋体"/>
          <w:szCs w:val="21"/>
        </w:rPr>
        <w:t>（3）评标时，评标委员会各成员应当独立对每个投标人的投标文件进行评价，并汇总每个投标人的得分。</w:t>
      </w:r>
    </w:p>
    <w:p>
      <w:pPr>
        <w:spacing w:line="360" w:lineRule="auto"/>
        <w:ind w:firstLine="422" w:firstLineChars="200"/>
        <w:rPr>
          <w:rFonts w:ascii="宋体" w:hAnsi="宋体" w:cs="宋体"/>
          <w:b/>
          <w:bCs/>
          <w:szCs w:val="21"/>
        </w:rPr>
      </w:pPr>
      <w:r>
        <w:rPr>
          <w:rFonts w:hint="eastAsia" w:ascii="宋体" w:hAnsi="宋体" w:cs="宋体"/>
          <w:b/>
          <w:bCs/>
          <w:szCs w:val="21"/>
        </w:rPr>
        <w:t>4、得分确认及评审报告编写</w:t>
      </w:r>
    </w:p>
    <w:p>
      <w:pPr>
        <w:spacing w:line="360" w:lineRule="auto"/>
        <w:ind w:firstLine="420" w:firstLineChars="200"/>
        <w:rPr>
          <w:rFonts w:ascii="宋体" w:hAnsi="宋体" w:cs="宋体"/>
          <w:szCs w:val="21"/>
        </w:rPr>
      </w:pPr>
      <w:r>
        <w:rPr>
          <w:rFonts w:hint="eastAsia" w:ascii="宋体" w:hAnsi="宋体" w:cs="宋体"/>
          <w:szCs w:val="21"/>
        </w:rPr>
        <w:t>（1）评标委员会对报价文件进行复核，对于系统计算出的价格分及总得分进行确认；</w:t>
      </w:r>
    </w:p>
    <w:p>
      <w:pPr>
        <w:spacing w:line="360" w:lineRule="auto"/>
        <w:ind w:firstLine="420" w:firstLineChars="200"/>
        <w:rPr>
          <w:rFonts w:ascii="宋体" w:hAnsi="宋体" w:cs="宋体"/>
          <w:szCs w:val="21"/>
        </w:rPr>
      </w:pPr>
      <w:r>
        <w:rPr>
          <w:rFonts w:hint="eastAsia" w:ascii="宋体" w:hAnsi="宋体" w:cs="宋体"/>
          <w:szCs w:val="21"/>
        </w:rPr>
        <w:t>（2）评标委员会应当按照招标文件中规定的评标方法和标准，对符合性审查合格的投标文件进行商务和技术评估，综合比较与评价。</w:t>
      </w:r>
    </w:p>
    <w:p>
      <w:pPr>
        <w:spacing w:line="360" w:lineRule="auto"/>
        <w:ind w:firstLine="420" w:firstLineChars="200"/>
        <w:rPr>
          <w:rFonts w:ascii="宋体" w:hAnsi="宋体" w:cs="宋体"/>
          <w:szCs w:val="21"/>
        </w:rPr>
      </w:pPr>
      <w:r>
        <w:rPr>
          <w:rFonts w:hint="eastAsia" w:ascii="宋体" w:hAnsi="宋体" w:cs="宋体"/>
          <w:szCs w:val="21"/>
        </w:rPr>
        <w:t>（3）评标委员会按评标原则及得分情况编写评审报告。</w:t>
      </w:r>
    </w:p>
    <w:p>
      <w:pPr>
        <w:spacing w:line="360" w:lineRule="auto"/>
        <w:ind w:firstLine="422" w:firstLineChars="200"/>
        <w:rPr>
          <w:rFonts w:ascii="宋体" w:hAnsi="宋体" w:cs="宋体"/>
          <w:b/>
          <w:bCs/>
          <w:szCs w:val="21"/>
        </w:rPr>
      </w:pPr>
      <w:r>
        <w:rPr>
          <w:rFonts w:hint="eastAsia" w:ascii="宋体" w:hAnsi="宋体" w:cs="宋体"/>
          <w:b/>
          <w:bCs/>
          <w:szCs w:val="21"/>
        </w:rPr>
        <w:t>5、评价</w:t>
      </w:r>
    </w:p>
    <w:p>
      <w:pPr>
        <w:spacing w:line="360" w:lineRule="auto"/>
        <w:ind w:firstLine="420" w:firstLineChars="200"/>
        <w:rPr>
          <w:rFonts w:ascii="宋体" w:hAnsi="宋体" w:cs="宋体"/>
          <w:szCs w:val="21"/>
        </w:rPr>
      </w:pPr>
      <w:r>
        <w:rPr>
          <w:rFonts w:hint="eastAsia" w:ascii="宋体" w:hAnsi="宋体" w:cs="宋体"/>
          <w:szCs w:val="21"/>
        </w:rPr>
        <w:t>采购组织机构对评标委员会评审专家进行评价。</w:t>
      </w:r>
    </w:p>
    <w:p>
      <w:pPr>
        <w:spacing w:line="360" w:lineRule="auto"/>
        <w:ind w:firstLine="422" w:firstLineChars="200"/>
        <w:rPr>
          <w:rFonts w:ascii="宋体" w:hAnsi="宋体" w:cs="宋体"/>
          <w:b/>
          <w:bCs/>
          <w:szCs w:val="21"/>
        </w:rPr>
      </w:pPr>
      <w:r>
        <w:rPr>
          <w:rFonts w:hint="eastAsia" w:ascii="宋体" w:hAnsi="宋体" w:cs="宋体"/>
          <w:b/>
          <w:bCs/>
          <w:szCs w:val="21"/>
        </w:rPr>
        <w:t>（三）澄清问题的形式</w:t>
      </w:r>
    </w:p>
    <w:p>
      <w:pPr>
        <w:spacing w:line="360" w:lineRule="auto"/>
        <w:ind w:firstLine="420" w:firstLineChars="200"/>
        <w:rPr>
          <w:rFonts w:ascii="宋体" w:hAnsi="宋体" w:cs="宋体"/>
          <w:szCs w:val="21"/>
        </w:rPr>
      </w:pPr>
      <w:r>
        <w:rPr>
          <w:rFonts w:hint="eastAsia" w:ascii="宋体" w:hAnsi="宋体" w:cs="宋体"/>
          <w:szCs w:val="21"/>
        </w:rPr>
        <w:t>投标人的澄清、说明或者补正应当采用书面形式，并加盖公章或者由法定代理人或其授权的代表签字，并不得超出投标文件的范围或者改变投标文件的实质性内容。</w:t>
      </w:r>
    </w:p>
    <w:p>
      <w:pPr>
        <w:spacing w:line="360" w:lineRule="auto"/>
        <w:ind w:firstLine="422" w:firstLineChars="200"/>
        <w:rPr>
          <w:rFonts w:ascii="宋体" w:hAnsi="宋体" w:cs="宋体"/>
          <w:b/>
          <w:bCs/>
          <w:szCs w:val="21"/>
        </w:rPr>
      </w:pPr>
      <w:r>
        <w:rPr>
          <w:rFonts w:hint="eastAsia" w:ascii="宋体" w:hAnsi="宋体" w:cs="宋体"/>
          <w:b/>
          <w:bCs/>
          <w:szCs w:val="21"/>
        </w:rPr>
        <w:t>（四）错误修正</w:t>
      </w:r>
    </w:p>
    <w:p>
      <w:pPr>
        <w:spacing w:line="360" w:lineRule="auto"/>
        <w:ind w:firstLine="420" w:firstLineChars="200"/>
        <w:rPr>
          <w:rFonts w:ascii="宋体" w:hAnsi="宋体" w:cs="宋体"/>
          <w:szCs w:val="21"/>
        </w:rPr>
      </w:pPr>
      <w:r>
        <w:rPr>
          <w:rFonts w:hint="eastAsia" w:ascii="宋体" w:hAnsi="宋体" w:cs="宋体"/>
          <w:szCs w:val="21"/>
        </w:rPr>
        <w:t>投标文件报价出现前后不一致的，除招标文件另有规定外，按照下列规定修正：</w:t>
      </w:r>
    </w:p>
    <w:p>
      <w:pPr>
        <w:spacing w:line="360" w:lineRule="auto"/>
        <w:ind w:firstLine="420" w:firstLineChars="200"/>
        <w:rPr>
          <w:rFonts w:ascii="宋体" w:hAnsi="宋体" w:cs="宋体"/>
          <w:szCs w:val="21"/>
        </w:rPr>
      </w:pPr>
      <w:r>
        <w:rPr>
          <w:rFonts w:hint="eastAsia" w:ascii="宋体" w:hAnsi="宋体" w:cs="宋体"/>
          <w:szCs w:val="21"/>
        </w:rPr>
        <w:t>1、投标文件中开标一览表（报价表）内容与投标文件中相应内容不一致的，以开标一览表（报价表）为准；</w:t>
      </w:r>
    </w:p>
    <w:p>
      <w:pPr>
        <w:spacing w:line="360" w:lineRule="auto"/>
        <w:ind w:firstLine="420" w:firstLineChars="200"/>
        <w:rPr>
          <w:rFonts w:ascii="宋体" w:hAnsi="宋体" w:cs="宋体"/>
          <w:szCs w:val="21"/>
        </w:rPr>
      </w:pPr>
      <w:r>
        <w:rPr>
          <w:rFonts w:hint="eastAsia" w:ascii="宋体" w:hAnsi="宋体" w:cs="宋体"/>
          <w:szCs w:val="21"/>
        </w:rPr>
        <w:t>2、大写金额和小写金额不一致的，以大写金额为准；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3、单价金额小数点或者百分比有明显错位的，以开标一览表的总价为准，并修改单价；</w:t>
      </w:r>
    </w:p>
    <w:p>
      <w:pPr>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pPr>
        <w:spacing w:line="360" w:lineRule="auto"/>
        <w:ind w:firstLine="420" w:firstLineChars="200"/>
        <w:rPr>
          <w:rFonts w:ascii="宋体" w:hAnsi="宋体" w:cs="宋体"/>
          <w:szCs w:val="21"/>
        </w:rPr>
      </w:pPr>
      <w:r>
        <w:rPr>
          <w:rFonts w:hint="eastAsia" w:ascii="宋体" w:hAnsi="宋体" w:cs="宋体"/>
          <w:szCs w:val="21"/>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spacing w:line="360" w:lineRule="auto"/>
        <w:ind w:firstLine="422" w:firstLineChars="200"/>
        <w:rPr>
          <w:rFonts w:ascii="宋体" w:hAnsi="宋体" w:cs="宋体"/>
          <w:b/>
          <w:bCs/>
          <w:szCs w:val="21"/>
        </w:rPr>
      </w:pPr>
      <w:r>
        <w:rPr>
          <w:rFonts w:hint="eastAsia" w:ascii="宋体" w:hAnsi="宋体" w:cs="宋体"/>
          <w:b/>
          <w:bCs/>
          <w:szCs w:val="21"/>
        </w:rPr>
        <w:t>（五）投标人存在下列情况之一的，投标无效</w:t>
      </w:r>
    </w:p>
    <w:p>
      <w:pPr>
        <w:spacing w:line="360" w:lineRule="auto"/>
        <w:ind w:firstLine="420" w:firstLineChars="200"/>
        <w:rPr>
          <w:rFonts w:ascii="宋体" w:hAnsi="宋体" w:cs="宋体"/>
          <w:szCs w:val="21"/>
        </w:rPr>
      </w:pPr>
      <w:r>
        <w:rPr>
          <w:rFonts w:hint="eastAsia" w:ascii="宋体" w:hAnsi="宋体" w:cs="宋体"/>
          <w:szCs w:val="21"/>
        </w:rPr>
        <w:t>1、电子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pPr>
        <w:spacing w:line="360" w:lineRule="auto"/>
        <w:ind w:firstLine="420" w:firstLineChars="200"/>
        <w:rPr>
          <w:rFonts w:ascii="宋体" w:hAnsi="宋体" w:cs="宋体"/>
          <w:szCs w:val="21"/>
        </w:rPr>
      </w:pPr>
      <w:r>
        <w:rPr>
          <w:rFonts w:hint="eastAsia" w:ascii="宋体" w:hAnsi="宋体" w:cs="宋体"/>
          <w:szCs w:val="21"/>
        </w:rPr>
        <w:t>2、资格及商务技术文件跟报价文件出现混装或在资格及商务技术文件中出现投标报价的，或者报价文件中报价的货物跟资格及商务技术文件中的投标货物出现重大偏差的；</w:t>
      </w:r>
    </w:p>
    <w:p>
      <w:pPr>
        <w:spacing w:line="360" w:lineRule="auto"/>
        <w:ind w:firstLine="420" w:firstLineChars="200"/>
        <w:rPr>
          <w:rFonts w:ascii="宋体" w:hAnsi="宋体" w:cs="宋体"/>
          <w:szCs w:val="21"/>
        </w:rPr>
      </w:pPr>
      <w:r>
        <w:rPr>
          <w:rFonts w:hint="eastAsia" w:ascii="宋体" w:hAnsi="宋体" w:cs="宋体"/>
          <w:szCs w:val="21"/>
        </w:rPr>
        <w:t>3、不具备招标文件中规定的资格要求的。</w:t>
      </w:r>
      <w:r>
        <w:rPr>
          <w:rFonts w:hint="eastAsia" w:ascii="宋体" w:hAnsi="宋体" w:cs="宋体"/>
          <w:szCs w:val="21"/>
        </w:rPr>
        <w:tab/>
      </w:r>
    </w:p>
    <w:p>
      <w:pPr>
        <w:spacing w:line="360" w:lineRule="auto"/>
        <w:ind w:firstLine="420" w:firstLineChars="200"/>
        <w:rPr>
          <w:rFonts w:ascii="宋体" w:hAnsi="宋体" w:cs="宋体"/>
          <w:szCs w:val="21"/>
        </w:rPr>
      </w:pPr>
      <w:r>
        <w:rPr>
          <w:rFonts w:hint="eastAsia" w:ascii="宋体" w:hAnsi="宋体" w:cs="宋体"/>
          <w:szCs w:val="21"/>
        </w:rPr>
        <w:t>4、投标文件含有采购人不能接受的附加条件的。</w:t>
      </w:r>
    </w:p>
    <w:p>
      <w:pPr>
        <w:spacing w:line="360" w:lineRule="auto"/>
        <w:ind w:firstLine="420" w:firstLineChars="200"/>
        <w:rPr>
          <w:rFonts w:ascii="宋体" w:hAnsi="宋体" w:cs="宋体"/>
          <w:szCs w:val="21"/>
        </w:rPr>
      </w:pPr>
      <w:r>
        <w:rPr>
          <w:rFonts w:hint="eastAsia" w:ascii="宋体" w:hAnsi="宋体" w:cs="宋体"/>
          <w:szCs w:val="21"/>
        </w:rPr>
        <w:t>5、授权委托代理人未能出具身份证明或与法定代表人授权委托人身份不符的；</w:t>
      </w:r>
    </w:p>
    <w:p>
      <w:pPr>
        <w:spacing w:line="360" w:lineRule="auto"/>
        <w:ind w:firstLine="420" w:firstLineChars="200"/>
        <w:rPr>
          <w:rFonts w:ascii="宋体" w:hAnsi="宋体" w:cs="宋体"/>
          <w:szCs w:val="21"/>
        </w:rPr>
      </w:pPr>
      <w:r>
        <w:rPr>
          <w:rFonts w:hint="eastAsia" w:ascii="宋体" w:hAnsi="宋体" w:cs="宋体"/>
          <w:szCs w:val="21"/>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rPr>
          <w:rFonts w:ascii="宋体" w:hAnsi="宋体" w:cs="宋体"/>
          <w:szCs w:val="21"/>
        </w:rPr>
      </w:pPr>
      <w:r>
        <w:rPr>
          <w:rFonts w:hint="eastAsia" w:ascii="宋体" w:hAnsi="宋体" w:cs="宋体"/>
          <w:szCs w:val="21"/>
        </w:rPr>
        <w:t>7、报价超过招标文件中规定的预算金额/最高限价。</w:t>
      </w:r>
    </w:p>
    <w:p>
      <w:pPr>
        <w:spacing w:line="360" w:lineRule="auto"/>
        <w:ind w:firstLine="420" w:firstLineChars="200"/>
        <w:rPr>
          <w:rFonts w:ascii="宋体" w:hAnsi="宋体" w:cs="宋体"/>
          <w:szCs w:val="21"/>
        </w:rPr>
      </w:pPr>
      <w:r>
        <w:rPr>
          <w:rFonts w:hint="eastAsia" w:ascii="宋体" w:hAnsi="宋体" w:cs="宋体"/>
          <w:szCs w:val="21"/>
        </w:rPr>
        <w:t>8、投标参数未如实填写，完全复制粘贴招标参数的。</w:t>
      </w:r>
    </w:p>
    <w:p>
      <w:pPr>
        <w:spacing w:line="360" w:lineRule="auto"/>
        <w:ind w:firstLine="420" w:firstLineChars="200"/>
        <w:rPr>
          <w:rFonts w:ascii="宋体" w:hAnsi="宋体" w:cs="宋体"/>
          <w:szCs w:val="21"/>
        </w:rPr>
      </w:pPr>
      <w:r>
        <w:rPr>
          <w:rFonts w:hint="eastAsia" w:ascii="宋体" w:hAnsi="宋体" w:cs="宋体"/>
          <w:szCs w:val="21"/>
        </w:rPr>
        <w:t>9、投标文件提供虚假材料的。</w:t>
      </w:r>
    </w:p>
    <w:p>
      <w:pPr>
        <w:spacing w:line="360" w:lineRule="auto"/>
        <w:ind w:firstLine="420" w:firstLineChars="200"/>
        <w:rPr>
          <w:rFonts w:ascii="宋体" w:hAnsi="宋体" w:cs="宋体"/>
          <w:szCs w:val="21"/>
        </w:rPr>
      </w:pPr>
      <w:r>
        <w:rPr>
          <w:rFonts w:hint="eastAsia" w:ascii="宋体" w:hAnsi="宋体" w:cs="宋体"/>
          <w:szCs w:val="21"/>
        </w:rPr>
        <w:t>10、不符合中华人民共和国财政部令第87号《政府采购货物和服务招标投标管理办法》第三十七条情形之一的，视为投标人串通投标，其投标无效，并移送采购监管部门：</w:t>
      </w:r>
    </w:p>
    <w:p>
      <w:pPr>
        <w:spacing w:line="360" w:lineRule="auto"/>
        <w:ind w:firstLine="420" w:firstLineChars="200"/>
        <w:rPr>
          <w:rFonts w:ascii="宋体" w:hAnsi="宋体" w:cs="宋体"/>
          <w:szCs w:val="21"/>
        </w:rPr>
      </w:pPr>
      <w:r>
        <w:rPr>
          <w:rFonts w:hint="eastAsia" w:ascii="宋体" w:hAnsi="宋体" w:cs="宋体"/>
          <w:szCs w:val="21"/>
        </w:rPr>
        <w:t>（1）不同投标人的投标文件由同一单位或者个人编制；</w:t>
      </w:r>
    </w:p>
    <w:p>
      <w:pPr>
        <w:spacing w:line="360" w:lineRule="auto"/>
        <w:ind w:firstLine="420" w:firstLineChars="200"/>
        <w:rPr>
          <w:rFonts w:ascii="宋体" w:hAnsi="宋体" w:cs="宋体"/>
          <w:szCs w:val="21"/>
        </w:rPr>
      </w:pPr>
      <w:r>
        <w:rPr>
          <w:rFonts w:hint="eastAsia" w:ascii="宋体" w:hAnsi="宋体" w:cs="宋体"/>
          <w:szCs w:val="21"/>
        </w:rPr>
        <w:t>（2）不同投标人委托同一单位或者个人办理投标事宜；</w:t>
      </w:r>
    </w:p>
    <w:p>
      <w:pPr>
        <w:spacing w:line="360" w:lineRule="auto"/>
        <w:ind w:firstLine="420" w:firstLineChars="200"/>
        <w:rPr>
          <w:rFonts w:ascii="宋体" w:hAnsi="宋体" w:cs="宋体"/>
          <w:szCs w:val="21"/>
        </w:rPr>
      </w:pPr>
      <w:r>
        <w:rPr>
          <w:rFonts w:hint="eastAsia" w:ascii="宋体" w:hAnsi="宋体" w:cs="宋体"/>
          <w:szCs w:val="21"/>
        </w:rPr>
        <w:t>（3）不同投标人的投标文件载明的项目管理成员或者联系人员为同一人；</w:t>
      </w:r>
    </w:p>
    <w:p>
      <w:pPr>
        <w:spacing w:line="360" w:lineRule="auto"/>
        <w:ind w:firstLine="420" w:firstLineChars="200"/>
        <w:rPr>
          <w:rFonts w:ascii="宋体" w:hAnsi="宋体" w:cs="宋体"/>
          <w:szCs w:val="21"/>
        </w:rPr>
      </w:pPr>
      <w:r>
        <w:rPr>
          <w:rFonts w:hint="eastAsia" w:ascii="宋体" w:hAnsi="宋体" w:cs="宋体"/>
          <w:szCs w:val="21"/>
        </w:rPr>
        <w:t>（4）不同投标人的投标文件异常一致或者投标报价呈规律性差异；</w:t>
      </w:r>
    </w:p>
    <w:p>
      <w:pPr>
        <w:spacing w:line="360" w:lineRule="auto"/>
        <w:ind w:firstLine="420" w:firstLineChars="200"/>
        <w:rPr>
          <w:rFonts w:ascii="宋体" w:hAnsi="宋体" w:cs="宋体"/>
          <w:szCs w:val="21"/>
        </w:rPr>
      </w:pPr>
      <w:r>
        <w:rPr>
          <w:rFonts w:hint="eastAsia" w:ascii="宋体" w:hAnsi="宋体" w:cs="宋体"/>
          <w:szCs w:val="21"/>
        </w:rPr>
        <w:t>（5）不同投标人的投标文件相互混装；</w:t>
      </w:r>
    </w:p>
    <w:p>
      <w:pPr>
        <w:spacing w:line="360" w:lineRule="auto"/>
        <w:ind w:firstLine="420" w:firstLineChars="200"/>
        <w:rPr>
          <w:rFonts w:ascii="宋体" w:hAnsi="宋体" w:cs="宋体"/>
          <w:szCs w:val="21"/>
        </w:rPr>
      </w:pPr>
      <w:r>
        <w:rPr>
          <w:rFonts w:hint="eastAsia" w:ascii="宋体" w:hAnsi="宋体" w:cs="宋体"/>
          <w:szCs w:val="21"/>
        </w:rPr>
        <w:t>11、不符合法律、法规和招标文件中规定的其他实质性要求的（招标文件</w:t>
      </w:r>
    </w:p>
    <w:p>
      <w:pPr>
        <w:spacing w:line="360" w:lineRule="auto"/>
        <w:rPr>
          <w:rFonts w:ascii="宋体" w:hAnsi="宋体" w:cs="宋体"/>
          <w:szCs w:val="21"/>
        </w:rPr>
      </w:pPr>
      <w:r>
        <w:rPr>
          <w:rFonts w:hint="eastAsia" w:ascii="宋体" w:hAnsi="宋体" w:cs="宋体"/>
          <w:szCs w:val="21"/>
        </w:rPr>
        <w:t>中打“▲”内容及被拒绝的条款）。</w:t>
      </w:r>
    </w:p>
    <w:p>
      <w:pPr>
        <w:spacing w:line="360" w:lineRule="auto"/>
        <w:ind w:firstLine="420" w:firstLineChars="200"/>
        <w:rPr>
          <w:rFonts w:ascii="宋体" w:hAnsi="宋体" w:cs="宋体"/>
          <w:szCs w:val="21"/>
        </w:rPr>
      </w:pPr>
      <w:r>
        <w:rPr>
          <w:rFonts w:hint="eastAsia" w:ascii="宋体" w:hAnsi="宋体" w:cs="宋体"/>
          <w:szCs w:val="21"/>
        </w:rPr>
        <w:t>12、未传输递交电子投标文件的或者未按规定提供相应的备份投标文件，造成项目开评标活动无法进行下去的。</w:t>
      </w:r>
    </w:p>
    <w:p>
      <w:pPr>
        <w:spacing w:line="360" w:lineRule="auto"/>
        <w:ind w:firstLine="422" w:firstLineChars="200"/>
        <w:rPr>
          <w:rFonts w:ascii="宋体" w:hAnsi="宋体" w:cs="宋体"/>
          <w:b/>
          <w:bCs/>
          <w:szCs w:val="21"/>
        </w:rPr>
      </w:pPr>
      <w:r>
        <w:rPr>
          <w:rFonts w:hint="eastAsia" w:ascii="宋体" w:hAnsi="宋体" w:cs="宋体"/>
          <w:b/>
          <w:bCs/>
          <w:szCs w:val="21"/>
        </w:rPr>
        <w:t>（六）有下列情况之一的，本次招标作为废标处理</w:t>
      </w:r>
    </w:p>
    <w:p>
      <w:pPr>
        <w:spacing w:line="360" w:lineRule="auto"/>
        <w:ind w:firstLine="420" w:firstLineChars="200"/>
        <w:rPr>
          <w:rFonts w:ascii="宋体" w:hAnsi="宋体" w:cs="宋体"/>
          <w:szCs w:val="21"/>
        </w:rPr>
      </w:pPr>
      <w:r>
        <w:rPr>
          <w:rFonts w:hint="eastAsia" w:ascii="宋体" w:hAnsi="宋体" w:cs="宋体"/>
          <w:szCs w:val="21"/>
        </w:rPr>
        <w:t>1、出现影响采购公正的违法、违规行为的；</w:t>
      </w:r>
    </w:p>
    <w:p>
      <w:pPr>
        <w:spacing w:line="360" w:lineRule="auto"/>
        <w:ind w:firstLine="420" w:firstLineChars="200"/>
        <w:rPr>
          <w:rFonts w:ascii="宋体" w:hAnsi="宋体" w:cs="宋体"/>
          <w:szCs w:val="21"/>
        </w:rPr>
      </w:pPr>
      <w:r>
        <w:rPr>
          <w:rFonts w:hint="eastAsia" w:ascii="宋体" w:hAnsi="宋体" w:cs="宋体"/>
          <w:szCs w:val="21"/>
        </w:rPr>
        <w:t>2、评标委员会发现招标文件存在歧义、重大缺陷导致评标工作无法进行，或者招标文件内容违反国家有关强制性规定的；</w:t>
      </w:r>
    </w:p>
    <w:p>
      <w:pPr>
        <w:spacing w:line="360" w:lineRule="auto"/>
        <w:ind w:firstLine="420" w:firstLineChars="200"/>
        <w:rPr>
          <w:rFonts w:ascii="宋体" w:hAnsi="宋体" w:cs="宋体"/>
          <w:szCs w:val="21"/>
        </w:rPr>
      </w:pPr>
      <w:r>
        <w:rPr>
          <w:rFonts w:hint="eastAsia" w:ascii="宋体" w:hAnsi="宋体" w:cs="宋体"/>
          <w:szCs w:val="21"/>
        </w:rPr>
        <w:t>3、因重大变故，采购任务取消的；</w:t>
      </w:r>
    </w:p>
    <w:p>
      <w:pPr>
        <w:spacing w:line="360" w:lineRule="auto"/>
        <w:ind w:firstLine="420" w:firstLineChars="200"/>
        <w:rPr>
          <w:rFonts w:ascii="宋体" w:hAnsi="宋体" w:cs="宋体"/>
          <w:szCs w:val="21"/>
        </w:rPr>
      </w:pPr>
      <w:r>
        <w:rPr>
          <w:rFonts w:hint="eastAsia" w:ascii="宋体" w:hAnsi="宋体" w:cs="宋体"/>
          <w:szCs w:val="21"/>
        </w:rPr>
        <w:t>4、法律、法规和招标文件规定的其他导致评标结果无效的。</w:t>
      </w:r>
    </w:p>
    <w:p>
      <w:pPr>
        <w:spacing w:line="360" w:lineRule="auto"/>
        <w:ind w:firstLine="422" w:firstLineChars="200"/>
        <w:rPr>
          <w:rFonts w:ascii="宋体" w:hAnsi="宋体" w:cs="宋体"/>
          <w:b/>
          <w:bCs/>
          <w:szCs w:val="21"/>
        </w:rPr>
      </w:pPr>
      <w:r>
        <w:rPr>
          <w:rFonts w:hint="eastAsia" w:ascii="宋体" w:hAnsi="宋体" w:cs="宋体"/>
          <w:b/>
          <w:bCs/>
          <w:szCs w:val="21"/>
        </w:rPr>
        <w:t>（七）评标原则和评标办法</w:t>
      </w:r>
    </w:p>
    <w:p>
      <w:pPr>
        <w:spacing w:line="360" w:lineRule="auto"/>
        <w:ind w:firstLine="420" w:firstLineChars="200"/>
        <w:rPr>
          <w:rFonts w:ascii="宋体" w:hAnsi="宋体" w:cs="宋体"/>
          <w:szCs w:val="21"/>
        </w:rPr>
      </w:pPr>
      <w:r>
        <w:rPr>
          <w:rFonts w:hint="eastAsia" w:ascii="宋体" w:hAnsi="宋体" w:cs="宋体"/>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20" w:firstLineChars="200"/>
        <w:rPr>
          <w:rFonts w:ascii="宋体" w:hAnsi="宋体" w:cs="宋体"/>
          <w:szCs w:val="21"/>
        </w:rPr>
      </w:pPr>
      <w:r>
        <w:rPr>
          <w:rFonts w:hint="eastAsia" w:ascii="宋体" w:hAnsi="宋体" w:cs="宋体"/>
          <w:szCs w:val="21"/>
        </w:rPr>
        <w:t>2、评标办法。具体评标内容及评分标准等详见《第三章：评标方法及评分标准》。</w:t>
      </w:r>
    </w:p>
    <w:p>
      <w:pPr>
        <w:spacing w:line="360" w:lineRule="auto"/>
        <w:ind w:firstLine="422" w:firstLineChars="200"/>
        <w:rPr>
          <w:rFonts w:ascii="宋体" w:hAnsi="宋体" w:cs="宋体"/>
          <w:b/>
          <w:bCs/>
          <w:szCs w:val="21"/>
        </w:rPr>
      </w:pPr>
      <w:r>
        <w:rPr>
          <w:rFonts w:hint="eastAsia" w:ascii="宋体" w:hAnsi="宋体" w:cs="宋体"/>
          <w:b/>
          <w:bCs/>
          <w:szCs w:val="21"/>
        </w:rPr>
        <w:t>（八）评标过程的监控</w:t>
      </w:r>
    </w:p>
    <w:p>
      <w:pPr>
        <w:spacing w:line="360" w:lineRule="auto"/>
        <w:ind w:firstLine="420" w:firstLineChars="200"/>
        <w:rPr>
          <w:rFonts w:ascii="宋体" w:hAnsi="宋体" w:cs="宋体"/>
          <w:szCs w:val="21"/>
        </w:rPr>
      </w:pPr>
      <w:r>
        <w:rPr>
          <w:rFonts w:hint="eastAsia" w:ascii="宋体" w:hAnsi="宋体" w:cs="宋体"/>
          <w:szCs w:val="21"/>
        </w:rPr>
        <w:t>本项目评标过程实行全程录音、录像监控，政府采购监管部门视情进行现场监督，投标人在评标过程中所进行的试图影响评标结果的不公正活动，可能导致其投标被拒绝。</w:t>
      </w:r>
    </w:p>
    <w:p>
      <w:pPr>
        <w:spacing w:line="360" w:lineRule="auto"/>
        <w:ind w:firstLine="422" w:firstLineChars="200"/>
        <w:rPr>
          <w:rFonts w:ascii="宋体" w:hAnsi="宋体" w:cs="宋体"/>
          <w:b/>
          <w:bCs/>
          <w:szCs w:val="21"/>
        </w:rPr>
      </w:pPr>
      <w:r>
        <w:rPr>
          <w:rFonts w:hint="eastAsia" w:ascii="宋体" w:hAnsi="宋体" w:cs="宋体"/>
          <w:b/>
          <w:bCs/>
          <w:szCs w:val="21"/>
        </w:rPr>
        <w:t>六、定标</w:t>
      </w:r>
    </w:p>
    <w:p>
      <w:pPr>
        <w:spacing w:line="360" w:lineRule="auto"/>
        <w:ind w:firstLine="420" w:firstLineChars="200"/>
        <w:jc w:val="left"/>
        <w:rPr>
          <w:rFonts w:ascii="宋体" w:hAnsi="宋体" w:cs="宋体"/>
          <w:szCs w:val="21"/>
        </w:rPr>
      </w:pPr>
      <w:r>
        <w:rPr>
          <w:rFonts w:hint="eastAsia" w:ascii="宋体" w:hAnsi="宋体" w:cs="宋体"/>
          <w:szCs w:val="21"/>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20" w:firstLineChars="200"/>
        <w:jc w:val="left"/>
        <w:rPr>
          <w:rFonts w:ascii="宋体" w:hAnsi="宋体" w:cs="宋体"/>
          <w:szCs w:val="21"/>
        </w:rPr>
      </w:pPr>
      <w:r>
        <w:rPr>
          <w:rFonts w:hint="eastAsia" w:ascii="宋体" w:hAnsi="宋体" w:cs="宋体"/>
          <w:szCs w:val="21"/>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pPr>
        <w:spacing w:line="360" w:lineRule="auto"/>
        <w:ind w:firstLine="420" w:firstLineChars="200"/>
        <w:jc w:val="left"/>
        <w:rPr>
          <w:rFonts w:ascii="宋体" w:hAnsi="宋体" w:cs="宋体"/>
          <w:szCs w:val="21"/>
        </w:rPr>
      </w:pPr>
      <w:r>
        <w:rPr>
          <w:rFonts w:hint="eastAsia" w:ascii="宋体" w:hAnsi="宋体" w:cs="宋体"/>
          <w:szCs w:val="21"/>
        </w:rPr>
        <w:t>3、发出中标通知书。采购组织机构在发布中标结果的同时，向中标人发出中标通知书。</w:t>
      </w:r>
    </w:p>
    <w:p>
      <w:pPr>
        <w:pStyle w:val="36"/>
        <w:spacing w:before="0" w:beforeAutospacing="0" w:after="0" w:afterAutospacing="0" w:line="360" w:lineRule="auto"/>
        <w:ind w:firstLine="420" w:firstLineChars="200"/>
        <w:jc w:val="both"/>
        <w:rPr>
          <w:rFonts w:cs="宋体"/>
          <w:sz w:val="21"/>
          <w:szCs w:val="21"/>
        </w:rPr>
      </w:pPr>
      <w:r>
        <w:rPr>
          <w:rFonts w:hint="eastAsia" w:cs="宋体"/>
          <w:sz w:val="21"/>
          <w:szCs w:val="21"/>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pacing w:line="360" w:lineRule="auto"/>
        <w:ind w:firstLine="420" w:firstLineChars="200"/>
        <w:rPr>
          <w:rFonts w:ascii="宋体" w:cs="宋体"/>
          <w:kern w:val="0"/>
          <w:szCs w:val="21"/>
        </w:rPr>
      </w:pPr>
      <w:r>
        <w:rPr>
          <w:rFonts w:hint="eastAsia" w:ascii="宋体" w:hAnsi="宋体" w:cs="宋体"/>
          <w:szCs w:val="21"/>
        </w:rPr>
        <w:t>5、招标代理费：按标准国家收费标准（计价格【2002】1980号、发改价格【2011】534号）执行，不足6000元按6000元计取，该费用中标人须在中标公告发出5日内一次性付清。</w:t>
      </w:r>
      <w:r>
        <w:rPr>
          <w:rFonts w:hint="eastAsia" w:ascii="宋体"/>
          <w:szCs w:val="21"/>
        </w:rPr>
        <w:t>（</w:t>
      </w:r>
      <w:r>
        <w:rPr>
          <w:rFonts w:hint="eastAsia" w:ascii="宋体" w:cs="宋体"/>
          <w:kern w:val="0"/>
          <w:szCs w:val="21"/>
        </w:rPr>
        <w:t>户名：浙江建通工程建设管理有限公司；账号：510013155100010；开户银行：台州银行黄岩工业园区支行）财务电话：0576-84289062。</w:t>
      </w:r>
    </w:p>
    <w:tbl>
      <w:tblPr>
        <w:tblStyle w:val="40"/>
        <w:tblW w:w="8188" w:type="dxa"/>
        <w:tblInd w:w="0" w:type="dxa"/>
        <w:tblLayout w:type="fixed"/>
        <w:tblCellMar>
          <w:top w:w="0" w:type="dxa"/>
          <w:left w:w="108" w:type="dxa"/>
          <w:bottom w:w="0" w:type="dxa"/>
          <w:right w:w="108" w:type="dxa"/>
        </w:tblCellMar>
      </w:tblPr>
      <w:tblGrid>
        <w:gridCol w:w="3044"/>
        <w:gridCol w:w="5144"/>
      </w:tblGrid>
      <w:tr>
        <w:tblPrEx>
          <w:tblCellMar>
            <w:top w:w="0" w:type="dxa"/>
            <w:left w:w="108" w:type="dxa"/>
            <w:bottom w:w="0" w:type="dxa"/>
            <w:right w:w="108" w:type="dxa"/>
          </w:tblCellMar>
        </w:tblPrEx>
        <w:trPr>
          <w:trHeight w:val="1205" w:hRule="atLeast"/>
        </w:trPr>
        <w:tc>
          <w:tcPr>
            <w:tcW w:w="3044" w:type="dxa"/>
            <w:tcBorders>
              <w:top w:val="single" w:color="000000" w:sz="4" w:space="0"/>
              <w:left w:val="single" w:color="000000" w:sz="4" w:space="0"/>
              <w:bottom w:val="single" w:color="000000" w:sz="4" w:space="0"/>
              <w:right w:val="single" w:color="000000" w:sz="4" w:space="0"/>
            </w:tcBorders>
            <w:vAlign w:val="center"/>
          </w:tcPr>
          <w:p>
            <w:pPr>
              <w:pStyle w:val="23"/>
              <w:spacing w:line="360" w:lineRule="exact"/>
              <w:ind w:firstLine="412"/>
              <w:outlineLvl w:val="1"/>
              <w:rPr>
                <w:rFonts w:cs="宋体"/>
                <w:szCs w:val="21"/>
              </w:rPr>
            </w:pPr>
            <w:r>
              <w:rPr>
                <w:rFonts w:cs="宋体"/>
                <w:szCs w:val="21"/>
              </w:rPr>
              <w:pict>
                <v:line id="直接连接符 2" o:spid="_x0000_s1026" o:spt="20" style="position:absolute;left:0pt;margin-left:54pt;margin-top:1.3pt;height:85.8pt;width:90pt;z-index:251659264;mso-width-relative:page;mso-height-relative:page;" coordsize="21600,21600" o:gfxdata="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VsJFNQAAAAJAQAADwAAAAAAAAABACAAAAAiAAAAZHJzL2Rvd25yZXYueG1sUEsBAhQAFAAAAAgA&#10;h07iQBjjsxvwAQAAvgMAAA4AAAAAAAAAAQAgAAAAIwEAAGRycy9lMm9Eb2MueG1sUEsFBgAAAAAG&#10;AAYAWQEAAIUFAAAAAA==&#10;">
                  <v:path arrowok="t"/>
                  <v:fill focussize="0,0"/>
                  <v:stroke weight="0.5pt"/>
                  <v:imagedata o:title=""/>
                  <o:lock v:ext="edit"/>
                </v:line>
              </w:pict>
            </w:r>
            <w:r>
              <w:rPr>
                <w:rFonts w:cs="宋体"/>
                <w:szCs w:val="21"/>
              </w:rPr>
              <w:t>服</w:t>
            </w:r>
          </w:p>
          <w:p>
            <w:pPr>
              <w:pStyle w:val="23"/>
              <w:spacing w:line="360" w:lineRule="exact"/>
              <w:ind w:firstLine="412"/>
              <w:outlineLvl w:val="1"/>
              <w:rPr>
                <w:rFonts w:cs="宋体"/>
                <w:szCs w:val="21"/>
              </w:rPr>
            </w:pPr>
            <w:r>
              <w:rPr>
                <w:rFonts w:cs="宋体"/>
                <w:szCs w:val="21"/>
              </w:rPr>
              <w:t>费率型务</w:t>
            </w:r>
          </w:p>
          <w:p>
            <w:pPr>
              <w:pStyle w:val="23"/>
              <w:spacing w:line="360" w:lineRule="exact"/>
              <w:ind w:firstLine="2302"/>
              <w:outlineLvl w:val="1"/>
              <w:rPr>
                <w:rFonts w:cs="宋体"/>
                <w:szCs w:val="21"/>
              </w:rPr>
            </w:pPr>
            <w:r>
              <w:rPr>
                <w:rFonts w:cs="宋体"/>
                <w:szCs w:val="21"/>
              </w:rPr>
              <w:pict>
                <v:line id="直接连接符 3" o:spid="_x0000_s2050" o:spt="20" style="position:absolute;left:0pt;margin-left:0pt;margin-top:12.1pt;height:39pt;width:144pt;z-index:251660288;mso-width-relative:page;mso-height-relative:page;" coordsize="21600,21600" o:gfxdata="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C3F&#10;TNQAAAAHAQAADwAAAAAAAAABACAAAAAiAAAAZHJzL2Rvd25yZXYueG1sUEsBAhQAFAAAAAgAh07i&#10;QLA2pCvtAQAAvQMAAA4AAAAAAAAAAQAgAAAAIwEAAGRycy9lMm9Eb2MueG1sUEsFBgAAAAAGAAYA&#10;WQEAAIIFAAAAAA==&#10;">
                  <v:path arrowok="t"/>
                  <v:fill focussize="0,0"/>
                  <v:stroke/>
                  <v:imagedata o:title=""/>
                  <o:lock v:ext="edit"/>
                </v:line>
              </w:pict>
            </w:r>
            <w:r>
              <w:rPr>
                <w:rFonts w:cs="宋体"/>
                <w:szCs w:val="21"/>
              </w:rPr>
              <w:t>类</w:t>
            </w:r>
          </w:p>
          <w:p>
            <w:pPr>
              <w:pStyle w:val="23"/>
              <w:spacing w:line="360" w:lineRule="exact"/>
              <w:ind w:firstLine="2617"/>
              <w:outlineLvl w:val="1"/>
              <w:rPr>
                <w:rFonts w:cs="宋体"/>
                <w:szCs w:val="21"/>
              </w:rPr>
            </w:pPr>
            <w:r>
              <w:rPr>
                <w:rFonts w:cs="宋体"/>
                <w:szCs w:val="21"/>
              </w:rPr>
              <w:t>型</w:t>
            </w:r>
          </w:p>
          <w:p>
            <w:pPr>
              <w:pStyle w:val="23"/>
              <w:spacing w:line="360" w:lineRule="exact"/>
              <w:ind w:firstLine="105"/>
              <w:outlineLvl w:val="1"/>
              <w:rPr>
                <w:rFonts w:cs="宋体"/>
                <w:szCs w:val="21"/>
              </w:rPr>
            </w:pPr>
            <w:r>
              <w:rPr>
                <w:rFonts w:cs="宋体"/>
                <w:szCs w:val="21"/>
              </w:rPr>
              <w:t>中标金额（万元）</w:t>
            </w:r>
          </w:p>
        </w:tc>
        <w:tc>
          <w:tcPr>
            <w:tcW w:w="514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rPr>
              <w:t>服务招标</w:t>
            </w:r>
          </w:p>
        </w:tc>
      </w:tr>
      <w:tr>
        <w:tblPrEx>
          <w:tblCellMar>
            <w:top w:w="0" w:type="dxa"/>
            <w:left w:w="108" w:type="dxa"/>
            <w:bottom w:w="0" w:type="dxa"/>
            <w:right w:w="108" w:type="dxa"/>
          </w:tblCellMar>
        </w:tblPrEx>
        <w:tc>
          <w:tcPr>
            <w:tcW w:w="3044" w:type="dxa"/>
            <w:tcBorders>
              <w:top w:val="single" w:color="000000" w:sz="4" w:space="0"/>
              <w:left w:val="single" w:color="000000" w:sz="4" w:space="0"/>
              <w:bottom w:val="single" w:color="000000" w:sz="4" w:space="0"/>
              <w:right w:val="single" w:color="000000" w:sz="4" w:space="0"/>
            </w:tcBorders>
            <w:vAlign w:val="center"/>
          </w:tcPr>
          <w:p>
            <w:pPr>
              <w:pStyle w:val="23"/>
              <w:spacing w:line="360" w:lineRule="exact"/>
              <w:ind w:firstLine="412"/>
              <w:jc w:val="center"/>
              <w:outlineLvl w:val="1"/>
              <w:rPr>
                <w:rFonts w:cs="宋体"/>
                <w:szCs w:val="21"/>
              </w:rPr>
            </w:pPr>
            <w:r>
              <w:rPr>
                <w:rFonts w:cs="宋体"/>
                <w:szCs w:val="21"/>
              </w:rPr>
              <w:t>100以下</w:t>
            </w:r>
          </w:p>
        </w:tc>
        <w:tc>
          <w:tcPr>
            <w:tcW w:w="5144"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eastAsiaTheme="minorEastAsia"/>
              </w:rPr>
            </w:pPr>
            <w:r>
              <w:rPr>
                <w:rFonts w:hint="eastAsia" w:asciiTheme="minorEastAsia" w:hAnsiTheme="minorEastAsia" w:eastAsiaTheme="minorEastAsia"/>
              </w:rPr>
              <w:t>1.5%</w:t>
            </w:r>
          </w:p>
        </w:tc>
      </w:tr>
      <w:tr>
        <w:tblPrEx>
          <w:tblCellMar>
            <w:top w:w="0" w:type="dxa"/>
            <w:left w:w="108" w:type="dxa"/>
            <w:bottom w:w="0" w:type="dxa"/>
            <w:right w:w="108" w:type="dxa"/>
          </w:tblCellMar>
        </w:tblPrEx>
        <w:tc>
          <w:tcPr>
            <w:tcW w:w="3044" w:type="dxa"/>
            <w:tcBorders>
              <w:top w:val="single" w:color="000000" w:sz="4" w:space="0"/>
              <w:left w:val="single" w:color="000000" w:sz="4" w:space="0"/>
              <w:bottom w:val="single" w:color="000000" w:sz="4" w:space="0"/>
              <w:right w:val="single" w:color="000000" w:sz="4" w:space="0"/>
            </w:tcBorders>
            <w:vAlign w:val="center"/>
          </w:tcPr>
          <w:p>
            <w:pPr>
              <w:pStyle w:val="23"/>
              <w:spacing w:line="360" w:lineRule="exact"/>
              <w:ind w:firstLine="412"/>
              <w:jc w:val="center"/>
              <w:outlineLvl w:val="1"/>
              <w:rPr>
                <w:rFonts w:cs="宋体"/>
                <w:szCs w:val="21"/>
              </w:rPr>
            </w:pPr>
            <w:r>
              <w:rPr>
                <w:rFonts w:cs="宋体"/>
                <w:szCs w:val="21"/>
              </w:rPr>
              <w:t>100-500</w:t>
            </w:r>
          </w:p>
        </w:tc>
        <w:tc>
          <w:tcPr>
            <w:tcW w:w="5144"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eastAsiaTheme="minorEastAsia"/>
              </w:rPr>
            </w:pPr>
            <w:r>
              <w:rPr>
                <w:rFonts w:hint="eastAsia" w:asciiTheme="minorEastAsia" w:hAnsiTheme="minorEastAsia" w:eastAsiaTheme="minorEastAsia"/>
              </w:rPr>
              <w:t>0.8%</w:t>
            </w:r>
          </w:p>
        </w:tc>
      </w:tr>
      <w:tr>
        <w:tblPrEx>
          <w:tblCellMar>
            <w:top w:w="0" w:type="dxa"/>
            <w:left w:w="108" w:type="dxa"/>
            <w:bottom w:w="0" w:type="dxa"/>
            <w:right w:w="108" w:type="dxa"/>
          </w:tblCellMar>
        </w:tblPrEx>
        <w:tc>
          <w:tcPr>
            <w:tcW w:w="3044" w:type="dxa"/>
            <w:tcBorders>
              <w:top w:val="single" w:color="000000" w:sz="4" w:space="0"/>
              <w:left w:val="single" w:color="000000" w:sz="4" w:space="0"/>
              <w:bottom w:val="single" w:color="000000" w:sz="4" w:space="0"/>
              <w:right w:val="single" w:color="000000" w:sz="4" w:space="0"/>
            </w:tcBorders>
            <w:vAlign w:val="center"/>
          </w:tcPr>
          <w:p>
            <w:pPr>
              <w:pStyle w:val="23"/>
              <w:spacing w:line="360" w:lineRule="exact"/>
              <w:ind w:firstLine="412"/>
              <w:jc w:val="center"/>
              <w:outlineLvl w:val="1"/>
              <w:rPr>
                <w:rFonts w:cs="宋体"/>
                <w:szCs w:val="21"/>
              </w:rPr>
            </w:pPr>
            <w:r>
              <w:rPr>
                <w:rFonts w:cs="宋体"/>
                <w:szCs w:val="21"/>
              </w:rPr>
              <w:t>500-1000</w:t>
            </w:r>
          </w:p>
        </w:tc>
        <w:tc>
          <w:tcPr>
            <w:tcW w:w="5144"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eastAsiaTheme="minorEastAsia"/>
              </w:rPr>
            </w:pPr>
            <w:r>
              <w:rPr>
                <w:rFonts w:hint="eastAsia" w:asciiTheme="minorEastAsia" w:hAnsiTheme="minorEastAsia" w:eastAsiaTheme="minorEastAsia"/>
              </w:rPr>
              <w:t>0.45%</w:t>
            </w:r>
          </w:p>
        </w:tc>
      </w:tr>
    </w:tbl>
    <w:p>
      <w:pPr>
        <w:spacing w:line="360" w:lineRule="auto"/>
        <w:ind w:firstLine="422" w:firstLineChars="200"/>
        <w:rPr>
          <w:rFonts w:ascii="宋体" w:hAnsi="宋体" w:cs="宋体"/>
          <w:b/>
          <w:bCs/>
          <w:szCs w:val="21"/>
        </w:rPr>
      </w:pPr>
      <w:r>
        <w:rPr>
          <w:rFonts w:hint="eastAsia" w:ascii="宋体" w:hAnsi="宋体" w:cs="宋体"/>
          <w:b/>
          <w:bCs/>
          <w:szCs w:val="21"/>
        </w:rPr>
        <w:t>七、合同签订及公告</w:t>
      </w:r>
    </w:p>
    <w:p>
      <w:pPr>
        <w:spacing w:line="360" w:lineRule="auto"/>
        <w:ind w:firstLine="422" w:firstLineChars="200"/>
        <w:rPr>
          <w:rFonts w:ascii="宋体" w:hAnsi="宋体" w:cs="宋体"/>
          <w:b/>
          <w:bCs/>
          <w:szCs w:val="21"/>
        </w:rPr>
      </w:pPr>
      <w:r>
        <w:rPr>
          <w:rFonts w:hint="eastAsia" w:ascii="宋体" w:hAnsi="宋体" w:cs="宋体"/>
          <w:b/>
          <w:bCs/>
          <w:szCs w:val="21"/>
        </w:rPr>
        <w:t>（一）签订合同</w:t>
      </w:r>
    </w:p>
    <w:p>
      <w:pPr>
        <w:spacing w:line="360" w:lineRule="auto"/>
        <w:ind w:firstLine="420" w:firstLineChars="200"/>
        <w:rPr>
          <w:rFonts w:ascii="宋体" w:hAnsi="宋体" w:cs="宋体"/>
          <w:szCs w:val="21"/>
        </w:rPr>
      </w:pPr>
      <w:r>
        <w:rPr>
          <w:rFonts w:hint="eastAsia" w:ascii="宋体" w:hAnsi="宋体" w:cs="宋体"/>
          <w:szCs w:val="21"/>
        </w:rPr>
        <w:t>1、采购人应当自中标通知书发出之日起30个工作日内，按照招标文件和中标人投标文件的规定，与中标人签订书面合同。所签订的合同不得对招标文件确定的事项和中标人投标文件作实质性修改。</w:t>
      </w:r>
    </w:p>
    <w:p>
      <w:pPr>
        <w:spacing w:line="360" w:lineRule="auto"/>
        <w:ind w:firstLine="420" w:firstLineChars="200"/>
        <w:rPr>
          <w:rFonts w:ascii="宋体" w:hAnsi="宋体" w:cs="宋体"/>
          <w:szCs w:val="21"/>
        </w:rPr>
      </w:pPr>
      <w:r>
        <w:rPr>
          <w:rFonts w:hint="eastAsia" w:ascii="宋体" w:hAnsi="宋体" w:cs="宋体"/>
          <w:szCs w:val="21"/>
        </w:rPr>
        <w:t>2、采购人不得向中标人提出任何不合理的要求作为签订合同的条件。</w:t>
      </w:r>
    </w:p>
    <w:p>
      <w:pPr>
        <w:spacing w:line="360" w:lineRule="auto"/>
        <w:ind w:firstLine="420" w:firstLineChars="200"/>
        <w:rPr>
          <w:rFonts w:ascii="宋体" w:hAnsi="宋体" w:cs="宋体"/>
          <w:szCs w:val="21"/>
        </w:rPr>
      </w:pPr>
      <w:r>
        <w:rPr>
          <w:rFonts w:hint="eastAsia" w:ascii="宋体" w:hAnsi="宋体" w:cs="宋体"/>
          <w:szCs w:val="21"/>
        </w:rPr>
        <w:t>3、中标人无故拖延、拒签合同的,取消中标资格。</w:t>
      </w:r>
    </w:p>
    <w:p>
      <w:pPr>
        <w:spacing w:line="360" w:lineRule="auto"/>
        <w:ind w:firstLine="420" w:firstLineChars="200"/>
        <w:rPr>
          <w:rFonts w:ascii="宋体" w:hAnsi="宋体" w:cs="宋体"/>
          <w:szCs w:val="21"/>
        </w:rPr>
      </w:pPr>
      <w:r>
        <w:rPr>
          <w:rFonts w:hint="eastAsia" w:ascii="宋体" w:hAnsi="宋体" w:cs="宋体"/>
          <w:szCs w:val="21"/>
        </w:rPr>
        <w:t>4、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pPr>
        <w:spacing w:line="360" w:lineRule="auto"/>
        <w:ind w:firstLine="420" w:firstLineChars="200"/>
        <w:rPr>
          <w:rFonts w:ascii="宋体" w:hAnsi="宋体" w:cs="宋体"/>
          <w:szCs w:val="21"/>
        </w:rPr>
      </w:pPr>
      <w:r>
        <w:rPr>
          <w:rFonts w:hint="eastAsia" w:ascii="宋体" w:hAnsi="宋体" w:cs="宋体"/>
          <w:szCs w:val="21"/>
        </w:rPr>
        <w:t>5、询问或者质疑事项可能影响中标结果的，采购人应当暂停签订合同，已经签订合同的，应当中止履行合同（中标结果的质疑期为中标结果公告期限届满之日起七个工作日）。</w:t>
      </w:r>
    </w:p>
    <w:p>
      <w:pPr>
        <w:spacing w:line="360" w:lineRule="auto"/>
        <w:ind w:firstLine="422" w:firstLineChars="200"/>
        <w:rPr>
          <w:rFonts w:ascii="宋体" w:hAnsi="宋体" w:cs="宋体"/>
          <w:b/>
          <w:bCs/>
          <w:szCs w:val="21"/>
        </w:rPr>
      </w:pPr>
      <w:r>
        <w:rPr>
          <w:rFonts w:hint="eastAsia" w:ascii="宋体" w:hAnsi="宋体" w:cs="宋体"/>
          <w:b/>
          <w:bCs/>
          <w:szCs w:val="21"/>
        </w:rPr>
        <w:t>（二）合同公告及备案</w:t>
      </w:r>
    </w:p>
    <w:p>
      <w:pPr>
        <w:spacing w:line="360" w:lineRule="auto"/>
        <w:ind w:firstLine="420" w:firstLineChars="200"/>
        <w:rPr>
          <w:rFonts w:ascii="宋体" w:hAnsi="宋体" w:cs="宋体"/>
          <w:szCs w:val="21"/>
        </w:rPr>
      </w:pPr>
      <w:r>
        <w:rPr>
          <w:rFonts w:hint="eastAsia" w:ascii="宋体" w:hAnsi="宋体" w:cs="宋体"/>
          <w:szCs w:val="21"/>
        </w:rPr>
        <w:t>1、采购人应当自政府采购合同签订之日起2个工作日内，在省级以上财政部门指定的政府采购信息发布媒体及相关网站上公告。</w:t>
      </w:r>
    </w:p>
    <w:p>
      <w:pPr>
        <w:spacing w:line="360" w:lineRule="auto"/>
        <w:ind w:firstLine="420" w:firstLineChars="200"/>
        <w:rPr>
          <w:rFonts w:ascii="宋体" w:hAnsi="宋体" w:cs="宋体"/>
          <w:szCs w:val="21"/>
        </w:rPr>
      </w:pPr>
      <w:r>
        <w:rPr>
          <w:rFonts w:hint="eastAsia" w:ascii="宋体" w:hAnsi="宋体" w:cs="宋体"/>
          <w:szCs w:val="21"/>
        </w:rPr>
        <w:t>2、采购人应当自政府采购合同签订之日起7个工作日内，将政府采购合同副本报同级人民政府财政部门备案以及采购组织机构存档。</w:t>
      </w:r>
    </w:p>
    <w:p>
      <w:pPr>
        <w:spacing w:line="360" w:lineRule="auto"/>
        <w:rPr>
          <w:rFonts w:ascii="宋体" w:hAnsi="宋体" w:cs="宋体"/>
          <w:szCs w:val="21"/>
          <w:lang w:val="zh-CN"/>
        </w:rPr>
      </w:pPr>
    </w:p>
    <w:p>
      <w:pPr>
        <w:widowControl/>
        <w:jc w:val="left"/>
        <w:rPr>
          <w:rFonts w:ascii="宋体" w:hAnsi="宋体" w:cs="宋体"/>
          <w:b/>
          <w:bCs/>
          <w:szCs w:val="21"/>
        </w:rPr>
      </w:pPr>
      <w:r>
        <w:rPr>
          <w:rFonts w:ascii="宋体" w:hAnsi="宋体" w:cs="宋体"/>
          <w:b/>
          <w:bCs/>
          <w:szCs w:val="21"/>
        </w:rPr>
        <w:br w:type="page"/>
      </w:r>
    </w:p>
    <w:p>
      <w:pPr>
        <w:spacing w:line="360" w:lineRule="auto"/>
        <w:jc w:val="center"/>
        <w:rPr>
          <w:rFonts w:ascii="宋体" w:hAnsi="宋体" w:cs="宋体"/>
          <w:b/>
          <w:bCs/>
          <w:sz w:val="36"/>
          <w:szCs w:val="44"/>
        </w:rPr>
      </w:pPr>
      <w:r>
        <w:rPr>
          <w:rFonts w:hint="eastAsia" w:ascii="宋体" w:hAnsi="宋体" w:cs="宋体"/>
          <w:b/>
          <w:bCs/>
          <w:sz w:val="36"/>
          <w:szCs w:val="44"/>
        </w:rPr>
        <w:t>第三章评标办法及评分标准</w:t>
      </w:r>
    </w:p>
    <w:p>
      <w:pPr>
        <w:autoSpaceDE w:val="0"/>
        <w:autoSpaceDN w:val="0"/>
        <w:spacing w:line="360" w:lineRule="auto"/>
        <w:ind w:firstLine="420" w:firstLineChars="200"/>
        <w:rPr>
          <w:rFonts w:ascii="宋体" w:hAnsi="宋体" w:cs="宋体"/>
          <w:b/>
          <w:i/>
          <w:kern w:val="0"/>
          <w:szCs w:val="21"/>
        </w:rPr>
      </w:pPr>
      <w:r>
        <w:rPr>
          <w:rFonts w:hint="eastAsia" w:ascii="宋体" w:hAnsi="宋体" w:cs="宋体"/>
          <w:kern w:val="0"/>
          <w:szCs w:val="21"/>
        </w:rPr>
        <w:t>一、采购组织机构将组织评标委员会，对投标人提供的投标文件进行综合评审。</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二、本次招标项目的评标方法为综合评分法，总计100分，其中资格及</w:t>
      </w:r>
      <w:r>
        <w:rPr>
          <w:rFonts w:hint="eastAsia" w:ascii="宋体" w:hAnsi="宋体" w:cs="宋体"/>
          <w:bCs/>
          <w:szCs w:val="21"/>
          <w:lang w:val="zh-CN"/>
        </w:rPr>
        <w:t>商务技术文件分值</w:t>
      </w:r>
      <w:r>
        <w:rPr>
          <w:rFonts w:hint="eastAsia" w:ascii="宋体" w:hAnsi="宋体" w:cs="宋体"/>
          <w:bCs/>
          <w:szCs w:val="21"/>
        </w:rPr>
        <w:t>75</w:t>
      </w:r>
      <w:r>
        <w:rPr>
          <w:rFonts w:hint="eastAsia" w:ascii="宋体" w:hAnsi="宋体" w:cs="宋体"/>
          <w:bCs/>
          <w:szCs w:val="21"/>
          <w:lang w:val="zh-CN"/>
        </w:rPr>
        <w:t>分，投标报价分值</w:t>
      </w:r>
      <w:r>
        <w:rPr>
          <w:rFonts w:hint="eastAsia" w:ascii="宋体" w:hAnsi="宋体" w:cs="宋体"/>
          <w:bCs/>
          <w:szCs w:val="21"/>
        </w:rPr>
        <w:t>25</w:t>
      </w:r>
      <w:r>
        <w:rPr>
          <w:rFonts w:hint="eastAsia" w:ascii="宋体" w:hAnsi="宋体" w:cs="宋体"/>
          <w:bCs/>
          <w:szCs w:val="21"/>
          <w:lang w:val="zh-CN"/>
        </w:rPr>
        <w:t>分</w:t>
      </w:r>
      <w:r>
        <w:rPr>
          <w:rFonts w:hint="eastAsia" w:ascii="宋体" w:hAnsi="宋体" w:cs="宋体"/>
          <w:szCs w:val="21"/>
        </w:rPr>
        <w:t>。评标标准按评分细化条款及分值进行评审。</w:t>
      </w:r>
    </w:p>
    <w:p>
      <w:pPr>
        <w:autoSpaceDE w:val="0"/>
        <w:autoSpaceDN w:val="0"/>
        <w:adjustRightInd w:val="0"/>
        <w:spacing w:line="360" w:lineRule="auto"/>
        <w:ind w:firstLine="472"/>
        <w:rPr>
          <w:rFonts w:ascii="宋体" w:hAnsi="宋体" w:cs="宋体"/>
          <w:bCs/>
          <w:szCs w:val="21"/>
          <w:lang w:val="zh-CN"/>
        </w:rPr>
      </w:pPr>
      <w:r>
        <w:rPr>
          <w:rFonts w:hint="eastAsia" w:ascii="宋体" w:hAnsi="宋体" w:cs="宋体"/>
          <w:bCs/>
          <w:szCs w:val="21"/>
          <w:lang w:val="zh-CN"/>
        </w:rPr>
        <w:t>（一）</w:t>
      </w:r>
      <w:r>
        <w:rPr>
          <w:rFonts w:hint="eastAsia" w:ascii="宋体" w:hAnsi="宋体" w:cs="宋体"/>
          <w:szCs w:val="21"/>
        </w:rPr>
        <w:t>资格及</w:t>
      </w:r>
      <w:r>
        <w:rPr>
          <w:rFonts w:hint="eastAsia" w:ascii="宋体" w:hAnsi="宋体" w:cs="宋体"/>
          <w:bCs/>
          <w:szCs w:val="21"/>
          <w:lang w:val="zh-CN"/>
        </w:rPr>
        <w:t>商务技术文件中的客观分由评标委员会讨论后统一打分；其余在规定的分值内单独评定打分</w:t>
      </w:r>
      <w:r>
        <w:rPr>
          <w:rFonts w:hint="eastAsia" w:ascii="宋体" w:hAnsi="宋体" w:cs="宋体"/>
          <w:szCs w:val="21"/>
        </w:rPr>
        <w:t>（小数点后保留1位）</w:t>
      </w:r>
      <w:r>
        <w:rPr>
          <w:rFonts w:hint="eastAsia" w:ascii="宋体" w:hAnsi="宋体" w:cs="宋体"/>
          <w:bCs/>
          <w:szCs w:val="21"/>
          <w:lang w:val="zh-CN"/>
        </w:rPr>
        <w:t>。</w:t>
      </w:r>
    </w:p>
    <w:p>
      <w:pPr>
        <w:autoSpaceDE w:val="0"/>
        <w:autoSpaceDN w:val="0"/>
        <w:adjustRightInd w:val="0"/>
        <w:spacing w:line="360" w:lineRule="auto"/>
        <w:ind w:firstLine="472"/>
        <w:rPr>
          <w:rFonts w:ascii="宋体" w:hAnsi="宋体" w:cs="宋体"/>
          <w:bCs/>
          <w:szCs w:val="21"/>
          <w:shd w:val="clear" w:color="FFFFFF" w:fill="D9D9D9"/>
          <w:lang w:val="zh-CN"/>
        </w:rPr>
      </w:pPr>
      <w:r>
        <w:rPr>
          <w:rFonts w:hint="eastAsia" w:ascii="宋体" w:hAnsi="宋体" w:cs="宋体"/>
          <w:bCs/>
          <w:szCs w:val="21"/>
          <w:lang w:val="zh-CN"/>
        </w:rPr>
        <w:t>（二）各投标人</w:t>
      </w:r>
      <w:r>
        <w:rPr>
          <w:rFonts w:hint="eastAsia" w:ascii="宋体" w:hAnsi="宋体" w:cs="宋体"/>
          <w:szCs w:val="21"/>
        </w:rPr>
        <w:t>资格及</w:t>
      </w:r>
      <w:r>
        <w:rPr>
          <w:rFonts w:hint="eastAsia" w:ascii="宋体" w:hAnsi="宋体" w:cs="宋体"/>
          <w:bCs/>
          <w:szCs w:val="21"/>
          <w:lang w:val="zh-CN"/>
        </w:rPr>
        <w:t>商务技术文件</w:t>
      </w:r>
      <w:r>
        <w:rPr>
          <w:rFonts w:hint="eastAsia" w:ascii="宋体" w:hAnsi="宋体" w:cs="宋体"/>
          <w:szCs w:val="21"/>
          <w:lang w:val="zh-CN"/>
        </w:rPr>
        <w:t>得分按照评标委员会成</w:t>
      </w:r>
      <w:r>
        <w:rPr>
          <w:rFonts w:hint="eastAsia" w:ascii="宋体" w:hAnsi="宋体" w:cs="宋体"/>
          <w:bCs/>
          <w:szCs w:val="21"/>
          <w:lang w:val="zh-CN"/>
        </w:rPr>
        <w:t>员的独立评分结果汇总后的算术平均分计算</w:t>
      </w:r>
      <w:r>
        <w:rPr>
          <w:rFonts w:hint="eastAsia" w:ascii="宋体" w:hAnsi="宋体" w:cs="宋体"/>
          <w:szCs w:val="21"/>
        </w:rPr>
        <w:t>（小数点后保留2位）</w:t>
      </w:r>
      <w:r>
        <w:rPr>
          <w:rFonts w:hint="eastAsia" w:ascii="宋体" w:hAnsi="宋体" w:cs="宋体"/>
          <w:bCs/>
          <w:szCs w:val="21"/>
          <w:lang w:val="zh-CN"/>
        </w:rPr>
        <w:t>，计算公式为：</w:t>
      </w:r>
    </w:p>
    <w:p>
      <w:pPr>
        <w:autoSpaceDE w:val="0"/>
        <w:autoSpaceDN w:val="0"/>
        <w:adjustRightInd w:val="0"/>
        <w:spacing w:line="360" w:lineRule="auto"/>
        <w:ind w:firstLine="472"/>
        <w:rPr>
          <w:rFonts w:ascii="宋体" w:hAnsi="宋体" w:cs="宋体"/>
          <w:bCs/>
          <w:szCs w:val="21"/>
          <w:shd w:val="clear" w:color="FFFFFF" w:fill="D9D9D9"/>
          <w:lang w:val="zh-CN"/>
        </w:rPr>
      </w:pPr>
      <w:r>
        <w:rPr>
          <w:rFonts w:hint="eastAsia" w:ascii="宋体" w:hAnsi="宋体" w:cs="宋体"/>
          <w:szCs w:val="21"/>
        </w:rPr>
        <w:t>资格及</w:t>
      </w:r>
      <w:r>
        <w:rPr>
          <w:rFonts w:hint="eastAsia" w:ascii="宋体" w:hAnsi="宋体" w:cs="宋体"/>
          <w:bCs/>
          <w:szCs w:val="21"/>
          <w:lang w:val="zh-CN"/>
        </w:rPr>
        <w:t>商务技术文件</w:t>
      </w:r>
      <w:r>
        <w:rPr>
          <w:rFonts w:hint="eastAsia" w:ascii="宋体" w:hAnsi="宋体" w:cs="宋体"/>
          <w:szCs w:val="21"/>
        </w:rPr>
        <w:t>得分</w:t>
      </w:r>
      <w:r>
        <w:rPr>
          <w:rFonts w:hint="eastAsia" w:ascii="宋体" w:hAnsi="宋体" w:cs="宋体"/>
          <w:bCs/>
          <w:szCs w:val="21"/>
          <w:lang w:val="zh-CN"/>
        </w:rPr>
        <w:t>=评标委员会所有成员评分合计数/评标委员会组成人员数。</w:t>
      </w:r>
    </w:p>
    <w:p>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bCs/>
          <w:szCs w:val="21"/>
          <w:lang w:val="zh-CN"/>
        </w:rPr>
        <w:t>（三）</w:t>
      </w:r>
      <w:r>
        <w:rPr>
          <w:rFonts w:hint="eastAsia" w:ascii="宋体" w:hAnsi="宋体" w:cs="宋体"/>
          <w:szCs w:val="21"/>
          <w:lang w:val="zh-CN"/>
        </w:rPr>
        <w:t>投标报价得分采用低价优先法计算</w:t>
      </w:r>
      <w:r>
        <w:rPr>
          <w:rFonts w:hint="eastAsia" w:ascii="宋体" w:hAnsi="宋体" w:cs="宋体"/>
          <w:szCs w:val="21"/>
        </w:rPr>
        <w:t>（小数点后保留2位）</w:t>
      </w:r>
      <w:r>
        <w:rPr>
          <w:rFonts w:hint="eastAsia" w:ascii="宋体" w:hAnsi="宋体" w:cs="宋体"/>
          <w:szCs w:val="21"/>
          <w:lang w:val="zh-CN"/>
        </w:rPr>
        <w:t>，即满足招标文件要求且投标价格最低的投标报价为评标基准价，其报价得满分。其他投标人的投标报价得分按下列公式计算：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20" w:firstLineChars="200"/>
        <w:rPr>
          <w:rFonts w:ascii="宋体" w:hAnsi="宋体" w:cs="宋体"/>
          <w:szCs w:val="21"/>
          <w:u w:val="single"/>
        </w:rPr>
      </w:pPr>
      <w:r>
        <w:rPr>
          <w:rFonts w:hint="eastAsia" w:ascii="宋体" w:hAnsi="宋体" w:cs="宋体"/>
          <w:szCs w:val="21"/>
          <w:u w:val="single"/>
        </w:rPr>
        <w:t>投标报价得分=(评标基准价／投标报价)×25%×100 。</w:t>
      </w:r>
    </w:p>
    <w:p>
      <w:pPr>
        <w:numPr>
          <w:ilvl w:val="0"/>
          <w:numId w:val="2"/>
        </w:numPr>
        <w:autoSpaceDE w:val="0"/>
        <w:autoSpaceDN w:val="0"/>
        <w:spacing w:line="360" w:lineRule="auto"/>
        <w:ind w:firstLine="420" w:firstLineChars="200"/>
        <w:rPr>
          <w:rFonts w:ascii="宋体" w:hAnsi="宋体" w:cs="宋体"/>
          <w:szCs w:val="21"/>
        </w:rPr>
      </w:pPr>
      <w:r>
        <w:rPr>
          <w:rFonts w:hint="eastAsia" w:ascii="宋体" w:hAnsi="宋体" w:cs="宋体"/>
          <w:szCs w:val="21"/>
        </w:rPr>
        <w:t>投标人综合得分＝资格及</w:t>
      </w:r>
      <w:r>
        <w:rPr>
          <w:rFonts w:hint="eastAsia" w:ascii="宋体" w:hAnsi="宋体" w:cs="宋体"/>
          <w:bCs/>
          <w:szCs w:val="21"/>
          <w:lang w:val="zh-CN"/>
        </w:rPr>
        <w:t>商务技术文件</w:t>
      </w:r>
      <w:r>
        <w:rPr>
          <w:rFonts w:hint="eastAsia" w:ascii="宋体" w:hAnsi="宋体" w:cs="宋体"/>
          <w:szCs w:val="21"/>
        </w:rPr>
        <w:t>得分＋投标报价得分。</w:t>
      </w:r>
    </w:p>
    <w:p>
      <w:pPr>
        <w:autoSpaceDE w:val="0"/>
        <w:autoSpaceDN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（五）政府采购政策及优惠：</w:t>
      </w:r>
    </w:p>
    <w:p>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本项目专门面向中小企业采购，价格评审时，小微企业的投标价格不做扣除。</w:t>
      </w:r>
    </w:p>
    <w:p>
      <w:pPr>
        <w:autoSpaceDE w:val="0"/>
        <w:autoSpaceDN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注：得分以系统计算为准，保留2位小数。</w:t>
      </w:r>
    </w:p>
    <w:p>
      <w:pPr>
        <w:spacing w:line="360" w:lineRule="auto"/>
        <w:ind w:firstLine="420" w:firstLineChars="200"/>
        <w:rPr>
          <w:rFonts w:ascii="宋体" w:hAnsi="宋体" w:cs="宋体"/>
          <w:szCs w:val="21"/>
          <w:lang w:val="zh-CN"/>
        </w:rPr>
      </w:pPr>
      <w:r>
        <w:rPr>
          <w:rFonts w:hint="eastAsia" w:ascii="宋体" w:hAnsi="宋体" w:cs="宋体"/>
          <w:szCs w:val="21"/>
          <w:lang w:val="zh-CN"/>
        </w:rPr>
        <w:t>三、在最大限度地满足招标文件实质性要求前提下，评标委员会按照招标文件中规定的各项因素进行综合评审后，以评标总得分最高的投标人为中标候选人。</w:t>
      </w:r>
    </w:p>
    <w:p>
      <w:pPr>
        <w:spacing w:line="360" w:lineRule="auto"/>
        <w:ind w:firstLine="420" w:firstLineChars="200"/>
        <w:rPr>
          <w:rFonts w:ascii="宋体" w:hAnsi="宋体" w:cs="宋体"/>
          <w:szCs w:val="21"/>
          <w:lang w:val="zh-CN"/>
        </w:rPr>
      </w:pPr>
      <w:r>
        <w:rPr>
          <w:rFonts w:hint="eastAsia" w:ascii="宋体" w:hAnsi="宋体" w:cs="宋体"/>
          <w:szCs w:val="21"/>
          <w:lang w:val="zh-CN"/>
        </w:rPr>
        <w:t>四、如综合得分相同，投标报价低者为先；如综合得分且投标报价相同的，货物类采购项目以技术性能得分较高者为先，服务类采购项目以实力信誉及业绩得分较高者为先。</w:t>
      </w:r>
    </w:p>
    <w:p>
      <w:pPr>
        <w:spacing w:line="360" w:lineRule="auto"/>
        <w:ind w:firstLine="420" w:firstLineChars="200"/>
        <w:rPr>
          <w:rFonts w:ascii="宋体" w:hAnsi="宋体" w:cs="宋体"/>
          <w:szCs w:val="21"/>
          <w:lang w:val="zh-CN"/>
        </w:rPr>
      </w:pPr>
      <w:r>
        <w:rPr>
          <w:rFonts w:hint="eastAsia" w:ascii="宋体" w:hAnsi="宋体" w:cs="宋体"/>
          <w:szCs w:val="21"/>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rPr>
          <w:rFonts w:ascii="宋体" w:hAnsi="宋体" w:cs="宋体"/>
          <w:szCs w:val="21"/>
          <w:lang w:val="zh-CN"/>
        </w:rPr>
      </w:pPr>
      <w:r>
        <w:rPr>
          <w:rFonts w:hint="eastAsia" w:ascii="宋体" w:hAnsi="宋体" w:cs="宋体"/>
          <w:szCs w:val="21"/>
          <w:lang w:val="zh-CN"/>
        </w:rPr>
        <w:t>六、本次评分具体分值细化条款如下表：</w:t>
      </w:r>
    </w:p>
    <w:tbl>
      <w:tblPr>
        <w:tblStyle w:val="40"/>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1281"/>
        <w:gridCol w:w="6095"/>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jc w:val="center"/>
        </w:trPr>
        <w:tc>
          <w:tcPr>
            <w:tcW w:w="431" w:type="dxa"/>
            <w:noWrap/>
            <w:vAlign w:val="center"/>
          </w:tcPr>
          <w:p>
            <w:pPr>
              <w:jc w:val="center"/>
              <w:rPr>
                <w:b/>
                <w:bCs/>
                <w:szCs w:val="21"/>
              </w:rPr>
            </w:pPr>
            <w:r>
              <w:rPr>
                <w:b/>
                <w:bCs/>
                <w:szCs w:val="21"/>
              </w:rPr>
              <w:t>序号</w:t>
            </w:r>
          </w:p>
        </w:tc>
        <w:tc>
          <w:tcPr>
            <w:tcW w:w="1281" w:type="dxa"/>
            <w:noWrap/>
            <w:vAlign w:val="center"/>
          </w:tcPr>
          <w:p>
            <w:pPr>
              <w:jc w:val="center"/>
              <w:rPr>
                <w:b/>
                <w:bCs/>
                <w:szCs w:val="21"/>
              </w:rPr>
            </w:pPr>
            <w:r>
              <w:rPr>
                <w:b/>
                <w:bCs/>
                <w:szCs w:val="21"/>
              </w:rPr>
              <w:t>评标项目</w:t>
            </w:r>
          </w:p>
        </w:tc>
        <w:tc>
          <w:tcPr>
            <w:tcW w:w="6095" w:type="dxa"/>
            <w:noWrap/>
            <w:vAlign w:val="center"/>
          </w:tcPr>
          <w:p>
            <w:pPr>
              <w:jc w:val="center"/>
              <w:rPr>
                <w:b/>
                <w:bCs/>
                <w:szCs w:val="21"/>
              </w:rPr>
            </w:pPr>
            <w:r>
              <w:rPr>
                <w:b/>
                <w:bCs/>
                <w:szCs w:val="21"/>
              </w:rPr>
              <w:t>评标内容</w:t>
            </w:r>
          </w:p>
        </w:tc>
        <w:tc>
          <w:tcPr>
            <w:tcW w:w="656" w:type="dxa"/>
            <w:noWrap/>
            <w:vAlign w:val="center"/>
          </w:tcPr>
          <w:p>
            <w:pPr>
              <w:jc w:val="center"/>
              <w:rPr>
                <w:b/>
                <w:bCs/>
                <w:szCs w:val="21"/>
              </w:rPr>
            </w:pPr>
            <w:r>
              <w:rPr>
                <w:b/>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31" w:type="dxa"/>
            <w:noWrap/>
            <w:vAlign w:val="center"/>
          </w:tcPr>
          <w:p>
            <w:pPr>
              <w:jc w:val="center"/>
              <w:rPr>
                <w:szCs w:val="21"/>
              </w:rPr>
            </w:pPr>
            <w:r>
              <w:rPr>
                <w:rFonts w:hint="eastAsia"/>
                <w:szCs w:val="21"/>
              </w:rPr>
              <w:t>1</w:t>
            </w:r>
          </w:p>
        </w:tc>
        <w:tc>
          <w:tcPr>
            <w:tcW w:w="1281" w:type="dxa"/>
            <w:noWrap/>
            <w:vAlign w:val="center"/>
          </w:tcPr>
          <w:p>
            <w:pPr>
              <w:jc w:val="center"/>
              <w:rPr>
                <w:szCs w:val="21"/>
              </w:rPr>
            </w:pPr>
            <w:r>
              <w:rPr>
                <w:bCs/>
                <w:szCs w:val="21"/>
              </w:rPr>
              <w:t>企业综合能力</w:t>
            </w:r>
          </w:p>
        </w:tc>
        <w:tc>
          <w:tcPr>
            <w:tcW w:w="6095" w:type="dxa"/>
            <w:noWrap/>
            <w:vAlign w:val="center"/>
          </w:tcPr>
          <w:p>
            <w:pPr>
              <w:adjustRightInd w:val="0"/>
              <w:snapToGrid w:val="0"/>
              <w:spacing w:line="300" w:lineRule="exact"/>
              <w:rPr>
                <w:szCs w:val="21"/>
              </w:rPr>
            </w:pPr>
            <w:r>
              <w:rPr>
                <w:rFonts w:hint="eastAsia"/>
                <w:szCs w:val="21"/>
              </w:rPr>
              <w:t>根据投标人企业情况、履约能力、财务状况、企业信誉、工程勘察实施能力、专业服务能力等综合打分。企业综合实力强，信誉好，专业服务能力强的得5-3.6分；企业综合实力相对一般，服务能力一般的得3.5-1.6分；企业综合实力相对较弱，服务能力差的得</w:t>
            </w:r>
            <w:r>
              <w:rPr>
                <w:szCs w:val="21"/>
              </w:rPr>
              <w:t>1</w:t>
            </w:r>
            <w:r>
              <w:rPr>
                <w:rFonts w:hint="eastAsia"/>
                <w:szCs w:val="21"/>
              </w:rPr>
              <w:t>.6-0分。</w:t>
            </w:r>
          </w:p>
          <w:p>
            <w:pPr>
              <w:adjustRightInd w:val="0"/>
              <w:snapToGrid w:val="0"/>
              <w:spacing w:line="288" w:lineRule="auto"/>
              <w:rPr>
                <w:szCs w:val="21"/>
              </w:rPr>
            </w:pPr>
            <w:r>
              <w:rPr>
                <w:szCs w:val="21"/>
              </w:rPr>
              <w:t>注：提供</w:t>
            </w:r>
            <w:r>
              <w:rPr>
                <w:rFonts w:hint="eastAsia"/>
                <w:szCs w:val="21"/>
              </w:rPr>
              <w:t>相关证明材料扫描件</w:t>
            </w:r>
            <w:r>
              <w:rPr>
                <w:szCs w:val="21"/>
              </w:rPr>
              <w:t>，并加盖公章</w:t>
            </w:r>
            <w:r>
              <w:rPr>
                <w:rFonts w:hint="eastAsia"/>
                <w:szCs w:val="21"/>
              </w:rPr>
              <w:t>，否则不得分。</w:t>
            </w:r>
          </w:p>
        </w:tc>
        <w:tc>
          <w:tcPr>
            <w:tcW w:w="656" w:type="dxa"/>
            <w:noWrap/>
            <w:vAlign w:val="center"/>
          </w:tcPr>
          <w:p>
            <w:pPr>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31" w:type="dxa"/>
            <w:noWrap/>
            <w:vAlign w:val="center"/>
          </w:tcPr>
          <w:p>
            <w:pPr>
              <w:jc w:val="center"/>
              <w:rPr>
                <w:szCs w:val="21"/>
              </w:rPr>
            </w:pPr>
            <w:r>
              <w:rPr>
                <w:rFonts w:hint="eastAsia"/>
                <w:szCs w:val="21"/>
              </w:rPr>
              <w:t>2</w:t>
            </w:r>
          </w:p>
        </w:tc>
        <w:tc>
          <w:tcPr>
            <w:tcW w:w="1281" w:type="dxa"/>
            <w:noWrap/>
            <w:vAlign w:val="center"/>
          </w:tcPr>
          <w:p>
            <w:pPr>
              <w:jc w:val="center"/>
              <w:rPr>
                <w:szCs w:val="21"/>
              </w:rPr>
            </w:pPr>
            <w:r>
              <w:rPr>
                <w:rFonts w:hint="eastAsia"/>
                <w:bCs/>
                <w:szCs w:val="21"/>
              </w:rPr>
              <w:t>技术能力支撑</w:t>
            </w:r>
          </w:p>
        </w:tc>
        <w:tc>
          <w:tcPr>
            <w:tcW w:w="6095" w:type="dxa"/>
            <w:noWrap/>
            <w:vAlign w:val="center"/>
          </w:tcPr>
          <w:p>
            <w:pPr>
              <w:pStyle w:val="66"/>
              <w:numPr>
                <w:ilvl w:val="0"/>
                <w:numId w:val="3"/>
              </w:numPr>
              <w:adjustRightInd w:val="0"/>
              <w:snapToGrid w:val="0"/>
              <w:spacing w:line="288" w:lineRule="auto"/>
              <w:ind w:left="0" w:firstLine="0" w:firstLineChars="0"/>
              <w:jc w:val="left"/>
              <w:rPr>
                <w:szCs w:val="21"/>
              </w:rPr>
            </w:pPr>
            <w:r>
              <w:rPr>
                <w:szCs w:val="21"/>
              </w:rPr>
              <w:t>投标人具有有效期内的电子与智能化工程专业承包贰级及以上</w:t>
            </w:r>
            <w:r>
              <w:rPr>
                <w:rFonts w:hint="eastAsia"/>
                <w:szCs w:val="21"/>
              </w:rPr>
              <w:t>资质的得1分。</w:t>
            </w:r>
            <w:r>
              <w:rPr>
                <w:szCs w:val="21"/>
              </w:rPr>
              <w:t>（0-</w:t>
            </w:r>
            <w:r>
              <w:rPr>
                <w:rFonts w:hint="eastAsia"/>
                <w:szCs w:val="21"/>
              </w:rPr>
              <w:t>1</w:t>
            </w:r>
            <w:r>
              <w:rPr>
                <w:szCs w:val="21"/>
              </w:rPr>
              <w:t>分）</w:t>
            </w:r>
          </w:p>
          <w:p>
            <w:pPr>
              <w:pStyle w:val="2"/>
              <w:ind w:left="0" w:leftChars="0"/>
            </w:pPr>
            <w:r>
              <w:rPr>
                <w:rFonts w:hint="eastAsia"/>
              </w:rPr>
              <w:t>2、投标单位具有工程勘察综合甲级资质或具有工程勘察专业（岩土工程）乙级及以上资质的得</w:t>
            </w:r>
            <w:r>
              <w:t>1</w:t>
            </w:r>
            <w:r>
              <w:rPr>
                <w:rFonts w:hint="eastAsia"/>
              </w:rPr>
              <w:t>分。</w:t>
            </w:r>
            <w:r>
              <w:t>（0-</w:t>
            </w:r>
            <w:r>
              <w:rPr>
                <w:rFonts w:hint="eastAsia"/>
              </w:rPr>
              <w:t>1</w:t>
            </w:r>
            <w:r>
              <w:t>）</w:t>
            </w:r>
          </w:p>
          <w:p>
            <w:pPr>
              <w:adjustRightInd w:val="0"/>
              <w:snapToGrid w:val="0"/>
              <w:spacing w:line="288" w:lineRule="auto"/>
              <w:rPr>
                <w:szCs w:val="21"/>
              </w:rPr>
            </w:pPr>
            <w:r>
              <w:rPr>
                <w:rFonts w:hint="eastAsia"/>
                <w:szCs w:val="21"/>
              </w:rPr>
              <w:t>3、投标人具有信息安全管理体系认证证书或信息技术服务管理体系认证证书的得1分。（0-1分）</w:t>
            </w:r>
          </w:p>
          <w:p>
            <w:pPr>
              <w:pStyle w:val="5"/>
              <w:adjustRightInd w:val="0"/>
              <w:snapToGrid w:val="0"/>
              <w:spacing w:line="288" w:lineRule="auto"/>
              <w:ind w:firstLine="0"/>
              <w:jc w:val="left"/>
              <w:rPr>
                <w:szCs w:val="21"/>
              </w:rPr>
            </w:pPr>
            <w:r>
              <w:rPr>
                <w:szCs w:val="21"/>
              </w:rPr>
              <w:t>注：提供</w:t>
            </w:r>
            <w:r>
              <w:rPr>
                <w:rFonts w:hint="eastAsia"/>
                <w:szCs w:val="21"/>
              </w:rPr>
              <w:t>相关证书扫描件</w:t>
            </w:r>
            <w:r>
              <w:rPr>
                <w:szCs w:val="21"/>
              </w:rPr>
              <w:t>，并加盖公章</w:t>
            </w:r>
            <w:r>
              <w:rPr>
                <w:rFonts w:hint="eastAsia"/>
                <w:szCs w:val="21"/>
              </w:rPr>
              <w:t>，否则不得分。</w:t>
            </w:r>
          </w:p>
        </w:tc>
        <w:tc>
          <w:tcPr>
            <w:tcW w:w="656" w:type="dxa"/>
            <w:noWrap/>
            <w:vAlign w:val="center"/>
          </w:tcPr>
          <w:p>
            <w:pPr>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31" w:type="dxa"/>
            <w:noWrap/>
            <w:vAlign w:val="center"/>
          </w:tcPr>
          <w:p>
            <w:pPr>
              <w:jc w:val="center"/>
              <w:rPr>
                <w:szCs w:val="21"/>
              </w:rPr>
            </w:pPr>
            <w:r>
              <w:rPr>
                <w:rFonts w:hint="eastAsia"/>
                <w:szCs w:val="21"/>
              </w:rPr>
              <w:t>3</w:t>
            </w:r>
          </w:p>
        </w:tc>
        <w:tc>
          <w:tcPr>
            <w:tcW w:w="1281" w:type="dxa"/>
            <w:noWrap/>
            <w:vAlign w:val="center"/>
          </w:tcPr>
          <w:p>
            <w:pPr>
              <w:jc w:val="center"/>
              <w:rPr>
                <w:szCs w:val="21"/>
              </w:rPr>
            </w:pPr>
            <w:r>
              <w:rPr>
                <w:rFonts w:hint="eastAsia"/>
                <w:szCs w:val="21"/>
              </w:rPr>
              <w:t>同类项目</w:t>
            </w:r>
            <w:r>
              <w:rPr>
                <w:szCs w:val="21"/>
              </w:rPr>
              <w:t>业绩</w:t>
            </w:r>
          </w:p>
        </w:tc>
        <w:tc>
          <w:tcPr>
            <w:tcW w:w="6095" w:type="dxa"/>
            <w:noWrap/>
            <w:vAlign w:val="center"/>
          </w:tcPr>
          <w:p>
            <w:pPr>
              <w:adjustRightInd w:val="0"/>
              <w:snapToGrid w:val="0"/>
              <w:spacing w:line="288" w:lineRule="auto"/>
              <w:rPr>
                <w:szCs w:val="21"/>
              </w:rPr>
            </w:pPr>
            <w:r>
              <w:rPr>
                <w:szCs w:val="21"/>
              </w:rPr>
              <w:t>投标人自201</w:t>
            </w:r>
            <w:r>
              <w:rPr>
                <w:rFonts w:hint="eastAsia"/>
                <w:szCs w:val="21"/>
              </w:rPr>
              <w:t>8</w:t>
            </w:r>
            <w:r>
              <w:rPr>
                <w:szCs w:val="21"/>
              </w:rPr>
              <w:t>年1月1日以来（以合同签订时间为准）完成过</w:t>
            </w:r>
            <w:r>
              <w:rPr>
                <w:rFonts w:hint="eastAsia"/>
                <w:szCs w:val="21"/>
              </w:rPr>
              <w:t>水库大坝监测类似</w:t>
            </w:r>
            <w:r>
              <w:rPr>
                <w:szCs w:val="21"/>
              </w:rPr>
              <w:t>业绩的，每个得</w:t>
            </w:r>
            <w:r>
              <w:rPr>
                <w:rFonts w:hint="eastAsia"/>
                <w:szCs w:val="21"/>
              </w:rPr>
              <w:t>1</w:t>
            </w:r>
            <w:r>
              <w:rPr>
                <w:szCs w:val="21"/>
              </w:rPr>
              <w:t>分，本项最高得</w:t>
            </w:r>
            <w:r>
              <w:rPr>
                <w:rFonts w:hint="eastAsia"/>
                <w:szCs w:val="21"/>
              </w:rPr>
              <w:t>3</w:t>
            </w:r>
            <w:r>
              <w:rPr>
                <w:szCs w:val="21"/>
              </w:rPr>
              <w:t>分。（0-</w:t>
            </w:r>
            <w:r>
              <w:rPr>
                <w:rFonts w:hint="eastAsia"/>
                <w:szCs w:val="21"/>
              </w:rPr>
              <w:t>3</w:t>
            </w:r>
            <w:r>
              <w:rPr>
                <w:szCs w:val="21"/>
              </w:rPr>
              <w:t>分）</w:t>
            </w:r>
          </w:p>
          <w:p>
            <w:pPr>
              <w:adjustRightInd w:val="0"/>
              <w:snapToGrid w:val="0"/>
              <w:spacing w:line="288" w:lineRule="auto"/>
              <w:rPr>
                <w:szCs w:val="21"/>
              </w:rPr>
            </w:pPr>
            <w:r>
              <w:rPr>
                <w:szCs w:val="21"/>
              </w:rPr>
              <w:t>注：需</w:t>
            </w:r>
            <w:r>
              <w:rPr>
                <w:rFonts w:hint="eastAsia"/>
                <w:szCs w:val="21"/>
              </w:rPr>
              <w:t>提供合同扫描件并加盖公章，否则不得分。</w:t>
            </w:r>
          </w:p>
        </w:tc>
        <w:tc>
          <w:tcPr>
            <w:tcW w:w="656" w:type="dxa"/>
            <w:noWrap/>
            <w:vAlign w:val="center"/>
          </w:tcPr>
          <w:p>
            <w:pPr>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31" w:type="dxa"/>
            <w:noWrap/>
            <w:vAlign w:val="center"/>
          </w:tcPr>
          <w:p>
            <w:pPr>
              <w:jc w:val="center"/>
              <w:rPr>
                <w:szCs w:val="21"/>
              </w:rPr>
            </w:pPr>
            <w:r>
              <w:rPr>
                <w:rFonts w:hint="eastAsia"/>
                <w:szCs w:val="21"/>
              </w:rPr>
              <w:t>4</w:t>
            </w:r>
          </w:p>
        </w:tc>
        <w:tc>
          <w:tcPr>
            <w:tcW w:w="1281" w:type="dxa"/>
            <w:vMerge w:val="restart"/>
            <w:noWrap/>
            <w:vAlign w:val="center"/>
          </w:tcPr>
          <w:p>
            <w:pPr>
              <w:jc w:val="center"/>
              <w:rPr>
                <w:szCs w:val="21"/>
              </w:rPr>
            </w:pPr>
            <w:r>
              <w:rPr>
                <w:rFonts w:hint="eastAsia"/>
                <w:szCs w:val="21"/>
              </w:rPr>
              <w:t>项目负责人</w:t>
            </w:r>
          </w:p>
          <w:p>
            <w:pPr>
              <w:jc w:val="center"/>
              <w:rPr>
                <w:szCs w:val="21"/>
              </w:rPr>
            </w:pPr>
            <w:r>
              <w:rPr>
                <w:rFonts w:hint="eastAsia"/>
                <w:szCs w:val="21"/>
              </w:rPr>
              <w:t>及技术负责人</w:t>
            </w:r>
          </w:p>
        </w:tc>
        <w:tc>
          <w:tcPr>
            <w:tcW w:w="6095" w:type="dxa"/>
            <w:noWrap/>
            <w:vAlign w:val="center"/>
          </w:tcPr>
          <w:p>
            <w:pPr>
              <w:pStyle w:val="99"/>
              <w:autoSpaceDE w:val="0"/>
              <w:autoSpaceDN w:val="0"/>
              <w:adjustRightInd w:val="0"/>
              <w:snapToGrid w:val="0"/>
              <w:spacing w:line="288" w:lineRule="auto"/>
              <w:jc w:val="left"/>
              <w:rPr>
                <w:rFonts w:cs="Times New Roman"/>
                <w:szCs w:val="21"/>
                <w:lang w:val="en-US" w:bidi="ar-SA"/>
              </w:rPr>
            </w:pPr>
            <w:r>
              <w:rPr>
                <w:rFonts w:hint="eastAsia" w:cs="Times New Roman"/>
                <w:szCs w:val="21"/>
                <w:lang w:val="en-US" w:bidi="ar-SA"/>
              </w:rPr>
              <w:t>项目</w:t>
            </w:r>
            <w:r>
              <w:rPr>
                <w:rFonts w:ascii="Times New Roman" w:hAnsi="Times New Roman" w:cs="Times New Roman"/>
                <w:szCs w:val="21"/>
                <w:lang w:val="en-US" w:bidi="ar-SA"/>
              </w:rPr>
              <w:t>负责人（1名）</w:t>
            </w:r>
            <w:r>
              <w:rPr>
                <w:rFonts w:hint="eastAsia" w:cs="Times New Roman"/>
                <w:szCs w:val="21"/>
                <w:lang w:val="en-US" w:bidi="ar-SA"/>
              </w:rPr>
              <w:t>具有</w:t>
            </w:r>
            <w:r>
              <w:rPr>
                <w:rFonts w:ascii="Times New Roman" w:hAnsi="Times New Roman" w:cs="Times New Roman"/>
                <w:szCs w:val="21"/>
                <w:lang w:val="en-US" w:bidi="ar-SA"/>
              </w:rPr>
              <w:t>水利</w:t>
            </w:r>
            <w:r>
              <w:rPr>
                <w:rFonts w:hint="eastAsia" w:cs="Times New Roman"/>
                <w:szCs w:val="21"/>
                <w:lang w:val="en-US" w:bidi="ar-SA"/>
              </w:rPr>
              <w:t>工程</w:t>
            </w:r>
            <w:r>
              <w:rPr>
                <w:rFonts w:ascii="Times New Roman" w:hAnsi="Times New Roman" w:cs="Times New Roman"/>
                <w:szCs w:val="21"/>
                <w:lang w:val="en-US" w:bidi="ar-SA"/>
              </w:rPr>
              <w:t>类或岩土</w:t>
            </w:r>
            <w:r>
              <w:rPr>
                <w:rFonts w:hint="eastAsia" w:cs="Times New Roman"/>
                <w:szCs w:val="21"/>
                <w:lang w:val="en-US" w:bidi="ar-SA"/>
              </w:rPr>
              <w:t>工程</w:t>
            </w:r>
            <w:r>
              <w:rPr>
                <w:rFonts w:ascii="Times New Roman" w:hAnsi="Times New Roman" w:cs="Times New Roman"/>
                <w:szCs w:val="21"/>
                <w:lang w:val="en-US" w:bidi="ar-SA"/>
              </w:rPr>
              <w:t>类或</w:t>
            </w:r>
            <w:r>
              <w:rPr>
                <w:rFonts w:hint="eastAsia" w:ascii="Times New Roman" w:hAnsi="Times New Roman" w:cs="Times New Roman"/>
                <w:szCs w:val="21"/>
                <w:lang w:val="en-US" w:bidi="ar-SA"/>
              </w:rPr>
              <w:t>地质</w:t>
            </w:r>
            <w:r>
              <w:rPr>
                <w:rFonts w:hint="eastAsia" w:cs="Times New Roman"/>
                <w:szCs w:val="21"/>
                <w:lang w:val="en-US" w:bidi="ar-SA"/>
              </w:rPr>
              <w:t>工程</w:t>
            </w:r>
            <w:r>
              <w:rPr>
                <w:rFonts w:ascii="Times New Roman" w:hAnsi="Times New Roman" w:cs="Times New Roman"/>
                <w:szCs w:val="21"/>
                <w:lang w:val="en-US" w:bidi="ar-SA"/>
              </w:rPr>
              <w:t>类相关专业高级工程师</w:t>
            </w:r>
            <w:r>
              <w:rPr>
                <w:rFonts w:hint="eastAsia" w:ascii="Times New Roman" w:hAnsi="Times New Roman" w:cs="Times New Roman"/>
                <w:szCs w:val="21"/>
                <w:lang w:val="en-US" w:bidi="ar-SA"/>
              </w:rPr>
              <w:t>及以上</w:t>
            </w:r>
            <w:r>
              <w:rPr>
                <w:rFonts w:hint="eastAsia" w:cs="Times New Roman"/>
                <w:szCs w:val="21"/>
                <w:lang w:val="en-US" w:bidi="ar-SA"/>
              </w:rPr>
              <w:t>职称</w:t>
            </w:r>
            <w:r>
              <w:rPr>
                <w:rFonts w:ascii="Times New Roman" w:hAnsi="Times New Roman" w:cs="Times New Roman"/>
                <w:szCs w:val="21"/>
                <w:lang w:val="en-US" w:bidi="ar-SA"/>
              </w:rPr>
              <w:t>的得</w:t>
            </w:r>
            <w:r>
              <w:rPr>
                <w:rFonts w:hint="eastAsia" w:cs="Times New Roman"/>
                <w:szCs w:val="21"/>
                <w:lang w:val="en-US" w:bidi="ar-SA"/>
              </w:rPr>
              <w:t>3</w:t>
            </w:r>
            <w:r>
              <w:rPr>
                <w:rFonts w:ascii="Times New Roman" w:hAnsi="Times New Roman" w:cs="Times New Roman"/>
                <w:szCs w:val="21"/>
                <w:lang w:val="en-US" w:bidi="ar-SA"/>
              </w:rPr>
              <w:t>分；</w:t>
            </w:r>
            <w:r>
              <w:rPr>
                <w:rFonts w:hint="eastAsia" w:ascii="Times New Roman" w:hAnsi="Times New Roman" w:cs="Times New Roman"/>
                <w:szCs w:val="21"/>
                <w:lang w:val="en-US" w:bidi="ar-SA"/>
              </w:rPr>
              <w:t>具有</w:t>
            </w:r>
            <w:r>
              <w:rPr>
                <w:rFonts w:ascii="Times New Roman" w:hAnsi="Times New Roman" w:cs="Times New Roman"/>
                <w:szCs w:val="21"/>
                <w:lang w:val="en-US" w:bidi="ar-SA"/>
              </w:rPr>
              <w:t>水利</w:t>
            </w:r>
            <w:r>
              <w:rPr>
                <w:rFonts w:hint="eastAsia" w:cs="Times New Roman"/>
                <w:szCs w:val="21"/>
                <w:lang w:val="en-US" w:bidi="ar-SA"/>
              </w:rPr>
              <w:t>工程</w:t>
            </w:r>
            <w:r>
              <w:rPr>
                <w:rFonts w:ascii="Times New Roman" w:hAnsi="Times New Roman" w:cs="Times New Roman"/>
                <w:szCs w:val="21"/>
                <w:lang w:val="en-US" w:bidi="ar-SA"/>
              </w:rPr>
              <w:t>类或岩土</w:t>
            </w:r>
            <w:r>
              <w:rPr>
                <w:rFonts w:hint="eastAsia" w:cs="Times New Roman"/>
                <w:szCs w:val="21"/>
                <w:lang w:val="en-US" w:bidi="ar-SA"/>
              </w:rPr>
              <w:t>工程</w:t>
            </w:r>
            <w:r>
              <w:rPr>
                <w:rFonts w:ascii="Times New Roman" w:hAnsi="Times New Roman" w:cs="Times New Roman"/>
                <w:szCs w:val="21"/>
                <w:lang w:val="en-US" w:bidi="ar-SA"/>
              </w:rPr>
              <w:t>类或</w:t>
            </w:r>
            <w:r>
              <w:rPr>
                <w:rFonts w:hint="eastAsia" w:ascii="Times New Roman" w:hAnsi="Times New Roman" w:cs="Times New Roman"/>
                <w:szCs w:val="21"/>
                <w:lang w:val="en-US" w:bidi="ar-SA"/>
              </w:rPr>
              <w:t>地质</w:t>
            </w:r>
            <w:r>
              <w:rPr>
                <w:rFonts w:hint="eastAsia" w:cs="Times New Roman"/>
                <w:szCs w:val="21"/>
                <w:lang w:val="en-US" w:bidi="ar-SA"/>
              </w:rPr>
              <w:t>工程</w:t>
            </w:r>
            <w:r>
              <w:rPr>
                <w:rFonts w:ascii="Times New Roman" w:hAnsi="Times New Roman" w:cs="Times New Roman"/>
                <w:szCs w:val="21"/>
                <w:lang w:val="en-US" w:bidi="ar-SA"/>
              </w:rPr>
              <w:t>类相关专业工程师</w:t>
            </w:r>
            <w:r>
              <w:rPr>
                <w:rFonts w:hint="eastAsia" w:cs="Times New Roman"/>
                <w:szCs w:val="21"/>
                <w:lang w:val="en-US" w:bidi="ar-SA"/>
              </w:rPr>
              <w:t>职称</w:t>
            </w:r>
            <w:r>
              <w:rPr>
                <w:rFonts w:ascii="Times New Roman" w:hAnsi="Times New Roman" w:cs="Times New Roman"/>
                <w:szCs w:val="21"/>
                <w:lang w:val="en-US" w:bidi="ar-SA"/>
              </w:rPr>
              <w:t>的得</w:t>
            </w:r>
            <w:r>
              <w:rPr>
                <w:rFonts w:hint="eastAsia" w:cs="Times New Roman"/>
                <w:szCs w:val="21"/>
                <w:lang w:val="en-US" w:bidi="ar-SA"/>
              </w:rPr>
              <w:t>1</w:t>
            </w:r>
            <w:r>
              <w:rPr>
                <w:rFonts w:ascii="Times New Roman" w:hAnsi="Times New Roman" w:cs="Times New Roman"/>
                <w:szCs w:val="21"/>
                <w:lang w:val="en-US" w:bidi="ar-SA"/>
              </w:rPr>
              <w:t>分</w:t>
            </w:r>
            <w:r>
              <w:rPr>
                <w:rFonts w:hint="eastAsia" w:cs="Times New Roman"/>
                <w:szCs w:val="21"/>
                <w:lang w:val="en-US" w:bidi="ar-SA"/>
              </w:rPr>
              <w:t>。</w:t>
            </w:r>
            <w:r>
              <w:rPr>
                <w:szCs w:val="21"/>
              </w:rPr>
              <w:t>（0-</w:t>
            </w:r>
            <w:r>
              <w:rPr>
                <w:rFonts w:hint="eastAsia"/>
                <w:szCs w:val="21"/>
              </w:rPr>
              <w:t>3</w:t>
            </w:r>
            <w:r>
              <w:rPr>
                <w:szCs w:val="21"/>
              </w:rPr>
              <w:t>分）</w:t>
            </w:r>
          </w:p>
          <w:p>
            <w:pPr>
              <w:pStyle w:val="99"/>
              <w:autoSpaceDE w:val="0"/>
              <w:autoSpaceDN w:val="0"/>
              <w:adjustRightInd w:val="0"/>
              <w:snapToGrid w:val="0"/>
              <w:spacing w:line="288" w:lineRule="auto"/>
              <w:jc w:val="left"/>
              <w:rPr>
                <w:szCs w:val="21"/>
              </w:rPr>
            </w:pPr>
            <w:r>
              <w:rPr>
                <w:szCs w:val="21"/>
              </w:rPr>
              <w:t>注：提供证书扫描件或影印件</w:t>
            </w:r>
            <w:r>
              <w:rPr>
                <w:rFonts w:hint="eastAsia"/>
                <w:szCs w:val="21"/>
              </w:rPr>
              <w:t>加盖投标人公章，</w:t>
            </w:r>
            <w:r>
              <w:rPr>
                <w:rFonts w:hint="eastAsia" w:hAnsi="Times New Roman" w:cs="Times New Roman"/>
                <w:szCs w:val="21"/>
              </w:rPr>
              <w:t>并提供</w:t>
            </w:r>
            <w:r>
              <w:rPr>
                <w:szCs w:val="21"/>
              </w:rPr>
              <w:t>投标人为其缴纳的近3个月的社保证明</w:t>
            </w:r>
            <w:r>
              <w:rPr>
                <w:rFonts w:hint="eastAsia" w:hAnsi="Times New Roman" w:cs="Times New Roman"/>
                <w:szCs w:val="21"/>
              </w:rPr>
              <w:t>，未提供不得分。</w:t>
            </w:r>
          </w:p>
        </w:tc>
        <w:tc>
          <w:tcPr>
            <w:tcW w:w="656" w:type="dxa"/>
            <w:noWrap/>
            <w:vAlign w:val="center"/>
          </w:tcPr>
          <w:p>
            <w:pPr>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431" w:type="dxa"/>
            <w:noWrap/>
            <w:vAlign w:val="center"/>
          </w:tcPr>
          <w:p>
            <w:pPr>
              <w:jc w:val="center"/>
              <w:rPr>
                <w:szCs w:val="21"/>
              </w:rPr>
            </w:pPr>
            <w:r>
              <w:rPr>
                <w:rFonts w:hint="eastAsia"/>
                <w:szCs w:val="21"/>
              </w:rPr>
              <w:t>5</w:t>
            </w:r>
          </w:p>
        </w:tc>
        <w:tc>
          <w:tcPr>
            <w:tcW w:w="1281" w:type="dxa"/>
            <w:vMerge w:val="continue"/>
            <w:noWrap/>
            <w:vAlign w:val="center"/>
          </w:tcPr>
          <w:p>
            <w:pPr>
              <w:jc w:val="center"/>
              <w:rPr>
                <w:szCs w:val="21"/>
              </w:rPr>
            </w:pPr>
          </w:p>
        </w:tc>
        <w:tc>
          <w:tcPr>
            <w:tcW w:w="6095" w:type="dxa"/>
            <w:noWrap/>
            <w:vAlign w:val="center"/>
          </w:tcPr>
          <w:p>
            <w:pPr>
              <w:pStyle w:val="99"/>
              <w:adjustRightInd w:val="0"/>
              <w:snapToGrid w:val="0"/>
              <w:spacing w:line="288" w:lineRule="auto"/>
              <w:rPr>
                <w:szCs w:val="21"/>
              </w:rPr>
            </w:pPr>
            <w:r>
              <w:rPr>
                <w:rFonts w:hint="eastAsia" w:cs="Times New Roman"/>
                <w:szCs w:val="21"/>
                <w:lang w:val="en-US" w:bidi="ar-SA"/>
              </w:rPr>
              <w:t>技术</w:t>
            </w:r>
            <w:r>
              <w:rPr>
                <w:rFonts w:ascii="Times New Roman" w:hAnsi="Times New Roman" w:cs="Times New Roman"/>
                <w:szCs w:val="21"/>
                <w:lang w:val="en-US" w:bidi="ar-SA"/>
              </w:rPr>
              <w:t>负责人（1名）</w:t>
            </w:r>
            <w:r>
              <w:rPr>
                <w:rFonts w:hint="eastAsia" w:cs="Times New Roman"/>
                <w:szCs w:val="21"/>
                <w:lang w:val="en-US" w:bidi="ar-SA"/>
              </w:rPr>
              <w:t>具有</w:t>
            </w:r>
            <w:r>
              <w:rPr>
                <w:rFonts w:ascii="Times New Roman" w:hAnsi="Times New Roman" w:cs="Times New Roman"/>
                <w:szCs w:val="21"/>
                <w:lang w:val="en-US" w:bidi="ar-SA"/>
              </w:rPr>
              <w:t>水利</w:t>
            </w:r>
            <w:r>
              <w:rPr>
                <w:rFonts w:hint="eastAsia" w:cs="Times New Roman"/>
                <w:szCs w:val="21"/>
                <w:lang w:val="en-US" w:bidi="ar-SA"/>
              </w:rPr>
              <w:t>工程</w:t>
            </w:r>
            <w:r>
              <w:rPr>
                <w:rFonts w:ascii="Times New Roman" w:hAnsi="Times New Roman" w:cs="Times New Roman"/>
                <w:szCs w:val="21"/>
                <w:lang w:val="en-US" w:bidi="ar-SA"/>
              </w:rPr>
              <w:t>类或岩土</w:t>
            </w:r>
            <w:r>
              <w:rPr>
                <w:rFonts w:hint="eastAsia" w:cs="Times New Roman"/>
                <w:szCs w:val="21"/>
                <w:lang w:val="en-US" w:bidi="ar-SA"/>
              </w:rPr>
              <w:t>工程</w:t>
            </w:r>
            <w:r>
              <w:rPr>
                <w:rFonts w:ascii="Times New Roman" w:hAnsi="Times New Roman" w:cs="Times New Roman"/>
                <w:szCs w:val="21"/>
                <w:lang w:val="en-US" w:bidi="ar-SA"/>
              </w:rPr>
              <w:t>类或</w:t>
            </w:r>
            <w:r>
              <w:rPr>
                <w:rFonts w:hint="eastAsia" w:ascii="Times New Roman" w:hAnsi="Times New Roman" w:cs="Times New Roman"/>
                <w:szCs w:val="21"/>
                <w:lang w:val="en-US" w:bidi="ar-SA"/>
              </w:rPr>
              <w:t>地质</w:t>
            </w:r>
            <w:r>
              <w:rPr>
                <w:rFonts w:hint="eastAsia" w:cs="Times New Roman"/>
                <w:szCs w:val="21"/>
                <w:lang w:val="en-US" w:bidi="ar-SA"/>
              </w:rPr>
              <w:t>工程</w:t>
            </w:r>
            <w:r>
              <w:rPr>
                <w:rFonts w:ascii="Times New Roman" w:hAnsi="Times New Roman" w:cs="Times New Roman"/>
                <w:szCs w:val="21"/>
                <w:lang w:val="en-US" w:bidi="ar-SA"/>
              </w:rPr>
              <w:t>类相关专业高级工程师</w:t>
            </w:r>
            <w:r>
              <w:rPr>
                <w:rFonts w:hint="eastAsia" w:ascii="Times New Roman" w:hAnsi="Times New Roman" w:cs="Times New Roman"/>
                <w:szCs w:val="21"/>
                <w:lang w:val="en-US" w:bidi="ar-SA"/>
              </w:rPr>
              <w:t>及以上</w:t>
            </w:r>
            <w:r>
              <w:rPr>
                <w:rFonts w:hint="eastAsia" w:cs="Times New Roman"/>
                <w:szCs w:val="21"/>
                <w:lang w:val="en-US" w:bidi="ar-SA"/>
              </w:rPr>
              <w:t>职称</w:t>
            </w:r>
            <w:r>
              <w:rPr>
                <w:rFonts w:ascii="Times New Roman" w:hAnsi="Times New Roman" w:cs="Times New Roman"/>
                <w:szCs w:val="21"/>
                <w:lang w:val="en-US" w:bidi="ar-SA"/>
              </w:rPr>
              <w:t>的得</w:t>
            </w:r>
            <w:r>
              <w:rPr>
                <w:rFonts w:hint="eastAsia" w:cs="Times New Roman"/>
                <w:szCs w:val="21"/>
                <w:lang w:val="en-US" w:bidi="ar-SA"/>
              </w:rPr>
              <w:t>2</w:t>
            </w:r>
            <w:r>
              <w:rPr>
                <w:rFonts w:ascii="Times New Roman" w:hAnsi="Times New Roman" w:cs="Times New Roman"/>
                <w:szCs w:val="21"/>
                <w:lang w:val="en-US" w:bidi="ar-SA"/>
              </w:rPr>
              <w:t>分；</w:t>
            </w:r>
            <w:r>
              <w:rPr>
                <w:rFonts w:hint="eastAsia" w:ascii="Times New Roman" w:hAnsi="Times New Roman" w:cs="Times New Roman"/>
                <w:szCs w:val="21"/>
                <w:lang w:val="en-US" w:bidi="ar-SA"/>
              </w:rPr>
              <w:t>具有</w:t>
            </w:r>
            <w:r>
              <w:rPr>
                <w:rFonts w:ascii="Times New Roman" w:hAnsi="Times New Roman" w:cs="Times New Roman"/>
                <w:szCs w:val="21"/>
                <w:lang w:val="en-US" w:bidi="ar-SA"/>
              </w:rPr>
              <w:t>水利</w:t>
            </w:r>
            <w:r>
              <w:rPr>
                <w:rFonts w:hint="eastAsia" w:cs="Times New Roman"/>
                <w:szCs w:val="21"/>
                <w:lang w:val="en-US" w:bidi="ar-SA"/>
              </w:rPr>
              <w:t>工程</w:t>
            </w:r>
            <w:r>
              <w:rPr>
                <w:rFonts w:ascii="Times New Roman" w:hAnsi="Times New Roman" w:cs="Times New Roman"/>
                <w:szCs w:val="21"/>
                <w:lang w:val="en-US" w:bidi="ar-SA"/>
              </w:rPr>
              <w:t>类或岩土</w:t>
            </w:r>
            <w:r>
              <w:rPr>
                <w:rFonts w:hint="eastAsia" w:cs="Times New Roman"/>
                <w:szCs w:val="21"/>
                <w:lang w:val="en-US" w:bidi="ar-SA"/>
              </w:rPr>
              <w:t>工程</w:t>
            </w:r>
            <w:r>
              <w:rPr>
                <w:rFonts w:ascii="Times New Roman" w:hAnsi="Times New Roman" w:cs="Times New Roman"/>
                <w:szCs w:val="21"/>
                <w:lang w:val="en-US" w:bidi="ar-SA"/>
              </w:rPr>
              <w:t>类或</w:t>
            </w:r>
            <w:r>
              <w:rPr>
                <w:rFonts w:hint="eastAsia" w:ascii="Times New Roman" w:hAnsi="Times New Roman" w:cs="Times New Roman"/>
                <w:szCs w:val="21"/>
                <w:lang w:val="en-US" w:bidi="ar-SA"/>
              </w:rPr>
              <w:t>地质</w:t>
            </w:r>
            <w:r>
              <w:rPr>
                <w:rFonts w:hint="eastAsia" w:cs="Times New Roman"/>
                <w:szCs w:val="21"/>
                <w:lang w:val="en-US" w:bidi="ar-SA"/>
              </w:rPr>
              <w:t>工程</w:t>
            </w:r>
            <w:r>
              <w:rPr>
                <w:rFonts w:ascii="Times New Roman" w:hAnsi="Times New Roman" w:cs="Times New Roman"/>
                <w:szCs w:val="21"/>
                <w:lang w:val="en-US" w:bidi="ar-SA"/>
              </w:rPr>
              <w:t>类相关专业工程师</w:t>
            </w:r>
            <w:r>
              <w:rPr>
                <w:rFonts w:hint="eastAsia" w:cs="Times New Roman"/>
                <w:szCs w:val="21"/>
                <w:lang w:val="en-US" w:bidi="ar-SA"/>
              </w:rPr>
              <w:t>职称</w:t>
            </w:r>
            <w:r>
              <w:rPr>
                <w:rFonts w:ascii="Times New Roman" w:hAnsi="Times New Roman" w:cs="Times New Roman"/>
                <w:szCs w:val="21"/>
                <w:lang w:val="en-US" w:bidi="ar-SA"/>
              </w:rPr>
              <w:t>的得</w:t>
            </w:r>
            <w:r>
              <w:rPr>
                <w:rFonts w:hint="eastAsia" w:cs="Times New Roman"/>
                <w:szCs w:val="21"/>
                <w:lang w:val="en-US" w:bidi="ar-SA"/>
              </w:rPr>
              <w:t>1</w:t>
            </w:r>
            <w:r>
              <w:rPr>
                <w:rFonts w:ascii="Times New Roman" w:hAnsi="Times New Roman" w:cs="Times New Roman"/>
                <w:szCs w:val="21"/>
                <w:lang w:val="en-US" w:bidi="ar-SA"/>
              </w:rPr>
              <w:t>分</w:t>
            </w:r>
            <w:r>
              <w:rPr>
                <w:rFonts w:hint="eastAsia" w:cs="Times New Roman"/>
                <w:szCs w:val="21"/>
                <w:lang w:val="en-US" w:bidi="ar-SA"/>
              </w:rPr>
              <w:t>。</w:t>
            </w:r>
            <w:r>
              <w:rPr>
                <w:szCs w:val="21"/>
              </w:rPr>
              <w:t>（0-</w:t>
            </w:r>
            <w:r>
              <w:rPr>
                <w:rFonts w:hint="eastAsia"/>
                <w:szCs w:val="21"/>
              </w:rPr>
              <w:t>2</w:t>
            </w:r>
            <w:r>
              <w:rPr>
                <w:szCs w:val="21"/>
              </w:rPr>
              <w:t>分）</w:t>
            </w:r>
          </w:p>
          <w:p>
            <w:pPr>
              <w:pStyle w:val="99"/>
              <w:tabs>
                <w:tab w:val="left" w:pos="636"/>
              </w:tabs>
              <w:adjustRightInd w:val="0"/>
              <w:snapToGrid w:val="0"/>
              <w:spacing w:line="288" w:lineRule="auto"/>
              <w:rPr>
                <w:rFonts w:cs="Times New Roman"/>
                <w:szCs w:val="21"/>
                <w:lang w:val="en-US" w:bidi="ar-SA"/>
              </w:rPr>
            </w:pPr>
            <w:r>
              <w:rPr>
                <w:szCs w:val="21"/>
              </w:rPr>
              <w:t>注：提供证书扫描件或影印件</w:t>
            </w:r>
            <w:r>
              <w:rPr>
                <w:rFonts w:hint="eastAsia"/>
                <w:szCs w:val="21"/>
              </w:rPr>
              <w:t>加盖投标人公章，</w:t>
            </w:r>
            <w:r>
              <w:rPr>
                <w:rFonts w:hint="eastAsia" w:hAnsi="Times New Roman" w:cs="Times New Roman"/>
                <w:szCs w:val="21"/>
              </w:rPr>
              <w:t>并提供</w:t>
            </w:r>
            <w:r>
              <w:rPr>
                <w:szCs w:val="21"/>
              </w:rPr>
              <w:t>投标人为其缴纳的近3个月的社保证明</w:t>
            </w:r>
            <w:r>
              <w:rPr>
                <w:rFonts w:hint="eastAsia" w:hAnsi="Times New Roman" w:cs="Times New Roman"/>
                <w:szCs w:val="21"/>
              </w:rPr>
              <w:t>，未提供不得分。</w:t>
            </w:r>
          </w:p>
        </w:tc>
        <w:tc>
          <w:tcPr>
            <w:tcW w:w="656" w:type="dxa"/>
            <w:noWrap/>
            <w:vAlign w:val="center"/>
          </w:tcPr>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431" w:type="dxa"/>
            <w:noWrap/>
            <w:vAlign w:val="center"/>
          </w:tcPr>
          <w:p>
            <w:pPr>
              <w:jc w:val="center"/>
              <w:rPr>
                <w:szCs w:val="21"/>
              </w:rPr>
            </w:pPr>
            <w:r>
              <w:rPr>
                <w:rFonts w:hint="eastAsia"/>
                <w:szCs w:val="21"/>
              </w:rPr>
              <w:t>6</w:t>
            </w:r>
          </w:p>
        </w:tc>
        <w:tc>
          <w:tcPr>
            <w:tcW w:w="1281" w:type="dxa"/>
            <w:vMerge w:val="restart"/>
            <w:noWrap/>
            <w:vAlign w:val="center"/>
          </w:tcPr>
          <w:p>
            <w:pPr>
              <w:jc w:val="center"/>
              <w:rPr>
                <w:szCs w:val="21"/>
              </w:rPr>
            </w:pPr>
            <w:r>
              <w:rPr>
                <w:rFonts w:hint="eastAsia"/>
                <w:szCs w:val="21"/>
                <w:lang w:val="zh-CN"/>
              </w:rPr>
              <w:t>拟投入本项目专业技术团队（项目负责人及技术负责人除</w:t>
            </w:r>
          </w:p>
          <w:p>
            <w:pPr>
              <w:jc w:val="center"/>
              <w:rPr>
                <w:szCs w:val="21"/>
              </w:rPr>
            </w:pPr>
            <w:r>
              <w:rPr>
                <w:rFonts w:hint="eastAsia"/>
                <w:szCs w:val="21"/>
                <w:lang w:val="zh-CN"/>
              </w:rPr>
              <w:t>外）</w:t>
            </w:r>
          </w:p>
        </w:tc>
        <w:tc>
          <w:tcPr>
            <w:tcW w:w="6095" w:type="dxa"/>
            <w:noWrap/>
            <w:vAlign w:val="center"/>
          </w:tcPr>
          <w:p>
            <w:pPr>
              <w:adjustRightInd w:val="0"/>
              <w:snapToGrid w:val="0"/>
              <w:spacing w:line="288" w:lineRule="auto"/>
              <w:rPr>
                <w:szCs w:val="21"/>
              </w:rPr>
            </w:pPr>
            <w:r>
              <w:rPr>
                <w:rFonts w:hint="eastAsia"/>
                <w:szCs w:val="21"/>
              </w:rPr>
              <w:t>项目组其他人员配备齐全、专业结构合理，</w:t>
            </w:r>
            <w:r>
              <w:rPr>
                <w:szCs w:val="21"/>
              </w:rPr>
              <w:t>投标人为本项目提供的专业技术人员（</w:t>
            </w:r>
            <w:r>
              <w:rPr>
                <w:rFonts w:hint="eastAsia"/>
                <w:szCs w:val="21"/>
                <w:lang w:val="zh-CN"/>
              </w:rPr>
              <w:t>项目负责人及技术负责人除外</w:t>
            </w:r>
            <w:r>
              <w:rPr>
                <w:szCs w:val="21"/>
              </w:rPr>
              <w:t>）</w:t>
            </w:r>
            <w:r>
              <w:rPr>
                <w:rFonts w:hint="eastAsia"/>
                <w:szCs w:val="21"/>
              </w:rPr>
              <w:t>含有水利工程专业、测绘专业、工程地质专业、电气自动化专业相关中级及以上职称，以上四类专业人员每一类得1.5分，最高得分6分。</w:t>
            </w:r>
            <w:r>
              <w:rPr>
                <w:szCs w:val="21"/>
              </w:rPr>
              <w:t>（0-</w:t>
            </w:r>
            <w:r>
              <w:rPr>
                <w:rFonts w:hint="eastAsia"/>
                <w:szCs w:val="21"/>
              </w:rPr>
              <w:t>6</w:t>
            </w:r>
            <w:r>
              <w:rPr>
                <w:szCs w:val="21"/>
              </w:rPr>
              <w:t>分）</w:t>
            </w:r>
          </w:p>
          <w:p>
            <w:pPr>
              <w:pStyle w:val="2"/>
              <w:ind w:left="0" w:leftChars="0"/>
            </w:pPr>
            <w:r>
              <w:t>注：提供证书扫描件或影印件</w:t>
            </w:r>
            <w:r>
              <w:rPr>
                <w:rFonts w:hint="eastAsia"/>
              </w:rPr>
              <w:t>加盖投标人公章，</w:t>
            </w:r>
            <w:r>
              <w:rPr>
                <w:rFonts w:hint="eastAsia"/>
                <w:kern w:val="2"/>
              </w:rPr>
              <w:t>并提供</w:t>
            </w:r>
            <w:r>
              <w:t>投标人为其缴纳的近3个月的社保证明</w:t>
            </w:r>
            <w:r>
              <w:rPr>
                <w:rFonts w:hint="eastAsia"/>
                <w:kern w:val="2"/>
              </w:rPr>
              <w:t>，未提供不得分。6、7项</w:t>
            </w:r>
            <w:r>
              <w:t>一人多证只计一次分。</w:t>
            </w:r>
          </w:p>
        </w:tc>
        <w:tc>
          <w:tcPr>
            <w:tcW w:w="656" w:type="dxa"/>
            <w:noWrap/>
            <w:vAlign w:val="center"/>
          </w:tcPr>
          <w:p>
            <w:pPr>
              <w:jc w:val="center"/>
              <w:rPr>
                <w:szCs w:val="21"/>
              </w:rPr>
            </w:pP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431" w:type="dxa"/>
            <w:noWrap/>
            <w:vAlign w:val="center"/>
          </w:tcPr>
          <w:p>
            <w:pPr>
              <w:jc w:val="center"/>
              <w:rPr>
                <w:szCs w:val="21"/>
              </w:rPr>
            </w:pPr>
            <w:r>
              <w:rPr>
                <w:rFonts w:hint="eastAsia"/>
                <w:szCs w:val="21"/>
              </w:rPr>
              <w:t>7</w:t>
            </w:r>
          </w:p>
        </w:tc>
        <w:tc>
          <w:tcPr>
            <w:tcW w:w="1281" w:type="dxa"/>
            <w:vMerge w:val="continue"/>
            <w:noWrap/>
            <w:vAlign w:val="center"/>
          </w:tcPr>
          <w:p>
            <w:pPr>
              <w:jc w:val="center"/>
              <w:rPr>
                <w:szCs w:val="21"/>
                <w:lang w:val="zh-CN"/>
              </w:rPr>
            </w:pPr>
          </w:p>
        </w:tc>
        <w:tc>
          <w:tcPr>
            <w:tcW w:w="6095" w:type="dxa"/>
            <w:noWrap/>
            <w:vAlign w:val="center"/>
          </w:tcPr>
          <w:p>
            <w:pPr>
              <w:adjustRightInd w:val="0"/>
              <w:snapToGrid w:val="0"/>
              <w:spacing w:line="288" w:lineRule="auto"/>
              <w:rPr>
                <w:szCs w:val="21"/>
              </w:rPr>
            </w:pPr>
            <w:r>
              <w:rPr>
                <w:szCs w:val="21"/>
              </w:rPr>
              <w:t>投标人为本项目配备的软件开发人员具有计算机技术与软件专业技术资格（水平）考试</w:t>
            </w:r>
            <w:r>
              <w:rPr>
                <w:rFonts w:hint="eastAsia"/>
                <w:szCs w:val="21"/>
              </w:rPr>
              <w:t>中</w:t>
            </w:r>
            <w:r>
              <w:rPr>
                <w:szCs w:val="21"/>
              </w:rPr>
              <w:t>级</w:t>
            </w:r>
            <w:r>
              <w:rPr>
                <w:rFonts w:hint="eastAsia"/>
                <w:szCs w:val="21"/>
              </w:rPr>
              <w:t>及以上</w:t>
            </w:r>
            <w:r>
              <w:rPr>
                <w:szCs w:val="21"/>
              </w:rPr>
              <w:t>资格证书的，每个得</w:t>
            </w:r>
            <w:r>
              <w:rPr>
                <w:rFonts w:hint="eastAsia"/>
                <w:szCs w:val="21"/>
              </w:rPr>
              <w:t>1</w:t>
            </w:r>
            <w:r>
              <w:rPr>
                <w:szCs w:val="21"/>
              </w:rPr>
              <w:t>分，满分</w:t>
            </w:r>
            <w:r>
              <w:rPr>
                <w:rFonts w:hint="eastAsia"/>
                <w:szCs w:val="21"/>
              </w:rPr>
              <w:t>2</w:t>
            </w:r>
            <w:r>
              <w:rPr>
                <w:szCs w:val="21"/>
              </w:rPr>
              <w:t>分。（0-</w:t>
            </w:r>
            <w:r>
              <w:rPr>
                <w:rFonts w:hint="eastAsia"/>
                <w:szCs w:val="21"/>
              </w:rPr>
              <w:t>2</w:t>
            </w:r>
            <w:r>
              <w:rPr>
                <w:szCs w:val="21"/>
              </w:rPr>
              <w:t>分）</w:t>
            </w:r>
          </w:p>
          <w:p>
            <w:pPr>
              <w:adjustRightInd w:val="0"/>
              <w:snapToGrid w:val="0"/>
              <w:spacing w:line="288" w:lineRule="auto"/>
              <w:rPr>
                <w:szCs w:val="21"/>
              </w:rPr>
            </w:pPr>
            <w:r>
              <w:rPr>
                <w:szCs w:val="21"/>
              </w:rPr>
              <w:t>注：提供证书扫描件或影印件</w:t>
            </w:r>
            <w:r>
              <w:rPr>
                <w:rFonts w:hint="eastAsia"/>
                <w:szCs w:val="21"/>
              </w:rPr>
              <w:t>加盖投标人公章，并提供</w:t>
            </w:r>
            <w:r>
              <w:rPr>
                <w:szCs w:val="21"/>
              </w:rPr>
              <w:t>投标人为其缴纳的近3个月的社保证明</w:t>
            </w:r>
            <w:r>
              <w:rPr>
                <w:rFonts w:hint="eastAsia"/>
                <w:szCs w:val="21"/>
              </w:rPr>
              <w:t>，未提供不得分。</w:t>
            </w:r>
            <w:r>
              <w:rPr>
                <w:rFonts w:hint="eastAsia"/>
              </w:rPr>
              <w:t>6、7项</w:t>
            </w:r>
            <w:r>
              <w:rPr>
                <w:szCs w:val="21"/>
              </w:rPr>
              <w:t>一人多证只计一次分。</w:t>
            </w:r>
          </w:p>
        </w:tc>
        <w:tc>
          <w:tcPr>
            <w:tcW w:w="656" w:type="dxa"/>
            <w:noWrap/>
            <w:vAlign w:val="center"/>
          </w:tcPr>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31" w:type="dxa"/>
            <w:noWrap/>
            <w:vAlign w:val="center"/>
          </w:tcPr>
          <w:p>
            <w:pPr>
              <w:jc w:val="center"/>
              <w:rPr>
                <w:szCs w:val="21"/>
              </w:rPr>
            </w:pPr>
            <w:r>
              <w:rPr>
                <w:rFonts w:hint="eastAsia"/>
                <w:szCs w:val="21"/>
              </w:rPr>
              <w:t>8</w:t>
            </w:r>
          </w:p>
        </w:tc>
        <w:tc>
          <w:tcPr>
            <w:tcW w:w="1281" w:type="dxa"/>
            <w:noWrap/>
            <w:vAlign w:val="center"/>
          </w:tcPr>
          <w:p>
            <w:pPr>
              <w:jc w:val="center"/>
              <w:rPr>
                <w:szCs w:val="21"/>
              </w:rPr>
            </w:pPr>
            <w:r>
              <w:rPr>
                <w:rFonts w:hint="eastAsia"/>
                <w:szCs w:val="21"/>
              </w:rPr>
              <w:t>对本项目的理解</w:t>
            </w:r>
          </w:p>
        </w:tc>
        <w:tc>
          <w:tcPr>
            <w:tcW w:w="6095" w:type="dxa"/>
            <w:noWrap/>
            <w:vAlign w:val="center"/>
          </w:tcPr>
          <w:p>
            <w:pPr>
              <w:adjustRightInd w:val="0"/>
              <w:snapToGrid w:val="0"/>
              <w:spacing w:line="288" w:lineRule="auto"/>
              <w:rPr>
                <w:szCs w:val="21"/>
              </w:rPr>
            </w:pPr>
            <w:r>
              <w:rPr>
                <w:szCs w:val="21"/>
              </w:rPr>
              <w:t>投标人对项目的理解。根据投标人对本项目的背景、需求的理解</w:t>
            </w:r>
            <w:r>
              <w:rPr>
                <w:rFonts w:hint="eastAsia"/>
                <w:szCs w:val="21"/>
              </w:rPr>
              <w:t>情况、对项目现场的熟悉程度</w:t>
            </w:r>
            <w:r>
              <w:rPr>
                <w:szCs w:val="21"/>
              </w:rPr>
              <w:t>以及</w:t>
            </w:r>
            <w:r>
              <w:rPr>
                <w:rFonts w:hint="eastAsia"/>
                <w:szCs w:val="21"/>
              </w:rPr>
              <w:t>投标人现场自行踏勘情况</w:t>
            </w:r>
            <w:r>
              <w:rPr>
                <w:szCs w:val="21"/>
              </w:rPr>
              <w:t>进行打分。需求理解全面、建设思路清晰，对项目建设现场情况</w:t>
            </w:r>
            <w:r>
              <w:rPr>
                <w:rFonts w:hint="eastAsia"/>
                <w:szCs w:val="21"/>
              </w:rPr>
              <w:t>熟悉，提供详尽、准确的现场调研资料的，</w:t>
            </w:r>
            <w:r>
              <w:rPr>
                <w:szCs w:val="21"/>
              </w:rPr>
              <w:t>得</w:t>
            </w:r>
            <w:r>
              <w:rPr>
                <w:rFonts w:hint="eastAsia"/>
                <w:szCs w:val="21"/>
              </w:rPr>
              <w:t>5-3.6</w:t>
            </w:r>
            <w:r>
              <w:rPr>
                <w:szCs w:val="21"/>
              </w:rPr>
              <w:t>分；需求理解较全面、建设思路较清晰，对项目建设现场情况</w:t>
            </w:r>
            <w:r>
              <w:rPr>
                <w:rFonts w:hint="eastAsia"/>
                <w:szCs w:val="21"/>
              </w:rPr>
              <w:t>较为熟悉，提供较为详尽、准确的现场调研资料的，</w:t>
            </w:r>
            <w:r>
              <w:rPr>
                <w:szCs w:val="21"/>
              </w:rPr>
              <w:t>得</w:t>
            </w:r>
            <w:r>
              <w:rPr>
                <w:rFonts w:hint="eastAsia"/>
                <w:szCs w:val="21"/>
              </w:rPr>
              <w:t>3.5-1.6</w:t>
            </w:r>
            <w:r>
              <w:rPr>
                <w:szCs w:val="21"/>
              </w:rPr>
              <w:t>分；</w:t>
            </w:r>
            <w:r>
              <w:rPr>
                <w:rFonts w:hint="eastAsia"/>
                <w:szCs w:val="21"/>
              </w:rPr>
              <w:t>对</w:t>
            </w:r>
            <w:r>
              <w:rPr>
                <w:szCs w:val="21"/>
              </w:rPr>
              <w:t>本项目的背景、需求理解</w:t>
            </w:r>
            <w:r>
              <w:rPr>
                <w:rFonts w:hint="eastAsia"/>
                <w:szCs w:val="21"/>
              </w:rPr>
              <w:t>较差</w:t>
            </w:r>
            <w:r>
              <w:rPr>
                <w:szCs w:val="21"/>
              </w:rPr>
              <w:t>，对项目建设现场情况了解</w:t>
            </w:r>
            <w:r>
              <w:rPr>
                <w:rFonts w:hint="eastAsia"/>
                <w:szCs w:val="21"/>
              </w:rPr>
              <w:t>较差</w:t>
            </w:r>
            <w:r>
              <w:rPr>
                <w:szCs w:val="21"/>
              </w:rPr>
              <w:t>的，得1</w:t>
            </w:r>
            <w:r>
              <w:rPr>
                <w:rFonts w:hint="eastAsia"/>
                <w:szCs w:val="21"/>
              </w:rPr>
              <w:t>.6-0</w:t>
            </w:r>
            <w:r>
              <w:rPr>
                <w:szCs w:val="21"/>
              </w:rPr>
              <w:t>分。（0-</w:t>
            </w:r>
            <w:r>
              <w:rPr>
                <w:rFonts w:hint="eastAsia"/>
                <w:szCs w:val="21"/>
              </w:rPr>
              <w:t>5</w:t>
            </w:r>
            <w:r>
              <w:rPr>
                <w:szCs w:val="21"/>
              </w:rPr>
              <w:t>分）</w:t>
            </w:r>
          </w:p>
        </w:tc>
        <w:tc>
          <w:tcPr>
            <w:tcW w:w="656" w:type="dxa"/>
            <w:noWrap/>
            <w:vAlign w:val="center"/>
          </w:tcPr>
          <w:p>
            <w:pPr>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431" w:type="dxa"/>
            <w:noWrap/>
            <w:vAlign w:val="center"/>
          </w:tcPr>
          <w:p>
            <w:pPr>
              <w:jc w:val="center"/>
              <w:rPr>
                <w:szCs w:val="21"/>
              </w:rPr>
            </w:pPr>
            <w:r>
              <w:rPr>
                <w:rFonts w:hint="eastAsia"/>
                <w:szCs w:val="21"/>
              </w:rPr>
              <w:t>9</w:t>
            </w:r>
          </w:p>
        </w:tc>
        <w:tc>
          <w:tcPr>
            <w:tcW w:w="1281" w:type="dxa"/>
            <w:noWrap/>
            <w:vAlign w:val="center"/>
          </w:tcPr>
          <w:p>
            <w:pPr>
              <w:jc w:val="center"/>
              <w:rPr>
                <w:szCs w:val="21"/>
              </w:rPr>
            </w:pPr>
            <w:r>
              <w:rPr>
                <w:szCs w:val="21"/>
              </w:rPr>
              <w:t>技术方案</w:t>
            </w:r>
          </w:p>
        </w:tc>
        <w:tc>
          <w:tcPr>
            <w:tcW w:w="6095" w:type="dxa"/>
            <w:noWrap/>
            <w:vAlign w:val="center"/>
          </w:tcPr>
          <w:p>
            <w:pPr>
              <w:adjustRightInd w:val="0"/>
              <w:snapToGrid w:val="0"/>
              <w:spacing w:line="288" w:lineRule="auto"/>
              <w:rPr>
                <w:szCs w:val="21"/>
              </w:rPr>
            </w:pPr>
            <w:r>
              <w:rPr>
                <w:szCs w:val="21"/>
              </w:rPr>
              <w:t>投标人提供详细技术方案。根据投标人对本项目的监测技术要求、安全要求、集成要求、软件功能要求等需求的响应程度以及技术方案的合理性进行打分。技术方案合理</w:t>
            </w:r>
            <w:r>
              <w:rPr>
                <w:rFonts w:hint="eastAsia"/>
                <w:szCs w:val="21"/>
              </w:rPr>
              <w:t>、详实，</w:t>
            </w:r>
            <w:r>
              <w:rPr>
                <w:szCs w:val="21"/>
              </w:rPr>
              <w:t>对项目需求具有</w:t>
            </w:r>
            <w:r>
              <w:rPr>
                <w:rFonts w:hint="eastAsia"/>
                <w:szCs w:val="21"/>
              </w:rPr>
              <w:t>良好</w:t>
            </w:r>
            <w:r>
              <w:rPr>
                <w:szCs w:val="21"/>
              </w:rPr>
              <w:t>的针对性和适用性的，得</w:t>
            </w:r>
            <w:r>
              <w:rPr>
                <w:rFonts w:hint="eastAsia"/>
                <w:szCs w:val="21"/>
              </w:rPr>
              <w:t>5-3.6</w:t>
            </w:r>
            <w:r>
              <w:rPr>
                <w:szCs w:val="21"/>
              </w:rPr>
              <w:t>分；技术方案较合理</w:t>
            </w:r>
            <w:r>
              <w:rPr>
                <w:rFonts w:hint="eastAsia"/>
                <w:szCs w:val="21"/>
              </w:rPr>
              <w:t>，较详实</w:t>
            </w:r>
            <w:r>
              <w:rPr>
                <w:szCs w:val="21"/>
              </w:rPr>
              <w:t>，对针对性和适用性</w:t>
            </w:r>
            <w:r>
              <w:rPr>
                <w:rFonts w:hint="eastAsia"/>
                <w:szCs w:val="21"/>
              </w:rPr>
              <w:t>较强</w:t>
            </w:r>
            <w:r>
              <w:rPr>
                <w:szCs w:val="21"/>
              </w:rPr>
              <w:t>的，得</w:t>
            </w:r>
            <w:r>
              <w:rPr>
                <w:rFonts w:hint="eastAsia"/>
                <w:szCs w:val="21"/>
              </w:rPr>
              <w:t>3.5-1.6</w:t>
            </w:r>
            <w:r>
              <w:rPr>
                <w:szCs w:val="21"/>
              </w:rPr>
              <w:t>分；技术方案</w:t>
            </w:r>
            <w:r>
              <w:rPr>
                <w:rFonts w:hint="eastAsia"/>
                <w:szCs w:val="21"/>
              </w:rPr>
              <w:t>较差</w:t>
            </w:r>
            <w:r>
              <w:rPr>
                <w:szCs w:val="21"/>
              </w:rPr>
              <w:t>，对本项目需求针对性和适用性</w:t>
            </w:r>
            <w:r>
              <w:rPr>
                <w:rFonts w:hint="eastAsia"/>
                <w:szCs w:val="21"/>
              </w:rPr>
              <w:t>不强</w:t>
            </w:r>
            <w:r>
              <w:rPr>
                <w:szCs w:val="21"/>
              </w:rPr>
              <w:t>的，得1</w:t>
            </w:r>
            <w:r>
              <w:rPr>
                <w:rFonts w:hint="eastAsia"/>
                <w:szCs w:val="21"/>
              </w:rPr>
              <w:t>.5-0</w:t>
            </w:r>
            <w:r>
              <w:rPr>
                <w:szCs w:val="21"/>
              </w:rPr>
              <w:t>分。（0-</w:t>
            </w:r>
            <w:r>
              <w:rPr>
                <w:rFonts w:hint="eastAsia"/>
                <w:szCs w:val="21"/>
              </w:rPr>
              <w:t>5</w:t>
            </w:r>
            <w:r>
              <w:rPr>
                <w:szCs w:val="21"/>
              </w:rPr>
              <w:t>分）</w:t>
            </w:r>
          </w:p>
        </w:tc>
        <w:tc>
          <w:tcPr>
            <w:tcW w:w="656" w:type="dxa"/>
            <w:noWrap/>
            <w:vAlign w:val="center"/>
          </w:tcPr>
          <w:p>
            <w:pPr>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31" w:type="dxa"/>
            <w:noWrap/>
            <w:vAlign w:val="center"/>
          </w:tcPr>
          <w:p>
            <w:pPr>
              <w:jc w:val="center"/>
              <w:rPr>
                <w:szCs w:val="21"/>
              </w:rPr>
            </w:pPr>
            <w:r>
              <w:rPr>
                <w:rFonts w:hint="eastAsia"/>
                <w:szCs w:val="21"/>
              </w:rPr>
              <w:t>10</w:t>
            </w:r>
          </w:p>
        </w:tc>
        <w:tc>
          <w:tcPr>
            <w:tcW w:w="1281" w:type="dxa"/>
            <w:noWrap/>
            <w:vAlign w:val="center"/>
          </w:tcPr>
          <w:p>
            <w:pPr>
              <w:jc w:val="center"/>
              <w:rPr>
                <w:bCs/>
                <w:szCs w:val="21"/>
              </w:rPr>
            </w:pPr>
            <w:r>
              <w:rPr>
                <w:szCs w:val="21"/>
              </w:rPr>
              <w:t>组织实施方案</w:t>
            </w:r>
          </w:p>
        </w:tc>
        <w:tc>
          <w:tcPr>
            <w:tcW w:w="6095" w:type="dxa"/>
            <w:noWrap/>
            <w:vAlign w:val="center"/>
          </w:tcPr>
          <w:p>
            <w:pPr>
              <w:adjustRightInd w:val="0"/>
              <w:snapToGrid w:val="0"/>
              <w:spacing w:line="288" w:lineRule="auto"/>
              <w:rPr>
                <w:szCs w:val="21"/>
              </w:rPr>
            </w:pPr>
            <w:r>
              <w:rPr>
                <w:szCs w:val="21"/>
              </w:rPr>
              <w:t>投标人提供详细的组织实施方案，根据投标人拟投设备供货、安装调试方案、组织机构情况、时间进度安排、工作程序、管理和协调方法、工期保证措施的合理性、可行性、全面性等方面进行相应打分。方案阐述清楚全面，可行性强，能够充分保障项目的建设实施，</w:t>
            </w:r>
            <w:r>
              <w:rPr>
                <w:rFonts w:hint="eastAsia"/>
                <w:szCs w:val="21"/>
              </w:rPr>
              <w:t>得5-3.6</w:t>
            </w:r>
            <w:r>
              <w:rPr>
                <w:szCs w:val="21"/>
              </w:rPr>
              <w:t>分；方案阐述较清楚全面，可行性较强，能够保障项目的建设实施，</w:t>
            </w:r>
            <w:r>
              <w:rPr>
                <w:rFonts w:hint="eastAsia"/>
                <w:szCs w:val="21"/>
              </w:rPr>
              <w:t>得3.5-1.6</w:t>
            </w:r>
            <w:r>
              <w:rPr>
                <w:szCs w:val="21"/>
              </w:rPr>
              <w:t>分；方案阐述</w:t>
            </w:r>
            <w:r>
              <w:rPr>
                <w:rFonts w:hint="eastAsia"/>
                <w:szCs w:val="21"/>
              </w:rPr>
              <w:t>较差</w:t>
            </w:r>
            <w:r>
              <w:rPr>
                <w:szCs w:val="21"/>
              </w:rPr>
              <w:t>，可行性</w:t>
            </w:r>
            <w:r>
              <w:rPr>
                <w:rFonts w:hint="eastAsia"/>
                <w:szCs w:val="21"/>
              </w:rPr>
              <w:t>较差的</w:t>
            </w:r>
            <w:r>
              <w:rPr>
                <w:szCs w:val="21"/>
              </w:rPr>
              <w:t>，得1</w:t>
            </w:r>
            <w:r>
              <w:rPr>
                <w:rFonts w:hint="eastAsia"/>
                <w:szCs w:val="21"/>
              </w:rPr>
              <w:t>.5-0</w:t>
            </w:r>
            <w:r>
              <w:rPr>
                <w:szCs w:val="21"/>
              </w:rPr>
              <w:t>分。（0-</w:t>
            </w:r>
            <w:r>
              <w:rPr>
                <w:rFonts w:hint="eastAsia"/>
                <w:szCs w:val="21"/>
              </w:rPr>
              <w:t>5</w:t>
            </w:r>
            <w:r>
              <w:rPr>
                <w:szCs w:val="21"/>
              </w:rPr>
              <w:t>分）</w:t>
            </w:r>
          </w:p>
        </w:tc>
        <w:tc>
          <w:tcPr>
            <w:tcW w:w="656" w:type="dxa"/>
            <w:noWrap/>
            <w:vAlign w:val="center"/>
          </w:tcPr>
          <w:p>
            <w:pPr>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31" w:type="dxa"/>
            <w:noWrap/>
            <w:vAlign w:val="center"/>
          </w:tcPr>
          <w:p>
            <w:pPr>
              <w:jc w:val="center"/>
              <w:rPr>
                <w:szCs w:val="21"/>
              </w:rPr>
            </w:pPr>
            <w:r>
              <w:rPr>
                <w:rFonts w:hint="eastAsia"/>
                <w:szCs w:val="21"/>
              </w:rPr>
              <w:t>11</w:t>
            </w:r>
          </w:p>
        </w:tc>
        <w:tc>
          <w:tcPr>
            <w:tcW w:w="1281" w:type="dxa"/>
            <w:noWrap/>
            <w:vAlign w:val="center"/>
          </w:tcPr>
          <w:p>
            <w:pPr>
              <w:jc w:val="center"/>
              <w:rPr>
                <w:szCs w:val="21"/>
              </w:rPr>
            </w:pPr>
            <w:r>
              <w:rPr>
                <w:rFonts w:hint="eastAsia"/>
                <w:szCs w:val="21"/>
              </w:rPr>
              <w:t>质量、安全保证措施</w:t>
            </w:r>
          </w:p>
        </w:tc>
        <w:tc>
          <w:tcPr>
            <w:tcW w:w="6095" w:type="dxa"/>
            <w:noWrap/>
            <w:vAlign w:val="center"/>
          </w:tcPr>
          <w:p>
            <w:pPr>
              <w:adjustRightInd w:val="0"/>
              <w:snapToGrid w:val="0"/>
              <w:spacing w:line="288" w:lineRule="auto"/>
              <w:rPr>
                <w:szCs w:val="21"/>
              </w:rPr>
            </w:pPr>
            <w:r>
              <w:rPr>
                <w:rFonts w:hint="eastAsia"/>
                <w:szCs w:val="21"/>
              </w:rPr>
              <w:t>根据投标人提供的质量安全保证措施进行打分。保证措施合理详实，</w:t>
            </w:r>
            <w:r>
              <w:rPr>
                <w:szCs w:val="21"/>
              </w:rPr>
              <w:t>具有</w:t>
            </w:r>
            <w:r>
              <w:rPr>
                <w:rFonts w:hint="eastAsia"/>
                <w:szCs w:val="21"/>
              </w:rPr>
              <w:t>良好</w:t>
            </w:r>
            <w:r>
              <w:rPr>
                <w:szCs w:val="21"/>
              </w:rPr>
              <w:t>的针对性和适用性的，得</w:t>
            </w:r>
            <w:r>
              <w:rPr>
                <w:rFonts w:hint="eastAsia"/>
                <w:szCs w:val="21"/>
              </w:rPr>
              <w:t>5-3.6</w:t>
            </w:r>
            <w:r>
              <w:rPr>
                <w:szCs w:val="21"/>
              </w:rPr>
              <w:t>分；</w:t>
            </w:r>
            <w:r>
              <w:rPr>
                <w:rFonts w:hint="eastAsia"/>
                <w:szCs w:val="21"/>
              </w:rPr>
              <w:t>保证措施</w:t>
            </w:r>
            <w:r>
              <w:rPr>
                <w:szCs w:val="21"/>
              </w:rPr>
              <w:t>较合理</w:t>
            </w:r>
            <w:r>
              <w:rPr>
                <w:rFonts w:hint="eastAsia"/>
                <w:szCs w:val="21"/>
              </w:rPr>
              <w:t>，较详实</w:t>
            </w:r>
            <w:r>
              <w:rPr>
                <w:szCs w:val="21"/>
              </w:rPr>
              <w:t>，对针对性和适用性</w:t>
            </w:r>
            <w:r>
              <w:rPr>
                <w:rFonts w:hint="eastAsia"/>
                <w:szCs w:val="21"/>
              </w:rPr>
              <w:t>较强</w:t>
            </w:r>
            <w:r>
              <w:rPr>
                <w:szCs w:val="21"/>
              </w:rPr>
              <w:t>的，得</w:t>
            </w:r>
            <w:r>
              <w:rPr>
                <w:rFonts w:hint="eastAsia"/>
                <w:szCs w:val="21"/>
              </w:rPr>
              <w:t>3.5-1.6</w:t>
            </w:r>
            <w:r>
              <w:rPr>
                <w:szCs w:val="21"/>
              </w:rPr>
              <w:t>分；</w:t>
            </w:r>
            <w:r>
              <w:rPr>
                <w:rFonts w:hint="eastAsia"/>
                <w:szCs w:val="21"/>
              </w:rPr>
              <w:t>保证措施较差</w:t>
            </w:r>
            <w:r>
              <w:rPr>
                <w:szCs w:val="21"/>
              </w:rPr>
              <w:t>，针对性和适用性</w:t>
            </w:r>
            <w:r>
              <w:rPr>
                <w:rFonts w:hint="eastAsia"/>
                <w:szCs w:val="21"/>
              </w:rPr>
              <w:t>不强</w:t>
            </w:r>
            <w:r>
              <w:rPr>
                <w:szCs w:val="21"/>
              </w:rPr>
              <w:t>的，得1</w:t>
            </w:r>
            <w:r>
              <w:rPr>
                <w:rFonts w:hint="eastAsia"/>
                <w:szCs w:val="21"/>
              </w:rPr>
              <w:t>.5-0</w:t>
            </w:r>
            <w:r>
              <w:rPr>
                <w:szCs w:val="21"/>
              </w:rPr>
              <w:t>分。（0-</w:t>
            </w:r>
            <w:r>
              <w:rPr>
                <w:rFonts w:hint="eastAsia"/>
                <w:szCs w:val="21"/>
              </w:rPr>
              <w:t>5</w:t>
            </w:r>
            <w:r>
              <w:rPr>
                <w:szCs w:val="21"/>
              </w:rPr>
              <w:t>分）</w:t>
            </w:r>
          </w:p>
        </w:tc>
        <w:tc>
          <w:tcPr>
            <w:tcW w:w="656" w:type="dxa"/>
            <w:noWrap/>
            <w:vAlign w:val="center"/>
          </w:tcPr>
          <w:p>
            <w:pPr>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31" w:type="dxa"/>
            <w:noWrap/>
            <w:vAlign w:val="center"/>
          </w:tcPr>
          <w:p>
            <w:pPr>
              <w:jc w:val="center"/>
              <w:rPr>
                <w:szCs w:val="21"/>
              </w:rPr>
            </w:pPr>
            <w:r>
              <w:rPr>
                <w:rFonts w:hint="eastAsia"/>
                <w:szCs w:val="21"/>
              </w:rPr>
              <w:t>12</w:t>
            </w:r>
          </w:p>
        </w:tc>
        <w:tc>
          <w:tcPr>
            <w:tcW w:w="1281" w:type="dxa"/>
            <w:noWrap/>
            <w:vAlign w:val="center"/>
          </w:tcPr>
          <w:p>
            <w:pPr>
              <w:jc w:val="center"/>
              <w:rPr>
                <w:szCs w:val="21"/>
              </w:rPr>
            </w:pPr>
            <w:r>
              <w:rPr>
                <w:rFonts w:hint="eastAsia"/>
                <w:szCs w:val="21"/>
              </w:rPr>
              <w:t>系统平台研发能力</w:t>
            </w:r>
          </w:p>
        </w:tc>
        <w:tc>
          <w:tcPr>
            <w:tcW w:w="6095" w:type="dxa"/>
            <w:noWrap/>
            <w:vAlign w:val="center"/>
          </w:tcPr>
          <w:p>
            <w:pPr>
              <w:adjustRightInd w:val="0"/>
              <w:snapToGrid w:val="0"/>
              <w:spacing w:line="288" w:lineRule="auto"/>
              <w:rPr>
                <w:szCs w:val="21"/>
              </w:rPr>
            </w:pPr>
            <w:r>
              <w:rPr>
                <w:rFonts w:hint="eastAsia"/>
                <w:szCs w:val="21"/>
              </w:rPr>
              <w:t>根据投标人对本项目中水库安全监测系统平台的研发能力，通过投标人阐述的拟研发的系统平台具体内容的实用性、便捷性、功能完整性进行打分。本项最高得3分。</w:t>
            </w:r>
            <w:r>
              <w:rPr>
                <w:szCs w:val="21"/>
              </w:rPr>
              <w:t>（0-</w:t>
            </w:r>
            <w:r>
              <w:rPr>
                <w:rFonts w:hint="eastAsia"/>
                <w:szCs w:val="21"/>
              </w:rPr>
              <w:t>3</w:t>
            </w:r>
            <w:r>
              <w:rPr>
                <w:szCs w:val="21"/>
              </w:rPr>
              <w:t>分）</w:t>
            </w:r>
          </w:p>
        </w:tc>
        <w:tc>
          <w:tcPr>
            <w:tcW w:w="656" w:type="dxa"/>
            <w:noWrap/>
            <w:vAlign w:val="center"/>
          </w:tcPr>
          <w:p>
            <w:pPr>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31" w:type="dxa"/>
            <w:noWrap/>
            <w:vAlign w:val="center"/>
          </w:tcPr>
          <w:p>
            <w:pPr>
              <w:jc w:val="center"/>
              <w:rPr>
                <w:szCs w:val="21"/>
              </w:rPr>
            </w:pPr>
            <w:r>
              <w:rPr>
                <w:rFonts w:hint="eastAsia"/>
                <w:szCs w:val="21"/>
              </w:rPr>
              <w:t>13</w:t>
            </w:r>
          </w:p>
        </w:tc>
        <w:tc>
          <w:tcPr>
            <w:tcW w:w="1281" w:type="dxa"/>
            <w:vMerge w:val="restart"/>
            <w:noWrap/>
            <w:vAlign w:val="center"/>
          </w:tcPr>
          <w:p>
            <w:pPr>
              <w:jc w:val="center"/>
              <w:rPr>
                <w:szCs w:val="21"/>
              </w:rPr>
            </w:pPr>
            <w:r>
              <w:rPr>
                <w:rFonts w:hint="eastAsia"/>
                <w:szCs w:val="21"/>
              </w:rPr>
              <w:t>设备选型情况</w:t>
            </w:r>
          </w:p>
        </w:tc>
        <w:tc>
          <w:tcPr>
            <w:tcW w:w="6095" w:type="dxa"/>
            <w:noWrap/>
            <w:vAlign w:val="center"/>
          </w:tcPr>
          <w:p>
            <w:pPr>
              <w:adjustRightInd w:val="0"/>
              <w:snapToGrid w:val="0"/>
              <w:spacing w:line="288" w:lineRule="auto"/>
              <w:rPr>
                <w:szCs w:val="21"/>
              </w:rPr>
            </w:pPr>
            <w:r>
              <w:rPr>
                <w:rFonts w:hint="eastAsia" w:ascii="宋体" w:hAnsi="宋体" w:cs="宋体"/>
                <w:szCs w:val="21"/>
                <w:lang w:val="zh-CN"/>
              </w:rPr>
              <w:t>1、带“</w:t>
            </w:r>
            <w:r>
              <w:rPr>
                <w:rFonts w:hint="eastAsia" w:ascii="宋体" w:hAnsi="宋体" w:cs="宋体"/>
                <w:szCs w:val="21"/>
              </w:rPr>
              <w:t>▲”的条款是实质性条款，投标文件须作出实质性响应，否则作无效投标处理。</w:t>
            </w:r>
          </w:p>
          <w:p>
            <w:pPr>
              <w:adjustRightInd w:val="0"/>
              <w:snapToGrid w:val="0"/>
              <w:spacing w:line="288" w:lineRule="auto"/>
            </w:pPr>
            <w:r>
              <w:rPr>
                <w:rFonts w:hint="eastAsia"/>
                <w:szCs w:val="21"/>
              </w:rPr>
              <w:t>2、</w:t>
            </w:r>
            <w:r>
              <w:rPr>
                <w:szCs w:val="21"/>
              </w:rPr>
              <w:t>投标人所投主要设备产品（详见主要设备清单及技术参数要求）带“</w:t>
            </w:r>
            <w:r>
              <w:rPr>
                <w:rFonts w:hint="eastAsia" w:ascii="宋体" w:hAnsi="宋体" w:cs="宋体"/>
                <w:szCs w:val="21"/>
              </w:rPr>
              <w:t>★</w:t>
            </w:r>
            <w:r>
              <w:rPr>
                <w:szCs w:val="21"/>
              </w:rPr>
              <w:t>”号关键指标负偏离或未响应的，每项扣</w:t>
            </w:r>
            <w:r>
              <w:rPr>
                <w:rFonts w:hint="eastAsia"/>
                <w:szCs w:val="21"/>
              </w:rPr>
              <w:t>1</w:t>
            </w:r>
            <w:r>
              <w:rPr>
                <w:szCs w:val="21"/>
              </w:rPr>
              <w:t>分；其它一般指标负偏离或未响应的，每项扣</w:t>
            </w:r>
            <w:r>
              <w:rPr>
                <w:rFonts w:hint="eastAsia"/>
                <w:szCs w:val="21"/>
              </w:rPr>
              <w:t>0.5</w:t>
            </w:r>
            <w:r>
              <w:rPr>
                <w:szCs w:val="21"/>
              </w:rPr>
              <w:t>分，总计</w:t>
            </w:r>
            <w:r>
              <w:rPr>
                <w:rFonts w:hint="eastAsia"/>
                <w:szCs w:val="21"/>
              </w:rPr>
              <w:t>10</w:t>
            </w:r>
            <w:r>
              <w:rPr>
                <w:szCs w:val="21"/>
              </w:rPr>
              <w:t>分，扣完本项得0分。</w:t>
            </w:r>
            <w:r>
              <w:rPr>
                <w:rFonts w:hint="eastAsia"/>
                <w:szCs w:val="21"/>
              </w:rPr>
              <w:t>本项最高得10分。</w:t>
            </w:r>
            <w:r>
              <w:rPr>
                <w:szCs w:val="21"/>
              </w:rPr>
              <w:t>（0-</w:t>
            </w:r>
            <w:r>
              <w:rPr>
                <w:rFonts w:hint="eastAsia"/>
                <w:szCs w:val="21"/>
              </w:rPr>
              <w:t>10</w:t>
            </w:r>
            <w:r>
              <w:rPr>
                <w:szCs w:val="21"/>
              </w:rPr>
              <w:t>分）</w:t>
            </w:r>
          </w:p>
        </w:tc>
        <w:tc>
          <w:tcPr>
            <w:tcW w:w="656" w:type="dxa"/>
            <w:noWrap/>
            <w:vAlign w:val="center"/>
          </w:tcPr>
          <w:p>
            <w:pPr>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31" w:type="dxa"/>
            <w:noWrap/>
            <w:vAlign w:val="center"/>
          </w:tcPr>
          <w:p>
            <w:pPr>
              <w:jc w:val="center"/>
              <w:rPr>
                <w:szCs w:val="21"/>
              </w:rPr>
            </w:pPr>
            <w:r>
              <w:rPr>
                <w:rFonts w:hint="eastAsia"/>
                <w:szCs w:val="21"/>
              </w:rPr>
              <w:t>14</w:t>
            </w:r>
          </w:p>
        </w:tc>
        <w:tc>
          <w:tcPr>
            <w:tcW w:w="1281" w:type="dxa"/>
            <w:vMerge w:val="continue"/>
            <w:noWrap/>
            <w:vAlign w:val="center"/>
          </w:tcPr>
          <w:p>
            <w:pPr>
              <w:jc w:val="center"/>
              <w:rPr>
                <w:szCs w:val="21"/>
              </w:rPr>
            </w:pPr>
          </w:p>
        </w:tc>
        <w:tc>
          <w:tcPr>
            <w:tcW w:w="6095" w:type="dxa"/>
            <w:noWrap/>
            <w:vAlign w:val="center"/>
          </w:tcPr>
          <w:p>
            <w:pPr>
              <w:pStyle w:val="2"/>
              <w:adjustRightInd w:val="0"/>
              <w:snapToGrid w:val="0"/>
              <w:spacing w:after="0"/>
              <w:ind w:left="0" w:leftChars="0"/>
            </w:pPr>
            <w:r>
              <w:rPr>
                <w:rFonts w:hint="eastAsia"/>
                <w:kern w:val="2"/>
              </w:rPr>
              <w:t>根据投标产品性能的先进性、稳定性、综合性能、用户使用评价和用户使用满意度等进行综合评分。最高得4分。</w:t>
            </w:r>
            <w:r>
              <w:rPr>
                <w:kern w:val="2"/>
              </w:rPr>
              <w:t>（0-</w:t>
            </w:r>
            <w:r>
              <w:rPr>
                <w:rFonts w:hint="eastAsia"/>
                <w:kern w:val="2"/>
              </w:rPr>
              <w:t>4</w:t>
            </w:r>
            <w:r>
              <w:rPr>
                <w:kern w:val="2"/>
              </w:rPr>
              <w:t>分）</w:t>
            </w:r>
          </w:p>
        </w:tc>
        <w:tc>
          <w:tcPr>
            <w:tcW w:w="656" w:type="dxa"/>
            <w:noWrap/>
            <w:vAlign w:val="center"/>
          </w:tcPr>
          <w:p>
            <w:pPr>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431" w:type="dxa"/>
            <w:noWrap/>
            <w:vAlign w:val="center"/>
          </w:tcPr>
          <w:p>
            <w:pPr>
              <w:jc w:val="center"/>
              <w:rPr>
                <w:szCs w:val="21"/>
              </w:rPr>
            </w:pPr>
            <w:r>
              <w:rPr>
                <w:rFonts w:hint="eastAsia"/>
                <w:szCs w:val="21"/>
              </w:rPr>
              <w:t>15</w:t>
            </w:r>
          </w:p>
        </w:tc>
        <w:tc>
          <w:tcPr>
            <w:tcW w:w="1281" w:type="dxa"/>
            <w:noWrap/>
            <w:vAlign w:val="center"/>
          </w:tcPr>
          <w:p>
            <w:pPr>
              <w:jc w:val="center"/>
              <w:rPr>
                <w:szCs w:val="21"/>
              </w:rPr>
            </w:pPr>
            <w:r>
              <w:rPr>
                <w:szCs w:val="21"/>
              </w:rPr>
              <w:t>售后服务</w:t>
            </w:r>
            <w:r>
              <w:rPr>
                <w:rFonts w:hint="eastAsia"/>
                <w:szCs w:val="21"/>
              </w:rPr>
              <w:t>方案</w:t>
            </w:r>
          </w:p>
        </w:tc>
        <w:tc>
          <w:tcPr>
            <w:tcW w:w="6095" w:type="dxa"/>
            <w:noWrap/>
            <w:vAlign w:val="center"/>
          </w:tcPr>
          <w:p>
            <w:pPr>
              <w:adjustRightInd w:val="0"/>
              <w:snapToGrid w:val="0"/>
              <w:spacing w:line="288" w:lineRule="auto"/>
              <w:rPr>
                <w:szCs w:val="21"/>
              </w:rPr>
            </w:pPr>
            <w:r>
              <w:rPr>
                <w:szCs w:val="21"/>
              </w:rPr>
              <w:t>投标人为本项目提供完善的售后服务方案，包含但不限于售后服务承诺、售后服务响应、售后服务体系、售后服务组织架构、人员及车辆配备、售后服务内容与标准、售后保障措施及售后应急预案等内容。投标人提供的售后服务方案完整、售后服务承诺可行，</w:t>
            </w:r>
            <w:r>
              <w:rPr>
                <w:rFonts w:hint="eastAsia"/>
                <w:szCs w:val="21"/>
              </w:rPr>
              <w:t>售后技术支持强的得3-2.1分，售后服务方案较为可行的，得2-1分，售后服务方案可行性欠缺的，得0.9-0分</w:t>
            </w:r>
            <w:r>
              <w:rPr>
                <w:szCs w:val="21"/>
              </w:rPr>
              <w:t>。（0-</w:t>
            </w:r>
            <w:r>
              <w:rPr>
                <w:rFonts w:hint="eastAsia"/>
                <w:szCs w:val="21"/>
              </w:rPr>
              <w:t>3</w:t>
            </w:r>
            <w:r>
              <w:rPr>
                <w:szCs w:val="21"/>
              </w:rPr>
              <w:t>分）</w:t>
            </w:r>
          </w:p>
          <w:p>
            <w:pPr>
              <w:pStyle w:val="2"/>
              <w:ind w:left="0" w:leftChars="0"/>
            </w:pPr>
            <w:r>
              <w:rPr>
                <w:rFonts w:hint="eastAsia"/>
              </w:rPr>
              <w:t>投标人具有平台运维管理能力，能够对本项目设备进行线上统一运维管理并支持设备并发和上报数据，提供平台及设备连接性能第三方证明材料的，得2分，资料不全或不提供不得分。（0-2分）</w:t>
            </w:r>
          </w:p>
        </w:tc>
        <w:tc>
          <w:tcPr>
            <w:tcW w:w="656" w:type="dxa"/>
            <w:noWrap/>
            <w:vAlign w:val="center"/>
          </w:tcPr>
          <w:p>
            <w:pPr>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31" w:type="dxa"/>
            <w:noWrap/>
            <w:vAlign w:val="center"/>
          </w:tcPr>
          <w:p>
            <w:pPr>
              <w:jc w:val="center"/>
              <w:rPr>
                <w:szCs w:val="21"/>
              </w:rPr>
            </w:pPr>
            <w:r>
              <w:rPr>
                <w:rFonts w:hint="eastAsia"/>
                <w:szCs w:val="21"/>
              </w:rPr>
              <w:t>16</w:t>
            </w:r>
          </w:p>
        </w:tc>
        <w:tc>
          <w:tcPr>
            <w:tcW w:w="1281" w:type="dxa"/>
            <w:noWrap/>
            <w:vAlign w:val="center"/>
          </w:tcPr>
          <w:p>
            <w:pPr>
              <w:jc w:val="center"/>
              <w:rPr>
                <w:szCs w:val="21"/>
              </w:rPr>
            </w:pPr>
            <w:r>
              <w:rPr>
                <w:rFonts w:hint="eastAsia"/>
                <w:szCs w:val="21"/>
              </w:rPr>
              <w:t>培训方案</w:t>
            </w:r>
          </w:p>
        </w:tc>
        <w:tc>
          <w:tcPr>
            <w:tcW w:w="6095" w:type="dxa"/>
            <w:noWrap/>
            <w:vAlign w:val="center"/>
          </w:tcPr>
          <w:p>
            <w:pPr>
              <w:adjustRightInd w:val="0"/>
              <w:snapToGrid w:val="0"/>
              <w:spacing w:line="288" w:lineRule="auto"/>
              <w:rPr>
                <w:szCs w:val="21"/>
              </w:rPr>
            </w:pPr>
            <w:r>
              <w:rPr>
                <w:rFonts w:hint="eastAsia"/>
                <w:szCs w:val="21"/>
              </w:rPr>
              <w:t>投标人提供详细的培训方案，培训方案详细、完整，针对性强，能较好地满足采购人需求的，得4-2.8分；培训方案基本完整，有一定的针对性，基本能满足采购人需求的，得2.7-1.4分；培训方案等完整性较差或未描述完整的，得1.3-0分。</w:t>
            </w:r>
            <w:r>
              <w:rPr>
                <w:szCs w:val="21"/>
              </w:rPr>
              <w:t>（0-</w:t>
            </w:r>
            <w:r>
              <w:rPr>
                <w:rFonts w:hint="eastAsia"/>
                <w:szCs w:val="21"/>
              </w:rPr>
              <w:t>4</w:t>
            </w:r>
            <w:r>
              <w:rPr>
                <w:szCs w:val="21"/>
              </w:rPr>
              <w:t>分）</w:t>
            </w:r>
          </w:p>
        </w:tc>
        <w:tc>
          <w:tcPr>
            <w:tcW w:w="656" w:type="dxa"/>
            <w:noWrap/>
            <w:vAlign w:val="center"/>
          </w:tcPr>
          <w:p>
            <w:pPr>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31" w:type="dxa"/>
            <w:noWrap/>
            <w:vAlign w:val="center"/>
          </w:tcPr>
          <w:p>
            <w:pPr>
              <w:jc w:val="center"/>
              <w:rPr>
                <w:szCs w:val="21"/>
              </w:rPr>
            </w:pPr>
            <w:r>
              <w:rPr>
                <w:rFonts w:hint="eastAsia"/>
                <w:szCs w:val="21"/>
              </w:rPr>
              <w:t>17</w:t>
            </w:r>
          </w:p>
        </w:tc>
        <w:tc>
          <w:tcPr>
            <w:tcW w:w="1281" w:type="dxa"/>
            <w:noWrap/>
            <w:vAlign w:val="center"/>
          </w:tcPr>
          <w:p>
            <w:pPr>
              <w:jc w:val="center"/>
              <w:rPr>
                <w:szCs w:val="21"/>
              </w:rPr>
            </w:pPr>
            <w:r>
              <w:rPr>
                <w:rFonts w:hint="eastAsia"/>
                <w:szCs w:val="21"/>
              </w:rPr>
              <w:t>应急响应</w:t>
            </w:r>
          </w:p>
        </w:tc>
        <w:tc>
          <w:tcPr>
            <w:tcW w:w="6095" w:type="dxa"/>
            <w:noWrap/>
            <w:vAlign w:val="center"/>
          </w:tcPr>
          <w:p>
            <w:pPr>
              <w:adjustRightInd w:val="0"/>
              <w:snapToGrid w:val="0"/>
              <w:spacing w:line="288" w:lineRule="auto"/>
              <w:rPr>
                <w:szCs w:val="21"/>
              </w:rPr>
            </w:pPr>
            <w:r>
              <w:rPr>
                <w:rFonts w:hint="eastAsia"/>
                <w:szCs w:val="21"/>
              </w:rPr>
              <w:t>根据针对突发事件的应急预案及相应措施进行打分。应急预案及措施内容详实、合理、完整、切实可行，能完全满足招标需求的得4-2.8分；内容较简单基本满足招标需求的得2.7-1.4分；内容简略的得1.3-0分。</w:t>
            </w:r>
            <w:r>
              <w:rPr>
                <w:szCs w:val="21"/>
              </w:rPr>
              <w:t>（0-</w:t>
            </w:r>
            <w:r>
              <w:rPr>
                <w:rFonts w:hint="eastAsia"/>
                <w:szCs w:val="21"/>
              </w:rPr>
              <w:t>4</w:t>
            </w:r>
            <w:r>
              <w:rPr>
                <w:szCs w:val="21"/>
              </w:rPr>
              <w:t>分）</w:t>
            </w:r>
          </w:p>
          <w:p>
            <w:pPr>
              <w:pStyle w:val="2"/>
              <w:ind w:left="0" w:leftChars="0"/>
              <w:rPr>
                <w:kern w:val="2"/>
              </w:rPr>
            </w:pPr>
            <w:r>
              <w:rPr>
                <w:kern w:val="2"/>
              </w:rPr>
              <w:t>投标人承诺提供快速现场售后服务，及时排除故障，确保设施正常运行。能满足4小时内上门服务得</w:t>
            </w:r>
            <w:r>
              <w:rPr>
                <w:rFonts w:hint="eastAsia"/>
                <w:kern w:val="2"/>
              </w:rPr>
              <w:t>1</w:t>
            </w:r>
            <w:r>
              <w:rPr>
                <w:kern w:val="2"/>
              </w:rPr>
              <w:t>分</w:t>
            </w:r>
            <w:r>
              <w:rPr>
                <w:rFonts w:hint="eastAsia"/>
                <w:kern w:val="2"/>
              </w:rPr>
              <w:t>，不满足不得分</w:t>
            </w:r>
            <w:r>
              <w:rPr>
                <w:kern w:val="2"/>
              </w:rPr>
              <w:t>。（0-</w:t>
            </w:r>
            <w:r>
              <w:rPr>
                <w:rFonts w:hint="eastAsia"/>
                <w:kern w:val="2"/>
              </w:rPr>
              <w:t>1</w:t>
            </w:r>
            <w:r>
              <w:rPr>
                <w:kern w:val="2"/>
              </w:rPr>
              <w:t>分）</w:t>
            </w:r>
          </w:p>
        </w:tc>
        <w:tc>
          <w:tcPr>
            <w:tcW w:w="656" w:type="dxa"/>
            <w:noWrap/>
            <w:vAlign w:val="center"/>
          </w:tcPr>
          <w:p>
            <w:pPr>
              <w:jc w:val="center"/>
              <w:rPr>
                <w:szCs w:val="21"/>
              </w:rPr>
            </w:pPr>
            <w:r>
              <w:rPr>
                <w:rFonts w:hint="eastAsia"/>
                <w:szCs w:val="21"/>
              </w:rPr>
              <w:t>5</w:t>
            </w:r>
          </w:p>
        </w:tc>
      </w:tr>
    </w:tbl>
    <w:p>
      <w:pPr>
        <w:pStyle w:val="2"/>
        <w:rPr>
          <w:kern w:val="2"/>
        </w:rPr>
      </w:pPr>
    </w:p>
    <w:p>
      <w:pPr>
        <w:pStyle w:val="2"/>
        <w:rPr>
          <w:rFonts w:ascii="宋体" w:hAnsi="宋体" w:cs="宋体"/>
          <w:lang w:val="zh-CN"/>
        </w:rPr>
      </w:pPr>
    </w:p>
    <w:p>
      <w:pPr>
        <w:widowControl/>
        <w:jc w:val="left"/>
        <w:rPr>
          <w:rFonts w:ascii="宋体" w:hAnsi="宋体" w:cs="宋体"/>
          <w:b/>
          <w:bCs/>
          <w:szCs w:val="21"/>
        </w:rPr>
      </w:pPr>
      <w:r>
        <w:rPr>
          <w:rFonts w:ascii="宋体" w:hAnsi="宋体" w:cs="宋体"/>
          <w:b/>
          <w:bCs/>
          <w:szCs w:val="21"/>
        </w:rPr>
        <w:br w:type="page"/>
      </w:r>
    </w:p>
    <w:p>
      <w:pPr>
        <w:spacing w:line="360" w:lineRule="auto"/>
        <w:jc w:val="center"/>
        <w:rPr>
          <w:rFonts w:ascii="宋体" w:hAnsi="宋体" w:cs="宋体"/>
          <w:b/>
          <w:bCs/>
          <w:sz w:val="36"/>
          <w:szCs w:val="44"/>
        </w:rPr>
      </w:pPr>
      <w:r>
        <w:rPr>
          <w:rFonts w:hint="eastAsia" w:ascii="宋体" w:hAnsi="宋体" w:cs="宋体"/>
          <w:b/>
          <w:bCs/>
          <w:sz w:val="36"/>
          <w:szCs w:val="44"/>
        </w:rPr>
        <w:t>第四章公开招标需求</w:t>
      </w:r>
    </w:p>
    <w:p>
      <w:pPr>
        <w:tabs>
          <w:tab w:val="left" w:pos="8280"/>
        </w:tabs>
        <w:autoSpaceDE w:val="0"/>
        <w:autoSpaceDN w:val="0"/>
        <w:adjustRightInd w:val="0"/>
        <w:spacing w:line="360" w:lineRule="auto"/>
        <w:ind w:right="25"/>
        <w:rPr>
          <w:rFonts w:ascii="宋体" w:hAnsi="宋体" w:cs="宋体"/>
          <w:szCs w:val="21"/>
        </w:rPr>
      </w:pPr>
      <w:bookmarkStart w:id="1" w:name="_Toc202235414"/>
      <w:r>
        <w:rPr>
          <w:rFonts w:hint="eastAsia" w:ascii="宋体" w:hAnsi="宋体" w:cs="宋体"/>
          <w:b/>
          <w:szCs w:val="21"/>
        </w:rPr>
        <w:t>一、招标内容</w:t>
      </w:r>
    </w:p>
    <w:p>
      <w:pPr>
        <w:tabs>
          <w:tab w:val="left" w:pos="8280"/>
        </w:tabs>
        <w:autoSpaceDE w:val="0"/>
        <w:autoSpaceDN w:val="0"/>
        <w:adjustRightInd w:val="0"/>
        <w:spacing w:line="360" w:lineRule="auto"/>
        <w:ind w:right="25" w:firstLine="280"/>
        <w:rPr>
          <w:rFonts w:ascii="宋体" w:hAnsi="宋体" w:cs="宋体"/>
          <w:szCs w:val="21"/>
        </w:rPr>
      </w:pPr>
      <w:r>
        <w:rPr>
          <w:rFonts w:hint="eastAsia" w:ascii="宋体" w:hAnsi="宋体" w:cs="宋体"/>
          <w:szCs w:val="21"/>
        </w:rPr>
        <w:t>1、本次招标共</w:t>
      </w:r>
      <w:r>
        <w:rPr>
          <w:rFonts w:hint="eastAsia" w:ascii="宋体" w:hAnsi="宋体" w:cs="宋体"/>
          <w:szCs w:val="21"/>
          <w:u w:val="single"/>
        </w:rPr>
        <w:t xml:space="preserve"> 1  </w:t>
      </w:r>
      <w:r>
        <w:rPr>
          <w:rFonts w:hint="eastAsia" w:ascii="宋体" w:hAnsi="宋体" w:cs="宋体"/>
          <w:szCs w:val="21"/>
        </w:rPr>
        <w:t>个标项，主要内容如下表：</w:t>
      </w:r>
    </w:p>
    <w:bookmarkEnd w:id="1"/>
    <w:tbl>
      <w:tblPr>
        <w:tblStyle w:val="40"/>
        <w:tblW w:w="8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398"/>
        <w:gridCol w:w="1200"/>
        <w:gridCol w:w="1500"/>
        <w:gridCol w:w="1823"/>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39" w:type="dxa"/>
            <w:vAlign w:val="center"/>
          </w:tcPr>
          <w:p>
            <w:pPr>
              <w:jc w:val="center"/>
              <w:rPr>
                <w:rFonts w:ascii="宋体" w:hAnsi="宋体"/>
                <w:b/>
                <w:szCs w:val="21"/>
              </w:rPr>
            </w:pPr>
            <w:r>
              <w:rPr>
                <w:rFonts w:hint="eastAsia" w:ascii="宋体" w:hAnsi="宋体"/>
                <w:b/>
                <w:szCs w:val="21"/>
              </w:rPr>
              <w:t>标段</w:t>
            </w:r>
          </w:p>
        </w:tc>
        <w:tc>
          <w:tcPr>
            <w:tcW w:w="2398" w:type="dxa"/>
            <w:vAlign w:val="center"/>
          </w:tcPr>
          <w:p>
            <w:pPr>
              <w:jc w:val="center"/>
              <w:rPr>
                <w:rFonts w:ascii="宋体" w:hAnsi="宋体"/>
                <w:b/>
                <w:szCs w:val="21"/>
              </w:rPr>
            </w:pPr>
            <w:r>
              <w:rPr>
                <w:rFonts w:hint="eastAsia" w:ascii="宋体" w:hAnsi="宋体"/>
                <w:b/>
                <w:szCs w:val="21"/>
              </w:rPr>
              <w:t>项目名称</w:t>
            </w:r>
          </w:p>
        </w:tc>
        <w:tc>
          <w:tcPr>
            <w:tcW w:w="1200" w:type="dxa"/>
            <w:vAlign w:val="center"/>
          </w:tcPr>
          <w:p>
            <w:pPr>
              <w:jc w:val="center"/>
              <w:rPr>
                <w:rFonts w:ascii="宋体" w:hAnsi="宋体"/>
                <w:b/>
                <w:szCs w:val="21"/>
              </w:rPr>
            </w:pPr>
            <w:r>
              <w:rPr>
                <w:rFonts w:hint="eastAsia" w:ascii="宋体" w:hAnsi="宋体"/>
                <w:b/>
                <w:szCs w:val="21"/>
              </w:rPr>
              <w:t>数量</w:t>
            </w:r>
          </w:p>
        </w:tc>
        <w:tc>
          <w:tcPr>
            <w:tcW w:w="1500" w:type="dxa"/>
            <w:vAlign w:val="center"/>
          </w:tcPr>
          <w:p>
            <w:pPr>
              <w:jc w:val="center"/>
              <w:rPr>
                <w:rFonts w:ascii="宋体" w:hAnsi="宋体"/>
                <w:b/>
                <w:szCs w:val="21"/>
              </w:rPr>
            </w:pPr>
            <w:r>
              <w:rPr>
                <w:rFonts w:hint="eastAsia" w:ascii="宋体" w:hAnsi="宋体"/>
                <w:b/>
                <w:szCs w:val="21"/>
              </w:rPr>
              <w:t>预算价/最高限价</w:t>
            </w:r>
          </w:p>
        </w:tc>
        <w:tc>
          <w:tcPr>
            <w:tcW w:w="1823" w:type="dxa"/>
            <w:vAlign w:val="center"/>
          </w:tcPr>
          <w:p>
            <w:pPr>
              <w:jc w:val="center"/>
              <w:rPr>
                <w:rFonts w:ascii="宋体" w:hAnsi="宋体"/>
                <w:b/>
                <w:szCs w:val="21"/>
              </w:rPr>
            </w:pPr>
            <w:r>
              <w:rPr>
                <w:rFonts w:hint="eastAsia" w:ascii="宋体" w:hAnsi="宋体"/>
                <w:b/>
                <w:szCs w:val="21"/>
              </w:rPr>
              <w:t>简要技术要求</w:t>
            </w:r>
          </w:p>
        </w:tc>
        <w:tc>
          <w:tcPr>
            <w:tcW w:w="927" w:type="dxa"/>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639" w:type="dxa"/>
            <w:vAlign w:val="center"/>
          </w:tcPr>
          <w:p>
            <w:pPr>
              <w:jc w:val="center"/>
              <w:rPr>
                <w:rFonts w:ascii="宋体"/>
                <w:szCs w:val="21"/>
              </w:rPr>
            </w:pPr>
            <w:r>
              <w:rPr>
                <w:rFonts w:ascii="宋体" w:hAnsi="宋体"/>
                <w:szCs w:val="21"/>
              </w:rPr>
              <w:t>1</w:t>
            </w:r>
          </w:p>
        </w:tc>
        <w:tc>
          <w:tcPr>
            <w:tcW w:w="2398" w:type="dxa"/>
            <w:vAlign w:val="center"/>
          </w:tcPr>
          <w:p>
            <w:pPr>
              <w:jc w:val="center"/>
              <w:rPr>
                <w:rFonts w:ascii="宋体"/>
                <w:szCs w:val="21"/>
              </w:rPr>
            </w:pPr>
            <w:r>
              <w:rPr>
                <w:rFonts w:hint="eastAsia" w:ascii="宋体" w:hAnsi="宋体"/>
                <w:kern w:val="0"/>
                <w:szCs w:val="21"/>
              </w:rPr>
              <w:t>黄岩区小型水库大坝安全监测实施及服务项目</w:t>
            </w:r>
          </w:p>
        </w:tc>
        <w:tc>
          <w:tcPr>
            <w:tcW w:w="1200" w:type="dxa"/>
            <w:vAlign w:val="center"/>
          </w:tcPr>
          <w:p>
            <w:pPr>
              <w:jc w:val="center"/>
              <w:rPr>
                <w:rFonts w:ascii="宋体"/>
                <w:szCs w:val="21"/>
              </w:rPr>
            </w:pPr>
            <w:r>
              <w:rPr>
                <w:rFonts w:hint="eastAsia" w:ascii="宋体"/>
                <w:szCs w:val="21"/>
              </w:rPr>
              <w:t>1项</w:t>
            </w:r>
          </w:p>
        </w:tc>
        <w:tc>
          <w:tcPr>
            <w:tcW w:w="1500" w:type="dxa"/>
            <w:vAlign w:val="center"/>
          </w:tcPr>
          <w:p>
            <w:pPr>
              <w:jc w:val="center"/>
              <w:rPr>
                <w:rFonts w:ascii="宋体"/>
                <w:szCs w:val="21"/>
              </w:rPr>
            </w:pPr>
            <w:r>
              <w:rPr>
                <w:rFonts w:hint="eastAsia" w:ascii="宋体"/>
                <w:szCs w:val="21"/>
              </w:rPr>
              <w:t xml:space="preserve">  624.4689万元</w:t>
            </w:r>
          </w:p>
        </w:tc>
        <w:tc>
          <w:tcPr>
            <w:tcW w:w="1823" w:type="dxa"/>
            <w:vAlign w:val="center"/>
          </w:tcPr>
          <w:p>
            <w:pPr>
              <w:jc w:val="center"/>
              <w:rPr>
                <w:rFonts w:ascii="宋体"/>
                <w:szCs w:val="21"/>
              </w:rPr>
            </w:pPr>
            <w:r>
              <w:rPr>
                <w:rFonts w:hint="eastAsia" w:ascii="宋体" w:hAnsi="宋体"/>
                <w:szCs w:val="21"/>
              </w:rPr>
              <w:t>详见招标需求</w:t>
            </w:r>
          </w:p>
        </w:tc>
        <w:tc>
          <w:tcPr>
            <w:tcW w:w="927" w:type="dxa"/>
          </w:tcPr>
          <w:p>
            <w:pPr>
              <w:jc w:val="center"/>
              <w:rPr>
                <w:rFonts w:ascii="宋体" w:hAnsi="宋体"/>
                <w:szCs w:val="21"/>
              </w:rPr>
            </w:pPr>
          </w:p>
        </w:tc>
      </w:tr>
    </w:tbl>
    <w:p>
      <w:pPr>
        <w:adjustRightInd w:val="0"/>
        <w:snapToGrid w:val="0"/>
        <w:spacing w:line="360" w:lineRule="auto"/>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二、招标需求</w:t>
      </w:r>
    </w:p>
    <w:p>
      <w:pPr>
        <w:keepNext/>
        <w:keepLines/>
        <w:tabs>
          <w:tab w:val="left" w:pos="432"/>
        </w:tabs>
        <w:spacing w:line="360" w:lineRule="auto"/>
        <w:outlineLvl w:val="0"/>
        <w:rPr>
          <w:rFonts w:cs="仿宋" w:asciiTheme="minorEastAsia" w:hAnsiTheme="minorEastAsia" w:eastAsiaTheme="minorEastAsia"/>
          <w:b/>
          <w:snapToGrid w:val="0"/>
          <w:szCs w:val="21"/>
        </w:rPr>
      </w:pPr>
      <w:bookmarkStart w:id="2" w:name="_Toc293822169"/>
      <w:bookmarkStart w:id="3" w:name="_Toc395718501"/>
      <w:r>
        <w:rPr>
          <w:rFonts w:hint="eastAsia" w:cs="仿宋" w:asciiTheme="minorEastAsia" w:hAnsiTheme="minorEastAsia" w:eastAsiaTheme="minorEastAsia"/>
          <w:b/>
          <w:snapToGrid w:val="0"/>
          <w:szCs w:val="21"/>
        </w:rPr>
        <w:t>（一）概述</w:t>
      </w:r>
      <w:bookmarkEnd w:id="2"/>
      <w:bookmarkEnd w:id="3"/>
    </w:p>
    <w:p>
      <w:pPr>
        <w:autoSpaceDE w:val="0"/>
        <w:autoSpaceDN w:val="0"/>
        <w:adjustRightInd w:val="0"/>
        <w:spacing w:line="360" w:lineRule="auto"/>
        <w:ind w:firstLine="420" w:firstLineChars="200"/>
        <w:textAlignment w:val="baseline"/>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黄岩区共有小型水库25座，其中小（1）型水库9座、小（2）型水库16座。小型水库名录及安全监测设施现状统计如下表所示。</w:t>
      </w:r>
    </w:p>
    <w:p>
      <w:pPr>
        <w:pStyle w:val="18"/>
        <w:ind w:firstLine="0"/>
        <w:jc w:val="center"/>
        <w:rPr>
          <w:rFonts w:cs="仿宋" w:asciiTheme="minorEastAsia" w:hAnsiTheme="minorEastAsia" w:eastAsiaTheme="minorEastAsia"/>
          <w:kern w:val="0"/>
        </w:rPr>
      </w:pPr>
      <w:r>
        <w:rPr>
          <w:rFonts w:hint="eastAsia" w:cs="仿宋" w:asciiTheme="minorEastAsia" w:hAnsiTheme="minorEastAsia" w:eastAsiaTheme="minorEastAsia"/>
          <w:kern w:val="0"/>
        </w:rPr>
        <w:t>表</w:t>
      </w:r>
      <w:r>
        <w:rPr>
          <w:rFonts w:cs="仿宋" w:asciiTheme="minorEastAsia" w:hAnsiTheme="minorEastAsia" w:eastAsiaTheme="minorEastAsia"/>
          <w:kern w:val="0"/>
        </w:rPr>
        <w:t>1</w:t>
      </w:r>
      <w:r>
        <w:rPr>
          <w:rFonts w:hint="eastAsia" w:cs="仿宋" w:asciiTheme="minorEastAsia" w:hAnsiTheme="minorEastAsia" w:eastAsiaTheme="minorEastAsia"/>
          <w:kern w:val="0"/>
        </w:rPr>
        <w:tab/>
      </w:r>
      <w:r>
        <w:rPr>
          <w:rFonts w:hint="eastAsia" w:cs="仿宋" w:asciiTheme="minorEastAsia" w:hAnsiTheme="minorEastAsia" w:eastAsiaTheme="minorEastAsia"/>
          <w:kern w:val="0"/>
        </w:rPr>
        <w:t>黄岩区小型水库工程名录及监测设施现状</w:t>
      </w:r>
    </w:p>
    <w:tbl>
      <w:tblPr>
        <w:tblStyle w:val="4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40"/>
        <w:gridCol w:w="1032"/>
        <w:gridCol w:w="1197"/>
        <w:gridCol w:w="1197"/>
        <w:gridCol w:w="1027"/>
        <w:gridCol w:w="1189"/>
        <w:gridCol w:w="1120"/>
        <w:gridCol w:w="10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 w:hRule="atLeast"/>
          <w:tblHeader/>
        </w:trPr>
        <w:tc>
          <w:tcPr>
            <w:tcW w:w="325" w:type="pct"/>
            <w:vMerge w:val="restart"/>
            <w:vAlign w:val="center"/>
          </w:tcPr>
          <w:p>
            <w:pPr>
              <w:pStyle w:val="173"/>
              <w:adjustRightInd w:val="0"/>
              <w:snapToGrid w:val="0"/>
              <w:spacing w:line="240"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序号</w:t>
            </w:r>
          </w:p>
        </w:tc>
        <w:tc>
          <w:tcPr>
            <w:tcW w:w="621" w:type="pct"/>
            <w:vMerge w:val="restart"/>
            <w:vAlign w:val="center"/>
          </w:tcPr>
          <w:p>
            <w:pPr>
              <w:pStyle w:val="173"/>
              <w:adjustRightInd w:val="0"/>
              <w:snapToGrid w:val="0"/>
              <w:spacing w:line="240"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水库名称</w:t>
            </w:r>
          </w:p>
        </w:tc>
        <w:tc>
          <w:tcPr>
            <w:tcW w:w="720" w:type="pct"/>
            <w:vMerge w:val="restart"/>
            <w:vAlign w:val="center"/>
          </w:tcPr>
          <w:p>
            <w:pPr>
              <w:pStyle w:val="173"/>
              <w:adjustRightInd w:val="0"/>
              <w:snapToGrid w:val="0"/>
              <w:spacing w:line="240"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所在乡镇</w:t>
            </w:r>
          </w:p>
        </w:tc>
        <w:tc>
          <w:tcPr>
            <w:tcW w:w="720" w:type="pct"/>
            <w:vMerge w:val="restart"/>
            <w:vAlign w:val="center"/>
          </w:tcPr>
          <w:p>
            <w:pPr>
              <w:pStyle w:val="173"/>
              <w:adjustRightInd w:val="0"/>
              <w:snapToGrid w:val="0"/>
              <w:spacing w:line="240"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水库规模</w:t>
            </w:r>
          </w:p>
        </w:tc>
        <w:tc>
          <w:tcPr>
            <w:tcW w:w="618" w:type="pct"/>
            <w:vMerge w:val="restart"/>
            <w:vAlign w:val="center"/>
          </w:tcPr>
          <w:p>
            <w:pPr>
              <w:pStyle w:val="173"/>
              <w:adjustRightInd w:val="0"/>
              <w:snapToGrid w:val="0"/>
              <w:spacing w:line="240"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坝型</w:t>
            </w:r>
          </w:p>
        </w:tc>
        <w:tc>
          <w:tcPr>
            <w:tcW w:w="1995" w:type="pct"/>
            <w:gridSpan w:val="3"/>
          </w:tcPr>
          <w:p>
            <w:pPr>
              <w:pStyle w:val="173"/>
              <w:adjustRightInd w:val="0"/>
              <w:snapToGrid w:val="0"/>
              <w:spacing w:line="240"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监测实施现状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blHeader/>
        </w:trPr>
        <w:tc>
          <w:tcPr>
            <w:tcW w:w="325" w:type="pct"/>
            <w:vMerge w:val="continue"/>
            <w:vAlign w:val="center"/>
          </w:tcPr>
          <w:p>
            <w:pPr>
              <w:pStyle w:val="173"/>
              <w:adjustRightInd w:val="0"/>
              <w:snapToGrid w:val="0"/>
              <w:spacing w:line="240" w:lineRule="auto"/>
              <w:rPr>
                <w:rFonts w:asciiTheme="minorEastAsia" w:hAnsiTheme="minorEastAsia" w:eastAsiaTheme="minorEastAsia"/>
                <w:b/>
                <w:bCs/>
                <w:sz w:val="21"/>
                <w:szCs w:val="21"/>
              </w:rPr>
            </w:pPr>
          </w:p>
        </w:tc>
        <w:tc>
          <w:tcPr>
            <w:tcW w:w="621" w:type="pct"/>
            <w:vMerge w:val="continue"/>
            <w:vAlign w:val="center"/>
          </w:tcPr>
          <w:p>
            <w:pPr>
              <w:pStyle w:val="173"/>
              <w:adjustRightInd w:val="0"/>
              <w:snapToGrid w:val="0"/>
              <w:spacing w:line="240" w:lineRule="auto"/>
              <w:rPr>
                <w:rFonts w:asciiTheme="minorEastAsia" w:hAnsiTheme="minorEastAsia" w:eastAsiaTheme="minorEastAsia"/>
                <w:b/>
                <w:bCs/>
                <w:sz w:val="21"/>
                <w:szCs w:val="21"/>
              </w:rPr>
            </w:pPr>
          </w:p>
        </w:tc>
        <w:tc>
          <w:tcPr>
            <w:tcW w:w="720" w:type="pct"/>
            <w:vMerge w:val="continue"/>
            <w:vAlign w:val="center"/>
          </w:tcPr>
          <w:p>
            <w:pPr>
              <w:pStyle w:val="173"/>
              <w:adjustRightInd w:val="0"/>
              <w:snapToGrid w:val="0"/>
              <w:spacing w:line="240" w:lineRule="auto"/>
              <w:rPr>
                <w:rFonts w:asciiTheme="minorEastAsia" w:hAnsiTheme="minorEastAsia" w:eastAsiaTheme="minorEastAsia"/>
                <w:b/>
                <w:bCs/>
                <w:sz w:val="21"/>
                <w:szCs w:val="21"/>
              </w:rPr>
            </w:pPr>
          </w:p>
        </w:tc>
        <w:tc>
          <w:tcPr>
            <w:tcW w:w="720" w:type="pct"/>
            <w:vMerge w:val="continue"/>
            <w:vAlign w:val="center"/>
          </w:tcPr>
          <w:p>
            <w:pPr>
              <w:pStyle w:val="173"/>
              <w:adjustRightInd w:val="0"/>
              <w:snapToGrid w:val="0"/>
              <w:spacing w:line="240" w:lineRule="auto"/>
              <w:rPr>
                <w:rFonts w:asciiTheme="minorEastAsia" w:hAnsiTheme="minorEastAsia" w:eastAsiaTheme="minorEastAsia"/>
                <w:b/>
                <w:bCs/>
                <w:sz w:val="21"/>
                <w:szCs w:val="21"/>
              </w:rPr>
            </w:pPr>
          </w:p>
        </w:tc>
        <w:tc>
          <w:tcPr>
            <w:tcW w:w="618" w:type="pct"/>
            <w:vMerge w:val="continue"/>
            <w:vAlign w:val="center"/>
          </w:tcPr>
          <w:p>
            <w:pPr>
              <w:pStyle w:val="173"/>
              <w:adjustRightInd w:val="0"/>
              <w:snapToGrid w:val="0"/>
              <w:spacing w:line="240" w:lineRule="auto"/>
              <w:rPr>
                <w:rFonts w:asciiTheme="minorEastAsia" w:hAnsiTheme="minorEastAsia" w:eastAsiaTheme="minorEastAsia"/>
                <w:b/>
                <w:bCs/>
                <w:sz w:val="21"/>
                <w:szCs w:val="21"/>
              </w:rPr>
            </w:pPr>
          </w:p>
        </w:tc>
        <w:tc>
          <w:tcPr>
            <w:tcW w:w="715" w:type="pct"/>
          </w:tcPr>
          <w:p>
            <w:pPr>
              <w:pStyle w:val="173"/>
              <w:adjustRightInd w:val="0"/>
              <w:snapToGrid w:val="0"/>
              <w:spacing w:line="240"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变形监测</w:t>
            </w:r>
          </w:p>
        </w:tc>
        <w:tc>
          <w:tcPr>
            <w:tcW w:w="674" w:type="pct"/>
          </w:tcPr>
          <w:p>
            <w:pPr>
              <w:pStyle w:val="173"/>
              <w:adjustRightInd w:val="0"/>
              <w:snapToGrid w:val="0"/>
              <w:spacing w:line="240"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渗流监测</w:t>
            </w:r>
          </w:p>
        </w:tc>
        <w:tc>
          <w:tcPr>
            <w:tcW w:w="606" w:type="pct"/>
          </w:tcPr>
          <w:p>
            <w:pPr>
              <w:pStyle w:val="173"/>
              <w:adjustRightInd w:val="0"/>
              <w:snapToGrid w:val="0"/>
              <w:spacing w:line="240"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渗流量监测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32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62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外金水库</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富山乡</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小（1）型</w:t>
            </w:r>
          </w:p>
        </w:tc>
        <w:tc>
          <w:tcPr>
            <w:tcW w:w="61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重力坝</w:t>
            </w:r>
          </w:p>
        </w:tc>
        <w:tc>
          <w:tcPr>
            <w:tcW w:w="71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人工观测</w:t>
            </w:r>
          </w:p>
        </w:tc>
        <w:tc>
          <w:tcPr>
            <w:tcW w:w="674"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人工观测</w:t>
            </w:r>
          </w:p>
        </w:tc>
        <w:tc>
          <w:tcPr>
            <w:tcW w:w="606"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32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62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鸟山水库</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茅畲乡</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小（1）型</w:t>
            </w:r>
          </w:p>
        </w:tc>
        <w:tc>
          <w:tcPr>
            <w:tcW w:w="61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粘土</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心墙坝</w:t>
            </w:r>
          </w:p>
        </w:tc>
        <w:tc>
          <w:tcPr>
            <w:tcW w:w="71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74"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06"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32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62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英山水库</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宁溪镇</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小（1）型</w:t>
            </w:r>
          </w:p>
        </w:tc>
        <w:tc>
          <w:tcPr>
            <w:tcW w:w="61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粘土</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心墙坝</w:t>
            </w:r>
          </w:p>
        </w:tc>
        <w:tc>
          <w:tcPr>
            <w:tcW w:w="71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人工观测</w:t>
            </w:r>
          </w:p>
        </w:tc>
        <w:tc>
          <w:tcPr>
            <w:tcW w:w="674"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自动观测</w:t>
            </w:r>
          </w:p>
        </w:tc>
        <w:tc>
          <w:tcPr>
            <w:tcW w:w="606"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32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62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下水居</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水库</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上垟乡</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小（1）型</w:t>
            </w:r>
          </w:p>
        </w:tc>
        <w:tc>
          <w:tcPr>
            <w:tcW w:w="61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类均</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质坝</w:t>
            </w:r>
          </w:p>
        </w:tc>
        <w:tc>
          <w:tcPr>
            <w:tcW w:w="71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74"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06"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trPr>
        <w:tc>
          <w:tcPr>
            <w:tcW w:w="32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62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毛儿坑</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水库</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头陀镇</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小（1）型</w:t>
            </w:r>
          </w:p>
        </w:tc>
        <w:tc>
          <w:tcPr>
            <w:tcW w:w="61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粘土</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斜墙坝</w:t>
            </w:r>
          </w:p>
        </w:tc>
        <w:tc>
          <w:tcPr>
            <w:tcW w:w="71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74"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06"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32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62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十二坑</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水库</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头陀镇</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小（1）型</w:t>
            </w:r>
          </w:p>
        </w:tc>
        <w:tc>
          <w:tcPr>
            <w:tcW w:w="61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斜墙</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堆石坝</w:t>
            </w:r>
          </w:p>
        </w:tc>
        <w:tc>
          <w:tcPr>
            <w:tcW w:w="71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74"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06"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32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62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黄坦水库</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新前街道</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小（1）型</w:t>
            </w:r>
          </w:p>
        </w:tc>
        <w:tc>
          <w:tcPr>
            <w:tcW w:w="61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粘土</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心墙坝</w:t>
            </w:r>
          </w:p>
        </w:tc>
        <w:tc>
          <w:tcPr>
            <w:tcW w:w="71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人工观测</w:t>
            </w:r>
          </w:p>
        </w:tc>
        <w:tc>
          <w:tcPr>
            <w:tcW w:w="674"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人工观测</w:t>
            </w:r>
          </w:p>
        </w:tc>
        <w:tc>
          <w:tcPr>
            <w:tcW w:w="606"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32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62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水竹水库</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新前街道</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小（1）型</w:t>
            </w:r>
          </w:p>
        </w:tc>
        <w:tc>
          <w:tcPr>
            <w:tcW w:w="61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均质坝</w:t>
            </w:r>
          </w:p>
        </w:tc>
        <w:tc>
          <w:tcPr>
            <w:tcW w:w="71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74"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06"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32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62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西溪水库</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院桥镇</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小（1）型</w:t>
            </w:r>
          </w:p>
        </w:tc>
        <w:tc>
          <w:tcPr>
            <w:tcW w:w="61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粘土</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心墙坝</w:t>
            </w:r>
          </w:p>
        </w:tc>
        <w:tc>
          <w:tcPr>
            <w:tcW w:w="71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74"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06"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32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62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灵岩水库</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北城街道</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小（2）型</w:t>
            </w:r>
          </w:p>
        </w:tc>
        <w:tc>
          <w:tcPr>
            <w:tcW w:w="61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粘土</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心墙坝</w:t>
            </w:r>
          </w:p>
        </w:tc>
        <w:tc>
          <w:tcPr>
            <w:tcW w:w="71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74"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06"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32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11</w:t>
            </w:r>
          </w:p>
        </w:tc>
        <w:tc>
          <w:tcPr>
            <w:tcW w:w="62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飞水岩</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水库</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北洋镇</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小（2）型</w:t>
            </w:r>
          </w:p>
        </w:tc>
        <w:tc>
          <w:tcPr>
            <w:tcW w:w="61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粘土</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心墙坝</w:t>
            </w:r>
          </w:p>
        </w:tc>
        <w:tc>
          <w:tcPr>
            <w:tcW w:w="71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人工观测</w:t>
            </w:r>
          </w:p>
        </w:tc>
        <w:tc>
          <w:tcPr>
            <w:tcW w:w="674"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人工</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观测</w:t>
            </w:r>
          </w:p>
        </w:tc>
        <w:tc>
          <w:tcPr>
            <w:tcW w:w="606"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32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62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西坑水库</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宁溪镇</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小（2）型</w:t>
            </w:r>
          </w:p>
        </w:tc>
        <w:tc>
          <w:tcPr>
            <w:tcW w:w="61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粘土</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心墙坝</w:t>
            </w:r>
          </w:p>
        </w:tc>
        <w:tc>
          <w:tcPr>
            <w:tcW w:w="71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监测点</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不足</w:t>
            </w:r>
          </w:p>
        </w:tc>
        <w:tc>
          <w:tcPr>
            <w:tcW w:w="674"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人工观测</w:t>
            </w:r>
          </w:p>
        </w:tc>
        <w:tc>
          <w:tcPr>
            <w:tcW w:w="606"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32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13</w:t>
            </w:r>
          </w:p>
        </w:tc>
        <w:tc>
          <w:tcPr>
            <w:tcW w:w="62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岭口下</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水库</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平田乡</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小（2）型</w:t>
            </w:r>
          </w:p>
        </w:tc>
        <w:tc>
          <w:tcPr>
            <w:tcW w:w="61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粘土</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心墙坝</w:t>
            </w:r>
          </w:p>
        </w:tc>
        <w:tc>
          <w:tcPr>
            <w:tcW w:w="71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人工观测</w:t>
            </w:r>
          </w:p>
        </w:tc>
        <w:tc>
          <w:tcPr>
            <w:tcW w:w="674"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06"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32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14</w:t>
            </w:r>
          </w:p>
        </w:tc>
        <w:tc>
          <w:tcPr>
            <w:tcW w:w="62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龙潭头</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水库</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平田乡</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小（2）型</w:t>
            </w:r>
          </w:p>
        </w:tc>
        <w:tc>
          <w:tcPr>
            <w:tcW w:w="61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重力坝</w:t>
            </w:r>
          </w:p>
        </w:tc>
        <w:tc>
          <w:tcPr>
            <w:tcW w:w="71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人工观测</w:t>
            </w:r>
          </w:p>
        </w:tc>
        <w:tc>
          <w:tcPr>
            <w:tcW w:w="674"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06"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32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15</w:t>
            </w:r>
          </w:p>
        </w:tc>
        <w:tc>
          <w:tcPr>
            <w:tcW w:w="62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凌云水库</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沙埠镇</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小（2）型</w:t>
            </w:r>
          </w:p>
        </w:tc>
        <w:tc>
          <w:tcPr>
            <w:tcW w:w="61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粘土</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心墙坝</w:t>
            </w:r>
          </w:p>
        </w:tc>
        <w:tc>
          <w:tcPr>
            <w:tcW w:w="71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74"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06"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32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16</w:t>
            </w:r>
          </w:p>
        </w:tc>
        <w:tc>
          <w:tcPr>
            <w:tcW w:w="62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白沙园</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水库</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上垟乡</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小（2）型</w:t>
            </w:r>
          </w:p>
        </w:tc>
        <w:tc>
          <w:tcPr>
            <w:tcW w:w="61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粘土</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心墙坝</w:t>
            </w:r>
          </w:p>
        </w:tc>
        <w:tc>
          <w:tcPr>
            <w:tcW w:w="71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74"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06"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32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17</w:t>
            </w:r>
          </w:p>
        </w:tc>
        <w:tc>
          <w:tcPr>
            <w:tcW w:w="62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黄杜岙</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水库</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上垟乡</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小（2）型</w:t>
            </w:r>
          </w:p>
        </w:tc>
        <w:tc>
          <w:tcPr>
            <w:tcW w:w="61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粘土</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心墙坝</w:t>
            </w:r>
          </w:p>
        </w:tc>
        <w:tc>
          <w:tcPr>
            <w:tcW w:w="71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74"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06"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32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18</w:t>
            </w:r>
          </w:p>
        </w:tc>
        <w:tc>
          <w:tcPr>
            <w:tcW w:w="62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沈岙水库</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上垟乡</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小（2）型</w:t>
            </w:r>
          </w:p>
        </w:tc>
        <w:tc>
          <w:tcPr>
            <w:tcW w:w="61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粘土</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心墙坝</w:t>
            </w:r>
          </w:p>
        </w:tc>
        <w:tc>
          <w:tcPr>
            <w:tcW w:w="71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74"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06"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32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19</w:t>
            </w:r>
          </w:p>
        </w:tc>
        <w:tc>
          <w:tcPr>
            <w:tcW w:w="62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黄岩溪一级电站</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水库</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上郑乡</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小（2）型</w:t>
            </w:r>
          </w:p>
        </w:tc>
        <w:tc>
          <w:tcPr>
            <w:tcW w:w="61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双曲</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拱坝</w:t>
            </w:r>
          </w:p>
        </w:tc>
        <w:tc>
          <w:tcPr>
            <w:tcW w:w="71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人工观测</w:t>
            </w:r>
          </w:p>
        </w:tc>
        <w:tc>
          <w:tcPr>
            <w:tcW w:w="674"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06"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32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20</w:t>
            </w:r>
          </w:p>
        </w:tc>
        <w:tc>
          <w:tcPr>
            <w:tcW w:w="62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蔡龙水库</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头陀镇</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小（2）型</w:t>
            </w:r>
          </w:p>
        </w:tc>
        <w:tc>
          <w:tcPr>
            <w:tcW w:w="61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均质坝</w:t>
            </w:r>
          </w:p>
        </w:tc>
        <w:tc>
          <w:tcPr>
            <w:tcW w:w="71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74"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06"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32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21</w:t>
            </w:r>
          </w:p>
        </w:tc>
        <w:tc>
          <w:tcPr>
            <w:tcW w:w="62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下抱水库</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新前街道</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小（2）型</w:t>
            </w:r>
          </w:p>
        </w:tc>
        <w:tc>
          <w:tcPr>
            <w:tcW w:w="61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心墙坝</w:t>
            </w:r>
          </w:p>
        </w:tc>
        <w:tc>
          <w:tcPr>
            <w:tcW w:w="71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74"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06"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32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22</w:t>
            </w:r>
          </w:p>
        </w:tc>
        <w:tc>
          <w:tcPr>
            <w:tcW w:w="62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柔极溪二级水库</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屿头乡</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小（2）型</w:t>
            </w:r>
          </w:p>
        </w:tc>
        <w:tc>
          <w:tcPr>
            <w:tcW w:w="61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重力坝</w:t>
            </w:r>
          </w:p>
        </w:tc>
        <w:tc>
          <w:tcPr>
            <w:tcW w:w="71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74"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06"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32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23</w:t>
            </w:r>
          </w:p>
        </w:tc>
        <w:tc>
          <w:tcPr>
            <w:tcW w:w="62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望春水库</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屿头乡</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小（2）型</w:t>
            </w:r>
          </w:p>
        </w:tc>
        <w:tc>
          <w:tcPr>
            <w:tcW w:w="61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双曲拱坝</w:t>
            </w:r>
          </w:p>
        </w:tc>
        <w:tc>
          <w:tcPr>
            <w:tcW w:w="71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人工观测</w:t>
            </w:r>
          </w:p>
        </w:tc>
        <w:tc>
          <w:tcPr>
            <w:tcW w:w="674"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06"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32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24</w:t>
            </w:r>
          </w:p>
        </w:tc>
        <w:tc>
          <w:tcPr>
            <w:tcW w:w="62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共青号</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水库</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院桥镇</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小（2）型</w:t>
            </w:r>
          </w:p>
        </w:tc>
        <w:tc>
          <w:tcPr>
            <w:tcW w:w="61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粘土</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心墙坝</w:t>
            </w:r>
          </w:p>
        </w:tc>
        <w:tc>
          <w:tcPr>
            <w:tcW w:w="71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人工观测</w:t>
            </w:r>
          </w:p>
        </w:tc>
        <w:tc>
          <w:tcPr>
            <w:tcW w:w="674"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人工观测</w:t>
            </w:r>
          </w:p>
        </w:tc>
        <w:tc>
          <w:tcPr>
            <w:tcW w:w="606"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32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25</w:t>
            </w:r>
          </w:p>
        </w:tc>
        <w:tc>
          <w:tcPr>
            <w:tcW w:w="62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三块岩</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水库</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院桥镇</w:t>
            </w:r>
          </w:p>
        </w:tc>
        <w:tc>
          <w:tcPr>
            <w:tcW w:w="720"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小（2）型</w:t>
            </w:r>
          </w:p>
        </w:tc>
        <w:tc>
          <w:tcPr>
            <w:tcW w:w="61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均质坝</w:t>
            </w:r>
          </w:p>
        </w:tc>
        <w:tc>
          <w:tcPr>
            <w:tcW w:w="715"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74"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c>
          <w:tcPr>
            <w:tcW w:w="606"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无</w:t>
            </w:r>
          </w:p>
        </w:tc>
      </w:tr>
    </w:tbl>
    <w:p>
      <w:pPr>
        <w:autoSpaceDE w:val="0"/>
        <w:autoSpaceDN w:val="0"/>
        <w:adjustRightInd w:val="0"/>
        <w:spacing w:line="360" w:lineRule="auto"/>
        <w:ind w:firstLine="480" w:firstLineChars="200"/>
        <w:textAlignment w:val="baseline"/>
        <w:rPr>
          <w:rFonts w:cs="仿宋" w:asciiTheme="minorEastAsia" w:hAnsiTheme="minorEastAsia" w:eastAsiaTheme="minorEastAsia"/>
          <w:kern w:val="0"/>
          <w:sz w:val="24"/>
          <w:szCs w:val="20"/>
        </w:rPr>
      </w:pPr>
    </w:p>
    <w:p>
      <w:pPr>
        <w:autoSpaceDE w:val="0"/>
        <w:autoSpaceDN w:val="0"/>
        <w:adjustRightInd w:val="0"/>
        <w:spacing w:line="360" w:lineRule="auto"/>
        <w:ind w:firstLine="420" w:firstLineChars="200"/>
        <w:textAlignment w:val="baseline"/>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本次小型水库大坝安全监测实施及服务主要内容包括表面变形监测设施、渗流压力监测设施、渗流量监测设施提升改造以及建设小型水库监系统平台及三年运行期监测。</w:t>
      </w:r>
    </w:p>
    <w:p>
      <w:pPr>
        <w:autoSpaceDE w:val="0"/>
        <w:autoSpaceDN w:val="0"/>
        <w:adjustRightInd w:val="0"/>
        <w:spacing w:line="360" w:lineRule="auto"/>
        <w:ind w:firstLine="420" w:firstLineChars="200"/>
        <w:textAlignment w:val="baseline"/>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外金水库、黄岩溪一级电站水库、柔极溪二级水库、望春水库监测设施改造由管理单位负责实施，未计入本项目；英山水库、毛儿坑水库、十二坑水库、水竹水库、蔡龙水库已计划除险加固，相关监测设施改造计入除险加固中，未计入本项目。</w:t>
      </w:r>
    </w:p>
    <w:p>
      <w:pPr>
        <w:keepNext/>
        <w:keepLines/>
        <w:tabs>
          <w:tab w:val="left" w:pos="432"/>
        </w:tabs>
        <w:spacing w:line="360" w:lineRule="auto"/>
        <w:outlineLvl w:val="0"/>
        <w:rPr>
          <w:rFonts w:cs="仿宋" w:asciiTheme="minorEastAsia" w:hAnsiTheme="minorEastAsia" w:eastAsiaTheme="minorEastAsia"/>
          <w:b/>
          <w:bCs/>
          <w:snapToGrid w:val="0"/>
          <w:szCs w:val="21"/>
        </w:rPr>
      </w:pPr>
      <w:r>
        <w:rPr>
          <w:rFonts w:hint="eastAsia" w:cs="仿宋" w:asciiTheme="minorEastAsia" w:hAnsiTheme="minorEastAsia" w:eastAsiaTheme="minorEastAsia"/>
          <w:b/>
          <w:bCs/>
          <w:snapToGrid w:val="0"/>
          <w:szCs w:val="21"/>
        </w:rPr>
        <w:t>（二）实施内容</w:t>
      </w:r>
    </w:p>
    <w:p>
      <w:pPr>
        <w:keepNext/>
        <w:keepLines/>
        <w:tabs>
          <w:tab w:val="left" w:pos="756"/>
        </w:tabs>
        <w:spacing w:line="360" w:lineRule="auto"/>
        <w:outlineLvl w:val="1"/>
        <w:rPr>
          <w:rFonts w:cs="仿宋" w:asciiTheme="minorEastAsia" w:hAnsiTheme="minorEastAsia" w:eastAsiaTheme="minorEastAsia"/>
          <w:b/>
          <w:bCs/>
          <w:snapToGrid w:val="0"/>
          <w:szCs w:val="21"/>
        </w:rPr>
      </w:pPr>
      <w:bookmarkStart w:id="4" w:name="_Toc271149822"/>
      <w:bookmarkStart w:id="5" w:name="_Toc395718505"/>
      <w:bookmarkStart w:id="6" w:name="_Toc271149821"/>
      <w:r>
        <w:rPr>
          <w:rFonts w:hint="eastAsia" w:cs="仿宋" w:asciiTheme="minorEastAsia" w:hAnsiTheme="minorEastAsia" w:eastAsiaTheme="minorEastAsia"/>
          <w:b/>
          <w:bCs/>
          <w:snapToGrid w:val="0"/>
          <w:szCs w:val="21"/>
        </w:rPr>
        <w:t>1、实施依据</w:t>
      </w:r>
      <w:bookmarkEnd w:id="4"/>
      <w:bookmarkEnd w:id="5"/>
    </w:p>
    <w:p>
      <w:pPr>
        <w:tabs>
          <w:tab w:val="left" w:pos="900"/>
        </w:tabs>
        <w:spacing w:line="360" w:lineRule="auto"/>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1）《土石坝安全监测技术规范》（SL551-2012）；</w:t>
      </w:r>
    </w:p>
    <w:p>
      <w:pPr>
        <w:tabs>
          <w:tab w:val="left" w:pos="900"/>
        </w:tabs>
        <w:spacing w:line="360" w:lineRule="auto"/>
        <w:ind w:left="48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2）《混凝土坝安全监测技术规范》（SL601-2013）；</w:t>
      </w:r>
    </w:p>
    <w:p>
      <w:pPr>
        <w:tabs>
          <w:tab w:val="left" w:pos="900"/>
        </w:tabs>
        <w:spacing w:line="360" w:lineRule="auto"/>
        <w:ind w:left="48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3）《水利水电工程安全监测设计规范》（SL725-2016）；</w:t>
      </w:r>
    </w:p>
    <w:p>
      <w:pPr>
        <w:tabs>
          <w:tab w:val="left" w:pos="900"/>
        </w:tabs>
        <w:spacing w:line="360" w:lineRule="auto"/>
        <w:ind w:left="48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4）《大坝安全监测仪器安装标准》（SL 531-2012）；</w:t>
      </w:r>
    </w:p>
    <w:p>
      <w:pPr>
        <w:tabs>
          <w:tab w:val="left" w:pos="900"/>
        </w:tabs>
        <w:spacing w:line="360" w:lineRule="auto"/>
        <w:ind w:left="48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5）《土石坝监测仪器系列型谱》（DL/T 947-2005）；</w:t>
      </w:r>
    </w:p>
    <w:p>
      <w:pPr>
        <w:tabs>
          <w:tab w:val="left" w:pos="900"/>
        </w:tabs>
        <w:spacing w:line="360" w:lineRule="auto"/>
        <w:ind w:left="48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6）《水利工程建设标准强制性条（2020版）》；</w:t>
      </w:r>
    </w:p>
    <w:p>
      <w:pPr>
        <w:tabs>
          <w:tab w:val="left" w:pos="900"/>
        </w:tabs>
        <w:spacing w:line="360" w:lineRule="auto"/>
        <w:ind w:left="48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7）《大坝安全自动监测系统设备基本技术条件》（SL268-2001）；</w:t>
      </w:r>
    </w:p>
    <w:p>
      <w:pPr>
        <w:tabs>
          <w:tab w:val="left" w:pos="900"/>
        </w:tabs>
        <w:spacing w:line="360" w:lineRule="auto"/>
        <w:ind w:left="48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8）《大坝安全监测自动化系统实用化要求及验收规程》（DL/T 5272-2012）；</w:t>
      </w:r>
    </w:p>
    <w:p>
      <w:pPr>
        <w:tabs>
          <w:tab w:val="left" w:pos="900"/>
        </w:tabs>
        <w:spacing w:line="360" w:lineRule="auto"/>
        <w:ind w:left="48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9）《水利水电工程安全监测系统运行管理规范》（SL/T 782-2019）；</w:t>
      </w:r>
    </w:p>
    <w:p>
      <w:pPr>
        <w:tabs>
          <w:tab w:val="left" w:pos="900"/>
        </w:tabs>
        <w:spacing w:line="360" w:lineRule="auto"/>
        <w:ind w:left="48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10）《大坝安全监测系统验收规范》（GB/T 22385-2008）；</w:t>
      </w:r>
    </w:p>
    <w:p>
      <w:pPr>
        <w:tabs>
          <w:tab w:val="left" w:pos="900"/>
        </w:tabs>
        <w:spacing w:line="360" w:lineRule="auto"/>
        <w:ind w:left="48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11）《水库大坝安全评价导则》（SL258-2017）；</w:t>
      </w:r>
    </w:p>
    <w:p>
      <w:pPr>
        <w:tabs>
          <w:tab w:val="left" w:pos="900"/>
        </w:tabs>
        <w:spacing w:line="360" w:lineRule="auto"/>
        <w:ind w:left="48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12）《水库大坝安全管理条例》（2018）；</w:t>
      </w:r>
    </w:p>
    <w:p>
      <w:pPr>
        <w:tabs>
          <w:tab w:val="left" w:pos="900"/>
        </w:tabs>
        <w:spacing w:line="360" w:lineRule="auto"/>
        <w:ind w:left="48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13）《小型水库管理规程》（DB33/T 2214-2019）；</w:t>
      </w:r>
    </w:p>
    <w:p>
      <w:pPr>
        <w:tabs>
          <w:tab w:val="left" w:pos="900"/>
        </w:tabs>
        <w:spacing w:line="360" w:lineRule="auto"/>
        <w:ind w:left="48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14）《小型水利水电工程碾压式土石坝设计规范》《SL189-2013》；</w:t>
      </w:r>
    </w:p>
    <w:p>
      <w:pPr>
        <w:tabs>
          <w:tab w:val="left" w:pos="900"/>
        </w:tabs>
        <w:spacing w:line="360" w:lineRule="auto"/>
        <w:ind w:left="48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15）《国家一、二等水准测量规范》（GB/T 12897-2006）；</w:t>
      </w:r>
    </w:p>
    <w:p>
      <w:pPr>
        <w:tabs>
          <w:tab w:val="left" w:pos="900"/>
        </w:tabs>
        <w:spacing w:line="360" w:lineRule="auto"/>
        <w:ind w:left="48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16）《国家三、四等水准测量规范》（GB/T 12898-2009）；</w:t>
      </w:r>
    </w:p>
    <w:p>
      <w:pPr>
        <w:tabs>
          <w:tab w:val="left" w:pos="900"/>
        </w:tabs>
        <w:spacing w:line="360" w:lineRule="auto"/>
        <w:ind w:left="48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17）《水利水电工程测量规范》（SL 197-2013）；</w:t>
      </w:r>
    </w:p>
    <w:p>
      <w:pPr>
        <w:tabs>
          <w:tab w:val="left" w:pos="900"/>
        </w:tabs>
        <w:spacing w:line="360" w:lineRule="auto"/>
        <w:ind w:left="48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18）《工程测量规范》（GB50026-2016）；</w:t>
      </w:r>
    </w:p>
    <w:p>
      <w:pPr>
        <w:tabs>
          <w:tab w:val="left" w:pos="900"/>
        </w:tabs>
        <w:spacing w:line="360" w:lineRule="auto"/>
        <w:ind w:left="48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19）《浙江省水库系统治理“一库一策”方案编制导则（试行）》；</w:t>
      </w:r>
    </w:p>
    <w:p>
      <w:pPr>
        <w:spacing w:line="360" w:lineRule="auto"/>
        <w:ind w:left="48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20）现行国家或行业颁布的相关标准、规范；</w:t>
      </w:r>
    </w:p>
    <w:p>
      <w:pPr>
        <w:spacing w:line="360" w:lineRule="auto"/>
        <w:ind w:left="48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2</w:t>
      </w:r>
      <w:r>
        <w:rPr>
          <w:rFonts w:cs="仿宋" w:asciiTheme="minorEastAsia" w:hAnsiTheme="minorEastAsia" w:eastAsiaTheme="minorEastAsia"/>
          <w:kern w:val="0"/>
          <w:szCs w:val="21"/>
        </w:rPr>
        <w:t>1</w:t>
      </w:r>
      <w:r>
        <w:rPr>
          <w:rFonts w:hint="eastAsia" w:cs="仿宋" w:asciiTheme="minorEastAsia" w:hAnsiTheme="minorEastAsia" w:eastAsiaTheme="minorEastAsia"/>
          <w:kern w:val="0"/>
          <w:szCs w:val="21"/>
        </w:rPr>
        <w:t>）水库业主单位提供的相关技术文件、资料和图纸；</w:t>
      </w:r>
    </w:p>
    <w:p>
      <w:pPr>
        <w:spacing w:line="360" w:lineRule="auto"/>
        <w:ind w:left="480"/>
        <w:rPr>
          <w:rFonts w:cs="仿宋" w:asciiTheme="minorEastAsia" w:hAnsiTheme="minorEastAsia" w:eastAsiaTheme="minorEastAsia"/>
          <w:kern w:val="0"/>
          <w:szCs w:val="21"/>
        </w:rPr>
      </w:pPr>
      <w:r>
        <w:rPr>
          <w:rFonts w:cs="仿宋" w:asciiTheme="minorEastAsia" w:hAnsiTheme="minorEastAsia" w:eastAsiaTheme="minorEastAsia"/>
          <w:kern w:val="0"/>
          <w:szCs w:val="21"/>
        </w:rPr>
        <w:t>22</w:t>
      </w:r>
      <w:r>
        <w:rPr>
          <w:rFonts w:hint="eastAsia" w:cs="仿宋" w:asciiTheme="minorEastAsia" w:hAnsiTheme="minorEastAsia" w:eastAsiaTheme="minorEastAsia"/>
          <w:kern w:val="0"/>
          <w:szCs w:val="21"/>
        </w:rPr>
        <w:t>）设备厂商提供的技术资料。</w:t>
      </w:r>
    </w:p>
    <w:bookmarkEnd w:id="6"/>
    <w:p>
      <w:pPr>
        <w:keepNext/>
        <w:keepLines/>
        <w:tabs>
          <w:tab w:val="left" w:pos="756"/>
        </w:tabs>
        <w:spacing w:line="360" w:lineRule="auto"/>
        <w:ind w:left="180"/>
        <w:outlineLvl w:val="1"/>
        <w:rPr>
          <w:rFonts w:cs="仿宋" w:asciiTheme="minorEastAsia" w:hAnsiTheme="minorEastAsia" w:eastAsiaTheme="minorEastAsia"/>
          <w:b/>
          <w:snapToGrid w:val="0"/>
          <w:szCs w:val="21"/>
        </w:rPr>
      </w:pPr>
      <w:r>
        <w:rPr>
          <w:rFonts w:hint="eastAsia" w:cs="仿宋" w:asciiTheme="minorEastAsia" w:hAnsiTheme="minorEastAsia" w:eastAsiaTheme="minorEastAsia"/>
          <w:b/>
          <w:snapToGrid w:val="0"/>
          <w:szCs w:val="21"/>
        </w:rPr>
        <w:t>2、监测设施实施内容</w:t>
      </w:r>
    </w:p>
    <w:p>
      <w:pPr>
        <w:spacing w:line="360" w:lineRule="auto"/>
        <w:ind w:firstLine="420" w:firstLineChars="200"/>
        <w:rPr>
          <w:rFonts w:cs="仿宋" w:asciiTheme="minorEastAsia" w:hAnsiTheme="minorEastAsia" w:eastAsiaTheme="minorEastAsia"/>
          <w:kern w:val="0"/>
          <w:szCs w:val="21"/>
        </w:rPr>
      </w:pPr>
      <w:bookmarkStart w:id="7" w:name="_Toc92889755"/>
      <w:r>
        <w:rPr>
          <w:rFonts w:hint="eastAsia" w:cs="仿宋" w:asciiTheme="minorEastAsia" w:hAnsiTheme="minorEastAsia" w:eastAsiaTheme="minorEastAsia"/>
          <w:kern w:val="0"/>
          <w:szCs w:val="21"/>
        </w:rPr>
        <w:t>根据《黄岩区小型水库大坝安全监测方案》（报批稿）确定各水库监测设施需改造监测项目及数量如下表所示。</w:t>
      </w:r>
    </w:p>
    <w:p>
      <w:pPr>
        <w:spacing w:line="360" w:lineRule="auto"/>
        <w:jc w:val="center"/>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表</w:t>
      </w:r>
      <w:r>
        <w:rPr>
          <w:rFonts w:cs="仿宋" w:asciiTheme="minorEastAsia" w:hAnsiTheme="minorEastAsia" w:eastAsiaTheme="minorEastAsia"/>
          <w:kern w:val="0"/>
          <w:szCs w:val="21"/>
        </w:rPr>
        <w:t>2</w:t>
      </w:r>
      <w:r>
        <w:rPr>
          <w:rFonts w:hint="eastAsia" w:cs="仿宋" w:asciiTheme="minorEastAsia" w:hAnsiTheme="minorEastAsia" w:eastAsiaTheme="minorEastAsia"/>
          <w:kern w:val="0"/>
          <w:szCs w:val="21"/>
        </w:rPr>
        <w:tab/>
      </w:r>
      <w:r>
        <w:rPr>
          <w:rFonts w:hint="eastAsia" w:cs="仿宋" w:asciiTheme="minorEastAsia" w:hAnsiTheme="minorEastAsia" w:eastAsiaTheme="minorEastAsia"/>
          <w:kern w:val="0"/>
          <w:szCs w:val="21"/>
        </w:rPr>
        <w:t>黄岩区</w:t>
      </w:r>
      <w:r>
        <w:rPr>
          <w:rFonts w:cs="仿宋" w:asciiTheme="minorEastAsia" w:hAnsiTheme="minorEastAsia" w:eastAsiaTheme="minorEastAsia"/>
          <w:kern w:val="0"/>
          <w:szCs w:val="21"/>
        </w:rPr>
        <w:t>16</w:t>
      </w:r>
      <w:r>
        <w:rPr>
          <w:rFonts w:hint="eastAsia" w:cs="仿宋" w:asciiTheme="minorEastAsia" w:hAnsiTheme="minorEastAsia" w:eastAsiaTheme="minorEastAsia"/>
          <w:kern w:val="0"/>
          <w:szCs w:val="21"/>
        </w:rPr>
        <w:t>座小型水库监测设施设置汇总表</w:t>
      </w:r>
    </w:p>
    <w:tbl>
      <w:tblPr>
        <w:tblStyle w:val="4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62"/>
        <w:gridCol w:w="1060"/>
        <w:gridCol w:w="992"/>
        <w:gridCol w:w="992"/>
        <w:gridCol w:w="1135"/>
        <w:gridCol w:w="992"/>
        <w:gridCol w:w="992"/>
        <w:gridCol w:w="735"/>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3" w:hRule="atLeast"/>
          <w:tblHeader/>
        </w:trPr>
        <w:tc>
          <w:tcPr>
            <w:tcW w:w="21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63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水库名称</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表面变形测点（个）</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工作基点（个）</w:t>
            </w:r>
          </w:p>
        </w:tc>
        <w:tc>
          <w:tcPr>
            <w:tcW w:w="683"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校核基点（个）</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水准起测基点（个）</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测压孔（孔）</w:t>
            </w:r>
          </w:p>
        </w:tc>
        <w:tc>
          <w:tcPr>
            <w:tcW w:w="442"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渗压计（支）</w:t>
            </w:r>
          </w:p>
        </w:tc>
        <w:tc>
          <w:tcPr>
            <w:tcW w:w="63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量水堰及水位计（套）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18"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63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鸟山水库</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rPr>
              <w:t>9</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rPr>
              <w:t>6</w:t>
            </w:r>
          </w:p>
        </w:tc>
        <w:tc>
          <w:tcPr>
            <w:tcW w:w="683"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rPr>
              <w:t>6</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rPr>
              <w:t>2</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rPr>
              <w:t>6</w:t>
            </w:r>
          </w:p>
        </w:tc>
        <w:tc>
          <w:tcPr>
            <w:tcW w:w="442"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rPr>
              <w:t>6</w:t>
            </w:r>
          </w:p>
        </w:tc>
        <w:tc>
          <w:tcPr>
            <w:tcW w:w="631"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218"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63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下水居</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水库</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683"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442"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631"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218"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638" w:type="pct"/>
            <w:vAlign w:val="center"/>
          </w:tcPr>
          <w:p>
            <w:pPr>
              <w:pStyle w:val="173"/>
              <w:adjustRightInd w:val="0"/>
              <w:snapToGrid w:val="0"/>
              <w:spacing w:line="240" w:lineRule="auto"/>
              <w:rPr>
                <w:rFonts w:asciiTheme="minorEastAsia" w:hAnsiTheme="minorEastAsia" w:eastAsiaTheme="minorEastAsia"/>
                <w:sz w:val="21"/>
                <w:szCs w:val="21"/>
              </w:rPr>
            </w:pPr>
            <w:bookmarkStart w:id="8" w:name="_Hlk104297427"/>
            <w:r>
              <w:rPr>
                <w:rFonts w:hint="eastAsia" w:asciiTheme="minorEastAsia" w:hAnsiTheme="minorEastAsia" w:eastAsiaTheme="minorEastAsia"/>
                <w:sz w:val="21"/>
                <w:szCs w:val="21"/>
              </w:rPr>
              <w:t>黄坦水库</w:t>
            </w:r>
            <w:bookmarkEnd w:id="8"/>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683"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442"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9</w:t>
            </w:r>
          </w:p>
        </w:tc>
        <w:tc>
          <w:tcPr>
            <w:tcW w:w="63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218"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4</w:t>
            </w:r>
          </w:p>
        </w:tc>
        <w:tc>
          <w:tcPr>
            <w:tcW w:w="63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西溪水库</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5</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683"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2</w:t>
            </w:r>
          </w:p>
        </w:tc>
        <w:tc>
          <w:tcPr>
            <w:tcW w:w="442"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2</w:t>
            </w:r>
          </w:p>
        </w:tc>
        <w:tc>
          <w:tcPr>
            <w:tcW w:w="63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218"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5</w:t>
            </w:r>
          </w:p>
        </w:tc>
        <w:tc>
          <w:tcPr>
            <w:tcW w:w="63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灵岩水库</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683"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442"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63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218"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63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飞水岩</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水库</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683"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442"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10</w:t>
            </w:r>
          </w:p>
        </w:tc>
        <w:tc>
          <w:tcPr>
            <w:tcW w:w="631"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218"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7</w:t>
            </w:r>
          </w:p>
        </w:tc>
        <w:tc>
          <w:tcPr>
            <w:tcW w:w="63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西坑水库</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683"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442"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5</w:t>
            </w:r>
          </w:p>
        </w:tc>
        <w:tc>
          <w:tcPr>
            <w:tcW w:w="63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218"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8</w:t>
            </w:r>
          </w:p>
        </w:tc>
        <w:tc>
          <w:tcPr>
            <w:tcW w:w="63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岭口下</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水库</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683"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442"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63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218"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9</w:t>
            </w:r>
          </w:p>
        </w:tc>
        <w:tc>
          <w:tcPr>
            <w:tcW w:w="63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龙潭头</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水库</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683"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442"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63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21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0</w:t>
            </w:r>
          </w:p>
        </w:tc>
        <w:tc>
          <w:tcPr>
            <w:tcW w:w="63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凌云水库</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4</w:t>
            </w:r>
          </w:p>
        </w:tc>
        <w:tc>
          <w:tcPr>
            <w:tcW w:w="683"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4</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442"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63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218"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11</w:t>
            </w:r>
          </w:p>
        </w:tc>
        <w:tc>
          <w:tcPr>
            <w:tcW w:w="63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白沙园</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水库</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9</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683"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442"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63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218"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12</w:t>
            </w:r>
          </w:p>
        </w:tc>
        <w:tc>
          <w:tcPr>
            <w:tcW w:w="63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黄杜岙</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水库</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683"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442"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63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218"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13</w:t>
            </w:r>
          </w:p>
        </w:tc>
        <w:tc>
          <w:tcPr>
            <w:tcW w:w="63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沈岙水库</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683"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442"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63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218"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14</w:t>
            </w:r>
          </w:p>
        </w:tc>
        <w:tc>
          <w:tcPr>
            <w:tcW w:w="63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下抱水库</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683"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442"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63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218" w:type="pct"/>
            <w:vAlign w:val="center"/>
          </w:tcPr>
          <w:p>
            <w:pPr>
              <w:pStyle w:val="173"/>
              <w:adjustRightInd w:val="0"/>
              <w:snapToGrid w:val="0"/>
              <w:spacing w:line="240" w:lineRule="auto"/>
              <w:rPr>
                <w:rFonts w:asciiTheme="minorEastAsia" w:hAnsiTheme="minorEastAsia" w:eastAsiaTheme="minorEastAsia"/>
                <w:sz w:val="21"/>
                <w:szCs w:val="21"/>
              </w:rPr>
            </w:pPr>
            <w:bookmarkStart w:id="9" w:name="_Hlk105081375"/>
            <w:r>
              <w:rPr>
                <w:rFonts w:asciiTheme="minorEastAsia" w:hAnsiTheme="minorEastAsia" w:eastAsiaTheme="minorEastAsia"/>
                <w:sz w:val="21"/>
                <w:szCs w:val="21"/>
              </w:rPr>
              <w:t>15</w:t>
            </w:r>
          </w:p>
        </w:tc>
        <w:tc>
          <w:tcPr>
            <w:tcW w:w="63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共青号</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水库</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683"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442"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2</w:t>
            </w:r>
          </w:p>
        </w:tc>
        <w:tc>
          <w:tcPr>
            <w:tcW w:w="63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r>
      <w:bookmarkEnd w:id="9"/>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218"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16</w:t>
            </w:r>
          </w:p>
        </w:tc>
        <w:tc>
          <w:tcPr>
            <w:tcW w:w="638"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三块岩</w:t>
            </w:r>
          </w:p>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水库</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4</w:t>
            </w:r>
          </w:p>
        </w:tc>
        <w:tc>
          <w:tcPr>
            <w:tcW w:w="683"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597"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442" w:type="pct"/>
            <w:vAlign w:val="center"/>
          </w:tcPr>
          <w:p>
            <w:pPr>
              <w:pStyle w:val="173"/>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631" w:type="pct"/>
            <w:vAlign w:val="center"/>
          </w:tcPr>
          <w:p>
            <w:pPr>
              <w:pStyle w:val="173"/>
              <w:adjustRightInd w:val="0"/>
              <w:snapToGrid w:val="0"/>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bl>
    <w:p>
      <w:pPr>
        <w:spacing w:line="360" w:lineRule="auto"/>
        <w:ind w:left="480"/>
        <w:rPr>
          <w:rFonts w:cs="仿宋" w:asciiTheme="minorEastAsia" w:hAnsiTheme="minorEastAsia" w:eastAsiaTheme="minorEastAsia"/>
          <w:kern w:val="0"/>
          <w:sz w:val="24"/>
          <w:szCs w:val="20"/>
        </w:rPr>
      </w:pPr>
    </w:p>
    <w:p>
      <w:pPr>
        <w:autoSpaceDE w:val="0"/>
        <w:autoSpaceDN w:val="0"/>
        <w:adjustRightInd w:val="0"/>
        <w:spacing w:line="360" w:lineRule="auto"/>
        <w:ind w:firstLine="422" w:firstLineChars="200"/>
        <w:textAlignment w:val="baseline"/>
        <w:rPr>
          <w:rFonts w:cs="仿宋" w:asciiTheme="minorEastAsia" w:hAnsiTheme="minorEastAsia" w:eastAsiaTheme="minorEastAsia"/>
          <w:b/>
          <w:kern w:val="0"/>
          <w:szCs w:val="21"/>
        </w:rPr>
      </w:pPr>
      <w:r>
        <w:rPr>
          <w:rFonts w:hint="eastAsia" w:cs="仿宋" w:asciiTheme="minorEastAsia" w:hAnsiTheme="minorEastAsia" w:eastAsiaTheme="minorEastAsia"/>
          <w:b/>
          <w:kern w:val="0"/>
          <w:szCs w:val="21"/>
        </w:rPr>
        <w:t>1）</w:t>
      </w:r>
      <w:bookmarkEnd w:id="7"/>
      <w:r>
        <w:rPr>
          <w:rFonts w:hint="eastAsia" w:cs="仿宋" w:asciiTheme="minorEastAsia" w:hAnsiTheme="minorEastAsia" w:eastAsiaTheme="minorEastAsia"/>
          <w:b/>
          <w:kern w:val="0"/>
          <w:szCs w:val="21"/>
        </w:rPr>
        <w:t>表面变形监测技术要求</w:t>
      </w:r>
    </w:p>
    <w:p>
      <w:pPr>
        <w:autoSpaceDE w:val="0"/>
        <w:autoSpaceDN w:val="0"/>
        <w:adjustRightInd w:val="0"/>
        <w:spacing w:line="360" w:lineRule="auto"/>
        <w:ind w:firstLine="420" w:firstLineChars="200"/>
        <w:textAlignment w:val="baseline"/>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各表面变形测点、工作基点、校核基点采用C25F50钢筋混凝土结构。各测点根据设计要求布置，各工作基点、校核基点选择通视良好、基础稳定的位置安装。</w:t>
      </w:r>
    </w:p>
    <w:p>
      <w:pPr>
        <w:autoSpaceDE w:val="0"/>
        <w:autoSpaceDN w:val="0"/>
        <w:adjustRightInd w:val="0"/>
        <w:spacing w:line="360" w:lineRule="auto"/>
        <w:ind w:firstLine="480"/>
        <w:textAlignment w:val="baseline"/>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（1）表面垂直位移测点与水平位移测点共用一个测墩。水平位移采用视准线法监测，垂直位移采用水准测量。</w:t>
      </w:r>
    </w:p>
    <w:p>
      <w:pPr>
        <w:autoSpaceDE w:val="0"/>
        <w:autoSpaceDN w:val="0"/>
        <w:adjustRightInd w:val="0"/>
        <w:spacing w:line="360" w:lineRule="auto"/>
        <w:ind w:firstLine="480"/>
        <w:textAlignment w:val="baseline"/>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（2）视准线两端的工作基点和校核基点应布置在相对稳定区域，校核基点应设置在视准线两侧的延长线上。</w:t>
      </w:r>
    </w:p>
    <w:p>
      <w:pPr>
        <w:autoSpaceDE w:val="0"/>
        <w:autoSpaceDN w:val="0"/>
        <w:adjustRightInd w:val="0"/>
        <w:spacing w:line="360" w:lineRule="auto"/>
        <w:ind w:firstLine="420" w:firstLineChars="200"/>
        <w:textAlignment w:val="baseline"/>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（3）视准线应离障碍物1m以上，距离地面高度不宜小于1.2m。</w:t>
      </w:r>
    </w:p>
    <w:p>
      <w:pPr>
        <w:autoSpaceDE w:val="0"/>
        <w:autoSpaceDN w:val="0"/>
        <w:adjustRightInd w:val="0"/>
        <w:spacing w:line="360" w:lineRule="auto"/>
        <w:ind w:firstLine="420" w:firstLineChars="200"/>
        <w:textAlignment w:val="baseline"/>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（4）工作基点和校核基点采用混凝土观测墩，其高度不宜小于1.2m，顶部应设强制对中装置，其对中误差不应超过±0.1mm，盘面倾斜度不应大于4'。视准线监测点对中基座中心与视准线的距离偏差不应大于20mm。</w:t>
      </w:r>
    </w:p>
    <w:p>
      <w:pPr>
        <w:pStyle w:val="18"/>
        <w:ind w:firstLine="48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（5）测点和基点安装完成后，按规范的要求，进行初始值测量，并记录于考证表。</w:t>
      </w:r>
    </w:p>
    <w:p>
      <w:pPr>
        <w:autoSpaceDE w:val="0"/>
        <w:autoSpaceDN w:val="0"/>
        <w:adjustRightInd w:val="0"/>
        <w:spacing w:line="360" w:lineRule="auto"/>
        <w:ind w:firstLine="420" w:firstLineChars="200"/>
        <w:textAlignment w:val="baseline"/>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表面变形测点、工作基点、校核基点等结构如下图所示。</w:t>
      </w:r>
    </w:p>
    <w:p>
      <w:pPr>
        <w:autoSpaceDE w:val="0"/>
        <w:autoSpaceDN w:val="0"/>
        <w:adjustRightInd w:val="0"/>
        <w:spacing w:line="360" w:lineRule="auto"/>
        <w:ind w:firstLine="420" w:firstLineChars="200"/>
        <w:jc w:val="center"/>
        <w:textAlignment w:val="baseline"/>
        <w:rPr>
          <w:rFonts w:cs="仿宋" w:asciiTheme="minorEastAsia" w:hAnsiTheme="minorEastAsia" w:eastAsiaTheme="minorEastAsia"/>
          <w:kern w:val="0"/>
          <w:sz w:val="24"/>
        </w:rPr>
      </w:pPr>
      <w:r>
        <w:rPr>
          <w:rFonts w:asciiTheme="minorEastAsia" w:hAnsiTheme="minorEastAsia" w:eastAsiaTheme="minorEastAsia"/>
        </w:rPr>
        <w:drawing>
          <wp:inline distT="0" distB="0" distL="0" distR="0">
            <wp:extent cx="2734310" cy="3053715"/>
            <wp:effectExtent l="19050" t="0" r="889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8"/>
                    <a:srcRect/>
                    <a:stretch>
                      <a:fillRect/>
                    </a:stretch>
                  </pic:blipFill>
                  <pic:spPr>
                    <a:xfrm>
                      <a:off x="0" y="0"/>
                      <a:ext cx="2734310" cy="3053715"/>
                    </a:xfrm>
                    <a:prstGeom prst="rect">
                      <a:avLst/>
                    </a:prstGeom>
                    <a:noFill/>
                    <a:ln w="9525">
                      <a:noFill/>
                      <a:miter lim="800000"/>
                      <a:headEnd/>
                      <a:tailEnd/>
                    </a:ln>
                  </pic:spPr>
                </pic:pic>
              </a:graphicData>
            </a:graphic>
          </wp:inline>
        </w:drawing>
      </w:r>
    </w:p>
    <w:p>
      <w:pPr>
        <w:autoSpaceDE w:val="0"/>
        <w:autoSpaceDN w:val="0"/>
        <w:adjustRightInd w:val="0"/>
        <w:spacing w:line="360" w:lineRule="auto"/>
        <w:jc w:val="center"/>
        <w:textAlignment w:val="baseline"/>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图</w:t>
      </w:r>
      <w:r>
        <w:rPr>
          <w:rFonts w:cs="仿宋" w:asciiTheme="minorEastAsia" w:hAnsiTheme="minorEastAsia" w:eastAsiaTheme="minorEastAsia"/>
          <w:kern w:val="0"/>
          <w:szCs w:val="21"/>
        </w:rPr>
        <w:t>1</w:t>
      </w:r>
      <w:r>
        <w:rPr>
          <w:rFonts w:hint="eastAsia" w:cs="仿宋" w:asciiTheme="minorEastAsia" w:hAnsiTheme="minorEastAsia" w:eastAsiaTheme="minorEastAsia"/>
          <w:kern w:val="0"/>
          <w:szCs w:val="21"/>
        </w:rPr>
        <w:tab/>
      </w:r>
      <w:r>
        <w:rPr>
          <w:rFonts w:hint="eastAsia" w:cs="仿宋" w:asciiTheme="minorEastAsia" w:hAnsiTheme="minorEastAsia" w:eastAsiaTheme="minorEastAsia"/>
          <w:kern w:val="0"/>
          <w:szCs w:val="21"/>
        </w:rPr>
        <w:t>浅覆盖层水平位移工作及校核基点结构图（单位：cm）</w:t>
      </w:r>
    </w:p>
    <w:p>
      <w:pPr>
        <w:autoSpaceDE w:val="0"/>
        <w:autoSpaceDN w:val="0"/>
        <w:adjustRightInd w:val="0"/>
        <w:spacing w:line="360" w:lineRule="auto"/>
        <w:jc w:val="center"/>
        <w:textAlignment w:val="baseline"/>
        <w:rPr>
          <w:rFonts w:cs="仿宋" w:asciiTheme="minorEastAsia" w:hAnsiTheme="minorEastAsia" w:eastAsiaTheme="minorEastAsia"/>
          <w:kern w:val="0"/>
          <w:sz w:val="24"/>
        </w:rPr>
      </w:pPr>
      <w:r>
        <w:rPr>
          <w:rFonts w:asciiTheme="minorEastAsia" w:hAnsiTheme="minorEastAsia" w:eastAsiaTheme="minorEastAsia"/>
        </w:rPr>
        <w:drawing>
          <wp:inline distT="0" distB="0" distL="0" distR="0">
            <wp:extent cx="3200400" cy="3821430"/>
            <wp:effectExtent l="1905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9"/>
                    <a:srcRect/>
                    <a:stretch>
                      <a:fillRect/>
                    </a:stretch>
                  </pic:blipFill>
                  <pic:spPr>
                    <a:xfrm>
                      <a:off x="0" y="0"/>
                      <a:ext cx="3200400" cy="3821430"/>
                    </a:xfrm>
                    <a:prstGeom prst="rect">
                      <a:avLst/>
                    </a:prstGeom>
                    <a:noFill/>
                    <a:ln w="9525">
                      <a:noFill/>
                      <a:miter lim="800000"/>
                      <a:headEnd/>
                      <a:tailEnd/>
                    </a:ln>
                  </pic:spPr>
                </pic:pic>
              </a:graphicData>
            </a:graphic>
          </wp:inline>
        </w:drawing>
      </w:r>
    </w:p>
    <w:p>
      <w:pPr>
        <w:autoSpaceDE w:val="0"/>
        <w:autoSpaceDN w:val="0"/>
        <w:adjustRightInd w:val="0"/>
        <w:spacing w:line="360" w:lineRule="auto"/>
        <w:jc w:val="center"/>
        <w:textAlignment w:val="baseline"/>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xml:space="preserve">图2  </w:t>
      </w:r>
      <w:r>
        <w:rPr>
          <w:rFonts w:hint="eastAsia" w:cs="仿宋" w:asciiTheme="minorEastAsia" w:hAnsiTheme="minorEastAsia" w:eastAsiaTheme="minorEastAsia"/>
          <w:kern w:val="0"/>
          <w:szCs w:val="21"/>
        </w:rPr>
        <w:tab/>
      </w:r>
      <w:r>
        <w:rPr>
          <w:rFonts w:hint="eastAsia" w:cs="仿宋" w:asciiTheme="minorEastAsia" w:hAnsiTheme="minorEastAsia" w:eastAsiaTheme="minorEastAsia"/>
          <w:kern w:val="0"/>
          <w:szCs w:val="21"/>
        </w:rPr>
        <w:t>岩基上水平位移工作及校核基点结构图（单位：cm）</w:t>
      </w:r>
    </w:p>
    <w:p>
      <w:pPr>
        <w:autoSpaceDE w:val="0"/>
        <w:autoSpaceDN w:val="0"/>
        <w:adjustRightInd w:val="0"/>
        <w:spacing w:line="360" w:lineRule="auto"/>
        <w:ind w:firstLine="480" w:firstLineChars="200"/>
        <w:textAlignment w:val="baseline"/>
        <w:rPr>
          <w:rFonts w:cs="仿宋" w:asciiTheme="minorEastAsia" w:hAnsiTheme="minorEastAsia" w:eastAsiaTheme="minorEastAsia"/>
          <w:kern w:val="0"/>
          <w:sz w:val="24"/>
        </w:rPr>
      </w:pPr>
    </w:p>
    <w:p>
      <w:pPr>
        <w:autoSpaceDE w:val="0"/>
        <w:autoSpaceDN w:val="0"/>
        <w:adjustRightInd w:val="0"/>
        <w:spacing w:line="360" w:lineRule="auto"/>
        <w:ind w:firstLine="480" w:firstLineChars="200"/>
        <w:textAlignment w:val="baseline"/>
        <w:rPr>
          <w:rFonts w:cs="仿宋" w:asciiTheme="minorEastAsia" w:hAnsiTheme="minorEastAsia" w:eastAsiaTheme="minorEastAsia"/>
          <w:kern w:val="0"/>
          <w:sz w:val="24"/>
        </w:rPr>
      </w:pPr>
    </w:p>
    <w:p>
      <w:pPr>
        <w:autoSpaceDE w:val="0"/>
        <w:autoSpaceDN w:val="0"/>
        <w:adjustRightInd w:val="0"/>
        <w:spacing w:line="360" w:lineRule="auto"/>
        <w:ind w:firstLine="420" w:firstLineChars="200"/>
        <w:textAlignment w:val="baseline"/>
        <w:rPr>
          <w:rFonts w:cs="仿宋" w:asciiTheme="minorEastAsia" w:hAnsiTheme="minorEastAsia" w:eastAsiaTheme="minorEastAsia"/>
          <w:kern w:val="0"/>
          <w:sz w:val="24"/>
        </w:rPr>
      </w:pPr>
      <w:r>
        <w:rPr>
          <w:rFonts w:asciiTheme="minorEastAsia" w:hAnsiTheme="minorEastAsia" w:eastAsiaTheme="minorEastAsia"/>
        </w:rPr>
        <w:drawing>
          <wp:inline distT="0" distB="0" distL="0" distR="0">
            <wp:extent cx="4235450" cy="3131185"/>
            <wp:effectExtent l="19050" t="0" r="0"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noChangeArrowheads="1"/>
                    </pic:cNvPicPr>
                  </pic:nvPicPr>
                  <pic:blipFill>
                    <a:blip r:embed="rId10"/>
                    <a:srcRect/>
                    <a:stretch>
                      <a:fillRect/>
                    </a:stretch>
                  </pic:blipFill>
                  <pic:spPr>
                    <a:xfrm>
                      <a:off x="0" y="0"/>
                      <a:ext cx="4235450" cy="3131185"/>
                    </a:xfrm>
                    <a:prstGeom prst="rect">
                      <a:avLst/>
                    </a:prstGeom>
                    <a:noFill/>
                    <a:ln w="9525">
                      <a:noFill/>
                      <a:miter lim="800000"/>
                      <a:headEnd/>
                      <a:tailEnd/>
                    </a:ln>
                  </pic:spPr>
                </pic:pic>
              </a:graphicData>
            </a:graphic>
          </wp:inline>
        </w:drawing>
      </w:r>
    </w:p>
    <w:p>
      <w:pPr>
        <w:autoSpaceDE w:val="0"/>
        <w:autoSpaceDN w:val="0"/>
        <w:adjustRightInd w:val="0"/>
        <w:spacing w:line="360" w:lineRule="auto"/>
        <w:jc w:val="center"/>
        <w:textAlignment w:val="baseline"/>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xml:space="preserve">图3  </w:t>
      </w:r>
      <w:r>
        <w:rPr>
          <w:rFonts w:hint="eastAsia" w:cs="仿宋" w:asciiTheme="minorEastAsia" w:hAnsiTheme="minorEastAsia" w:eastAsiaTheme="minorEastAsia"/>
          <w:kern w:val="0"/>
          <w:szCs w:val="21"/>
        </w:rPr>
        <w:tab/>
      </w:r>
      <w:r>
        <w:rPr>
          <w:rFonts w:hint="eastAsia" w:cs="仿宋" w:asciiTheme="minorEastAsia" w:hAnsiTheme="minorEastAsia" w:eastAsiaTheme="minorEastAsia"/>
          <w:kern w:val="0"/>
          <w:szCs w:val="21"/>
        </w:rPr>
        <w:t>水准起测基点结构图（单位：cm）</w:t>
      </w:r>
    </w:p>
    <w:p>
      <w:pPr>
        <w:autoSpaceDE w:val="0"/>
        <w:autoSpaceDN w:val="0"/>
        <w:adjustRightInd w:val="0"/>
        <w:spacing w:line="360" w:lineRule="auto"/>
        <w:jc w:val="center"/>
        <w:textAlignment w:val="baseline"/>
        <w:rPr>
          <w:rFonts w:cs="仿宋" w:asciiTheme="minorEastAsia" w:hAnsiTheme="minorEastAsia" w:eastAsiaTheme="minorEastAsia"/>
          <w:kern w:val="0"/>
          <w:sz w:val="24"/>
        </w:rPr>
      </w:pPr>
      <w:r>
        <w:rPr>
          <w:rFonts w:asciiTheme="minorEastAsia" w:hAnsiTheme="minorEastAsia" w:eastAsiaTheme="minorEastAsia"/>
        </w:rPr>
        <w:drawing>
          <wp:inline distT="0" distB="0" distL="0" distR="0">
            <wp:extent cx="3441700" cy="4502785"/>
            <wp:effectExtent l="19050" t="0" r="6350" b="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noChangeArrowheads="1"/>
                    </pic:cNvPicPr>
                  </pic:nvPicPr>
                  <pic:blipFill>
                    <a:blip r:embed="rId11"/>
                    <a:srcRect/>
                    <a:stretch>
                      <a:fillRect/>
                    </a:stretch>
                  </pic:blipFill>
                  <pic:spPr>
                    <a:xfrm>
                      <a:off x="0" y="0"/>
                      <a:ext cx="3441700" cy="4502785"/>
                    </a:xfrm>
                    <a:prstGeom prst="rect">
                      <a:avLst/>
                    </a:prstGeom>
                    <a:noFill/>
                    <a:ln w="9525">
                      <a:noFill/>
                      <a:miter lim="800000"/>
                      <a:headEnd/>
                      <a:tailEnd/>
                    </a:ln>
                  </pic:spPr>
                </pic:pic>
              </a:graphicData>
            </a:graphic>
          </wp:inline>
        </w:drawing>
      </w:r>
    </w:p>
    <w:p>
      <w:pPr>
        <w:autoSpaceDE w:val="0"/>
        <w:autoSpaceDN w:val="0"/>
        <w:adjustRightInd w:val="0"/>
        <w:spacing w:line="360" w:lineRule="auto"/>
        <w:jc w:val="center"/>
        <w:textAlignment w:val="baseline"/>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xml:space="preserve">图4  </w:t>
      </w:r>
      <w:r>
        <w:rPr>
          <w:rFonts w:hint="eastAsia" w:cs="仿宋" w:asciiTheme="minorEastAsia" w:hAnsiTheme="minorEastAsia" w:eastAsiaTheme="minorEastAsia"/>
          <w:kern w:val="0"/>
          <w:szCs w:val="21"/>
        </w:rPr>
        <w:tab/>
      </w:r>
      <w:r>
        <w:rPr>
          <w:rFonts w:hint="eastAsia" w:cs="仿宋" w:asciiTheme="minorEastAsia" w:hAnsiTheme="minorEastAsia" w:eastAsiaTheme="minorEastAsia"/>
          <w:kern w:val="0"/>
          <w:szCs w:val="21"/>
        </w:rPr>
        <w:t>表面变形测点结构图（单位：cm）</w:t>
      </w:r>
    </w:p>
    <w:p>
      <w:pPr>
        <w:autoSpaceDE w:val="0"/>
        <w:autoSpaceDN w:val="0"/>
        <w:adjustRightInd w:val="0"/>
        <w:spacing w:line="360" w:lineRule="auto"/>
        <w:ind w:firstLine="420" w:firstLineChars="200"/>
        <w:textAlignment w:val="baseline"/>
        <w:rPr>
          <w:rFonts w:cs="仿宋" w:asciiTheme="minorEastAsia" w:hAnsiTheme="minorEastAsia" w:eastAsiaTheme="minorEastAsia"/>
          <w:kern w:val="0"/>
          <w:szCs w:val="21"/>
        </w:rPr>
      </w:pPr>
    </w:p>
    <w:p>
      <w:pPr>
        <w:autoSpaceDE w:val="0"/>
        <w:autoSpaceDN w:val="0"/>
        <w:adjustRightInd w:val="0"/>
        <w:spacing w:line="360" w:lineRule="auto"/>
        <w:ind w:firstLine="422" w:firstLineChars="200"/>
        <w:textAlignment w:val="baseline"/>
        <w:rPr>
          <w:rFonts w:cs="仿宋"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2）渗流监测技术要求</w:t>
      </w:r>
    </w:p>
    <w:p>
      <w:pPr>
        <w:autoSpaceDE w:val="0"/>
        <w:autoSpaceDN w:val="0"/>
        <w:adjustRightInd w:val="0"/>
        <w:spacing w:line="360" w:lineRule="auto"/>
        <w:ind w:firstLine="420" w:firstLineChars="200"/>
        <w:textAlignment w:val="baseline"/>
        <w:rPr>
          <w:rFonts w:cs="仿宋" w:asciiTheme="minorEastAsia" w:hAnsiTheme="minorEastAsia" w:eastAsiaTheme="minorEastAsia"/>
          <w:kern w:val="0"/>
          <w:szCs w:val="21"/>
        </w:rPr>
      </w:pPr>
      <w:bookmarkStart w:id="10" w:name="_Hlk110517390"/>
      <w:r>
        <w:rPr>
          <w:rFonts w:hint="eastAsia" w:cs="仿宋" w:asciiTheme="minorEastAsia" w:hAnsiTheme="minorEastAsia" w:eastAsiaTheme="minorEastAsia"/>
          <w:kern w:val="0"/>
          <w:szCs w:val="21"/>
        </w:rPr>
        <w:t>渗流监测采用测压管内安装振弦式渗压计的监测方式进行自动化监测。</w:t>
      </w:r>
    </w:p>
    <w:bookmarkEnd w:id="10"/>
    <w:p>
      <w:pPr>
        <w:autoSpaceDE w:val="0"/>
        <w:autoSpaceDN w:val="0"/>
        <w:adjustRightInd w:val="0"/>
        <w:spacing w:line="360" w:lineRule="auto"/>
        <w:ind w:firstLine="420" w:firstLineChars="200"/>
        <w:textAlignment w:val="baseline"/>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（1）钻孔直径采用φ</w:t>
      </w:r>
      <w:r>
        <w:rPr>
          <w:rFonts w:cs="仿宋" w:asciiTheme="minorEastAsia" w:hAnsiTheme="minorEastAsia" w:eastAsiaTheme="minorEastAsia"/>
          <w:kern w:val="0"/>
          <w:szCs w:val="21"/>
        </w:rPr>
        <w:t>110</w:t>
      </w:r>
      <w:r>
        <w:rPr>
          <w:rFonts w:hint="eastAsia" w:cs="仿宋" w:asciiTheme="minorEastAsia" w:hAnsiTheme="minorEastAsia" w:eastAsiaTheme="minorEastAsia"/>
          <w:kern w:val="0"/>
          <w:szCs w:val="21"/>
        </w:rPr>
        <w:t>，钻孔倾斜度不大于1°。不论何种土质，造孔均采用岩芯管冲击法干钻，并对岩芯作编录描述；严禁用泥浆固壁；需要防止塌孔时，可采用套管护壁，如估计难以拔出，应事先在监测部位的套管壁上钻好透水孔；终孔后应测量孔斜，以便精确确定测点位置。</w:t>
      </w:r>
    </w:p>
    <w:p>
      <w:pPr>
        <w:autoSpaceDE w:val="0"/>
        <w:autoSpaceDN w:val="0"/>
        <w:adjustRightInd w:val="0"/>
        <w:spacing w:line="360" w:lineRule="auto"/>
        <w:ind w:firstLine="420" w:firstLineChars="200"/>
        <w:textAlignment w:val="baseline"/>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（2）测压管采用材料为φ60镀锌钢管，顺直而无弯曲、无压伤和裂纹，未受腐蚀。</w:t>
      </w:r>
    </w:p>
    <w:p>
      <w:pPr>
        <w:autoSpaceDE w:val="0"/>
        <w:autoSpaceDN w:val="0"/>
        <w:adjustRightInd w:val="0"/>
        <w:spacing w:line="360" w:lineRule="auto"/>
        <w:ind w:firstLine="420" w:firstLineChars="200"/>
        <w:textAlignment w:val="baseline"/>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w:t>
      </w:r>
      <w:r>
        <w:rPr>
          <w:rFonts w:cs="仿宋" w:asciiTheme="minorEastAsia" w:hAnsiTheme="minorEastAsia" w:eastAsiaTheme="minorEastAsia"/>
          <w:kern w:val="0"/>
          <w:szCs w:val="21"/>
        </w:rPr>
        <w:t>3</w:t>
      </w:r>
      <w:r>
        <w:rPr>
          <w:rFonts w:hint="eastAsia" w:cs="仿宋" w:asciiTheme="minorEastAsia" w:hAnsiTheme="minorEastAsia" w:eastAsiaTheme="minorEastAsia"/>
          <w:kern w:val="0"/>
          <w:szCs w:val="21"/>
        </w:rPr>
        <w:t>）测压管由透水管和导管组成，管底封闭，不留沉淀管段。透水段长度宜为</w:t>
      </w:r>
      <w:r>
        <w:rPr>
          <w:rFonts w:cs="仿宋" w:asciiTheme="minorEastAsia" w:hAnsiTheme="minorEastAsia" w:eastAsiaTheme="minorEastAsia"/>
          <w:kern w:val="0"/>
          <w:szCs w:val="21"/>
        </w:rPr>
        <w:t>3</w:t>
      </w:r>
      <w:r>
        <w:rPr>
          <w:rFonts w:hint="eastAsia" w:cs="仿宋" w:asciiTheme="minorEastAsia" w:hAnsiTheme="minorEastAsia" w:eastAsiaTheme="minorEastAsia"/>
          <w:kern w:val="0"/>
          <w:szCs w:val="21"/>
        </w:rPr>
        <w:t>m，面积开孔率约为15%，开孔应均匀分布、管内无毛刺，外部包扎无纺土工织物。导管段应顺直，内壁平整无阻。透水段与坝体之间回填反滤料，导管段回填与坝体相同或接近的材料。</w:t>
      </w:r>
    </w:p>
    <w:p>
      <w:pPr>
        <w:autoSpaceDE w:val="0"/>
        <w:autoSpaceDN w:val="0"/>
        <w:adjustRightInd w:val="0"/>
        <w:spacing w:line="360" w:lineRule="auto"/>
        <w:ind w:firstLine="420" w:firstLineChars="200"/>
        <w:textAlignment w:val="baseline"/>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（4）测压管安装、封孔完毕后应进行灵敏度检验。灵敏度合格后再埋入振弦式渗压计。</w:t>
      </w:r>
    </w:p>
    <w:p>
      <w:pPr>
        <w:autoSpaceDE w:val="0"/>
        <w:autoSpaceDN w:val="0"/>
        <w:adjustRightInd w:val="0"/>
        <w:spacing w:line="360" w:lineRule="auto"/>
        <w:ind w:firstLine="420" w:firstLineChars="200"/>
        <w:textAlignment w:val="baseline"/>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（5）渗压计在埋设前，必须进行室内检验，合格后方可使用。</w:t>
      </w:r>
    </w:p>
    <w:p>
      <w:pPr>
        <w:autoSpaceDE w:val="0"/>
        <w:autoSpaceDN w:val="0"/>
        <w:adjustRightInd w:val="0"/>
        <w:spacing w:line="360" w:lineRule="auto"/>
        <w:ind w:firstLine="420" w:firstLineChars="200"/>
        <w:textAlignment w:val="baseline"/>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（6）记录测压管管底高程、管口高程及渗压计埋设高程，填写考证表。</w:t>
      </w:r>
    </w:p>
    <w:p>
      <w:pPr>
        <w:autoSpaceDE w:val="0"/>
        <w:autoSpaceDN w:val="0"/>
        <w:adjustRightInd w:val="0"/>
        <w:spacing w:line="360" w:lineRule="auto"/>
        <w:ind w:firstLine="420" w:firstLineChars="200"/>
        <w:textAlignment w:val="baseline"/>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（7）在测压管管口设置单点数据采集模块和传输模块，进行自动化数据采集及传输。</w:t>
      </w:r>
    </w:p>
    <w:p>
      <w:pPr>
        <w:pStyle w:val="18"/>
        <w:ind w:firstLine="0"/>
        <w:jc w:val="center"/>
      </w:pPr>
      <w:r>
        <w:drawing>
          <wp:inline distT="0" distB="0" distL="0" distR="0">
            <wp:extent cx="4028440" cy="8013700"/>
            <wp:effectExtent l="19050" t="0" r="0" b="0"/>
            <wp:docPr id="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7"/>
                    <pic:cNvPicPr>
                      <a:picLocks noChangeAspect="1" noChangeArrowheads="1"/>
                    </pic:cNvPicPr>
                  </pic:nvPicPr>
                  <pic:blipFill>
                    <a:blip r:embed="rId12"/>
                    <a:srcRect r="64517"/>
                    <a:stretch>
                      <a:fillRect/>
                    </a:stretch>
                  </pic:blipFill>
                  <pic:spPr>
                    <a:xfrm>
                      <a:off x="0" y="0"/>
                      <a:ext cx="4028440" cy="8013700"/>
                    </a:xfrm>
                    <a:prstGeom prst="rect">
                      <a:avLst/>
                    </a:prstGeom>
                    <a:noFill/>
                    <a:ln w="9525">
                      <a:noFill/>
                      <a:miter lim="800000"/>
                      <a:headEnd/>
                      <a:tailEnd/>
                    </a:ln>
                  </pic:spPr>
                </pic:pic>
              </a:graphicData>
            </a:graphic>
          </wp:inline>
        </w:drawing>
      </w:r>
    </w:p>
    <w:p/>
    <w:p>
      <w:pPr>
        <w:autoSpaceDE w:val="0"/>
        <w:autoSpaceDN w:val="0"/>
        <w:adjustRightInd w:val="0"/>
        <w:spacing w:line="360" w:lineRule="auto"/>
        <w:jc w:val="center"/>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图</w:t>
      </w:r>
      <w:r>
        <w:rPr>
          <w:rFonts w:cs="仿宋" w:asciiTheme="majorEastAsia" w:hAnsiTheme="majorEastAsia" w:eastAsiaTheme="majorEastAsia"/>
          <w:kern w:val="0"/>
          <w:szCs w:val="21"/>
        </w:rPr>
        <w:t>5</w:t>
      </w:r>
      <w:r>
        <w:rPr>
          <w:rFonts w:hint="eastAsia" w:cs="仿宋" w:asciiTheme="majorEastAsia" w:hAnsiTheme="majorEastAsia" w:eastAsiaTheme="majorEastAsia"/>
          <w:kern w:val="0"/>
          <w:szCs w:val="21"/>
        </w:rPr>
        <w:tab/>
      </w:r>
      <w:r>
        <w:rPr>
          <w:rFonts w:hint="eastAsia" w:cs="仿宋" w:asciiTheme="majorEastAsia" w:hAnsiTheme="majorEastAsia" w:eastAsiaTheme="majorEastAsia"/>
          <w:kern w:val="0"/>
          <w:szCs w:val="21"/>
        </w:rPr>
        <w:t>测压管结构图（单位：cm）</w:t>
      </w:r>
    </w:p>
    <w:p>
      <w:pPr>
        <w:autoSpaceDE w:val="0"/>
        <w:autoSpaceDN w:val="0"/>
        <w:adjustRightInd w:val="0"/>
        <w:spacing w:line="360" w:lineRule="auto"/>
        <w:ind w:firstLine="422" w:firstLineChars="200"/>
        <w:textAlignment w:val="baseline"/>
        <w:rPr>
          <w:rFonts w:cs="仿宋" w:asciiTheme="majorEastAsia" w:hAnsiTheme="majorEastAsia" w:eastAsiaTheme="majorEastAsia"/>
          <w:b/>
          <w:bCs/>
          <w:kern w:val="0"/>
          <w:szCs w:val="21"/>
        </w:rPr>
      </w:pPr>
      <w:r>
        <w:rPr>
          <w:rFonts w:hint="eastAsia" w:cs="仿宋" w:asciiTheme="majorEastAsia" w:hAnsiTheme="majorEastAsia" w:eastAsiaTheme="majorEastAsia"/>
          <w:b/>
          <w:bCs/>
          <w:kern w:val="0"/>
          <w:szCs w:val="21"/>
        </w:rPr>
        <w:t>3）渗流量监测技术要求</w:t>
      </w:r>
    </w:p>
    <w:p>
      <w:pPr>
        <w:autoSpaceDE w:val="0"/>
        <w:autoSpaceDN w:val="0"/>
        <w:adjustRightIn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渗流量监测采用量水堰前安装振弦式水位计的监测方式进行自动化监测。</w:t>
      </w:r>
    </w:p>
    <w:p>
      <w:pPr>
        <w:autoSpaceDE w:val="0"/>
        <w:autoSpaceDN w:val="0"/>
        <w:adjustRightIn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（1）堰板采用不锈钢板制作，过水堰口下游宜做成45°斜角。</w:t>
      </w:r>
    </w:p>
    <w:p>
      <w:pPr>
        <w:autoSpaceDE w:val="0"/>
        <w:autoSpaceDN w:val="0"/>
        <w:adjustRightIn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（2）堰板与水流方向垂直。并需直立，垂直度误差不得超过1°。</w:t>
      </w:r>
    </w:p>
    <w:p>
      <w:pPr>
        <w:autoSpaceDE w:val="0"/>
        <w:autoSpaceDN w:val="0"/>
        <w:adjustRightIn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（3）堰身用水泥浆抹平，水尺设在堰口上游3~5倍堰上水头处，并与地面垂直。</w:t>
      </w:r>
    </w:p>
    <w:p>
      <w:pPr>
        <w:autoSpaceDE w:val="0"/>
        <w:autoSpaceDN w:val="0"/>
        <w:adjustRightIn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（4）用模板搭建一个凹槽，待混凝土固化后，将水位计安装在凹槽上方，将水位计用不锈钢膨胀螺丝固定在凹槽上方后，用水准调平仪器调整水平。</w:t>
      </w:r>
    </w:p>
    <w:p>
      <w:pPr>
        <w:autoSpaceDE w:val="0"/>
        <w:autoSpaceDN w:val="0"/>
        <w:adjustRightIn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（5）在量水堰附近设置单点数据采集模块和传输模块，进行自动化数据采集及传输。</w:t>
      </w:r>
    </w:p>
    <w:p>
      <w:pPr>
        <w:autoSpaceDE w:val="0"/>
        <w:autoSpaceDN w:val="0"/>
        <w:adjustRightIn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（6）填写考证表。</w:t>
      </w:r>
    </w:p>
    <w:p>
      <w:pPr>
        <w:autoSpaceDE w:val="0"/>
        <w:autoSpaceDN w:val="0"/>
        <w:adjustRightInd w:val="0"/>
        <w:spacing w:line="360" w:lineRule="auto"/>
        <w:jc w:val="center"/>
        <w:textAlignment w:val="baseline"/>
        <w:rPr>
          <w:rFonts w:cs="仿宋" w:asciiTheme="majorEastAsia" w:hAnsiTheme="majorEastAsia" w:eastAsiaTheme="majorEastAsia"/>
          <w:kern w:val="0"/>
          <w:sz w:val="24"/>
        </w:rPr>
      </w:pPr>
      <w:r>
        <w:rPr>
          <w:rFonts w:asciiTheme="majorEastAsia" w:hAnsiTheme="majorEastAsia" w:eastAsiaTheme="majorEastAsia"/>
        </w:rPr>
        <w:drawing>
          <wp:inline distT="0" distB="0" distL="0" distR="0">
            <wp:extent cx="5434330" cy="2484120"/>
            <wp:effectExtent l="19050" t="0" r="0" b="0"/>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pic:cNvPicPr>
                      <a:picLocks noChangeAspect="1" noChangeArrowheads="1"/>
                    </pic:cNvPicPr>
                  </pic:nvPicPr>
                  <pic:blipFill>
                    <a:blip r:embed="rId13"/>
                    <a:srcRect l="3609" t="36461" r="3952" b="3743"/>
                    <a:stretch>
                      <a:fillRect/>
                    </a:stretch>
                  </pic:blipFill>
                  <pic:spPr>
                    <a:xfrm>
                      <a:off x="0" y="0"/>
                      <a:ext cx="5434330" cy="2484120"/>
                    </a:xfrm>
                    <a:prstGeom prst="rect">
                      <a:avLst/>
                    </a:prstGeom>
                    <a:noFill/>
                    <a:ln w="9525">
                      <a:noFill/>
                      <a:miter lim="800000"/>
                      <a:headEnd/>
                      <a:tailEnd/>
                    </a:ln>
                  </pic:spPr>
                </pic:pic>
              </a:graphicData>
            </a:graphic>
          </wp:inline>
        </w:drawing>
      </w:r>
    </w:p>
    <w:p>
      <w:pPr>
        <w:autoSpaceDE w:val="0"/>
        <w:autoSpaceDN w:val="0"/>
        <w:adjustRightInd w:val="0"/>
        <w:spacing w:line="360" w:lineRule="auto"/>
        <w:jc w:val="center"/>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图</w:t>
      </w:r>
      <w:r>
        <w:rPr>
          <w:rFonts w:cs="仿宋" w:asciiTheme="majorEastAsia" w:hAnsiTheme="majorEastAsia" w:eastAsiaTheme="majorEastAsia"/>
          <w:kern w:val="0"/>
          <w:szCs w:val="21"/>
        </w:rPr>
        <w:t>6</w:t>
      </w:r>
      <w:r>
        <w:rPr>
          <w:rFonts w:hint="eastAsia" w:cs="仿宋" w:asciiTheme="majorEastAsia" w:hAnsiTheme="majorEastAsia" w:eastAsiaTheme="majorEastAsia"/>
          <w:kern w:val="0"/>
          <w:szCs w:val="21"/>
        </w:rPr>
        <w:tab/>
      </w:r>
      <w:r>
        <w:rPr>
          <w:rFonts w:hint="eastAsia" w:cs="仿宋" w:asciiTheme="majorEastAsia" w:hAnsiTheme="majorEastAsia" w:eastAsiaTheme="majorEastAsia"/>
          <w:kern w:val="0"/>
          <w:szCs w:val="21"/>
        </w:rPr>
        <w:t>量水堰结构图（单位：cm）</w:t>
      </w:r>
    </w:p>
    <w:p>
      <w:pPr>
        <w:autoSpaceDE w:val="0"/>
        <w:autoSpaceDN w:val="0"/>
        <w:adjustRightInd w:val="0"/>
        <w:spacing w:line="360" w:lineRule="auto"/>
        <w:ind w:firstLine="422" w:firstLineChars="200"/>
        <w:textAlignment w:val="baseline"/>
        <w:rPr>
          <w:rFonts w:cs="仿宋" w:asciiTheme="majorEastAsia" w:hAnsiTheme="majorEastAsia" w:eastAsiaTheme="majorEastAsia"/>
          <w:b/>
          <w:bCs/>
          <w:kern w:val="0"/>
          <w:szCs w:val="21"/>
        </w:rPr>
      </w:pPr>
      <w:r>
        <w:rPr>
          <w:rFonts w:hint="eastAsia" w:cs="仿宋" w:asciiTheme="majorEastAsia" w:hAnsiTheme="majorEastAsia" w:eastAsiaTheme="majorEastAsia"/>
          <w:b/>
          <w:bCs/>
          <w:kern w:val="0"/>
          <w:szCs w:val="21"/>
        </w:rPr>
        <w:t>4）采购清单</w:t>
      </w:r>
    </w:p>
    <w:p>
      <w:pPr>
        <w:autoSpaceDE w:val="0"/>
        <w:autoSpaceDN w:val="0"/>
        <w:adjustRightIn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水库采购清单如下表所示。</w:t>
      </w:r>
    </w:p>
    <w:p>
      <w:pPr>
        <w:autoSpaceDE w:val="0"/>
        <w:autoSpaceDN w:val="0"/>
        <w:adjustRightInd w:val="0"/>
        <w:spacing w:line="360" w:lineRule="auto"/>
        <w:jc w:val="center"/>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 xml:space="preserve">表3  </w:t>
      </w:r>
      <w:r>
        <w:rPr>
          <w:rFonts w:hint="eastAsia" w:cs="仿宋" w:asciiTheme="majorEastAsia" w:hAnsiTheme="majorEastAsia" w:eastAsiaTheme="majorEastAsia"/>
          <w:kern w:val="0"/>
          <w:szCs w:val="21"/>
        </w:rPr>
        <w:tab/>
      </w:r>
      <w:r>
        <w:rPr>
          <w:rFonts w:hint="eastAsia" w:cs="仿宋" w:asciiTheme="majorEastAsia" w:hAnsiTheme="majorEastAsia" w:eastAsiaTheme="majorEastAsia"/>
          <w:kern w:val="0"/>
          <w:szCs w:val="21"/>
        </w:rPr>
        <w:t>各水库采购清单表</w:t>
      </w:r>
    </w:p>
    <w:tbl>
      <w:tblPr>
        <w:tblStyle w:val="40"/>
        <w:tblW w:w="0" w:type="auto"/>
        <w:tblInd w:w="0" w:type="dxa"/>
        <w:tblLayout w:type="autofit"/>
        <w:tblCellMar>
          <w:top w:w="0" w:type="dxa"/>
          <w:left w:w="108" w:type="dxa"/>
          <w:bottom w:w="0" w:type="dxa"/>
          <w:right w:w="108" w:type="dxa"/>
        </w:tblCellMar>
      </w:tblPr>
      <w:tblGrid>
        <w:gridCol w:w="846"/>
        <w:gridCol w:w="5053"/>
        <w:gridCol w:w="1240"/>
        <w:gridCol w:w="1201"/>
      </w:tblGrid>
      <w:tr>
        <w:tblPrEx>
          <w:tblCellMar>
            <w:top w:w="0" w:type="dxa"/>
            <w:left w:w="108" w:type="dxa"/>
            <w:bottom w:w="0" w:type="dxa"/>
            <w:right w:w="108" w:type="dxa"/>
          </w:tblCellMar>
        </w:tblPrEx>
        <w:trPr>
          <w:tblHead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编号</w:t>
            </w:r>
          </w:p>
        </w:tc>
        <w:tc>
          <w:tcPr>
            <w:tcW w:w="50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b/>
                <w:bCs/>
                <w:kern w:val="0"/>
                <w:szCs w:val="21"/>
              </w:rPr>
            </w:pPr>
            <w:r>
              <w:rPr>
                <w:rFonts w:hint="eastAsia" w:asciiTheme="majorEastAsia" w:hAnsiTheme="majorEastAsia" w:eastAsiaTheme="majorEastAsia"/>
                <w:b/>
                <w:bCs/>
                <w:kern w:val="0"/>
                <w:szCs w:val="21"/>
              </w:rPr>
              <w:t>项目名称</w:t>
            </w:r>
          </w:p>
        </w:tc>
        <w:tc>
          <w:tcPr>
            <w:tcW w:w="12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b/>
                <w:bCs/>
                <w:kern w:val="0"/>
                <w:szCs w:val="21"/>
              </w:rPr>
            </w:pPr>
            <w:r>
              <w:rPr>
                <w:rFonts w:hint="eastAsia" w:asciiTheme="majorEastAsia" w:hAnsiTheme="majorEastAsia" w:eastAsiaTheme="majorEastAsia"/>
                <w:b/>
                <w:bCs/>
                <w:kern w:val="0"/>
                <w:szCs w:val="21"/>
              </w:rPr>
              <w:t>单位</w:t>
            </w:r>
          </w:p>
        </w:tc>
        <w:tc>
          <w:tcPr>
            <w:tcW w:w="12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b/>
                <w:bCs/>
                <w:kern w:val="0"/>
                <w:szCs w:val="21"/>
              </w:rPr>
            </w:pPr>
            <w:r>
              <w:rPr>
                <w:rFonts w:hint="eastAsia" w:asciiTheme="majorEastAsia" w:hAnsiTheme="majorEastAsia" w:eastAsiaTheme="majorEastAsia"/>
                <w:b/>
                <w:bCs/>
                <w:kern w:val="0"/>
                <w:szCs w:val="21"/>
              </w:rPr>
              <w:t>数量</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b/>
                <w:color w:val="000000"/>
                <w:kern w:val="0"/>
                <w:szCs w:val="21"/>
              </w:rPr>
            </w:pPr>
            <w:r>
              <w:rPr>
                <w:rFonts w:hint="eastAsia" w:asciiTheme="majorEastAsia" w:hAnsiTheme="majorEastAsia" w:eastAsiaTheme="majorEastAsia"/>
                <w:b/>
                <w:color w:val="000000"/>
                <w:kern w:val="0"/>
                <w:szCs w:val="21"/>
              </w:rPr>
              <w:t>一</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b/>
                <w:color w:val="000000"/>
                <w:kern w:val="0"/>
                <w:szCs w:val="21"/>
              </w:rPr>
            </w:pPr>
            <w:r>
              <w:rPr>
                <w:rFonts w:hint="eastAsia" w:cs="宋体" w:asciiTheme="majorEastAsia" w:hAnsiTheme="majorEastAsia" w:eastAsiaTheme="majorEastAsia"/>
                <w:b/>
                <w:color w:val="000000"/>
                <w:kern w:val="0"/>
                <w:szCs w:val="21"/>
              </w:rPr>
              <w:t>鸟山水库</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（一）</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变形监测</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表面变形测点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9</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工作基点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校核基点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水准起测基点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2</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（二）</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渗流压力监测</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测压管钻孔（φ110）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150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测压管制作及安装（φ60）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150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管口不锈钢保护罩、安装及标识牌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渗压计</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支</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5</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灵敏度试验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次</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（三）</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自动化采集模块</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单点采集模块（含全功能采集模块、锂电池、开关电源）</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水工电缆</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160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无线传输模块</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太阳能板</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b/>
                <w:color w:val="000000"/>
                <w:kern w:val="0"/>
                <w:szCs w:val="21"/>
              </w:rPr>
            </w:pPr>
            <w:r>
              <w:rPr>
                <w:rFonts w:hint="eastAsia" w:asciiTheme="majorEastAsia" w:hAnsiTheme="majorEastAsia" w:eastAsiaTheme="majorEastAsia"/>
                <w:b/>
                <w:color w:val="000000"/>
                <w:kern w:val="0"/>
                <w:szCs w:val="21"/>
              </w:rPr>
              <w:t>二</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b/>
                <w:color w:val="000000"/>
                <w:kern w:val="0"/>
                <w:szCs w:val="21"/>
              </w:rPr>
            </w:pPr>
            <w:r>
              <w:rPr>
                <w:rFonts w:hint="eastAsia" w:cs="宋体" w:asciiTheme="majorEastAsia" w:hAnsiTheme="majorEastAsia" w:eastAsiaTheme="majorEastAsia"/>
                <w:b/>
                <w:color w:val="000000"/>
                <w:kern w:val="0"/>
                <w:szCs w:val="21"/>
              </w:rPr>
              <w:t>下水居水库</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（一）</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变形监测</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表面变形测点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工作基点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校核基点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水准起测基点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2</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（二）</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渗流压力监测</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测压管钻孔（φ110）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90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测压管制作及安装（φ60）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90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管口不锈钢保护罩、安装及标识牌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渗压计</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支</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5</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灵敏度试验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次</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（三）</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自动化采集模块</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单点采集模块（含全功能采集模块、锂电池、开关电源）</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水工电缆</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100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无线传输模块</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太阳能板</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b/>
                <w:color w:val="000000"/>
                <w:kern w:val="0"/>
                <w:szCs w:val="21"/>
              </w:rPr>
            </w:pPr>
            <w:r>
              <w:rPr>
                <w:rFonts w:hint="eastAsia" w:asciiTheme="majorEastAsia" w:hAnsiTheme="majorEastAsia" w:eastAsiaTheme="majorEastAsia"/>
                <w:b/>
                <w:color w:val="000000"/>
                <w:kern w:val="0"/>
                <w:szCs w:val="21"/>
              </w:rPr>
              <w:t>三</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b/>
                <w:color w:val="000000"/>
                <w:kern w:val="0"/>
                <w:szCs w:val="21"/>
              </w:rPr>
            </w:pPr>
            <w:r>
              <w:rPr>
                <w:rFonts w:hint="eastAsia" w:cs="宋体" w:asciiTheme="majorEastAsia" w:hAnsiTheme="majorEastAsia" w:eastAsiaTheme="majorEastAsia"/>
                <w:b/>
                <w:color w:val="000000"/>
                <w:kern w:val="0"/>
                <w:szCs w:val="21"/>
              </w:rPr>
              <w:t>黄坦水库</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（一）</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渗流压力监测</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灵敏度试验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次</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29</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管口不锈钢保护罩、安装及标识牌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29</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渗压计</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支</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29</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（二）</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自动化采集模块</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单点采集模块（含全功能采集模块、锂电池、开关电源）</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29</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水工电缆</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500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无线传输模块</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29</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太阳能板</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29</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b/>
                <w:color w:val="000000"/>
                <w:kern w:val="0"/>
                <w:szCs w:val="21"/>
              </w:rPr>
            </w:pPr>
            <w:r>
              <w:rPr>
                <w:rFonts w:hint="eastAsia" w:asciiTheme="majorEastAsia" w:hAnsiTheme="majorEastAsia" w:eastAsiaTheme="majorEastAsia"/>
                <w:b/>
                <w:color w:val="000000"/>
                <w:kern w:val="0"/>
                <w:szCs w:val="21"/>
              </w:rPr>
              <w:t>四</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b/>
                <w:color w:val="000000"/>
                <w:kern w:val="0"/>
                <w:szCs w:val="21"/>
              </w:rPr>
            </w:pPr>
            <w:r>
              <w:rPr>
                <w:rFonts w:hint="eastAsia" w:cs="宋体" w:asciiTheme="majorEastAsia" w:hAnsiTheme="majorEastAsia" w:eastAsiaTheme="majorEastAsia"/>
                <w:b/>
                <w:color w:val="000000"/>
                <w:kern w:val="0"/>
                <w:szCs w:val="21"/>
              </w:rPr>
              <w:t>西溪水库</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（一）</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变形监测</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表面变形测点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15</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工作基点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校核基点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水准起测基点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2</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（二）</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渗流压力监测</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测压管钻孔（φ110）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240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测压管制作及安装（φ60）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240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管口不锈钢保护罩、安装及标识牌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12</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渗压计</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支</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12</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5</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灵敏度试验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次</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12</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（三）</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自动化采集模块</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单点采集模块（含全功能采集模块、锂电池、开关电源）</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12</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水工电缆</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260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无线传输模块</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12</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太阳能板</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12</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b/>
                <w:color w:val="000000"/>
                <w:kern w:val="0"/>
                <w:szCs w:val="21"/>
              </w:rPr>
            </w:pPr>
            <w:r>
              <w:rPr>
                <w:rFonts w:hint="eastAsia" w:asciiTheme="majorEastAsia" w:hAnsiTheme="majorEastAsia" w:eastAsiaTheme="majorEastAsia"/>
                <w:b/>
                <w:color w:val="000000"/>
                <w:kern w:val="0"/>
                <w:szCs w:val="21"/>
              </w:rPr>
              <w:t>五</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b/>
                <w:color w:val="000000"/>
                <w:kern w:val="0"/>
                <w:szCs w:val="21"/>
              </w:rPr>
            </w:pPr>
            <w:r>
              <w:rPr>
                <w:rFonts w:hint="eastAsia" w:cs="宋体" w:asciiTheme="majorEastAsia" w:hAnsiTheme="majorEastAsia" w:eastAsiaTheme="majorEastAsia"/>
                <w:b/>
                <w:color w:val="000000"/>
                <w:kern w:val="0"/>
                <w:szCs w:val="21"/>
              </w:rPr>
              <w:t>灵岩水库</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（一）</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变形监测</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表面变形测点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工作基点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校核基点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水准起测基点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2</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（二）</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渗流压力监测</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测压管钻孔（φ110）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100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测压管制作及安装（φ60）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100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管口不锈钢保护罩、安装及标识牌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渗压计</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支</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5</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灵敏度试验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次</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6</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量水堰及量水堰计（含C15排水沟）</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套</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（三）</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自动化采集模块</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单点采集模块（含全功能采集模块、锂电池、开关电源）</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7</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水工电缆</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110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无线传输模块</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7</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太阳能板</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7</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b/>
                <w:color w:val="000000"/>
                <w:kern w:val="0"/>
                <w:szCs w:val="21"/>
              </w:rPr>
            </w:pPr>
            <w:r>
              <w:rPr>
                <w:rFonts w:hint="eastAsia" w:asciiTheme="majorEastAsia" w:hAnsiTheme="majorEastAsia" w:eastAsiaTheme="majorEastAsia"/>
                <w:b/>
                <w:color w:val="000000"/>
                <w:kern w:val="0"/>
                <w:szCs w:val="21"/>
              </w:rPr>
              <w:t>六</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b/>
                <w:color w:val="000000"/>
                <w:kern w:val="0"/>
                <w:szCs w:val="21"/>
              </w:rPr>
            </w:pPr>
            <w:r>
              <w:rPr>
                <w:rFonts w:hint="eastAsia" w:cs="宋体" w:asciiTheme="majorEastAsia" w:hAnsiTheme="majorEastAsia" w:eastAsiaTheme="majorEastAsia"/>
                <w:b/>
                <w:color w:val="000000"/>
                <w:kern w:val="0"/>
                <w:szCs w:val="21"/>
              </w:rPr>
              <w:t>飞水岩水库</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（一）</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渗流压力监测</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管口不锈钢保护罩、安装及标识牌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渗压计</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支</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灵敏度试验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次</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（二）</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自动化采集模块</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单点采集模块（含全功能采集模块、锂电池、开关电源）</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水工电缆</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200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无线传输模块</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太阳能板</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b/>
                <w:color w:val="000000"/>
                <w:kern w:val="0"/>
                <w:szCs w:val="21"/>
              </w:rPr>
            </w:pPr>
            <w:r>
              <w:rPr>
                <w:rFonts w:hint="eastAsia" w:asciiTheme="majorEastAsia" w:hAnsiTheme="majorEastAsia" w:eastAsiaTheme="majorEastAsia"/>
                <w:b/>
                <w:color w:val="000000"/>
                <w:kern w:val="0"/>
                <w:szCs w:val="21"/>
              </w:rPr>
              <w:t>七</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b/>
                <w:color w:val="000000"/>
                <w:kern w:val="0"/>
                <w:szCs w:val="21"/>
              </w:rPr>
            </w:pPr>
            <w:r>
              <w:rPr>
                <w:rFonts w:hint="eastAsia" w:cs="宋体" w:asciiTheme="majorEastAsia" w:hAnsiTheme="majorEastAsia" w:eastAsiaTheme="majorEastAsia"/>
                <w:b/>
                <w:color w:val="000000"/>
                <w:kern w:val="0"/>
                <w:szCs w:val="21"/>
              </w:rPr>
              <w:t>西坑水库</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（一）</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变形监测</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表面变形测点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工作基点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4</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校核基点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4</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（二）</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渗流压力监测</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管口不锈钢保护罩、安装及标识牌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5</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渗压计</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支</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5</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灵敏度试验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次</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5</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（三）</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自动化采集模块</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单点采集模块（含全功能采集模块、锂电池、开关电源）</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5</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水工电缆</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150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无线传输模块</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5</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太阳能板</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5</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b/>
                <w:color w:val="000000"/>
                <w:kern w:val="0"/>
                <w:szCs w:val="21"/>
              </w:rPr>
            </w:pPr>
            <w:r>
              <w:rPr>
                <w:rFonts w:hint="eastAsia" w:asciiTheme="majorEastAsia" w:hAnsiTheme="majorEastAsia" w:eastAsiaTheme="majorEastAsia"/>
                <w:b/>
                <w:color w:val="000000"/>
                <w:kern w:val="0"/>
                <w:szCs w:val="21"/>
              </w:rPr>
              <w:t>八</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b/>
                <w:color w:val="000000"/>
                <w:kern w:val="0"/>
                <w:szCs w:val="21"/>
              </w:rPr>
            </w:pPr>
            <w:r>
              <w:rPr>
                <w:rFonts w:hint="eastAsia" w:cs="宋体" w:asciiTheme="majorEastAsia" w:hAnsiTheme="majorEastAsia" w:eastAsiaTheme="majorEastAsia"/>
                <w:b/>
                <w:color w:val="000000"/>
                <w:kern w:val="0"/>
                <w:szCs w:val="21"/>
              </w:rPr>
              <w:t>岭口下水库</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（一）</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渗流压力监测</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测压管钻孔（φ110）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80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测压管制作及安装（φ60）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80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管口不锈钢保护罩、安装及标识牌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渗压计</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支</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5</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灵敏度试验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次</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（二）</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自动化采集模块</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单点采集模块（含全功能采集模块、锂电池、开关电源）</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水工电缆</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90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无线传输模块</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太阳能板</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b/>
                <w:color w:val="000000"/>
                <w:kern w:val="0"/>
                <w:szCs w:val="21"/>
              </w:rPr>
            </w:pPr>
            <w:r>
              <w:rPr>
                <w:rFonts w:hint="eastAsia" w:asciiTheme="majorEastAsia" w:hAnsiTheme="majorEastAsia" w:eastAsiaTheme="majorEastAsia"/>
                <w:b/>
                <w:color w:val="000000"/>
                <w:kern w:val="0"/>
                <w:szCs w:val="21"/>
              </w:rPr>
              <w:t>九</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b/>
                <w:color w:val="000000"/>
                <w:kern w:val="0"/>
                <w:szCs w:val="21"/>
              </w:rPr>
            </w:pPr>
            <w:r>
              <w:rPr>
                <w:rFonts w:hint="eastAsia" w:cs="宋体" w:asciiTheme="majorEastAsia" w:hAnsiTheme="majorEastAsia" w:eastAsiaTheme="majorEastAsia"/>
                <w:b/>
                <w:color w:val="000000"/>
                <w:kern w:val="0"/>
                <w:szCs w:val="21"/>
              </w:rPr>
              <w:t>龙潭头水库</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（一）</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变形监测</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表面变形测点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2</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工作基点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2</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校核基点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2</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水准起测基点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2</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b/>
                <w:color w:val="000000"/>
                <w:kern w:val="0"/>
                <w:szCs w:val="21"/>
              </w:rPr>
            </w:pPr>
            <w:r>
              <w:rPr>
                <w:rFonts w:hint="eastAsia" w:asciiTheme="majorEastAsia" w:hAnsiTheme="majorEastAsia" w:eastAsiaTheme="majorEastAsia"/>
                <w:b/>
                <w:color w:val="000000"/>
                <w:kern w:val="0"/>
                <w:szCs w:val="21"/>
              </w:rPr>
              <w:t>十</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b/>
                <w:color w:val="000000"/>
                <w:kern w:val="0"/>
                <w:szCs w:val="21"/>
              </w:rPr>
            </w:pPr>
            <w:r>
              <w:rPr>
                <w:rFonts w:hint="eastAsia" w:cs="宋体" w:asciiTheme="majorEastAsia" w:hAnsiTheme="majorEastAsia" w:eastAsiaTheme="majorEastAsia"/>
                <w:b/>
                <w:color w:val="000000"/>
                <w:kern w:val="0"/>
                <w:szCs w:val="21"/>
              </w:rPr>
              <w:t>凌云水库</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（一）</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变形监测</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表面变形测点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工作基点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4</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校核基点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4</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水准起测基点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2</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（二）</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渗流压力监测</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测压管钻孔（φ110）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40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测压管制作及安装（φ60）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40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管口不锈钢保护罩、安装及标识牌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渗压计</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支</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5</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灵敏度试验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次</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6</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量水堰及量水堰计（含C15排水沟）</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套</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（三）</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自动化采集模块</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单点采集模块（含全功能采集模块、锂电池、开关电源）</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7</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水工电缆</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50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无线传输模块</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7</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太阳能板</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7</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b/>
                <w:color w:val="000000"/>
                <w:kern w:val="0"/>
                <w:szCs w:val="21"/>
              </w:rPr>
            </w:pPr>
            <w:r>
              <w:rPr>
                <w:rFonts w:hint="eastAsia" w:asciiTheme="majorEastAsia" w:hAnsiTheme="majorEastAsia" w:eastAsiaTheme="majorEastAsia"/>
                <w:b/>
                <w:color w:val="000000"/>
                <w:kern w:val="0"/>
                <w:szCs w:val="21"/>
              </w:rPr>
              <w:t>十一</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b/>
                <w:color w:val="000000"/>
                <w:kern w:val="0"/>
                <w:szCs w:val="21"/>
              </w:rPr>
            </w:pPr>
            <w:r>
              <w:rPr>
                <w:rFonts w:hint="eastAsia" w:cs="宋体" w:asciiTheme="majorEastAsia" w:hAnsiTheme="majorEastAsia" w:eastAsiaTheme="majorEastAsia"/>
                <w:b/>
                <w:color w:val="000000"/>
                <w:kern w:val="0"/>
                <w:szCs w:val="21"/>
              </w:rPr>
              <w:t>白沙园水库</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（一）</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变形监测</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表面变形测点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9</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工作基点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校核基点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水准起测基点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2</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（二）</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渗流压力监测</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测压管钻孔（φ110）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100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测压管制作及安装（φ60）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100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管口不锈钢保护罩、安装及标识牌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渗压计</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支</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5</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灵敏度试验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次</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（三）</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自动化采集模块</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单点采集模块（含全功能采集模块、锂电池、开关电源）</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水工电缆</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110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无线传输模块</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太阳能板</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b/>
                <w:color w:val="000000"/>
                <w:kern w:val="0"/>
                <w:szCs w:val="21"/>
              </w:rPr>
            </w:pPr>
            <w:r>
              <w:rPr>
                <w:rFonts w:hint="eastAsia" w:asciiTheme="majorEastAsia" w:hAnsiTheme="majorEastAsia" w:eastAsiaTheme="majorEastAsia"/>
                <w:b/>
                <w:color w:val="000000"/>
                <w:kern w:val="0"/>
                <w:szCs w:val="21"/>
              </w:rPr>
              <w:t>十二</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b/>
                <w:color w:val="000000"/>
                <w:kern w:val="0"/>
                <w:szCs w:val="21"/>
              </w:rPr>
            </w:pPr>
            <w:r>
              <w:rPr>
                <w:rFonts w:hint="eastAsia" w:cs="宋体" w:asciiTheme="majorEastAsia" w:hAnsiTheme="majorEastAsia" w:eastAsiaTheme="majorEastAsia"/>
                <w:b/>
                <w:color w:val="000000"/>
                <w:kern w:val="0"/>
                <w:szCs w:val="21"/>
              </w:rPr>
              <w:t>黄杜岙水库</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（一）</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变形监测</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表面变形测点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9</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工作基点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校核基点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水准起测基点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2</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（二）</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渗流压力监测</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测压管钻孔（φ110）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90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测压管制作及安装（φ60）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90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管口不锈钢保护罩、安装及标识牌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渗压计</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支</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5</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灵敏度试验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次</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（三）</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自动化采集模块</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单点采集模块（含全功能采集模块、锂电池、开关电源）</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水工电缆</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100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无线传输模块</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太阳能板</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b/>
                <w:color w:val="000000"/>
                <w:kern w:val="0"/>
                <w:szCs w:val="21"/>
              </w:rPr>
            </w:pPr>
            <w:r>
              <w:rPr>
                <w:rFonts w:hint="eastAsia" w:asciiTheme="majorEastAsia" w:hAnsiTheme="majorEastAsia" w:eastAsiaTheme="majorEastAsia"/>
                <w:b/>
                <w:color w:val="000000"/>
                <w:kern w:val="0"/>
                <w:szCs w:val="21"/>
              </w:rPr>
              <w:t>十三</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b/>
                <w:color w:val="000000"/>
                <w:kern w:val="0"/>
                <w:szCs w:val="21"/>
              </w:rPr>
            </w:pPr>
            <w:r>
              <w:rPr>
                <w:rFonts w:hint="eastAsia" w:cs="宋体" w:asciiTheme="majorEastAsia" w:hAnsiTheme="majorEastAsia" w:eastAsiaTheme="majorEastAsia"/>
                <w:b/>
                <w:color w:val="000000"/>
                <w:kern w:val="0"/>
                <w:szCs w:val="21"/>
              </w:rPr>
              <w:t>沈岙水库</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（一</w:t>
            </w:r>
            <w:r>
              <w:rPr>
                <w:rFonts w:asciiTheme="majorEastAsia" w:hAnsiTheme="majorEastAsia" w:eastAsiaTheme="majorEastAsia"/>
                <w:color w:val="000000"/>
                <w:kern w:val="0"/>
                <w:szCs w:val="21"/>
              </w:rPr>
              <w:t>）</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变形监测</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表面变形测点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9</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工作基点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校核基点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水准起测基点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2</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（二）</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渗流压力监测</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测压管钻孔（φ110）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130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测压管制作及安装（φ60）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130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管口不锈钢保护罩、安装及标识牌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渗压计</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支</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5</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灵敏度试验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次</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（三）</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自动化采集模块</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单点采集模块（含全功能采集模块、锂电池、开关电源）</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水工电缆</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140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无线传输模块</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太阳能板</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b/>
                <w:color w:val="000000"/>
                <w:kern w:val="0"/>
                <w:szCs w:val="21"/>
              </w:rPr>
            </w:pPr>
            <w:r>
              <w:rPr>
                <w:rFonts w:hint="eastAsia" w:asciiTheme="majorEastAsia" w:hAnsiTheme="majorEastAsia" w:eastAsiaTheme="majorEastAsia"/>
                <w:b/>
                <w:color w:val="000000"/>
                <w:kern w:val="0"/>
                <w:szCs w:val="21"/>
              </w:rPr>
              <w:t>十四</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b/>
                <w:color w:val="000000"/>
                <w:kern w:val="0"/>
                <w:szCs w:val="21"/>
              </w:rPr>
            </w:pPr>
            <w:r>
              <w:rPr>
                <w:rFonts w:hint="eastAsia" w:cs="宋体" w:asciiTheme="majorEastAsia" w:hAnsiTheme="majorEastAsia" w:eastAsiaTheme="majorEastAsia"/>
                <w:b/>
                <w:color w:val="000000"/>
                <w:kern w:val="0"/>
                <w:szCs w:val="21"/>
              </w:rPr>
              <w:t>下抱水库</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（一）</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变形监测</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表面变形测点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9</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工作基点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校核基点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水准起测基点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2</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（二）</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渗流压力监测</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测压管钻孔（φ110）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100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测压管制作及安装（φ60）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100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管口不锈钢保护罩、安装及标识牌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渗压计</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支</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5</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灵敏度试验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次</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（三）</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自动化采集模块</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单点采集模块（含全功能采集模块、锂电池、开关电源）</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水工电缆</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110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无线传输模块</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太阳能板</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b/>
                <w:color w:val="000000"/>
                <w:kern w:val="0"/>
                <w:szCs w:val="21"/>
              </w:rPr>
            </w:pPr>
            <w:r>
              <w:rPr>
                <w:rFonts w:hint="eastAsia" w:asciiTheme="majorEastAsia" w:hAnsiTheme="majorEastAsia" w:eastAsiaTheme="majorEastAsia"/>
                <w:b/>
                <w:color w:val="000000"/>
                <w:kern w:val="0"/>
                <w:szCs w:val="21"/>
              </w:rPr>
              <w:t>十五</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b/>
                <w:color w:val="000000"/>
                <w:kern w:val="0"/>
                <w:szCs w:val="21"/>
              </w:rPr>
            </w:pPr>
            <w:r>
              <w:rPr>
                <w:rFonts w:hint="eastAsia" w:cs="宋体" w:asciiTheme="majorEastAsia" w:hAnsiTheme="majorEastAsia" w:eastAsiaTheme="majorEastAsia"/>
                <w:b/>
                <w:color w:val="000000"/>
                <w:kern w:val="0"/>
                <w:szCs w:val="21"/>
              </w:rPr>
              <w:t>共青号水库</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（一）</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渗流压力监测</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管口不锈钢保护罩、安装及标识牌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12</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渗压计</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支</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12</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量水堰及量水堰计（含C15排水沟）</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套</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灵敏度试验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次</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12</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（二）</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自动化采集模块</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单点采集模块（含全功能采集模块、锂电池、开关电源）</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13</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水工电缆</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150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无线传输模块</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13</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太阳能板</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13</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b/>
                <w:color w:val="000000"/>
                <w:kern w:val="0"/>
                <w:szCs w:val="21"/>
              </w:rPr>
            </w:pPr>
            <w:r>
              <w:rPr>
                <w:rFonts w:hint="eastAsia" w:asciiTheme="majorEastAsia" w:hAnsiTheme="majorEastAsia" w:eastAsiaTheme="majorEastAsia"/>
                <w:b/>
                <w:color w:val="000000"/>
                <w:kern w:val="0"/>
                <w:szCs w:val="21"/>
              </w:rPr>
              <w:t>十六</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b/>
                <w:color w:val="000000"/>
                <w:kern w:val="0"/>
                <w:szCs w:val="21"/>
              </w:rPr>
            </w:pPr>
            <w:r>
              <w:rPr>
                <w:rFonts w:hint="eastAsia" w:cs="宋体" w:asciiTheme="majorEastAsia" w:hAnsiTheme="majorEastAsia" w:eastAsiaTheme="majorEastAsia"/>
                <w:b/>
                <w:color w:val="000000"/>
                <w:kern w:val="0"/>
                <w:szCs w:val="21"/>
              </w:rPr>
              <w:t>三块岩水库</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（一）</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变形监测</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表面变形测点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工作基点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4</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校核基点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4</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水准起测基点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2</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（二）</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渗流压力监测</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测压管钻孔（φ110）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110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测压管制作及安装（φ60）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110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管口不锈钢保护罩、安装及标识牌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渗压计</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支</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5</w:t>
            </w:r>
            <w:r>
              <w:rPr>
                <w:rFonts w:asciiTheme="majorEastAsia" w:hAnsiTheme="majorEastAsia" w:eastAsiaTheme="majorEastAsia"/>
                <w:color w:val="000000"/>
                <w:kern w:val="0"/>
                <w:szCs w:val="21"/>
              </w:rPr>
              <w:t>　</w:t>
            </w: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灵敏度试验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次</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p>
        </w:tc>
        <w:tc>
          <w:tcPr>
            <w:tcW w:w="5053"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Cs w:val="21"/>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Cs w:val="21"/>
              </w:rPr>
            </w:pP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kern w:val="0"/>
                <w:szCs w:val="21"/>
              </w:rPr>
            </w:pP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（三）</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自动化采集模块</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　</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单点采集模块（含全功能采集模块、锂电池、开关电源）</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水工电缆</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m</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120</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无线传输模块</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台</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太阳能板</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个</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6</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000000"/>
                <w:kern w:val="0"/>
                <w:szCs w:val="21"/>
              </w:rPr>
            </w:pP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b/>
                <w:color w:val="000000"/>
                <w:kern w:val="0"/>
                <w:szCs w:val="21"/>
              </w:rPr>
            </w:pPr>
            <w:r>
              <w:rPr>
                <w:rFonts w:hint="eastAsia" w:asciiTheme="majorEastAsia" w:hAnsiTheme="majorEastAsia" w:eastAsiaTheme="majorEastAsia"/>
                <w:b/>
                <w:color w:val="000000"/>
                <w:kern w:val="0"/>
                <w:szCs w:val="21"/>
              </w:rPr>
              <w:t>十七</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b/>
                <w:color w:val="000000"/>
                <w:kern w:val="0"/>
                <w:szCs w:val="21"/>
              </w:rPr>
            </w:pPr>
            <w:r>
              <w:rPr>
                <w:rFonts w:hint="eastAsia" w:cs="宋体" w:asciiTheme="majorEastAsia" w:hAnsiTheme="majorEastAsia" w:eastAsiaTheme="majorEastAsia"/>
                <w:b/>
                <w:color w:val="000000"/>
                <w:kern w:val="0"/>
                <w:szCs w:val="21"/>
              </w:rPr>
              <w:t>监测系统平台</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5053" w:type="dxa"/>
            <w:tcBorders>
              <w:top w:val="nil"/>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安全监测驾驶舱</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项</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w:t>
            </w:r>
          </w:p>
        </w:tc>
        <w:tc>
          <w:tcPr>
            <w:tcW w:w="5053" w:type="dxa"/>
            <w:tcBorders>
              <w:top w:val="nil"/>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水库场景视图</w:t>
            </w:r>
          </w:p>
        </w:tc>
        <w:tc>
          <w:tcPr>
            <w:tcW w:w="1240" w:type="dxa"/>
            <w:tcBorders>
              <w:top w:val="nil"/>
              <w:left w:val="nil"/>
              <w:bottom w:val="single" w:color="auto" w:sz="4" w:space="0"/>
              <w:right w:val="single" w:color="auto" w:sz="4" w:space="0"/>
            </w:tcBorders>
            <w:shd w:val="clear" w:color="auto" w:fill="auto"/>
            <w:noWrap/>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项</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w:t>
            </w:r>
          </w:p>
        </w:tc>
        <w:tc>
          <w:tcPr>
            <w:tcW w:w="5053" w:type="dxa"/>
            <w:tcBorders>
              <w:top w:val="nil"/>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实时监测</w:t>
            </w:r>
          </w:p>
        </w:tc>
        <w:tc>
          <w:tcPr>
            <w:tcW w:w="1240" w:type="dxa"/>
            <w:tcBorders>
              <w:top w:val="nil"/>
              <w:left w:val="nil"/>
              <w:bottom w:val="single" w:color="auto" w:sz="4" w:space="0"/>
              <w:right w:val="single" w:color="auto" w:sz="4" w:space="0"/>
            </w:tcBorders>
            <w:shd w:val="clear" w:color="auto" w:fill="auto"/>
            <w:noWrap/>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项</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p>
        </w:tc>
        <w:tc>
          <w:tcPr>
            <w:tcW w:w="5053" w:type="dxa"/>
            <w:tcBorders>
              <w:top w:val="nil"/>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数字档案</w:t>
            </w:r>
          </w:p>
        </w:tc>
        <w:tc>
          <w:tcPr>
            <w:tcW w:w="1240" w:type="dxa"/>
            <w:tcBorders>
              <w:top w:val="nil"/>
              <w:left w:val="nil"/>
              <w:bottom w:val="single" w:color="auto" w:sz="4" w:space="0"/>
              <w:right w:val="single" w:color="auto" w:sz="4" w:space="0"/>
            </w:tcBorders>
            <w:shd w:val="clear" w:color="auto" w:fill="auto"/>
            <w:noWrap/>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项</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5</w:t>
            </w:r>
          </w:p>
        </w:tc>
        <w:tc>
          <w:tcPr>
            <w:tcW w:w="5053" w:type="dxa"/>
            <w:tcBorders>
              <w:top w:val="nil"/>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预警管理</w:t>
            </w:r>
          </w:p>
        </w:tc>
        <w:tc>
          <w:tcPr>
            <w:tcW w:w="1240" w:type="dxa"/>
            <w:tcBorders>
              <w:top w:val="nil"/>
              <w:left w:val="nil"/>
              <w:bottom w:val="single" w:color="auto" w:sz="4" w:space="0"/>
              <w:right w:val="single" w:color="auto" w:sz="4" w:space="0"/>
            </w:tcBorders>
            <w:shd w:val="clear" w:color="auto" w:fill="auto"/>
            <w:noWrap/>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项</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6</w:t>
            </w:r>
          </w:p>
        </w:tc>
        <w:tc>
          <w:tcPr>
            <w:tcW w:w="5053" w:type="dxa"/>
            <w:tcBorders>
              <w:top w:val="nil"/>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后台管理</w:t>
            </w:r>
          </w:p>
        </w:tc>
        <w:tc>
          <w:tcPr>
            <w:tcW w:w="1240" w:type="dxa"/>
            <w:tcBorders>
              <w:top w:val="nil"/>
              <w:left w:val="nil"/>
              <w:bottom w:val="single" w:color="auto" w:sz="4" w:space="0"/>
              <w:right w:val="single" w:color="auto" w:sz="4" w:space="0"/>
            </w:tcBorders>
            <w:shd w:val="clear" w:color="auto" w:fill="auto"/>
            <w:noWrap/>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项</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7</w:t>
            </w:r>
          </w:p>
        </w:tc>
        <w:tc>
          <w:tcPr>
            <w:tcW w:w="5053" w:type="dxa"/>
            <w:tcBorders>
              <w:top w:val="nil"/>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设备管理平台</w:t>
            </w:r>
          </w:p>
        </w:tc>
        <w:tc>
          <w:tcPr>
            <w:tcW w:w="1240" w:type="dxa"/>
            <w:tcBorders>
              <w:top w:val="nil"/>
              <w:left w:val="nil"/>
              <w:bottom w:val="single" w:color="auto" w:sz="4" w:space="0"/>
              <w:right w:val="single" w:color="auto" w:sz="4" w:space="0"/>
            </w:tcBorders>
            <w:shd w:val="clear" w:color="auto" w:fill="auto"/>
            <w:noWrap/>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项</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8</w:t>
            </w:r>
          </w:p>
        </w:tc>
        <w:tc>
          <w:tcPr>
            <w:tcW w:w="5053" w:type="dxa"/>
            <w:tcBorders>
              <w:top w:val="nil"/>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地理信息支撑服务</w:t>
            </w:r>
          </w:p>
        </w:tc>
        <w:tc>
          <w:tcPr>
            <w:tcW w:w="1240" w:type="dxa"/>
            <w:tcBorders>
              <w:top w:val="nil"/>
              <w:left w:val="nil"/>
              <w:bottom w:val="single" w:color="auto" w:sz="4" w:space="0"/>
              <w:right w:val="single" w:color="auto" w:sz="4" w:space="0"/>
            </w:tcBorders>
            <w:shd w:val="clear" w:color="auto" w:fill="auto"/>
            <w:noWrap/>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项</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9</w:t>
            </w:r>
          </w:p>
        </w:tc>
        <w:tc>
          <w:tcPr>
            <w:tcW w:w="5053" w:type="dxa"/>
            <w:tcBorders>
              <w:top w:val="nil"/>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数据收集与整编</w:t>
            </w:r>
          </w:p>
        </w:tc>
        <w:tc>
          <w:tcPr>
            <w:tcW w:w="1240" w:type="dxa"/>
            <w:tcBorders>
              <w:top w:val="nil"/>
              <w:left w:val="nil"/>
              <w:bottom w:val="single" w:color="auto" w:sz="4" w:space="0"/>
              <w:right w:val="single" w:color="auto" w:sz="4" w:space="0"/>
            </w:tcBorders>
            <w:shd w:val="clear" w:color="auto" w:fill="auto"/>
            <w:noWrap/>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项</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10</w:t>
            </w:r>
          </w:p>
        </w:tc>
        <w:tc>
          <w:tcPr>
            <w:tcW w:w="5053" w:type="dxa"/>
            <w:tcBorders>
              <w:top w:val="nil"/>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数据对接</w:t>
            </w:r>
          </w:p>
        </w:tc>
        <w:tc>
          <w:tcPr>
            <w:tcW w:w="1240" w:type="dxa"/>
            <w:tcBorders>
              <w:top w:val="nil"/>
              <w:left w:val="nil"/>
              <w:bottom w:val="single" w:color="auto" w:sz="4" w:space="0"/>
              <w:right w:val="single" w:color="auto" w:sz="4" w:space="0"/>
            </w:tcBorders>
            <w:shd w:val="clear" w:color="auto" w:fill="auto"/>
            <w:noWrap/>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项</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11</w:t>
            </w:r>
          </w:p>
        </w:tc>
        <w:tc>
          <w:tcPr>
            <w:tcW w:w="5053" w:type="dxa"/>
            <w:tcBorders>
              <w:top w:val="nil"/>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数据库建设</w:t>
            </w:r>
          </w:p>
        </w:tc>
        <w:tc>
          <w:tcPr>
            <w:tcW w:w="1240" w:type="dxa"/>
            <w:tcBorders>
              <w:top w:val="nil"/>
              <w:left w:val="nil"/>
              <w:bottom w:val="single" w:color="auto" w:sz="4" w:space="0"/>
              <w:right w:val="single" w:color="auto" w:sz="4" w:space="0"/>
            </w:tcBorders>
            <w:shd w:val="clear" w:color="auto" w:fill="auto"/>
            <w:noWrap/>
          </w:tcPr>
          <w:p>
            <w:pPr>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项</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12</w:t>
            </w:r>
          </w:p>
        </w:tc>
        <w:tc>
          <w:tcPr>
            <w:tcW w:w="5053" w:type="dxa"/>
            <w:tcBorders>
              <w:top w:val="nil"/>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政务云租赁</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年</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p>
        </w:tc>
        <w:tc>
          <w:tcPr>
            <w:tcW w:w="5053" w:type="dxa"/>
            <w:tcBorders>
              <w:top w:val="nil"/>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color w:val="000000"/>
                <w:kern w:val="0"/>
                <w:szCs w:val="21"/>
              </w:rPr>
            </w:pP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b/>
                <w:color w:val="000000"/>
                <w:kern w:val="0"/>
                <w:szCs w:val="21"/>
              </w:rPr>
            </w:pPr>
            <w:r>
              <w:rPr>
                <w:rFonts w:hint="eastAsia" w:asciiTheme="majorEastAsia" w:hAnsiTheme="majorEastAsia" w:eastAsiaTheme="majorEastAsia"/>
                <w:b/>
                <w:color w:val="000000"/>
                <w:kern w:val="0"/>
                <w:szCs w:val="21"/>
              </w:rPr>
              <w:t>十八</w:t>
            </w:r>
          </w:p>
        </w:tc>
        <w:tc>
          <w:tcPr>
            <w:tcW w:w="5053" w:type="dxa"/>
            <w:tcBorders>
              <w:top w:val="nil"/>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b/>
                <w:color w:val="000000"/>
                <w:kern w:val="0"/>
                <w:szCs w:val="21"/>
              </w:rPr>
            </w:pPr>
            <w:r>
              <w:rPr>
                <w:rFonts w:hint="eastAsia" w:cs="宋体" w:asciiTheme="majorEastAsia" w:hAnsiTheme="majorEastAsia" w:eastAsiaTheme="majorEastAsia"/>
                <w:b/>
                <w:color w:val="000000"/>
                <w:kern w:val="0"/>
                <w:szCs w:val="21"/>
              </w:rPr>
              <w:t>运行期监测</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5053" w:type="dxa"/>
            <w:tcBorders>
              <w:top w:val="nil"/>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运行期监测</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年</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olor w:val="000000"/>
                <w:kern w:val="0"/>
                <w:szCs w:val="21"/>
              </w:rPr>
            </w:pP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b/>
                <w:color w:val="000000"/>
                <w:kern w:val="0"/>
                <w:szCs w:val="21"/>
              </w:rPr>
            </w:pPr>
            <w:r>
              <w:rPr>
                <w:rFonts w:hint="eastAsia" w:asciiTheme="majorEastAsia" w:hAnsiTheme="majorEastAsia" w:eastAsiaTheme="majorEastAsia"/>
                <w:b/>
                <w:color w:val="000000"/>
                <w:kern w:val="0"/>
                <w:szCs w:val="21"/>
              </w:rPr>
              <w:t>十九</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b/>
                <w:color w:val="000000"/>
                <w:kern w:val="0"/>
                <w:szCs w:val="21"/>
              </w:rPr>
            </w:pPr>
            <w:r>
              <w:rPr>
                <w:rFonts w:hint="eastAsia" w:asciiTheme="majorEastAsia" w:hAnsiTheme="majorEastAsia" w:eastAsiaTheme="majorEastAsia"/>
                <w:b/>
                <w:color w:val="000000"/>
                <w:kern w:val="0"/>
                <w:szCs w:val="21"/>
              </w:rPr>
              <w:t>措施项目</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5053" w:type="dxa"/>
            <w:tcBorders>
              <w:top w:val="nil"/>
              <w:left w:val="nil"/>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实施期临时措施项目</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项</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r>
    </w:tbl>
    <w:p>
      <w:pPr>
        <w:pStyle w:val="18"/>
        <w:ind w:firstLine="480"/>
        <w:rPr>
          <w:rFonts w:asciiTheme="majorEastAsia" w:hAnsiTheme="majorEastAsia" w:eastAsiaTheme="majorEastAsia"/>
          <w:szCs w:val="21"/>
        </w:rPr>
      </w:pPr>
    </w:p>
    <w:p>
      <w:pPr>
        <w:keepNext/>
        <w:keepLines/>
        <w:tabs>
          <w:tab w:val="left" w:pos="756"/>
        </w:tabs>
        <w:spacing w:line="360" w:lineRule="auto"/>
        <w:ind w:left="180"/>
        <w:outlineLvl w:val="1"/>
        <w:rPr>
          <w:rFonts w:cs="仿宋" w:asciiTheme="majorEastAsia" w:hAnsiTheme="majorEastAsia" w:eastAsiaTheme="majorEastAsia"/>
          <w:b/>
          <w:snapToGrid w:val="0"/>
          <w:szCs w:val="21"/>
        </w:rPr>
      </w:pPr>
      <w:r>
        <w:rPr>
          <w:rFonts w:cs="仿宋" w:asciiTheme="majorEastAsia" w:hAnsiTheme="majorEastAsia" w:eastAsiaTheme="majorEastAsia"/>
          <w:b/>
          <w:snapToGrid w:val="0"/>
          <w:szCs w:val="21"/>
        </w:rPr>
        <w:t>3</w:t>
      </w:r>
      <w:r>
        <w:rPr>
          <w:rFonts w:hint="eastAsia" w:cs="仿宋" w:asciiTheme="majorEastAsia" w:hAnsiTheme="majorEastAsia" w:eastAsiaTheme="majorEastAsia"/>
          <w:b/>
          <w:snapToGrid w:val="0"/>
          <w:szCs w:val="21"/>
        </w:rPr>
        <w:t>、监测系统平台实施内容</w:t>
      </w:r>
    </w:p>
    <w:p>
      <w:pPr>
        <w:autoSpaceDE w:val="0"/>
        <w:autoSpaceDN w:val="0"/>
        <w:adjustRightInd w:val="0"/>
        <w:snapToGrid w:val="0"/>
        <w:spacing w:line="360" w:lineRule="auto"/>
        <w:ind w:firstLine="420" w:firstLineChars="200"/>
        <w:textAlignment w:val="baseline"/>
        <w:outlineLvl w:val="2"/>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3.1 系统总体设计</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w:t>
      </w:r>
      <w:r>
        <w:rPr>
          <w:rFonts w:cs="仿宋" w:asciiTheme="majorEastAsia" w:hAnsiTheme="majorEastAsia" w:eastAsiaTheme="majorEastAsia"/>
          <w:kern w:val="0"/>
          <w:szCs w:val="21"/>
        </w:rPr>
        <w:t>1</w:t>
      </w:r>
      <w:r>
        <w:rPr>
          <w:rFonts w:hint="eastAsia" w:cs="仿宋" w:asciiTheme="majorEastAsia" w:hAnsiTheme="majorEastAsia" w:eastAsiaTheme="majorEastAsia"/>
          <w:kern w:val="0"/>
          <w:szCs w:val="21"/>
        </w:rPr>
        <w:t>.1 设计原则</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 xml:space="preserve">1）先进性原则 </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 xml:space="preserve">系统在设计思想、系统架构、采用技术和选用平台上坚持先进性原则，符合高新 技术潮流和行业发展趋势，在满足现期功能的前提下，前瞻性地考虑小型水库信息化工作未来对信息化支撑的需求，在今后较长时间内保持一定的技术先进性。 </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 xml:space="preserve">2）开放性原则 </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 xml:space="preserve">系统平台建设遵循开放性原则，能够支持二次开发，不仅提供标准接口用于与其 他业务系统和用户的接入，还在运行过程中支持随时接入新的业务模块，支持接入新的用户和新的业务类型。 </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 xml:space="preserve">3）扩展性原则和兼容性原则 </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 xml:space="preserve">通过采用灵活可扩展的构架，系统具备良好的输入输出接口，满足现有设备的接入和不断扩展的应用需求。扩展性体现在应用功能的可扩展、部署方式的可扩展和数据模型的可扩展、服务的可扩展，保证扩展的过程平滑升级，避免重复投资。 </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 xml:space="preserve">4）安全性原则 </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 xml:space="preserve">系统提供有效的安全保障，保证内部信息安全，保证信息能够安全传送与接收，提供完整的安全保密机制。建立完善的授权机制，主要为不同的用户提供合适的访问权限，使其不越权使用；保证系统操作的可记录性，以便对操作行为进行监督。 </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 xml:space="preserve">5）可维护性原则 </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规范技术框架如 Spring、Mybatis 等相关配置文件的创建、命名和使用，统一管理，使配置文件的维护简单、方便。</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3.1.2 平台部署</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黄岩区小型水库安全监测管理平台部署于台州市黄岩区政务云节点，相关服务器资源由台州市黄岩区水利局向数管中心申请，系统基于web三层架构开发，面向台州市黄岩区水利系统所有用户。数据库中部分数据需从公网通过数据交换导入，需要在公有云有一部分资源用于数据交换，且要求公有云数据库能够将数据传输到专有云数据库。</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根据具体建设内容和数据情况，由黄岩区水利局向数管中心申请服务器资源，并按照建设要求部署系统软件。主要包括：业务主机（用于安装支撑平台和业务系统上云）、中间件服务器、云数据库（用于存储数据）、安全服务。</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此次平台部署需申请政务云资源见下表。</w:t>
      </w:r>
    </w:p>
    <w:p>
      <w:pPr>
        <w:autoSpaceDE w:val="0"/>
        <w:autoSpaceDN w:val="0"/>
        <w:adjustRightInd w:val="0"/>
        <w:snapToGrid w:val="0"/>
        <w:spacing w:line="360" w:lineRule="auto"/>
        <w:jc w:val="center"/>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表</w:t>
      </w:r>
      <w:r>
        <w:rPr>
          <w:rFonts w:cs="仿宋" w:asciiTheme="majorEastAsia" w:hAnsiTheme="majorEastAsia" w:eastAsiaTheme="majorEastAsia"/>
          <w:kern w:val="0"/>
          <w:szCs w:val="21"/>
        </w:rPr>
        <w:t>4</w:t>
      </w:r>
      <w:r>
        <w:rPr>
          <w:rFonts w:hint="eastAsia" w:cs="仿宋" w:asciiTheme="majorEastAsia" w:hAnsiTheme="majorEastAsia" w:eastAsiaTheme="majorEastAsia"/>
          <w:kern w:val="0"/>
          <w:szCs w:val="21"/>
        </w:rPr>
        <w:tab/>
      </w:r>
      <w:r>
        <w:rPr>
          <w:rFonts w:hint="eastAsia" w:cs="仿宋" w:asciiTheme="majorEastAsia" w:hAnsiTheme="majorEastAsia" w:eastAsiaTheme="majorEastAsia"/>
          <w:kern w:val="0"/>
          <w:szCs w:val="21"/>
        </w:rPr>
        <w:t>政务网云资源需求</w:t>
      </w:r>
    </w:p>
    <w:tbl>
      <w:tblPr>
        <w:tblStyle w:val="4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3"/>
        <w:gridCol w:w="5021"/>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405" w:type="pct"/>
            <w:vAlign w:val="center"/>
          </w:tcPr>
          <w:p>
            <w:pPr>
              <w:pStyle w:val="173"/>
              <w:spacing w:line="240" w:lineRule="auto"/>
              <w:rPr>
                <w:rFonts w:asciiTheme="majorEastAsia" w:hAnsiTheme="majorEastAsia" w:eastAsiaTheme="majorEastAsia"/>
                <w:sz w:val="21"/>
                <w:szCs w:val="21"/>
              </w:rPr>
            </w:pPr>
            <w:r>
              <w:rPr>
                <w:rFonts w:asciiTheme="majorEastAsia" w:hAnsiTheme="majorEastAsia" w:eastAsiaTheme="majorEastAsia"/>
                <w:sz w:val="21"/>
                <w:szCs w:val="21"/>
              </w:rPr>
              <w:t>产品名称</w:t>
            </w:r>
          </w:p>
        </w:tc>
        <w:tc>
          <w:tcPr>
            <w:tcW w:w="2948" w:type="pct"/>
            <w:vAlign w:val="center"/>
          </w:tcPr>
          <w:p>
            <w:pPr>
              <w:pStyle w:val="173"/>
              <w:spacing w:line="240" w:lineRule="auto"/>
              <w:rPr>
                <w:rFonts w:asciiTheme="majorEastAsia" w:hAnsiTheme="majorEastAsia" w:eastAsiaTheme="majorEastAsia"/>
                <w:sz w:val="21"/>
                <w:szCs w:val="21"/>
              </w:rPr>
            </w:pPr>
            <w:r>
              <w:rPr>
                <w:rFonts w:asciiTheme="majorEastAsia" w:hAnsiTheme="majorEastAsia" w:eastAsiaTheme="majorEastAsia"/>
                <w:sz w:val="21"/>
                <w:szCs w:val="21"/>
              </w:rPr>
              <w:t>产品规格</w:t>
            </w:r>
          </w:p>
        </w:tc>
        <w:tc>
          <w:tcPr>
            <w:tcW w:w="646" w:type="pct"/>
            <w:vAlign w:val="center"/>
          </w:tcPr>
          <w:p>
            <w:pPr>
              <w:pStyle w:val="173"/>
              <w:spacing w:line="240" w:lineRule="auto"/>
              <w:rPr>
                <w:rFonts w:asciiTheme="majorEastAsia" w:hAnsiTheme="majorEastAsia" w:eastAsiaTheme="majorEastAsia"/>
                <w:sz w:val="21"/>
                <w:szCs w:val="21"/>
              </w:rPr>
            </w:pPr>
            <w:r>
              <w:rPr>
                <w:rFonts w:asciiTheme="majorEastAsia" w:hAnsiTheme="majorEastAsia" w:eastAsiaTheme="majorEastAsia"/>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405" w:type="pct"/>
            <w:vAlign w:val="center"/>
          </w:tcPr>
          <w:p>
            <w:pPr>
              <w:pStyle w:val="173"/>
              <w:spacing w:line="24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业务</w:t>
            </w:r>
            <w:r>
              <w:rPr>
                <w:rFonts w:asciiTheme="majorEastAsia" w:hAnsiTheme="majorEastAsia" w:eastAsiaTheme="majorEastAsia"/>
                <w:sz w:val="21"/>
                <w:szCs w:val="21"/>
              </w:rPr>
              <w:t>主机</w:t>
            </w:r>
          </w:p>
        </w:tc>
        <w:tc>
          <w:tcPr>
            <w:tcW w:w="2948" w:type="pct"/>
            <w:vAlign w:val="center"/>
          </w:tcPr>
          <w:p>
            <w:pPr>
              <w:pStyle w:val="173"/>
              <w:spacing w:line="24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8</w:t>
            </w:r>
            <w:r>
              <w:rPr>
                <w:rFonts w:asciiTheme="majorEastAsia" w:hAnsiTheme="majorEastAsia" w:eastAsiaTheme="majorEastAsia"/>
                <w:sz w:val="21"/>
                <w:szCs w:val="21"/>
              </w:rPr>
              <w:t>核</w:t>
            </w:r>
            <w:r>
              <w:rPr>
                <w:rFonts w:hint="eastAsia" w:asciiTheme="majorEastAsia" w:hAnsiTheme="majorEastAsia" w:eastAsiaTheme="majorEastAsia"/>
                <w:sz w:val="21"/>
                <w:szCs w:val="21"/>
              </w:rPr>
              <w:t>64</w:t>
            </w:r>
            <w:r>
              <w:rPr>
                <w:rFonts w:asciiTheme="majorEastAsia" w:hAnsiTheme="majorEastAsia" w:eastAsiaTheme="majorEastAsia"/>
                <w:sz w:val="21"/>
                <w:szCs w:val="21"/>
              </w:rPr>
              <w:t>G</w:t>
            </w:r>
            <w:r>
              <w:rPr>
                <w:rFonts w:hint="eastAsia" w:asciiTheme="majorEastAsia" w:hAnsiTheme="majorEastAsia" w:eastAsiaTheme="majorEastAsia"/>
                <w:sz w:val="21"/>
                <w:szCs w:val="21"/>
              </w:rPr>
              <w:t>，数据盘2000G</w:t>
            </w:r>
          </w:p>
        </w:tc>
        <w:tc>
          <w:tcPr>
            <w:tcW w:w="646" w:type="pct"/>
            <w:vAlign w:val="center"/>
          </w:tcPr>
          <w:p>
            <w:pPr>
              <w:pStyle w:val="173"/>
              <w:spacing w:line="24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405" w:type="pct"/>
            <w:vAlign w:val="center"/>
          </w:tcPr>
          <w:p>
            <w:pPr>
              <w:pStyle w:val="173"/>
              <w:spacing w:line="24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中间件服务器</w:t>
            </w:r>
          </w:p>
        </w:tc>
        <w:tc>
          <w:tcPr>
            <w:tcW w:w="2948" w:type="pct"/>
            <w:vAlign w:val="center"/>
          </w:tcPr>
          <w:p>
            <w:pPr>
              <w:pStyle w:val="173"/>
              <w:spacing w:line="24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8</w:t>
            </w:r>
            <w:r>
              <w:rPr>
                <w:rFonts w:asciiTheme="majorEastAsia" w:hAnsiTheme="majorEastAsia" w:eastAsiaTheme="majorEastAsia"/>
                <w:sz w:val="21"/>
                <w:szCs w:val="21"/>
              </w:rPr>
              <w:t>核</w:t>
            </w:r>
            <w:r>
              <w:rPr>
                <w:rFonts w:hint="eastAsia" w:asciiTheme="majorEastAsia" w:hAnsiTheme="majorEastAsia" w:eastAsiaTheme="majorEastAsia"/>
                <w:sz w:val="21"/>
                <w:szCs w:val="21"/>
              </w:rPr>
              <w:t>64</w:t>
            </w:r>
            <w:r>
              <w:rPr>
                <w:rFonts w:asciiTheme="majorEastAsia" w:hAnsiTheme="majorEastAsia" w:eastAsiaTheme="majorEastAsia"/>
                <w:sz w:val="21"/>
                <w:szCs w:val="21"/>
              </w:rPr>
              <w:t>G</w:t>
            </w:r>
            <w:r>
              <w:rPr>
                <w:rFonts w:hint="eastAsia" w:asciiTheme="majorEastAsia" w:hAnsiTheme="majorEastAsia" w:eastAsiaTheme="majorEastAsia"/>
                <w:sz w:val="21"/>
                <w:szCs w:val="21"/>
              </w:rPr>
              <w:t>，数据盘2000G</w:t>
            </w:r>
          </w:p>
        </w:tc>
        <w:tc>
          <w:tcPr>
            <w:tcW w:w="646" w:type="pct"/>
            <w:vAlign w:val="center"/>
          </w:tcPr>
          <w:p>
            <w:pPr>
              <w:pStyle w:val="173"/>
              <w:spacing w:line="24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405" w:type="pct"/>
            <w:vAlign w:val="center"/>
          </w:tcPr>
          <w:p>
            <w:pPr>
              <w:pStyle w:val="173"/>
              <w:spacing w:line="240" w:lineRule="auto"/>
              <w:rPr>
                <w:rFonts w:asciiTheme="majorEastAsia" w:hAnsiTheme="majorEastAsia" w:eastAsiaTheme="majorEastAsia"/>
                <w:sz w:val="21"/>
                <w:szCs w:val="21"/>
              </w:rPr>
            </w:pPr>
            <w:r>
              <w:rPr>
                <w:rFonts w:asciiTheme="majorEastAsia" w:hAnsiTheme="majorEastAsia" w:eastAsiaTheme="majorEastAsia"/>
                <w:sz w:val="21"/>
                <w:szCs w:val="21"/>
              </w:rPr>
              <w:t>云数据库MySQL版</w:t>
            </w:r>
          </w:p>
        </w:tc>
        <w:tc>
          <w:tcPr>
            <w:tcW w:w="2948" w:type="pct"/>
            <w:vAlign w:val="center"/>
          </w:tcPr>
          <w:p>
            <w:pPr>
              <w:pStyle w:val="173"/>
              <w:spacing w:line="24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w:t>
            </w:r>
            <w:r>
              <w:rPr>
                <w:rFonts w:asciiTheme="majorEastAsia" w:hAnsiTheme="majorEastAsia" w:eastAsiaTheme="majorEastAsia"/>
                <w:sz w:val="21"/>
                <w:szCs w:val="21"/>
              </w:rPr>
              <w:t>000连接数</w:t>
            </w:r>
            <w:r>
              <w:rPr>
                <w:rFonts w:hint="eastAsia" w:asciiTheme="majorEastAsia" w:hAnsiTheme="majorEastAsia" w:eastAsiaTheme="majorEastAsia"/>
                <w:sz w:val="21"/>
                <w:szCs w:val="21"/>
              </w:rPr>
              <w:t>，4核32G</w:t>
            </w:r>
            <w:r>
              <w:rPr>
                <w:rFonts w:asciiTheme="majorEastAsia" w:hAnsiTheme="majorEastAsia" w:eastAsiaTheme="majorEastAsia"/>
                <w:sz w:val="21"/>
                <w:szCs w:val="21"/>
              </w:rPr>
              <w:t>，</w:t>
            </w:r>
            <w:r>
              <w:rPr>
                <w:rFonts w:hint="eastAsia" w:asciiTheme="majorEastAsia" w:hAnsiTheme="majorEastAsia" w:eastAsiaTheme="majorEastAsia"/>
                <w:sz w:val="21"/>
                <w:szCs w:val="21"/>
              </w:rPr>
              <w:t>500G</w:t>
            </w:r>
            <w:r>
              <w:rPr>
                <w:rFonts w:asciiTheme="majorEastAsia" w:hAnsiTheme="majorEastAsia" w:eastAsiaTheme="majorEastAsia"/>
                <w:sz w:val="21"/>
                <w:szCs w:val="21"/>
              </w:rPr>
              <w:t>存储空间</w:t>
            </w:r>
          </w:p>
        </w:tc>
        <w:tc>
          <w:tcPr>
            <w:tcW w:w="646" w:type="pct"/>
            <w:vAlign w:val="center"/>
          </w:tcPr>
          <w:p>
            <w:pPr>
              <w:pStyle w:val="173"/>
              <w:spacing w:line="240" w:lineRule="auto"/>
              <w:rPr>
                <w:rFonts w:asciiTheme="majorEastAsia" w:hAnsiTheme="majorEastAsia" w:eastAsiaTheme="majorEastAsia"/>
                <w:sz w:val="21"/>
                <w:szCs w:val="21"/>
              </w:rPr>
            </w:pPr>
            <w:r>
              <w:rPr>
                <w:rFonts w:asciiTheme="majorEastAsia" w:hAnsiTheme="majorEastAsia" w:eastAsiaTheme="maj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405" w:type="pct"/>
            <w:vAlign w:val="center"/>
          </w:tcPr>
          <w:p>
            <w:pPr>
              <w:pStyle w:val="173"/>
              <w:spacing w:line="24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安全服务</w:t>
            </w:r>
          </w:p>
        </w:tc>
        <w:tc>
          <w:tcPr>
            <w:tcW w:w="2948" w:type="pct"/>
            <w:vAlign w:val="center"/>
          </w:tcPr>
          <w:p>
            <w:pPr>
              <w:pStyle w:val="173"/>
              <w:spacing w:line="24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包含web应用防火墙、日志审计、网页防篡改、数据库审计、堡垒机等服务</w:t>
            </w:r>
          </w:p>
        </w:tc>
        <w:tc>
          <w:tcPr>
            <w:tcW w:w="646" w:type="pct"/>
            <w:vAlign w:val="center"/>
          </w:tcPr>
          <w:p>
            <w:pPr>
              <w:pStyle w:val="173"/>
              <w:spacing w:line="24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w:t>
            </w:r>
          </w:p>
        </w:tc>
      </w:tr>
    </w:tbl>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p>
    <w:p>
      <w:pPr>
        <w:autoSpaceDE w:val="0"/>
        <w:autoSpaceDN w:val="0"/>
        <w:adjustRightInd w:val="0"/>
        <w:snapToGrid w:val="0"/>
        <w:spacing w:line="360" w:lineRule="auto"/>
        <w:ind w:firstLine="420" w:firstLineChars="200"/>
        <w:textAlignment w:val="baseline"/>
        <w:outlineLvl w:val="2"/>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3.2 基础支撑组件</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3.2.1 地理信息服务平台</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地理信息服务平台基于WebGL和html5技术实现免插件跨平台、跨浏览器的二维、三维WebGIS平台，支持3D、2D、2.5D形式的地图展示，可以自行绘制图形，高亮区域。支持显示海量三维模型数据（倾斜，BIM，点云等）、影像数据、地形高程数据、矢量数据等。在操作方面，除了可以在浏览器中实现地图浏览的基本效果，比如放大、缩小、平移、旋转等常用操作之外，还可以进行选取面、选取线、选取模型、要素选择、图层叠加等不同的操作。兼容WMS和WFS特性；支持PostgreSQL、Shapefile、ArcSDE、Oracle、VPF、MySQL、MapInfo；能够将网络地图输出为jpeg、gif、png、SVG、KML等格式；能够运行在任何基于J2EE/Servlet容器之上；嵌入MapBuilder支持AJAX的地图客户端OpenLayers。允许用户对特征数据进行更新、删除、插入操作。</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3.2.2 物联网平台</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物联网平台是一套以稳定性、实时性、高并发、扩展性为宗旨，打造的数据采集、数据加工、存储、发布的综合性数据平台，提供成熟可靠的设备连接、设备管理服务，可以将分散化的相关物联网设备进行统一管理。主要功能是实现安全监测设备的标准化接入、设备查看、设备设置、异常监测、远程运维、日志存储等。</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3.2.3 短信发布平台</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短信平台用于预警发布或事件通知。短信发布组件需提供一个通信簿，通信簿中登记了需要提供短信服务的有关人员的手机号码，这些号码可以方便地增减、修改。同时，系统提供对不同人员的需求分类，以便能自动地在需要时将同一批信息发送到相同的服务类型的人员手机中，从而实现信息发送功能。</w:t>
      </w:r>
    </w:p>
    <w:p>
      <w:pPr>
        <w:autoSpaceDE w:val="0"/>
        <w:autoSpaceDN w:val="0"/>
        <w:adjustRightInd w:val="0"/>
        <w:snapToGrid w:val="0"/>
        <w:spacing w:line="360" w:lineRule="auto"/>
        <w:ind w:firstLine="420" w:firstLineChars="200"/>
        <w:textAlignment w:val="baseline"/>
        <w:outlineLvl w:val="2"/>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3.3 平台功能</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小型水库安全监测管理平台主要实现对水库安全监测和预报预警信息的全局呈现，动态跟踪运行关键指标，直观展示水库基础信息、水情雨情、安全监测等方面的概览信息，全面掌握本次建设范围内水库大坝安全监测趋势和管理关注重点。</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3.3.1 小型水库安全监测驾驶舱</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建设小型水库安全监测驾驶舱，以GIS地图为底图，通过一张图的方式，直观展示全区25座小型水库的基础信息、水情雨情、安全监测、位置分布等方面的概览信息进行全局掌控，全面掌握水库大坝安全监测趋势和关注重点。</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1）地图展示</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驾驶舱中央以GIS地图为底图，一张图展示小型水库所在位置情况，以图层形式展示小型水库关联水位水情测站的位置分布情况、视频监控分布情况等。通过二级交互展示水库信息弹窗，汇集水库基本信息、水雨情、安全监测、视频监控信息。基本信息包括水库工程特性、安全责任人信息、水库照片等；水雨情信息包括单个水库站点的实时雨量数据、水位数据及水位过程线；安全监测信息包括单个水库站点下的表面位移、渗压监测等各类安全监测设备的数据信息，包括实时监测值和监测过程线；视频监控包括监控视频的实时在线查看。</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2）责任人信息</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统计小型水库的责任人情况，列表统计小型水库的政府责任人、技术责任人、巡查责任人，可查看每座水库的责任人姓名与联系方式信息。</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3）水雨情信息</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统计显示小型水库实时水情和雨情数据，包括雨量、实时库水位、水位站实时水位。</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4）视频监控</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汇集小型水库相关的视频监控，对水库视频监控进行集中展播，用户可以通过视频列表实现对水库的统一监控。</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5）站点统计</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对各个监测站点按照工程对象进行分类统计，并对站点的预警情况进行统计。站点的预警状态将根据预警分析结果进行多级预警，统计数据与GIS地图联动，在地图上闪烁显示。</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6）预警信息</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当发生预警时，实时滚动显示预警信息，预警信息详情以列表形式展示。</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3.3.2 水库场景视图</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从单个水库工程角度，直观展示水库基础信息、水情雨情、安全监测、视频监控、责任人等方面信息，展示水雨情、安全监测、视频监控等监测设备的分布情况。</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1）设备地图</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以单个水库GIS地图为底图，显示库区平面位置以及各设备布设情况。</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2）设备总览</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对水库的监测设备状态进行智能监控，对水库监测设备总数、上线、下线、维护等数据以及报警状态进行统计。</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3）基本信息</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展示水库工程特性、安全责任人信息等水库基本信息。</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4）水雨情监测数据</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展示单个水库的实时雨量数据、实时水位数据及水位过程线。</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5）安全监测数据</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展示水库表面水平位移、沉降、渗压监测等各类安全监测设备的监测情况，包括实时监测值和监测过程线。</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6）视频监控</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展示接入平台的水库实时视频监控，进行实时监控在线查看。</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3.3.3 实时监测</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主要包括水雨情、安全监测数据的实时展示、数据查询、布点展示、报表下载、报告生成、视频监控等功能。</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1）数据展示</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以图表形式实时展示水库水雨情、渗压、渗流量、变形监测数据。</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2）数据查询</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支持按站点名称、监测内容、监测设备、设定的监测时间（实时、7日、1个月）查询测点监测数据，支持按时间段进行历史信息查询，并以图表的形式显示。</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3）布点展示</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选择测点监测设备后，能够展示该监测设备在地图上的布点情况。支持展示水库的渗压、位移的断面分布示意图，可通过选择不同的桩号展示对应断面及监测设备分布情况，实现任意测点的监测数据变化过程线的展示。</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4）数据统计与分析</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结合水雨情、渗压、渗流、变形监测数据，进行总量统计、极值统计、均值统计、时程变化分析、对比分析等，并生成相关报表和图形。</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5）报表下载</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可选择任意时间段进行监测数据的报表下载。</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6）报告生成</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根据监测数据及数据分析结果，自动生成月报、季报、年报等报告或报表。</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7）视频监控</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将接入的水库视频监控进行统一管理，包含关键词搜索条件功能，可直接输入视频点位名称进行关键字查询。</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3.3.4 数字档案</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1）数字档案</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按照“一数一源、动态管理”的原则对全区水库相关信息进行整理入库，包括水库基本信息、除险加固信息、安全鉴定信息、责任人信息等。</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2）数据维护</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支持人工录入监测数据等。</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3）设备信息</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以列表形式对本项目中监测设备的所有设备信息和设备状态进行管理和统计。</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3.3.5 预警管理</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基于对水库的安全监测分析，对水库各类安全监测项的安全性态异常预警。预警分析模块包括预警列表、预警判据、预警模型、预警责任人管理等。</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1）预警列表</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以列表形式统计安全监测的历史预警信息，包括测点所属水库、预警类型、测点编号、实测值、预警阈值、预警等级、预警时间等信息。</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2）预警判据</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根据人工经验和分析，针对表面位移、渗压监测等不同类型和位置的监测设备，系统内可设置各项监测设备的监测阈值，支撑大坝异常情况的预警，达到不同阈值时系统自动生成不同类型和等级的报警信息。</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3）预警模型</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系统可自定义配置预警模型，设置不同情况下的多参数组合预警条件。基于监测数据匹配对应的预警计算模型，实现自动化计算预警结果并遵照相应的规则输出预警等级，并推送预警信息，进行大坝异常情况的预警。</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4）预警联系人管理</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对预警联系人进行管理，包括联系人姓名、职务、分组、联系电话等。</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3.3.6 后台管理</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包含权限管理、用户管理、日志管理、数据管理等功能。权限管理主要包括操作权限管理和数据权限管理等，用户管理主要包括用户ID、用户登录名、用户名称、用户密码、用户所属组管理等，日志管理主要包括操作日志和登录日志管理等。数据管理包括测点信息维护、异常数据修正等，能够实现对所选水库雨水情各类测点的基本信息与仪器信息进行统一维护管理，包括测点新增、基本信息修改、仪器信息修改等内容，并根据用户权限授予人工修改置数功能，修改操作记入操作日志。</w:t>
      </w:r>
    </w:p>
    <w:p>
      <w:pPr>
        <w:autoSpaceDE w:val="0"/>
        <w:autoSpaceDN w:val="0"/>
        <w:adjustRightInd w:val="0"/>
        <w:snapToGrid w:val="0"/>
        <w:spacing w:line="360" w:lineRule="auto"/>
        <w:ind w:firstLine="420" w:firstLineChars="200"/>
        <w:textAlignment w:val="baseline"/>
        <w:outlineLvl w:val="2"/>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3.4 数据库表设计</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基于台州市黄岩区水利数据仓，在台州市黄岩区已有数据的基础上，进行25座水库的专题库建设，收集和整编25座小型水库的基础数据、位置分布、工程特性等相关数据，接入水雨情监测、安全监测、视频监控的数据。</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按照水利信息资源标准规范和统一数据要求，结合水利资源目录梳理成果，开展25座水库的专题库数据库表结构设计，编制数据字典，生成标准数据库脚本。具体包括基础库、业务库和空间库等数据库。</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1）基础库</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用于存储变动不频繁的、公用程度高的水库工程相关基础信息，如工程特性等基础属性数据。</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2）业务库</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业务库主要存储随时间变化会产生增量的业务应用体系中的各种应用数据。水库监管业务库主要包括水情雨情、安全监测的业务信息。</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3）空间库</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空间库用于存储水库工程各类要素的空间位置数据，包括工程位置、关联水雨情站点、安全监测点等。</w:t>
      </w:r>
    </w:p>
    <w:p>
      <w:pPr>
        <w:autoSpaceDE w:val="0"/>
        <w:autoSpaceDN w:val="0"/>
        <w:adjustRightInd w:val="0"/>
        <w:snapToGrid w:val="0"/>
        <w:spacing w:line="360" w:lineRule="auto"/>
        <w:ind w:firstLine="420" w:firstLineChars="200"/>
        <w:textAlignment w:val="baseline"/>
        <w:outlineLvl w:val="2"/>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3.5 数据接入设计</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在省级和台州市黄岩区水利数据仓已有的水库相关数据基础上，通过建设接口的方式，向省、台州市黄岩区水利数据仓进行数据申请，实现25座小型水库的数据接入，具体包括基础数据、水雨情数据、安全监测数据、视频监控数据等。为保证后期建设的小型水库数据接入，应预留相应对接接口，将相关数据接入平台进行展示。</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相关数据通过省水利数据仓、台州市黄岩区水利数据仓获取接入。数据接入的内容如下：</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1）基础数据</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包括25座小型水库基础信息、工程特性、建管情况、责任人等信息。</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2）水雨情数据</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包括25座小型水库库区周边已建、新建水雨情站点实时监测数据。</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3）安全监测数据</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基于25座前端感知监测位移、渗流等安全监测设备，通过网络或链路，实时获取大坝安全监测数据；对于人工监测数据，通过人工录入系统。</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4）视频监控数据</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对接25座水库视频监控，集成到系统中，可在驾驶舱中进行集中展播。</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p>
    <w:p>
      <w:pPr>
        <w:autoSpaceDE w:val="0"/>
        <w:autoSpaceDN w:val="0"/>
        <w:adjustRightInd w:val="0"/>
        <w:snapToGrid w:val="0"/>
        <w:spacing w:line="360" w:lineRule="auto"/>
        <w:ind w:firstLine="420" w:firstLineChars="200"/>
        <w:textAlignment w:val="baseline"/>
        <w:outlineLvl w:val="2"/>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3.6 系统集成设计</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本项目中涉及到的设备包括渗压计、量水堰计等多种设备；设备类型多种多样、数量繁多、通信多协议等特点。本项目中采用物联网管理平台提供成熟可靠的设备连接、设备管理服务，可以将分散化的相关物联网设备进行统一管理。</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物联网平台提供多种接入方式来保证不同协议、不同类型的设备接入。平台提供设备激活、认证、注册策略来保障设备的合法性。设备连接到物联网平台之后，平台可对设备进行数据采集和远程控制；在数据应用方面：基于规则引擎，保证数据实时的到达终端，查看设备实时状态、控制设备；同时可以基于数据层进行数据的存储、深度挖掘、数据可视化等服务；面向上层应用，平台提供API接口以及应用网关等模块用于应用开发。在设备管理方面，物联网平台构建了设备激活、认证、注册到设备数据采集处理、实时状态监控、远程控制、设备告警设置、消息推送以及设备的故障诊断分析、设备售后管理等涵盖设备全生命周期的管理架构。同时提供可视化的设备管理界面进行设备的管理。</w:t>
      </w:r>
    </w:p>
    <w:p>
      <w:pPr>
        <w:keepNext/>
        <w:keepLines/>
        <w:tabs>
          <w:tab w:val="left" w:pos="756"/>
        </w:tabs>
        <w:spacing w:line="360" w:lineRule="auto"/>
        <w:outlineLvl w:val="1"/>
        <w:rPr>
          <w:rFonts w:cs="仿宋" w:asciiTheme="majorEastAsia" w:hAnsiTheme="majorEastAsia" w:eastAsiaTheme="majorEastAsia"/>
          <w:b/>
          <w:snapToGrid w:val="0"/>
          <w:szCs w:val="21"/>
        </w:rPr>
      </w:pPr>
      <w:r>
        <w:rPr>
          <w:rFonts w:cs="仿宋" w:asciiTheme="majorEastAsia" w:hAnsiTheme="majorEastAsia" w:eastAsiaTheme="majorEastAsia"/>
          <w:b/>
          <w:snapToGrid w:val="0"/>
          <w:szCs w:val="21"/>
        </w:rPr>
        <w:t>4</w:t>
      </w:r>
      <w:r>
        <w:rPr>
          <w:rFonts w:hint="eastAsia" w:cs="仿宋" w:asciiTheme="majorEastAsia" w:hAnsiTheme="majorEastAsia" w:eastAsiaTheme="majorEastAsia"/>
          <w:b/>
          <w:snapToGrid w:val="0"/>
          <w:szCs w:val="21"/>
        </w:rPr>
        <w:t>、运行期监测实施内容</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本项目实施提供3年运行期监测及整编资料分析报告服务（2</w:t>
      </w:r>
      <w:r>
        <w:rPr>
          <w:rFonts w:cs="仿宋" w:asciiTheme="majorEastAsia" w:hAnsiTheme="majorEastAsia" w:eastAsiaTheme="majorEastAsia"/>
          <w:kern w:val="0"/>
          <w:szCs w:val="21"/>
        </w:rPr>
        <w:t>5</w:t>
      </w:r>
      <w:r>
        <w:rPr>
          <w:rFonts w:hint="eastAsia" w:cs="仿宋" w:asciiTheme="majorEastAsia" w:hAnsiTheme="majorEastAsia" w:eastAsiaTheme="majorEastAsia"/>
          <w:kern w:val="0"/>
          <w:szCs w:val="21"/>
        </w:rPr>
        <w:t>座小型水库），按运行期监测频次进行日常监测，并在每年年底对水库监测数据进行整编分析，编制监测资料和大坝安全监测分析报告。</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2</w:t>
      </w:r>
      <w:r>
        <w:rPr>
          <w:rFonts w:cs="仿宋" w:asciiTheme="majorEastAsia" w:hAnsiTheme="majorEastAsia" w:eastAsiaTheme="majorEastAsia"/>
          <w:kern w:val="0"/>
          <w:szCs w:val="21"/>
        </w:rPr>
        <w:t>5</w:t>
      </w:r>
      <w:r>
        <w:rPr>
          <w:rFonts w:hint="eastAsia" w:cs="仿宋" w:asciiTheme="majorEastAsia" w:hAnsiTheme="majorEastAsia" w:eastAsiaTheme="majorEastAsia"/>
          <w:kern w:val="0"/>
          <w:szCs w:val="21"/>
        </w:rPr>
        <w:t>座小型水库运行监测频次：土石坝表面变形监测为4次/年，混凝土坝为12次/年，在汛期高水位时增加测次；渗流监测及渗流量监测采用自动化监测，每天不少于1次。</w:t>
      </w:r>
    </w:p>
    <w:p>
      <w:pPr>
        <w:keepNext/>
        <w:keepLines/>
        <w:tabs>
          <w:tab w:val="left" w:pos="432"/>
        </w:tabs>
        <w:spacing w:before="200" w:after="200" w:line="360" w:lineRule="auto"/>
        <w:outlineLvl w:val="0"/>
        <w:rPr>
          <w:rFonts w:cs="仿宋" w:asciiTheme="majorEastAsia" w:hAnsiTheme="majorEastAsia" w:eastAsiaTheme="majorEastAsia"/>
          <w:b/>
          <w:bCs/>
          <w:snapToGrid w:val="0"/>
          <w:szCs w:val="21"/>
        </w:rPr>
      </w:pPr>
      <w:r>
        <w:rPr>
          <w:rFonts w:hint="eastAsia" w:cs="仿宋" w:asciiTheme="majorEastAsia" w:hAnsiTheme="majorEastAsia" w:eastAsiaTheme="majorEastAsia"/>
          <w:b/>
          <w:bCs/>
          <w:snapToGrid w:val="0"/>
          <w:szCs w:val="21"/>
        </w:rPr>
        <w:t>（三）设备选型</w:t>
      </w:r>
    </w:p>
    <w:p>
      <w:pPr>
        <w:keepNext/>
        <w:keepLines/>
        <w:spacing w:line="360" w:lineRule="auto"/>
        <w:outlineLvl w:val="1"/>
        <w:rPr>
          <w:rFonts w:cs="仿宋" w:asciiTheme="minorEastAsia" w:hAnsiTheme="minorEastAsia" w:eastAsiaTheme="minorEastAsia"/>
          <w:snapToGrid w:val="0"/>
          <w:szCs w:val="21"/>
        </w:rPr>
      </w:pPr>
      <w:bookmarkStart w:id="11" w:name="_Toc92889761"/>
      <w:bookmarkStart w:id="12" w:name="_Toc23251922"/>
      <w:r>
        <w:rPr>
          <w:rFonts w:hint="eastAsia" w:cs="仿宋" w:asciiTheme="minorEastAsia" w:hAnsiTheme="minorEastAsia" w:eastAsiaTheme="minorEastAsia"/>
          <w:snapToGrid w:val="0"/>
          <w:szCs w:val="21"/>
        </w:rPr>
        <w:t>1、渗压计</w:t>
      </w:r>
    </w:p>
    <w:p>
      <w:pPr>
        <w:keepNext/>
        <w:keepLines/>
        <w:spacing w:line="360" w:lineRule="auto"/>
        <w:outlineLvl w:val="1"/>
        <w:rPr>
          <w:rFonts w:cs="仿宋" w:asciiTheme="minorEastAsia" w:hAnsiTheme="minorEastAsia" w:eastAsiaTheme="minorEastAsia"/>
          <w:snapToGrid w:val="0"/>
          <w:szCs w:val="21"/>
        </w:rPr>
      </w:pPr>
      <w:r>
        <w:rPr>
          <w:rFonts w:hint="eastAsia" w:cs="仿宋" w:asciiTheme="minorEastAsia" w:hAnsiTheme="minorEastAsia" w:eastAsiaTheme="minorEastAsia"/>
          <w:snapToGrid w:val="0"/>
          <w:szCs w:val="21"/>
        </w:rPr>
        <w:t>要求振弦式渗压计，其各种性能优异，主要部件均用特殊钢材制造，适合各种恶劣环境使用，推荐品牌可选择北京基康、北京盛科瑞、南京南瑞或相当于等。技术性能指标如下：</w:t>
      </w:r>
    </w:p>
    <w:p>
      <w:pPr>
        <w:keepNext/>
        <w:keepLines/>
        <w:spacing w:line="360" w:lineRule="auto"/>
        <w:outlineLvl w:val="1"/>
        <w:rPr>
          <w:rFonts w:cs="仿宋" w:asciiTheme="minorEastAsia" w:hAnsiTheme="minorEastAsia" w:eastAsiaTheme="minorEastAsia"/>
          <w:snapToGrid w:val="0"/>
          <w:szCs w:val="21"/>
        </w:rPr>
      </w:pPr>
      <w:r>
        <w:rPr>
          <w:rFonts w:hint="eastAsia" w:cs="仿宋" w:asciiTheme="minorEastAsia" w:hAnsiTheme="minorEastAsia" w:eastAsiaTheme="minorEastAsia"/>
          <w:snapToGrid w:val="0"/>
          <w:szCs w:val="21"/>
        </w:rPr>
        <w:t>量程：350kPa</w:t>
      </w:r>
    </w:p>
    <w:p>
      <w:pPr>
        <w:keepNext/>
        <w:keepLines/>
        <w:spacing w:line="360" w:lineRule="auto"/>
        <w:outlineLvl w:val="1"/>
        <w:rPr>
          <w:rFonts w:cs="仿宋" w:asciiTheme="minorEastAsia" w:hAnsiTheme="minorEastAsia" w:eastAsiaTheme="minorEastAsia"/>
          <w:snapToGrid w:val="0"/>
          <w:szCs w:val="21"/>
        </w:rPr>
      </w:pPr>
      <w:r>
        <w:rPr>
          <w:rFonts w:hint="eastAsia" w:cs="仿宋" w:asciiTheme="minorEastAsia" w:hAnsiTheme="minorEastAsia" w:eastAsiaTheme="minorEastAsia"/>
          <w:snapToGrid w:val="0"/>
          <w:szCs w:val="21"/>
        </w:rPr>
        <w:t>▲分辨率：≤0.025% F.S.</w:t>
      </w:r>
    </w:p>
    <w:p>
      <w:pPr>
        <w:keepNext/>
        <w:keepLines/>
        <w:spacing w:line="360" w:lineRule="auto"/>
        <w:outlineLvl w:val="1"/>
        <w:rPr>
          <w:rFonts w:cs="仿宋" w:asciiTheme="minorEastAsia" w:hAnsiTheme="minorEastAsia" w:eastAsiaTheme="minorEastAsia"/>
          <w:snapToGrid w:val="0"/>
          <w:szCs w:val="21"/>
        </w:rPr>
      </w:pPr>
      <w:r>
        <w:rPr>
          <w:rFonts w:hint="eastAsia" w:cs="仿宋" w:asciiTheme="minorEastAsia" w:hAnsiTheme="minorEastAsia" w:eastAsiaTheme="minorEastAsia"/>
          <w:snapToGrid w:val="0"/>
          <w:szCs w:val="21"/>
        </w:rPr>
        <w:t>▲非线性度：≤0.5%FS</w:t>
      </w:r>
    </w:p>
    <w:p>
      <w:pPr>
        <w:keepNext/>
        <w:keepLines/>
        <w:spacing w:line="360" w:lineRule="auto"/>
        <w:outlineLvl w:val="1"/>
        <w:rPr>
          <w:rFonts w:cs="仿宋" w:asciiTheme="minorEastAsia" w:hAnsiTheme="minorEastAsia" w:eastAsiaTheme="minorEastAsia"/>
          <w:snapToGrid w:val="0"/>
          <w:szCs w:val="21"/>
        </w:rPr>
      </w:pPr>
      <w:r>
        <w:rPr>
          <w:rFonts w:hint="eastAsia" w:cs="仿宋" w:asciiTheme="minorEastAsia" w:hAnsiTheme="minorEastAsia" w:eastAsiaTheme="minorEastAsia"/>
          <w:snapToGrid w:val="0"/>
          <w:szCs w:val="21"/>
        </w:rPr>
        <w:t>▲绝缘电阻：≥50MΩ</w:t>
      </w:r>
    </w:p>
    <w:p>
      <w:pPr>
        <w:keepNext/>
        <w:keepLines/>
        <w:spacing w:line="360" w:lineRule="auto"/>
        <w:outlineLvl w:val="1"/>
        <w:rPr>
          <w:rFonts w:cs="仿宋" w:asciiTheme="minorEastAsia" w:hAnsiTheme="minorEastAsia" w:eastAsiaTheme="minorEastAsia"/>
          <w:snapToGrid w:val="0"/>
          <w:szCs w:val="21"/>
        </w:rPr>
      </w:pPr>
      <w:r>
        <w:rPr>
          <w:rFonts w:hint="eastAsia" w:cs="仿宋" w:asciiTheme="minorEastAsia" w:hAnsiTheme="minorEastAsia" w:eastAsiaTheme="minorEastAsia"/>
          <w:snapToGrid w:val="0"/>
          <w:szCs w:val="21"/>
        </w:rPr>
        <w:t>2、量水堰计</w:t>
      </w:r>
    </w:p>
    <w:p>
      <w:pPr>
        <w:keepNext/>
        <w:keepLines/>
        <w:spacing w:line="360" w:lineRule="auto"/>
        <w:outlineLvl w:val="1"/>
        <w:rPr>
          <w:rFonts w:cs="仿宋" w:asciiTheme="minorEastAsia" w:hAnsiTheme="minorEastAsia" w:eastAsiaTheme="minorEastAsia"/>
          <w:snapToGrid w:val="0"/>
          <w:szCs w:val="21"/>
        </w:rPr>
      </w:pPr>
      <w:r>
        <w:rPr>
          <w:rFonts w:hint="eastAsia" w:cs="仿宋" w:asciiTheme="minorEastAsia" w:hAnsiTheme="minorEastAsia" w:eastAsiaTheme="minorEastAsia"/>
          <w:snapToGrid w:val="0"/>
          <w:szCs w:val="21"/>
        </w:rPr>
        <w:t>要求振弦式量水堰计，其各种性能优异，主要部件均用特殊钢材制造，适合各种恶劣环境使用，推荐品牌可选择北京基康、北京盛科瑞、南京南瑞或相当于等。技术性能指标如下：</w:t>
      </w:r>
    </w:p>
    <w:p>
      <w:pPr>
        <w:keepNext/>
        <w:keepLines/>
        <w:spacing w:line="360" w:lineRule="auto"/>
        <w:outlineLvl w:val="1"/>
        <w:rPr>
          <w:rFonts w:cs="仿宋" w:asciiTheme="minorEastAsia" w:hAnsiTheme="minorEastAsia" w:eastAsiaTheme="minorEastAsia"/>
          <w:snapToGrid w:val="0"/>
          <w:szCs w:val="21"/>
        </w:rPr>
      </w:pPr>
      <w:r>
        <w:rPr>
          <w:rFonts w:hint="eastAsia" w:cs="仿宋" w:asciiTheme="minorEastAsia" w:hAnsiTheme="minorEastAsia" w:eastAsiaTheme="minorEastAsia"/>
          <w:snapToGrid w:val="0"/>
          <w:szCs w:val="21"/>
        </w:rPr>
        <w:t>量程：300mm</w:t>
      </w:r>
    </w:p>
    <w:p>
      <w:pPr>
        <w:keepNext/>
        <w:keepLines/>
        <w:spacing w:line="360" w:lineRule="auto"/>
        <w:outlineLvl w:val="1"/>
        <w:rPr>
          <w:rFonts w:cs="仿宋" w:asciiTheme="minorEastAsia" w:hAnsiTheme="minorEastAsia" w:eastAsiaTheme="minorEastAsia"/>
          <w:snapToGrid w:val="0"/>
          <w:szCs w:val="21"/>
        </w:rPr>
      </w:pPr>
      <w:r>
        <w:rPr>
          <w:rFonts w:hint="eastAsia" w:cs="仿宋" w:asciiTheme="minorEastAsia" w:hAnsiTheme="minorEastAsia" w:eastAsiaTheme="minorEastAsia"/>
          <w:snapToGrid w:val="0"/>
          <w:szCs w:val="21"/>
        </w:rPr>
        <w:t>▲分辨率：≤0.025% F.S.</w:t>
      </w:r>
    </w:p>
    <w:p>
      <w:pPr>
        <w:keepNext/>
        <w:keepLines/>
        <w:spacing w:line="360" w:lineRule="auto"/>
        <w:outlineLvl w:val="1"/>
        <w:rPr>
          <w:rFonts w:cs="仿宋" w:asciiTheme="minorEastAsia" w:hAnsiTheme="minorEastAsia" w:eastAsiaTheme="minorEastAsia"/>
          <w:snapToGrid w:val="0"/>
          <w:szCs w:val="21"/>
        </w:rPr>
      </w:pPr>
      <w:r>
        <w:rPr>
          <w:rFonts w:hint="eastAsia" w:cs="仿宋" w:asciiTheme="minorEastAsia" w:hAnsiTheme="minorEastAsia" w:eastAsiaTheme="minorEastAsia"/>
          <w:snapToGrid w:val="0"/>
          <w:szCs w:val="21"/>
        </w:rPr>
        <w:t>▲非线性度：≤0.5%FS</w:t>
      </w:r>
    </w:p>
    <w:p>
      <w:pPr>
        <w:keepNext/>
        <w:keepLines/>
        <w:spacing w:line="360" w:lineRule="auto"/>
        <w:outlineLvl w:val="1"/>
        <w:rPr>
          <w:rFonts w:cs="仿宋" w:asciiTheme="minorEastAsia" w:hAnsiTheme="minorEastAsia" w:eastAsiaTheme="minorEastAsia"/>
          <w:snapToGrid w:val="0"/>
          <w:szCs w:val="21"/>
        </w:rPr>
      </w:pPr>
      <w:r>
        <w:rPr>
          <w:rFonts w:hint="eastAsia" w:cs="仿宋" w:asciiTheme="minorEastAsia" w:hAnsiTheme="minorEastAsia" w:eastAsiaTheme="minorEastAsia"/>
          <w:snapToGrid w:val="0"/>
          <w:szCs w:val="21"/>
        </w:rPr>
        <w:t>▲绝缘电阻：≥50MΩ</w:t>
      </w:r>
    </w:p>
    <w:p>
      <w:pPr>
        <w:keepNext/>
        <w:keepLines/>
        <w:spacing w:line="360" w:lineRule="auto"/>
        <w:outlineLvl w:val="1"/>
        <w:rPr>
          <w:rFonts w:cs="仿宋" w:asciiTheme="minorEastAsia" w:hAnsiTheme="minorEastAsia" w:eastAsiaTheme="minorEastAsia"/>
          <w:snapToGrid w:val="0"/>
          <w:szCs w:val="21"/>
        </w:rPr>
      </w:pPr>
      <w:r>
        <w:rPr>
          <w:rFonts w:hint="eastAsia" w:cs="仿宋" w:asciiTheme="minorEastAsia" w:hAnsiTheme="minorEastAsia" w:eastAsiaTheme="minorEastAsia"/>
          <w:snapToGrid w:val="0"/>
          <w:szCs w:val="21"/>
        </w:rPr>
        <w:t>3、自动化监测设备选型</w:t>
      </w:r>
    </w:p>
    <w:p>
      <w:pPr>
        <w:keepNext/>
        <w:keepLines/>
        <w:spacing w:line="360" w:lineRule="auto"/>
        <w:outlineLvl w:val="1"/>
        <w:rPr>
          <w:rFonts w:cs="仿宋" w:asciiTheme="minorEastAsia" w:hAnsiTheme="minorEastAsia" w:eastAsiaTheme="minorEastAsia"/>
          <w:snapToGrid w:val="0"/>
          <w:szCs w:val="21"/>
        </w:rPr>
      </w:pPr>
      <w:r>
        <w:rPr>
          <w:rFonts w:hint="eastAsia" w:cs="仿宋" w:asciiTheme="minorEastAsia" w:hAnsiTheme="minorEastAsia" w:eastAsiaTheme="minorEastAsia"/>
          <w:snapToGrid w:val="0"/>
          <w:szCs w:val="21"/>
        </w:rPr>
        <w:t>由不锈钢保护箱、全功能数据采集模块、太阳能板等组成单点采集装置，各功能模块布局合理、标志清楚、维修方便，具有自动量测、信号处理、控制和通讯功能，并能在野外恶劣的环境下长期可靠的运行，低能耗，并备有备用电源，有可靠的防雷抗干扰保护措施，平均无故障时间大于6300小时，完全满足自动化监测系统的要求。采用多种通讯方式，便于系统组成和扩展。推荐品牌可选择北京基康、北京盛科瑞、南京南瑞或相当于等。主要性能指标为：</w:t>
      </w:r>
    </w:p>
    <w:p>
      <w:pPr>
        <w:keepNext/>
        <w:keepLines/>
        <w:spacing w:line="360" w:lineRule="auto"/>
        <w:outlineLvl w:val="1"/>
        <w:rPr>
          <w:rFonts w:cs="仿宋" w:asciiTheme="minorEastAsia" w:hAnsiTheme="minorEastAsia" w:eastAsiaTheme="minorEastAsia"/>
          <w:snapToGrid w:val="0"/>
          <w:szCs w:val="21"/>
        </w:rPr>
      </w:pPr>
      <w:r>
        <w:rPr>
          <w:rFonts w:hint="eastAsia" w:cs="仿宋" w:asciiTheme="minorEastAsia" w:hAnsiTheme="minorEastAsia" w:eastAsiaTheme="minorEastAsia"/>
          <w:snapToGrid w:val="0"/>
          <w:szCs w:val="21"/>
        </w:rPr>
        <w:t xml:space="preserve">★频率测量范围：400 Hz～6000Hz； </w:t>
      </w:r>
    </w:p>
    <w:p>
      <w:pPr>
        <w:keepNext/>
        <w:keepLines/>
        <w:spacing w:line="360" w:lineRule="auto"/>
        <w:outlineLvl w:val="1"/>
        <w:rPr>
          <w:rFonts w:cs="仿宋" w:asciiTheme="minorEastAsia" w:hAnsiTheme="minorEastAsia" w:eastAsiaTheme="minorEastAsia"/>
          <w:snapToGrid w:val="0"/>
          <w:szCs w:val="21"/>
        </w:rPr>
      </w:pPr>
      <w:r>
        <w:rPr>
          <w:rFonts w:hint="eastAsia" w:cs="仿宋" w:asciiTheme="minorEastAsia" w:hAnsiTheme="minorEastAsia" w:eastAsiaTheme="minorEastAsia"/>
          <w:snapToGrid w:val="0"/>
          <w:szCs w:val="21"/>
        </w:rPr>
        <w:t>▲频率测量精度：≤0.1Hz；</w:t>
      </w:r>
    </w:p>
    <w:p>
      <w:pPr>
        <w:keepNext/>
        <w:keepLines/>
        <w:spacing w:line="360" w:lineRule="auto"/>
        <w:outlineLvl w:val="1"/>
        <w:rPr>
          <w:rFonts w:cs="仿宋" w:asciiTheme="minorEastAsia" w:hAnsiTheme="minorEastAsia" w:eastAsiaTheme="minorEastAsia"/>
          <w:snapToGrid w:val="0"/>
          <w:szCs w:val="21"/>
        </w:rPr>
      </w:pPr>
      <w:r>
        <w:rPr>
          <w:rFonts w:hint="eastAsia" w:cs="仿宋" w:asciiTheme="minorEastAsia" w:hAnsiTheme="minorEastAsia" w:eastAsiaTheme="minorEastAsia"/>
          <w:snapToGrid w:val="0"/>
          <w:szCs w:val="21"/>
        </w:rPr>
        <w:t>▲频率测量分辨率：≤0.01 Hz；</w:t>
      </w:r>
    </w:p>
    <w:p>
      <w:pPr>
        <w:keepNext/>
        <w:keepLines/>
        <w:spacing w:line="360" w:lineRule="auto"/>
        <w:outlineLvl w:val="1"/>
        <w:rPr>
          <w:rFonts w:cs="仿宋" w:asciiTheme="minorEastAsia" w:hAnsiTheme="minorEastAsia" w:eastAsiaTheme="minorEastAsia"/>
          <w:snapToGrid w:val="0"/>
          <w:szCs w:val="21"/>
        </w:rPr>
      </w:pPr>
      <w:r>
        <w:rPr>
          <w:rFonts w:hint="eastAsia" w:cs="仿宋" w:asciiTheme="minorEastAsia" w:hAnsiTheme="minorEastAsia" w:eastAsiaTheme="minorEastAsia"/>
          <w:snapToGrid w:val="0"/>
          <w:szCs w:val="21"/>
        </w:rPr>
        <w:t>★温度测量范围：-20℃～+70℃；</w:t>
      </w:r>
    </w:p>
    <w:p>
      <w:pPr>
        <w:keepNext/>
        <w:keepLines/>
        <w:spacing w:line="360" w:lineRule="auto"/>
        <w:outlineLvl w:val="1"/>
        <w:rPr>
          <w:rFonts w:cs="仿宋" w:asciiTheme="minorEastAsia" w:hAnsiTheme="minorEastAsia" w:eastAsiaTheme="minorEastAsia"/>
          <w:snapToGrid w:val="0"/>
          <w:szCs w:val="21"/>
        </w:rPr>
      </w:pPr>
      <w:r>
        <w:rPr>
          <w:rFonts w:hint="eastAsia" w:cs="仿宋" w:asciiTheme="minorEastAsia" w:hAnsiTheme="minorEastAsia" w:eastAsiaTheme="minorEastAsia"/>
          <w:snapToGrid w:val="0"/>
          <w:szCs w:val="21"/>
        </w:rPr>
        <w:t>▲温度测量准确度：±0.5℃；</w:t>
      </w:r>
    </w:p>
    <w:p>
      <w:pPr>
        <w:keepNext/>
        <w:keepLines/>
        <w:spacing w:line="360" w:lineRule="auto"/>
        <w:outlineLvl w:val="1"/>
        <w:rPr>
          <w:rFonts w:cs="仿宋" w:asciiTheme="minorEastAsia" w:hAnsiTheme="minorEastAsia" w:eastAsiaTheme="minorEastAsia"/>
          <w:snapToGrid w:val="0"/>
          <w:szCs w:val="21"/>
        </w:rPr>
      </w:pPr>
      <w:r>
        <w:rPr>
          <w:rFonts w:hint="eastAsia" w:cs="仿宋" w:asciiTheme="minorEastAsia" w:hAnsiTheme="minorEastAsia" w:eastAsiaTheme="minorEastAsia"/>
          <w:snapToGrid w:val="0"/>
          <w:szCs w:val="21"/>
        </w:rPr>
        <w:t>▲温度测量分辨率：≤0.1℃；</w:t>
      </w:r>
    </w:p>
    <w:p>
      <w:pPr>
        <w:keepNext/>
        <w:keepLines/>
        <w:spacing w:line="360" w:lineRule="auto"/>
        <w:outlineLvl w:val="1"/>
        <w:rPr>
          <w:rFonts w:cs="仿宋" w:asciiTheme="minorEastAsia" w:hAnsiTheme="minorEastAsia" w:eastAsiaTheme="minorEastAsia"/>
          <w:snapToGrid w:val="0"/>
          <w:szCs w:val="21"/>
        </w:rPr>
      </w:pPr>
      <w:r>
        <w:rPr>
          <w:rFonts w:hint="eastAsia" w:cs="仿宋" w:asciiTheme="minorEastAsia" w:hAnsiTheme="minorEastAsia" w:eastAsiaTheme="minorEastAsia"/>
          <w:snapToGrid w:val="0"/>
          <w:szCs w:val="21"/>
        </w:rPr>
        <w:t xml:space="preserve">★工作环境温度：-20℃～70℃； </w:t>
      </w:r>
    </w:p>
    <w:p>
      <w:pPr>
        <w:keepNext/>
        <w:keepLines/>
        <w:spacing w:line="360" w:lineRule="auto"/>
        <w:outlineLvl w:val="1"/>
        <w:rPr>
          <w:rFonts w:cs="仿宋" w:asciiTheme="minorEastAsia" w:hAnsiTheme="minorEastAsia" w:eastAsiaTheme="minorEastAsia"/>
          <w:snapToGrid w:val="0"/>
          <w:szCs w:val="21"/>
        </w:rPr>
      </w:pPr>
      <w:r>
        <w:rPr>
          <w:rFonts w:hint="eastAsia" w:cs="仿宋" w:asciiTheme="minorEastAsia" w:hAnsiTheme="minorEastAsia" w:eastAsiaTheme="minorEastAsia"/>
          <w:snapToGrid w:val="0"/>
          <w:szCs w:val="21"/>
        </w:rPr>
        <w:t>★工作环境湿度：≤95%；</w:t>
      </w:r>
    </w:p>
    <w:p>
      <w:pPr>
        <w:keepNext/>
        <w:keepLines/>
        <w:spacing w:line="360" w:lineRule="auto"/>
        <w:outlineLvl w:val="1"/>
        <w:rPr>
          <w:rFonts w:cs="仿宋" w:asciiTheme="minorEastAsia" w:hAnsiTheme="minorEastAsia" w:eastAsiaTheme="minorEastAsia"/>
          <w:snapToGrid w:val="0"/>
          <w:szCs w:val="21"/>
        </w:rPr>
      </w:pPr>
      <w:r>
        <w:rPr>
          <w:rFonts w:hint="eastAsia" w:cs="仿宋" w:asciiTheme="minorEastAsia" w:hAnsiTheme="minorEastAsia" w:eastAsiaTheme="minorEastAsia"/>
          <w:snapToGrid w:val="0"/>
          <w:szCs w:val="21"/>
        </w:rPr>
        <w:t>★防护等级：≥IP66；</w:t>
      </w:r>
    </w:p>
    <w:p>
      <w:pPr>
        <w:keepNext/>
        <w:keepLines/>
        <w:spacing w:line="360" w:lineRule="auto"/>
        <w:outlineLvl w:val="1"/>
        <w:rPr>
          <w:rFonts w:cs="仿宋" w:asciiTheme="minorEastAsia" w:hAnsiTheme="minorEastAsia" w:eastAsiaTheme="minorEastAsia"/>
          <w:snapToGrid w:val="0"/>
          <w:szCs w:val="21"/>
        </w:rPr>
      </w:pPr>
      <w:r>
        <w:rPr>
          <w:rFonts w:hint="eastAsia" w:cs="仿宋" w:asciiTheme="minorEastAsia" w:hAnsiTheme="minorEastAsia" w:eastAsiaTheme="minorEastAsia"/>
          <w:snapToGrid w:val="0"/>
          <w:szCs w:val="21"/>
        </w:rPr>
        <w:t>★系统平均无故障时间：≥6300小时；</w:t>
      </w:r>
    </w:p>
    <w:p>
      <w:pPr>
        <w:keepNext/>
        <w:keepLines/>
        <w:spacing w:line="360" w:lineRule="auto"/>
        <w:outlineLvl w:val="1"/>
        <w:rPr>
          <w:rFonts w:cs="仿宋" w:asciiTheme="minorEastAsia" w:hAnsiTheme="minorEastAsia" w:eastAsiaTheme="minorEastAsia"/>
          <w:snapToGrid w:val="0"/>
          <w:szCs w:val="21"/>
        </w:rPr>
      </w:pPr>
      <w:r>
        <w:rPr>
          <w:rFonts w:hint="eastAsia" w:cs="仿宋" w:asciiTheme="minorEastAsia" w:hAnsiTheme="minorEastAsia" w:eastAsiaTheme="minorEastAsia"/>
          <w:snapToGrid w:val="0"/>
          <w:szCs w:val="21"/>
        </w:rPr>
        <w:t>★定时采集间隔：5min～3d，可调。</w:t>
      </w:r>
    </w:p>
    <w:p>
      <w:pPr>
        <w:keepNext/>
        <w:keepLines/>
        <w:spacing w:line="360" w:lineRule="auto"/>
        <w:outlineLvl w:val="1"/>
        <w:rPr>
          <w:rFonts w:cs="仿宋" w:asciiTheme="majorEastAsia" w:hAnsiTheme="majorEastAsia" w:eastAsiaTheme="majorEastAsia"/>
          <w:b/>
          <w:snapToGrid w:val="0"/>
          <w:szCs w:val="21"/>
        </w:rPr>
      </w:pPr>
      <w:r>
        <w:rPr>
          <w:rFonts w:cs="仿宋" w:asciiTheme="majorEastAsia" w:hAnsiTheme="majorEastAsia" w:eastAsiaTheme="majorEastAsia"/>
          <w:b/>
          <w:snapToGrid w:val="0"/>
          <w:szCs w:val="21"/>
        </w:rPr>
        <w:t>4</w:t>
      </w:r>
      <w:r>
        <w:rPr>
          <w:rFonts w:hint="eastAsia" w:cs="仿宋" w:asciiTheme="majorEastAsia" w:hAnsiTheme="majorEastAsia" w:eastAsiaTheme="majorEastAsia"/>
          <w:b/>
          <w:snapToGrid w:val="0"/>
          <w:szCs w:val="21"/>
        </w:rPr>
        <w:t>、通信方式</w:t>
      </w:r>
      <w:bookmarkEnd w:id="11"/>
      <w:bookmarkEnd w:id="12"/>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推荐采用单点采集，通过GPRS（4G/5G）无线通信的方式进行数据的传输。</w:t>
      </w:r>
    </w:p>
    <w:p>
      <w:pPr>
        <w:pStyle w:val="18"/>
        <w:ind w:firstLine="0"/>
        <w:outlineLvl w:val="1"/>
        <w:rPr>
          <w:rFonts w:cs="仿宋" w:asciiTheme="majorEastAsia" w:hAnsiTheme="majorEastAsia" w:eastAsiaTheme="majorEastAsia"/>
          <w:b/>
          <w:bCs/>
          <w:snapToGrid w:val="0"/>
          <w:szCs w:val="21"/>
        </w:rPr>
      </w:pPr>
      <w:r>
        <w:rPr>
          <w:rFonts w:hint="eastAsia" w:cs="仿宋" w:asciiTheme="majorEastAsia" w:hAnsiTheme="majorEastAsia" w:eastAsiaTheme="majorEastAsia"/>
          <w:b/>
          <w:bCs/>
          <w:snapToGrid w:val="0"/>
          <w:szCs w:val="21"/>
        </w:rPr>
        <w:t>（四）</w:t>
      </w:r>
      <w:r>
        <w:rPr>
          <w:rFonts w:hint="eastAsia" w:cs="仿宋" w:asciiTheme="majorEastAsia" w:hAnsiTheme="majorEastAsia" w:eastAsiaTheme="majorEastAsia"/>
          <w:b/>
          <w:snapToGrid w:val="0"/>
          <w:szCs w:val="21"/>
        </w:rPr>
        <w:t>质保维保</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为保障水库大坝监测设备的可靠性和长效性，监测数据的可靠性和连续性，本项目实施方需提供</w:t>
      </w:r>
      <w:r>
        <w:rPr>
          <w:rFonts w:cs="仿宋" w:asciiTheme="majorEastAsia" w:hAnsiTheme="majorEastAsia" w:eastAsiaTheme="majorEastAsia"/>
          <w:kern w:val="0"/>
          <w:szCs w:val="21"/>
        </w:rPr>
        <w:t>3</w:t>
      </w:r>
      <w:r>
        <w:rPr>
          <w:rFonts w:hint="eastAsia" w:cs="仿宋" w:asciiTheme="majorEastAsia" w:hAnsiTheme="majorEastAsia" w:eastAsiaTheme="majorEastAsia"/>
          <w:kern w:val="0"/>
          <w:szCs w:val="21"/>
        </w:rPr>
        <w:t>年保修期服务。</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本项目保修期内运行维护服务主要内容如下：</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（1）每年完成一次系统巡检，包含：表面变形测点、渗流自动化监测设施、渗流量自动化监测设施等设备维护等。</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（2）项目中的所有硬件、软件、集成等，需达到</w:t>
      </w:r>
      <w:r>
        <w:rPr>
          <w:rFonts w:cs="仿宋" w:asciiTheme="majorEastAsia" w:hAnsiTheme="majorEastAsia" w:eastAsiaTheme="majorEastAsia"/>
          <w:kern w:val="0"/>
          <w:szCs w:val="21"/>
        </w:rPr>
        <w:t>3</w:t>
      </w:r>
      <w:r>
        <w:rPr>
          <w:rFonts w:hint="eastAsia" w:cs="仿宋" w:asciiTheme="majorEastAsia" w:hAnsiTheme="majorEastAsia" w:eastAsiaTheme="majorEastAsia"/>
          <w:kern w:val="0"/>
          <w:szCs w:val="21"/>
        </w:rPr>
        <w:t>年时间的质保维保，维修的全部费用由中标单位承担。</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（3）维保设备必须正品。所有的维修更换，必须是投标书中提供的产品或配件正品，或者更高标准更高规格的设备。</w:t>
      </w:r>
    </w:p>
    <w:p>
      <w:pPr>
        <w:autoSpaceDE w:val="0"/>
        <w:autoSpaceDN w:val="0"/>
        <w:adjustRightInd w:val="0"/>
        <w:snapToGrid w:val="0"/>
        <w:spacing w:line="360" w:lineRule="auto"/>
        <w:ind w:firstLine="420" w:firstLineChars="200"/>
        <w:textAlignment w:val="baseline"/>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w:t>
      </w:r>
      <w:r>
        <w:rPr>
          <w:rFonts w:cs="仿宋" w:asciiTheme="majorEastAsia" w:hAnsiTheme="majorEastAsia" w:eastAsiaTheme="majorEastAsia"/>
          <w:kern w:val="0"/>
          <w:szCs w:val="21"/>
        </w:rPr>
        <w:t>4</w:t>
      </w:r>
      <w:r>
        <w:rPr>
          <w:rFonts w:hint="eastAsia" w:cs="仿宋" w:asciiTheme="majorEastAsia" w:hAnsiTheme="majorEastAsia" w:eastAsiaTheme="majorEastAsia"/>
          <w:kern w:val="0"/>
          <w:szCs w:val="21"/>
        </w:rPr>
        <w:t>）设备精度校验。每年对设备测量精度进行一次校准，包括：渗压计、量水堰水位计等。</w:t>
      </w:r>
    </w:p>
    <w:p>
      <w:pPr>
        <w:rPr>
          <w:szCs w:val="21"/>
        </w:rPr>
      </w:pPr>
    </w:p>
    <w:p>
      <w:pPr>
        <w:numPr>
          <w:ilvl w:val="0"/>
          <w:numId w:val="4"/>
        </w:num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商务部分</w:t>
      </w:r>
    </w:p>
    <w:p>
      <w:pPr>
        <w:numPr>
          <w:ilvl w:val="0"/>
          <w:numId w:val="5"/>
        </w:numPr>
        <w:spacing w:line="360" w:lineRule="auto"/>
        <w:jc w:val="left"/>
        <w:rPr>
          <w:rFonts w:ascii="宋体" w:hAnsi="宋体" w:cs="宋体"/>
          <w:bCs/>
          <w:szCs w:val="21"/>
        </w:rPr>
      </w:pPr>
      <w:r>
        <w:rPr>
          <w:rFonts w:hint="eastAsia" w:ascii="宋体" w:hAnsi="宋体" w:cs="宋体"/>
          <w:bCs/>
          <w:szCs w:val="21"/>
        </w:rPr>
        <w:t>完成时间及安装调试</w:t>
      </w:r>
    </w:p>
    <w:p>
      <w:pPr>
        <w:spacing w:line="360" w:lineRule="auto"/>
        <w:jc w:val="left"/>
        <w:rPr>
          <w:rFonts w:ascii="宋体" w:hAnsi="宋体" w:cs="宋体"/>
          <w:bCs/>
          <w:szCs w:val="21"/>
        </w:rPr>
      </w:pPr>
      <w:r>
        <w:rPr>
          <w:rFonts w:hint="eastAsia" w:ascii="宋体" w:hAnsi="宋体" w:cs="宋体"/>
          <w:bCs/>
          <w:szCs w:val="21"/>
        </w:rPr>
        <w:t>（1）项目工期：合同签订后12个月内完成全部设备供货、安装、调试、验收工作。其中西坑水库、岭口下水库、灵岩水库、共青号水库、凌云水库、下抱水库、黄坦水库(如有调整，以采购人通知为准，中标人须配合采购人安排)须在2022年11月30日前完成设备供货、安装、调试、验收工作。</w:t>
      </w:r>
    </w:p>
    <w:p>
      <w:pPr>
        <w:spacing w:line="360" w:lineRule="auto"/>
        <w:ind w:firstLine="420" w:firstLineChars="200"/>
        <w:jc w:val="left"/>
        <w:rPr>
          <w:rFonts w:ascii="宋体" w:hAnsi="宋体" w:cs="宋体"/>
          <w:bCs/>
          <w:szCs w:val="21"/>
        </w:rPr>
      </w:pPr>
      <w:r>
        <w:rPr>
          <w:rFonts w:hint="eastAsia" w:ascii="宋体" w:hAnsi="宋体" w:cs="宋体"/>
          <w:bCs/>
          <w:szCs w:val="21"/>
        </w:rPr>
        <w:t>运行期监测及整编资料分析报告服务：3年。</w:t>
      </w:r>
    </w:p>
    <w:p>
      <w:pPr>
        <w:pStyle w:val="66"/>
        <w:numPr>
          <w:ilvl w:val="0"/>
          <w:numId w:val="6"/>
        </w:numPr>
        <w:snapToGrid w:val="0"/>
        <w:spacing w:line="360" w:lineRule="auto"/>
        <w:ind w:firstLineChars="0"/>
        <w:rPr>
          <w:rFonts w:ascii="宋体" w:hAnsi="宋体" w:cs="宋体"/>
          <w:bCs/>
          <w:szCs w:val="21"/>
        </w:rPr>
      </w:pPr>
      <w:r>
        <w:rPr>
          <w:rFonts w:hint="eastAsia" w:ascii="宋体" w:hAnsi="宋体" w:cs="宋体"/>
          <w:bCs/>
          <w:szCs w:val="21"/>
        </w:rPr>
        <w:t>安装地点：由采购单位指定。</w:t>
      </w:r>
    </w:p>
    <w:p>
      <w:pPr>
        <w:snapToGrid w:val="0"/>
        <w:spacing w:line="360" w:lineRule="auto"/>
        <w:rPr>
          <w:rFonts w:ascii="宋体" w:hAnsi="宋体" w:cs="宋体"/>
          <w:bCs/>
          <w:szCs w:val="21"/>
        </w:rPr>
      </w:pPr>
      <w:r>
        <w:rPr>
          <w:rFonts w:hint="eastAsia" w:ascii="宋体" w:hAnsi="宋体" w:cs="宋体"/>
          <w:bCs/>
          <w:szCs w:val="21"/>
        </w:rPr>
        <w:t>（3）安装标准：符合我国国家有关技术规范要求和技术标准，所有的软件和硬件必须保证同时安装到位。</w:t>
      </w:r>
    </w:p>
    <w:p>
      <w:pPr>
        <w:snapToGrid w:val="0"/>
        <w:spacing w:line="360" w:lineRule="auto"/>
        <w:rPr>
          <w:rFonts w:ascii="宋体" w:hAnsi="宋体" w:cs="宋体"/>
          <w:bCs/>
          <w:szCs w:val="21"/>
        </w:rPr>
      </w:pPr>
      <w:r>
        <w:rPr>
          <w:rFonts w:hint="eastAsia" w:ascii="宋体" w:hAnsi="宋体" w:cs="宋体"/>
          <w:bCs/>
          <w:szCs w:val="21"/>
        </w:rPr>
        <w:t>（4）中标方免费提供中标设备的安装调试服务。</w:t>
      </w:r>
    </w:p>
    <w:p>
      <w:pPr>
        <w:pStyle w:val="4"/>
        <w:spacing w:line="360" w:lineRule="auto"/>
        <w:rPr>
          <w:rFonts w:ascii="宋体" w:hAnsi="宋体" w:cs="宋体"/>
          <w:bCs/>
          <w:sz w:val="21"/>
          <w:szCs w:val="21"/>
        </w:rPr>
      </w:pPr>
      <w:r>
        <w:rPr>
          <w:rFonts w:hint="eastAsia" w:ascii="宋体" w:hAnsi="宋体" w:cs="宋体"/>
          <w:bCs/>
          <w:sz w:val="21"/>
          <w:szCs w:val="21"/>
        </w:rPr>
        <w:t>2、履约保证金及质保金</w:t>
      </w:r>
    </w:p>
    <w:p>
      <w:pPr>
        <w:pStyle w:val="4"/>
        <w:spacing w:line="360" w:lineRule="auto"/>
        <w:ind w:firstLine="315" w:firstLineChars="150"/>
        <w:rPr>
          <w:rFonts w:ascii="宋体" w:hAnsi="宋体" w:cs="宋体"/>
          <w:bCs/>
          <w:sz w:val="21"/>
          <w:szCs w:val="21"/>
        </w:rPr>
      </w:pPr>
      <w:r>
        <w:rPr>
          <w:rFonts w:hint="eastAsia" w:ascii="宋体" w:hAnsi="宋体" w:cs="宋体"/>
          <w:bCs/>
          <w:sz w:val="21"/>
          <w:szCs w:val="21"/>
        </w:rPr>
        <w:t>乙方在收到中标通知书5个工作日内，需向甲方提供合同总金额的1%为履约保证金。供应商以银行、保险公司出具保函形式提交履约保证金的，采购单位不得拒收。履约保证金在项目验收后退还。</w:t>
      </w:r>
    </w:p>
    <w:p>
      <w:pPr>
        <w:adjustRightInd w:val="0"/>
        <w:snapToGrid w:val="0"/>
        <w:spacing w:line="360" w:lineRule="auto"/>
        <w:rPr>
          <w:rFonts w:ascii="宋体" w:hAnsi="宋体" w:cs="宋体"/>
          <w:bCs/>
          <w:szCs w:val="21"/>
        </w:rPr>
      </w:pPr>
      <w:r>
        <w:rPr>
          <w:rFonts w:hint="eastAsia" w:ascii="宋体" w:hAnsi="宋体" w:cs="宋体"/>
          <w:bCs/>
          <w:szCs w:val="21"/>
        </w:rPr>
        <w:t>3、付款条件：</w:t>
      </w:r>
    </w:p>
    <w:p>
      <w:pPr>
        <w:pStyle w:val="66"/>
        <w:numPr>
          <w:ilvl w:val="0"/>
          <w:numId w:val="7"/>
        </w:numPr>
        <w:adjustRightInd w:val="0"/>
        <w:snapToGrid w:val="0"/>
        <w:spacing w:line="360" w:lineRule="auto"/>
        <w:ind w:firstLineChars="0"/>
        <w:rPr>
          <w:rFonts w:ascii="宋体" w:hAnsi="宋体" w:cs="宋体"/>
          <w:bCs/>
          <w:szCs w:val="21"/>
        </w:rPr>
      </w:pPr>
      <w:r>
        <w:rPr>
          <w:rFonts w:hint="eastAsia" w:ascii="宋体" w:hAnsi="宋体" w:cs="宋体"/>
          <w:bCs/>
          <w:szCs w:val="21"/>
        </w:rPr>
        <w:t>合同生效且具备实施条件后7个工作日内支付支付合同金额的40%作为项目预付款；安全监测设施实施部分全部完工验收后再支付至合同金额的20%；运行期监测服务满一年后支付合同金额的10%；运行期监测服务满二年后再支付合同金额的10%；运行期监测服务满三年后结清合同余额。</w:t>
      </w:r>
    </w:p>
    <w:p>
      <w:pPr>
        <w:pStyle w:val="66"/>
        <w:numPr>
          <w:ilvl w:val="0"/>
          <w:numId w:val="7"/>
        </w:numPr>
        <w:adjustRightInd w:val="0"/>
        <w:snapToGrid w:val="0"/>
        <w:spacing w:line="360" w:lineRule="auto"/>
        <w:ind w:firstLineChars="0"/>
        <w:rPr>
          <w:rFonts w:ascii="宋体" w:hAnsi="宋体" w:cs="宋体"/>
          <w:bCs/>
          <w:szCs w:val="21"/>
        </w:rPr>
      </w:pPr>
      <w:r>
        <w:rPr>
          <w:rFonts w:hint="eastAsia" w:ascii="宋体" w:hAnsi="宋体" w:cs="宋体"/>
          <w:bCs/>
          <w:szCs w:val="21"/>
        </w:rPr>
        <w:t>付款时需提供等额正式税务发票。</w:t>
      </w:r>
    </w:p>
    <w:p>
      <w:pPr>
        <w:pStyle w:val="37"/>
        <w:widowControl w:val="0"/>
        <w:wordWrap w:val="0"/>
        <w:overflowPunct/>
        <w:topLinePunct/>
        <w:autoSpaceDE/>
        <w:autoSpaceDN/>
        <w:jc w:val="left"/>
        <w:rPr>
          <w:rFonts w:ascii="宋体" w:hAnsi="宋体" w:eastAsia="宋体" w:cs="宋体"/>
          <w:b w:val="0"/>
          <w:bCs/>
          <w:kern w:val="2"/>
          <w:sz w:val="21"/>
          <w:szCs w:val="21"/>
          <w:lang w:val="en-US"/>
        </w:rPr>
      </w:pPr>
      <w:r>
        <w:rPr>
          <w:rFonts w:hint="eastAsia" w:ascii="宋体" w:hAnsi="宋体" w:eastAsia="宋体" w:cs="宋体"/>
          <w:b w:val="0"/>
          <w:bCs/>
          <w:kern w:val="2"/>
          <w:sz w:val="21"/>
          <w:szCs w:val="21"/>
          <w:lang w:val="en-US"/>
        </w:rPr>
        <w:t>4、质保期：</w:t>
      </w:r>
    </w:p>
    <w:p>
      <w:pPr>
        <w:pStyle w:val="9"/>
        <w:spacing w:before="0" w:after="0" w:line="360" w:lineRule="auto"/>
        <w:ind w:firstLine="315" w:firstLineChars="150"/>
        <w:rPr>
          <w:rFonts w:ascii="宋体" w:hAnsi="宋体" w:cs="宋体"/>
          <w:b w:val="0"/>
          <w:sz w:val="21"/>
          <w:szCs w:val="21"/>
        </w:rPr>
      </w:pPr>
      <w:r>
        <w:rPr>
          <w:rFonts w:hint="eastAsia" w:ascii="宋体" w:hAnsi="宋体" w:cs="宋体"/>
          <w:b w:val="0"/>
          <w:sz w:val="21"/>
          <w:szCs w:val="21"/>
        </w:rPr>
        <w:t>本项目质保期为3年，质保期从竣工验收合格交付使用之日起算。质保期内因设备本身缺陷造成各种故障应由卖方免费技术服务和维修。</w:t>
      </w:r>
    </w:p>
    <w:p>
      <w:pPr>
        <w:spacing w:line="360" w:lineRule="auto"/>
        <w:ind w:firstLine="420" w:firstLineChars="200"/>
        <w:rPr>
          <w:rFonts w:ascii="宋体" w:hAnsi="宋体" w:cs="宋体"/>
          <w:bCs/>
          <w:szCs w:val="21"/>
        </w:rPr>
      </w:pPr>
      <w:r>
        <w:rPr>
          <w:rFonts w:hint="eastAsia" w:ascii="宋体" w:hAnsi="宋体" w:cs="宋体"/>
          <w:bCs/>
          <w:szCs w:val="21"/>
        </w:rPr>
        <w:t>在设备（或系统）整个使用期内，卖方应确保正常使用，在接到用户维修要求后在4小时内响应并提出解决方案，12小时内到达现场对故障进行处理，维修过程中所需材料中标供应商在接到通知后应及时提供，最长不超过24小时必须送达买方。若24小时内无法修复的，应48小时内必须修复正常运行，为此，投标供应商应提供相应承诺书。</w:t>
      </w:r>
    </w:p>
    <w:p>
      <w:pPr>
        <w:pStyle w:val="4"/>
        <w:spacing w:line="360" w:lineRule="auto"/>
        <w:ind w:firstLine="420" w:firstLineChars="200"/>
        <w:rPr>
          <w:rFonts w:ascii="宋体" w:hAnsi="宋体" w:cs="宋体"/>
          <w:bCs/>
          <w:sz w:val="21"/>
          <w:szCs w:val="21"/>
        </w:rPr>
      </w:pPr>
      <w:r>
        <w:rPr>
          <w:rFonts w:hint="eastAsia" w:ascii="宋体" w:hAnsi="宋体" w:cs="宋体"/>
          <w:bCs/>
          <w:sz w:val="21"/>
          <w:szCs w:val="21"/>
        </w:rPr>
        <w:t>在质保期内，中标供应商应负责对其提供的设备进行现场维修、损坏件更换，不收取额外费用，响应时间必须满足采购人工作正常运行的要求。</w:t>
      </w:r>
    </w:p>
    <w:p>
      <w:pPr>
        <w:pStyle w:val="5"/>
        <w:spacing w:line="360" w:lineRule="auto"/>
        <w:ind w:firstLine="0"/>
        <w:rPr>
          <w:rFonts w:ascii="宋体" w:hAnsi="宋体" w:cs="宋体"/>
          <w:bCs/>
          <w:szCs w:val="21"/>
        </w:rPr>
      </w:pPr>
      <w:r>
        <w:rPr>
          <w:rFonts w:hint="eastAsia" w:ascii="宋体" w:hAnsi="宋体" w:cs="宋体"/>
          <w:bCs/>
          <w:szCs w:val="21"/>
        </w:rPr>
        <w:t>5、技术培训</w:t>
      </w:r>
    </w:p>
    <w:p>
      <w:pPr>
        <w:pStyle w:val="5"/>
        <w:spacing w:line="360" w:lineRule="auto"/>
        <w:ind w:firstLineChars="200"/>
        <w:rPr>
          <w:rFonts w:ascii="宋体" w:hAnsi="宋体" w:cs="宋体"/>
          <w:bCs/>
          <w:szCs w:val="21"/>
        </w:rPr>
      </w:pPr>
      <w:r>
        <w:rPr>
          <w:rFonts w:hint="eastAsia" w:ascii="宋体" w:hAnsi="宋体" w:cs="宋体"/>
          <w:bCs/>
          <w:szCs w:val="21"/>
        </w:rPr>
        <w:t>中标供应商应对采购人的操作人员及维修人员提供技术培训，使其能对设备进行日常操作和维护保养及能对一般故障进行维修。投标方应提供相应的培训计划，详细说明培训的方式、地点、人数、时间等实质性内容。</w:t>
      </w:r>
    </w:p>
    <w:p>
      <w:pPr>
        <w:autoSpaceDE w:val="0"/>
        <w:autoSpaceDN w:val="0"/>
        <w:adjustRightInd w:val="0"/>
        <w:snapToGrid w:val="0"/>
        <w:spacing w:line="360" w:lineRule="auto"/>
        <w:rPr>
          <w:rFonts w:ascii="宋体" w:hAnsi="宋体" w:cs="宋体"/>
          <w:bCs/>
          <w:szCs w:val="21"/>
        </w:rPr>
      </w:pPr>
      <w:r>
        <w:rPr>
          <w:rFonts w:hint="eastAsia" w:ascii="宋体" w:hAnsi="宋体" w:cs="宋体"/>
          <w:bCs/>
          <w:szCs w:val="21"/>
        </w:rPr>
        <w:t>6、注意事项：除采购文件明确的品牌外，欢迎其他能满足本项目技术需求且性能与所明确品牌同等质量产品参加。</w:t>
      </w:r>
    </w:p>
    <w:p>
      <w:pPr>
        <w:pStyle w:val="9"/>
        <w:rPr>
          <w:rFonts w:ascii="宋体" w:hAnsi="宋体" w:cs="宋体"/>
          <w:sz w:val="21"/>
          <w:szCs w:val="21"/>
        </w:rPr>
      </w:pPr>
      <w:r>
        <w:rPr>
          <w:rFonts w:hint="eastAsia" w:ascii="宋体" w:hAnsi="宋体" w:cs="宋体"/>
          <w:sz w:val="21"/>
          <w:szCs w:val="21"/>
        </w:rPr>
        <w:t>四、相关说明</w:t>
      </w:r>
    </w:p>
    <w:p>
      <w:pPr>
        <w:autoSpaceDE w:val="0"/>
        <w:autoSpaceDN w:val="0"/>
        <w:adjustRightInd w:val="0"/>
        <w:snapToGrid w:val="0"/>
        <w:spacing w:line="360" w:lineRule="auto"/>
        <w:ind w:firstLine="481"/>
        <w:rPr>
          <w:rFonts w:ascii="宋体" w:hAnsi="宋体" w:cs="宋体"/>
          <w:szCs w:val="21"/>
        </w:rPr>
      </w:pPr>
      <w:r>
        <w:rPr>
          <w:rFonts w:ascii="宋体" w:hAnsi="宋体" w:cs="宋体"/>
          <w:b/>
          <w:szCs w:val="21"/>
        </w:rPr>
        <w:t>1</w:t>
      </w:r>
      <w:r>
        <w:rPr>
          <w:rFonts w:hint="eastAsia" w:ascii="宋体" w:hAnsi="宋体" w:cs="宋体"/>
          <w:b/>
          <w:szCs w:val="21"/>
        </w:rPr>
        <w:t>、现场勘察：</w:t>
      </w:r>
      <w:r>
        <w:rPr>
          <w:rFonts w:hint="eastAsia" w:ascii="宋体" w:hAnsi="宋体" w:cs="宋体"/>
          <w:szCs w:val="21"/>
        </w:rPr>
        <w:t>本项目不组织答疑会或现场踏勘，如投标人认为有必要可自行前往现场踏勘。</w:t>
      </w:r>
    </w:p>
    <w:p>
      <w:pPr>
        <w:pStyle w:val="2"/>
        <w:adjustRightInd w:val="0"/>
        <w:snapToGrid w:val="0"/>
        <w:spacing w:after="0" w:line="360" w:lineRule="auto"/>
        <w:ind w:left="0" w:leftChars="0" w:firstLine="420" w:firstLineChars="200"/>
        <w:rPr>
          <w:rFonts w:ascii="宋体" w:hAnsi="宋体" w:cs="宋体"/>
          <w:kern w:val="2"/>
        </w:rPr>
      </w:pPr>
      <w:r>
        <w:rPr>
          <w:rFonts w:hint="eastAsia"/>
        </w:rPr>
        <w:t>2</w:t>
      </w:r>
      <w:r>
        <w:rPr>
          <w:rFonts w:hint="eastAsia" w:ascii="宋体" w:hAnsi="宋体" w:cs="宋体"/>
          <w:b/>
        </w:rPr>
        <w:t>、</w:t>
      </w:r>
      <w:r>
        <w:rPr>
          <w:rFonts w:hint="eastAsia" w:ascii="宋体" w:hAnsi="宋体" w:cs="宋体"/>
          <w:kern w:val="2"/>
        </w:rPr>
        <w:t>项目实施期间，中标人需免费提供1辆汽车供采购人使用（不含驾驶员），所发生的费用（含油费等）由中标人在投标报价中综合考虑。</w:t>
      </w:r>
    </w:p>
    <w:p>
      <w:pPr>
        <w:widowControl/>
        <w:jc w:val="left"/>
        <w:rPr>
          <w:rFonts w:ascii="宋体" w:hAnsi="宋体" w:cs="宋体"/>
          <w:b/>
          <w:bCs/>
          <w:szCs w:val="21"/>
        </w:rPr>
      </w:pPr>
      <w:r>
        <w:rPr>
          <w:rFonts w:ascii="宋体" w:hAnsi="宋体" w:cs="宋体"/>
          <w:b/>
          <w:bCs/>
          <w:szCs w:val="21"/>
        </w:rPr>
        <w:br w:type="page"/>
      </w:r>
    </w:p>
    <w:p>
      <w:pPr>
        <w:spacing w:line="360" w:lineRule="auto"/>
        <w:jc w:val="center"/>
        <w:rPr>
          <w:rFonts w:ascii="宋体" w:hAnsi="宋体" w:cs="宋体"/>
          <w:b/>
          <w:bCs/>
          <w:sz w:val="36"/>
          <w:szCs w:val="44"/>
        </w:rPr>
      </w:pPr>
      <w:r>
        <w:rPr>
          <w:rFonts w:hint="eastAsia" w:ascii="宋体" w:hAnsi="宋体" w:cs="宋体"/>
          <w:b/>
          <w:bCs/>
          <w:sz w:val="36"/>
          <w:szCs w:val="44"/>
        </w:rPr>
        <w:t>第五章政府采购合同主要条款指引</w:t>
      </w:r>
    </w:p>
    <w:p>
      <w:pPr>
        <w:spacing w:line="360" w:lineRule="auto"/>
        <w:ind w:firstLine="420" w:firstLineChars="200"/>
        <w:rPr>
          <w:rFonts w:ascii="宋体" w:hAnsi="宋体" w:cs="宋体"/>
          <w:szCs w:val="21"/>
        </w:rPr>
      </w:pPr>
      <w:r>
        <w:rPr>
          <w:rFonts w:hint="eastAsia" w:ascii="宋体" w:hAnsi="宋体" w:cs="宋体"/>
          <w:szCs w:val="21"/>
        </w:rPr>
        <w:t>以下为成交后签定本项目合同的通用条款，成交供应商不得提出实质性的修改，关于专用条款将由采购人与成交供应商结合本项目具体情况协商后签订。</w:t>
      </w:r>
    </w:p>
    <w:p>
      <w:pPr>
        <w:spacing w:line="360" w:lineRule="auto"/>
        <w:rPr>
          <w:rFonts w:ascii="宋体" w:hAnsi="宋体" w:cs="宋体"/>
          <w:szCs w:val="21"/>
        </w:rPr>
      </w:pPr>
      <w:r>
        <w:rPr>
          <w:rFonts w:hint="eastAsia" w:ascii="宋体" w:hAnsi="宋体" w:cs="宋体"/>
          <w:szCs w:val="21"/>
        </w:rPr>
        <w:t>甲方：台州市黄岩区水利局</w:t>
      </w:r>
    </w:p>
    <w:p>
      <w:pPr>
        <w:spacing w:line="360" w:lineRule="auto"/>
        <w:rPr>
          <w:rFonts w:ascii="宋体" w:hAnsi="宋体" w:cs="宋体"/>
          <w:szCs w:val="21"/>
        </w:rPr>
      </w:pPr>
      <w:r>
        <w:rPr>
          <w:rFonts w:hint="eastAsia" w:ascii="宋体" w:hAnsi="宋体" w:cs="宋体"/>
          <w:szCs w:val="21"/>
        </w:rPr>
        <w:t>乙方：</w:t>
      </w:r>
    </w:p>
    <w:p>
      <w:pPr>
        <w:spacing w:line="440" w:lineRule="exact"/>
        <w:ind w:firstLine="420" w:firstLineChars="200"/>
        <w:rPr>
          <w:rFonts w:ascii="宋体" w:hAnsi="宋体" w:cs="宋体"/>
          <w:szCs w:val="21"/>
        </w:rPr>
      </w:pPr>
      <w:r>
        <w:rPr>
          <w:rFonts w:hint="eastAsia" w:ascii="宋体" w:hAnsi="宋体" w:cs="宋体"/>
          <w:szCs w:val="21"/>
        </w:rPr>
        <w:t>甲乙双方根据  年 月 日（项目编号：   ），以及招标文件、投标文件的规定，并经双方协商一致，达成本采购合同（中标通知书、招标文件、投标文件以及甲、乙双方商定的补充协议构成本合同不可分割的部份）。</w:t>
      </w:r>
    </w:p>
    <w:p>
      <w:pPr>
        <w:spacing w:line="440" w:lineRule="exact"/>
        <w:ind w:firstLine="422" w:firstLineChars="200"/>
        <w:outlineLvl w:val="1"/>
        <w:rPr>
          <w:rFonts w:ascii="宋体" w:hAnsi="宋体" w:cs="宋体"/>
          <w:b/>
          <w:szCs w:val="21"/>
        </w:rPr>
      </w:pPr>
      <w:bookmarkStart w:id="13" w:name="_Toc6278"/>
      <w:bookmarkStart w:id="14" w:name="_Toc3132"/>
      <w:bookmarkStart w:id="15" w:name="_Toc31039"/>
      <w:bookmarkStart w:id="16" w:name="_Toc5086"/>
      <w:bookmarkStart w:id="17" w:name="_Toc29734"/>
      <w:r>
        <w:rPr>
          <w:rFonts w:hint="eastAsia" w:ascii="宋体" w:hAnsi="宋体" w:cs="宋体"/>
          <w:b/>
          <w:szCs w:val="21"/>
        </w:rPr>
        <w:t>一、采购清单</w:t>
      </w:r>
      <w:bookmarkEnd w:id="13"/>
      <w:bookmarkEnd w:id="14"/>
      <w:bookmarkEnd w:id="15"/>
      <w:bookmarkEnd w:id="16"/>
      <w:bookmarkEnd w:id="17"/>
    </w:p>
    <w:tbl>
      <w:tblPr>
        <w:tblStyle w:val="40"/>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414"/>
        <w:gridCol w:w="2308"/>
        <w:gridCol w:w="778"/>
        <w:gridCol w:w="1032"/>
        <w:gridCol w:w="11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1" w:type="dxa"/>
            <w:vAlign w:val="center"/>
          </w:tcPr>
          <w:p>
            <w:pPr>
              <w:snapToGrid w:val="0"/>
              <w:spacing w:line="360" w:lineRule="auto"/>
              <w:rPr>
                <w:rFonts w:ascii="宋体" w:hAnsi="宋体" w:cs="宋体"/>
                <w:szCs w:val="21"/>
              </w:rPr>
            </w:pPr>
            <w:r>
              <w:rPr>
                <w:rFonts w:hint="eastAsia" w:ascii="宋体" w:hAnsi="宋体" w:cs="宋体"/>
                <w:szCs w:val="21"/>
              </w:rPr>
              <w:t>序号</w:t>
            </w:r>
          </w:p>
        </w:tc>
        <w:tc>
          <w:tcPr>
            <w:tcW w:w="1414" w:type="dxa"/>
            <w:vAlign w:val="center"/>
          </w:tcPr>
          <w:p>
            <w:pPr>
              <w:snapToGrid w:val="0"/>
              <w:spacing w:line="360" w:lineRule="auto"/>
              <w:ind w:firstLine="240"/>
              <w:jc w:val="center"/>
              <w:rPr>
                <w:rFonts w:ascii="宋体" w:hAnsi="宋体" w:cs="宋体"/>
                <w:szCs w:val="21"/>
              </w:rPr>
            </w:pPr>
            <w:r>
              <w:rPr>
                <w:rFonts w:hint="eastAsia" w:ascii="宋体" w:hAnsi="宋体" w:cs="宋体"/>
                <w:szCs w:val="21"/>
              </w:rPr>
              <w:t>名称</w:t>
            </w:r>
          </w:p>
        </w:tc>
        <w:tc>
          <w:tcPr>
            <w:tcW w:w="2308" w:type="dxa"/>
            <w:vAlign w:val="center"/>
          </w:tcPr>
          <w:p>
            <w:pPr>
              <w:snapToGrid w:val="0"/>
              <w:spacing w:line="360" w:lineRule="auto"/>
              <w:jc w:val="center"/>
              <w:rPr>
                <w:rFonts w:ascii="宋体" w:hAnsi="宋体" w:cs="宋体"/>
                <w:szCs w:val="21"/>
              </w:rPr>
            </w:pPr>
            <w:r>
              <w:rPr>
                <w:rFonts w:hint="eastAsia" w:ascii="宋体" w:hAnsi="宋体" w:cs="宋体"/>
                <w:szCs w:val="21"/>
              </w:rPr>
              <w:t>技术要求</w:t>
            </w:r>
          </w:p>
        </w:tc>
        <w:tc>
          <w:tcPr>
            <w:tcW w:w="778" w:type="dxa"/>
            <w:vAlign w:val="center"/>
          </w:tcPr>
          <w:p>
            <w:pPr>
              <w:snapToGrid w:val="0"/>
              <w:spacing w:line="360" w:lineRule="auto"/>
              <w:jc w:val="center"/>
              <w:rPr>
                <w:rFonts w:ascii="宋体" w:hAnsi="宋体" w:cs="宋体"/>
                <w:szCs w:val="21"/>
              </w:rPr>
            </w:pPr>
            <w:r>
              <w:rPr>
                <w:rFonts w:hint="eastAsia" w:ascii="宋体" w:hAnsi="宋体" w:cs="宋体"/>
                <w:szCs w:val="21"/>
              </w:rPr>
              <w:t>数量</w:t>
            </w:r>
          </w:p>
        </w:tc>
        <w:tc>
          <w:tcPr>
            <w:tcW w:w="1032" w:type="dxa"/>
            <w:vAlign w:val="center"/>
          </w:tcPr>
          <w:p>
            <w:pPr>
              <w:snapToGrid w:val="0"/>
              <w:spacing w:line="360" w:lineRule="auto"/>
              <w:jc w:val="center"/>
              <w:rPr>
                <w:rFonts w:ascii="宋体" w:hAnsi="宋体" w:cs="宋体"/>
                <w:szCs w:val="21"/>
              </w:rPr>
            </w:pPr>
            <w:r>
              <w:rPr>
                <w:rFonts w:hint="eastAsia" w:ascii="宋体" w:hAnsi="宋体" w:cs="宋体"/>
                <w:szCs w:val="21"/>
              </w:rPr>
              <w:t>单价</w:t>
            </w:r>
          </w:p>
        </w:tc>
        <w:tc>
          <w:tcPr>
            <w:tcW w:w="1100" w:type="dxa"/>
            <w:vAlign w:val="center"/>
          </w:tcPr>
          <w:p>
            <w:pPr>
              <w:snapToGrid w:val="0"/>
              <w:spacing w:line="360" w:lineRule="auto"/>
              <w:jc w:val="center"/>
              <w:rPr>
                <w:rFonts w:ascii="宋体" w:hAnsi="宋体" w:cs="宋体"/>
                <w:szCs w:val="21"/>
              </w:rPr>
            </w:pPr>
            <w:r>
              <w:rPr>
                <w:rFonts w:hint="eastAsia" w:ascii="宋体" w:hAnsi="宋体" w:cs="宋体"/>
                <w:szCs w:val="21"/>
              </w:rPr>
              <w:t>总价</w:t>
            </w:r>
          </w:p>
        </w:tc>
        <w:tc>
          <w:tcPr>
            <w:tcW w:w="1100" w:type="dxa"/>
            <w:vAlign w:val="center"/>
          </w:tcPr>
          <w:p>
            <w:pPr>
              <w:snapToGrid w:val="0"/>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791" w:type="dxa"/>
            <w:vAlign w:val="center"/>
          </w:tcPr>
          <w:p>
            <w:pPr>
              <w:snapToGrid w:val="0"/>
              <w:spacing w:line="360" w:lineRule="auto"/>
              <w:jc w:val="center"/>
              <w:rPr>
                <w:rFonts w:ascii="宋体" w:hAnsi="宋体" w:cs="宋体"/>
                <w:szCs w:val="21"/>
              </w:rPr>
            </w:pPr>
            <w:r>
              <w:rPr>
                <w:rFonts w:hint="eastAsia" w:ascii="宋体" w:hAnsi="宋体" w:cs="宋体"/>
                <w:szCs w:val="21"/>
              </w:rPr>
              <w:t>1</w:t>
            </w:r>
          </w:p>
        </w:tc>
        <w:tc>
          <w:tcPr>
            <w:tcW w:w="1414" w:type="dxa"/>
            <w:vAlign w:val="center"/>
          </w:tcPr>
          <w:p>
            <w:pPr>
              <w:snapToGrid w:val="0"/>
              <w:spacing w:line="360" w:lineRule="auto"/>
              <w:jc w:val="center"/>
              <w:rPr>
                <w:rFonts w:ascii="宋体" w:hAnsi="宋体" w:cs="宋体"/>
                <w:szCs w:val="21"/>
              </w:rPr>
            </w:pPr>
          </w:p>
        </w:tc>
        <w:tc>
          <w:tcPr>
            <w:tcW w:w="2308" w:type="dxa"/>
            <w:vAlign w:val="center"/>
          </w:tcPr>
          <w:p>
            <w:pPr>
              <w:snapToGrid w:val="0"/>
              <w:spacing w:line="360" w:lineRule="auto"/>
              <w:jc w:val="center"/>
              <w:rPr>
                <w:rFonts w:ascii="宋体" w:hAnsi="宋体" w:cs="宋体"/>
                <w:szCs w:val="21"/>
              </w:rPr>
            </w:pPr>
          </w:p>
        </w:tc>
        <w:tc>
          <w:tcPr>
            <w:tcW w:w="778" w:type="dxa"/>
            <w:vAlign w:val="center"/>
          </w:tcPr>
          <w:p>
            <w:pPr>
              <w:snapToGrid w:val="0"/>
              <w:spacing w:line="360" w:lineRule="auto"/>
              <w:jc w:val="center"/>
              <w:rPr>
                <w:rFonts w:ascii="宋体" w:hAnsi="宋体" w:cs="宋体"/>
                <w:szCs w:val="21"/>
              </w:rPr>
            </w:pPr>
          </w:p>
        </w:tc>
        <w:tc>
          <w:tcPr>
            <w:tcW w:w="1032" w:type="dxa"/>
            <w:vAlign w:val="center"/>
          </w:tcPr>
          <w:p>
            <w:pPr>
              <w:snapToGrid w:val="0"/>
              <w:spacing w:line="360" w:lineRule="auto"/>
              <w:jc w:val="center"/>
              <w:rPr>
                <w:rFonts w:ascii="宋体" w:hAnsi="宋体" w:cs="宋体"/>
                <w:szCs w:val="21"/>
              </w:rPr>
            </w:pPr>
          </w:p>
        </w:tc>
        <w:tc>
          <w:tcPr>
            <w:tcW w:w="1100" w:type="dxa"/>
            <w:vAlign w:val="center"/>
          </w:tcPr>
          <w:p>
            <w:pPr>
              <w:snapToGrid w:val="0"/>
              <w:spacing w:line="360" w:lineRule="auto"/>
              <w:jc w:val="center"/>
              <w:rPr>
                <w:rFonts w:ascii="宋体" w:hAnsi="宋体" w:cs="宋体"/>
                <w:szCs w:val="21"/>
              </w:rPr>
            </w:pPr>
          </w:p>
        </w:tc>
        <w:tc>
          <w:tcPr>
            <w:tcW w:w="1100" w:type="dxa"/>
            <w:vAlign w:val="center"/>
          </w:tcPr>
          <w:p>
            <w:pPr>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791" w:type="dxa"/>
            <w:vAlign w:val="center"/>
          </w:tcPr>
          <w:p>
            <w:pPr>
              <w:snapToGrid w:val="0"/>
              <w:spacing w:line="360" w:lineRule="auto"/>
              <w:jc w:val="center"/>
              <w:rPr>
                <w:rFonts w:ascii="宋体" w:hAnsi="宋体" w:cs="宋体"/>
                <w:szCs w:val="21"/>
              </w:rPr>
            </w:pPr>
            <w:r>
              <w:rPr>
                <w:rFonts w:hint="eastAsia" w:ascii="宋体" w:hAnsi="宋体" w:cs="宋体"/>
                <w:szCs w:val="21"/>
              </w:rPr>
              <w:t>2</w:t>
            </w:r>
          </w:p>
        </w:tc>
        <w:tc>
          <w:tcPr>
            <w:tcW w:w="1414" w:type="dxa"/>
            <w:vAlign w:val="center"/>
          </w:tcPr>
          <w:p>
            <w:pPr>
              <w:snapToGrid w:val="0"/>
              <w:spacing w:line="360" w:lineRule="auto"/>
              <w:jc w:val="center"/>
              <w:rPr>
                <w:rFonts w:ascii="宋体" w:hAnsi="宋体" w:cs="宋体"/>
                <w:szCs w:val="21"/>
              </w:rPr>
            </w:pPr>
          </w:p>
        </w:tc>
        <w:tc>
          <w:tcPr>
            <w:tcW w:w="2308" w:type="dxa"/>
            <w:vAlign w:val="center"/>
          </w:tcPr>
          <w:p>
            <w:pPr>
              <w:snapToGrid w:val="0"/>
              <w:spacing w:line="360" w:lineRule="auto"/>
              <w:jc w:val="center"/>
              <w:rPr>
                <w:rFonts w:ascii="宋体" w:hAnsi="宋体" w:cs="宋体"/>
                <w:szCs w:val="21"/>
              </w:rPr>
            </w:pPr>
          </w:p>
        </w:tc>
        <w:tc>
          <w:tcPr>
            <w:tcW w:w="778" w:type="dxa"/>
            <w:vAlign w:val="center"/>
          </w:tcPr>
          <w:p>
            <w:pPr>
              <w:snapToGrid w:val="0"/>
              <w:spacing w:line="360" w:lineRule="auto"/>
              <w:jc w:val="center"/>
              <w:rPr>
                <w:rFonts w:ascii="宋体" w:hAnsi="宋体" w:cs="宋体"/>
                <w:szCs w:val="21"/>
              </w:rPr>
            </w:pPr>
          </w:p>
        </w:tc>
        <w:tc>
          <w:tcPr>
            <w:tcW w:w="1032" w:type="dxa"/>
            <w:vAlign w:val="center"/>
          </w:tcPr>
          <w:p>
            <w:pPr>
              <w:snapToGrid w:val="0"/>
              <w:spacing w:line="360" w:lineRule="auto"/>
              <w:jc w:val="center"/>
              <w:rPr>
                <w:rFonts w:ascii="宋体" w:hAnsi="宋体" w:cs="宋体"/>
                <w:szCs w:val="21"/>
              </w:rPr>
            </w:pPr>
          </w:p>
        </w:tc>
        <w:tc>
          <w:tcPr>
            <w:tcW w:w="1100" w:type="dxa"/>
            <w:vAlign w:val="center"/>
          </w:tcPr>
          <w:p>
            <w:pPr>
              <w:snapToGrid w:val="0"/>
              <w:spacing w:line="360" w:lineRule="auto"/>
              <w:jc w:val="center"/>
              <w:rPr>
                <w:rFonts w:ascii="宋体" w:hAnsi="宋体" w:cs="宋体"/>
                <w:szCs w:val="21"/>
              </w:rPr>
            </w:pPr>
          </w:p>
        </w:tc>
        <w:tc>
          <w:tcPr>
            <w:tcW w:w="1100" w:type="dxa"/>
            <w:vAlign w:val="center"/>
          </w:tcPr>
          <w:p>
            <w:pPr>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791" w:type="dxa"/>
            <w:vAlign w:val="center"/>
          </w:tcPr>
          <w:p>
            <w:pPr>
              <w:snapToGrid w:val="0"/>
              <w:spacing w:line="360" w:lineRule="auto"/>
              <w:jc w:val="center"/>
              <w:rPr>
                <w:rFonts w:ascii="宋体" w:hAnsi="宋体" w:cs="宋体"/>
                <w:szCs w:val="21"/>
              </w:rPr>
            </w:pPr>
            <w:r>
              <w:rPr>
                <w:rFonts w:hint="eastAsia" w:ascii="宋体" w:hAnsi="宋体" w:cs="宋体"/>
                <w:szCs w:val="21"/>
              </w:rPr>
              <w:t>3</w:t>
            </w:r>
          </w:p>
        </w:tc>
        <w:tc>
          <w:tcPr>
            <w:tcW w:w="1414" w:type="dxa"/>
            <w:vAlign w:val="center"/>
          </w:tcPr>
          <w:p>
            <w:pPr>
              <w:snapToGrid w:val="0"/>
              <w:spacing w:line="360" w:lineRule="auto"/>
              <w:jc w:val="center"/>
              <w:rPr>
                <w:rFonts w:ascii="宋体" w:hAnsi="宋体" w:cs="宋体"/>
                <w:szCs w:val="21"/>
              </w:rPr>
            </w:pPr>
          </w:p>
        </w:tc>
        <w:tc>
          <w:tcPr>
            <w:tcW w:w="2308" w:type="dxa"/>
            <w:vAlign w:val="center"/>
          </w:tcPr>
          <w:p>
            <w:pPr>
              <w:snapToGrid w:val="0"/>
              <w:spacing w:line="360" w:lineRule="auto"/>
              <w:jc w:val="center"/>
              <w:rPr>
                <w:rFonts w:ascii="宋体" w:hAnsi="宋体" w:cs="宋体"/>
                <w:szCs w:val="21"/>
              </w:rPr>
            </w:pPr>
          </w:p>
        </w:tc>
        <w:tc>
          <w:tcPr>
            <w:tcW w:w="778" w:type="dxa"/>
            <w:vAlign w:val="center"/>
          </w:tcPr>
          <w:p>
            <w:pPr>
              <w:snapToGrid w:val="0"/>
              <w:spacing w:line="360" w:lineRule="auto"/>
              <w:jc w:val="center"/>
              <w:rPr>
                <w:rFonts w:ascii="宋体" w:hAnsi="宋体" w:cs="宋体"/>
                <w:szCs w:val="21"/>
              </w:rPr>
            </w:pPr>
          </w:p>
        </w:tc>
        <w:tc>
          <w:tcPr>
            <w:tcW w:w="1032" w:type="dxa"/>
            <w:vAlign w:val="center"/>
          </w:tcPr>
          <w:p>
            <w:pPr>
              <w:snapToGrid w:val="0"/>
              <w:spacing w:line="360" w:lineRule="auto"/>
              <w:jc w:val="center"/>
              <w:rPr>
                <w:rFonts w:ascii="宋体" w:hAnsi="宋体" w:cs="宋体"/>
                <w:szCs w:val="21"/>
              </w:rPr>
            </w:pPr>
          </w:p>
        </w:tc>
        <w:tc>
          <w:tcPr>
            <w:tcW w:w="1100" w:type="dxa"/>
            <w:vAlign w:val="center"/>
          </w:tcPr>
          <w:p>
            <w:pPr>
              <w:snapToGrid w:val="0"/>
              <w:spacing w:line="360" w:lineRule="auto"/>
              <w:jc w:val="center"/>
              <w:rPr>
                <w:rFonts w:ascii="宋体" w:hAnsi="宋体" w:cs="宋体"/>
                <w:szCs w:val="21"/>
              </w:rPr>
            </w:pPr>
          </w:p>
        </w:tc>
        <w:tc>
          <w:tcPr>
            <w:tcW w:w="1100" w:type="dxa"/>
            <w:vAlign w:val="center"/>
          </w:tcPr>
          <w:p>
            <w:pPr>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791" w:type="dxa"/>
            <w:vAlign w:val="center"/>
          </w:tcPr>
          <w:p>
            <w:pPr>
              <w:snapToGrid w:val="0"/>
              <w:spacing w:line="360" w:lineRule="auto"/>
              <w:jc w:val="center"/>
              <w:rPr>
                <w:rFonts w:ascii="宋体" w:hAnsi="宋体" w:cs="宋体"/>
                <w:szCs w:val="21"/>
              </w:rPr>
            </w:pPr>
            <w:r>
              <w:rPr>
                <w:rFonts w:hint="eastAsia" w:ascii="宋体" w:hAnsi="宋体" w:cs="宋体"/>
                <w:szCs w:val="21"/>
              </w:rPr>
              <w:t>……</w:t>
            </w:r>
          </w:p>
        </w:tc>
        <w:tc>
          <w:tcPr>
            <w:tcW w:w="1414" w:type="dxa"/>
            <w:vAlign w:val="center"/>
          </w:tcPr>
          <w:p>
            <w:pPr>
              <w:snapToGrid w:val="0"/>
              <w:spacing w:line="360" w:lineRule="auto"/>
              <w:jc w:val="center"/>
              <w:rPr>
                <w:rFonts w:ascii="宋体" w:hAnsi="宋体" w:cs="宋体"/>
                <w:szCs w:val="21"/>
              </w:rPr>
            </w:pPr>
          </w:p>
        </w:tc>
        <w:tc>
          <w:tcPr>
            <w:tcW w:w="2308" w:type="dxa"/>
            <w:vAlign w:val="center"/>
          </w:tcPr>
          <w:p>
            <w:pPr>
              <w:snapToGrid w:val="0"/>
              <w:spacing w:line="360" w:lineRule="auto"/>
              <w:jc w:val="center"/>
              <w:rPr>
                <w:rFonts w:ascii="宋体" w:hAnsi="宋体" w:cs="宋体"/>
                <w:szCs w:val="21"/>
              </w:rPr>
            </w:pPr>
          </w:p>
        </w:tc>
        <w:tc>
          <w:tcPr>
            <w:tcW w:w="778" w:type="dxa"/>
            <w:vAlign w:val="center"/>
          </w:tcPr>
          <w:p>
            <w:pPr>
              <w:snapToGrid w:val="0"/>
              <w:spacing w:line="360" w:lineRule="auto"/>
              <w:jc w:val="center"/>
              <w:rPr>
                <w:rFonts w:ascii="宋体" w:hAnsi="宋体" w:cs="宋体"/>
                <w:szCs w:val="21"/>
              </w:rPr>
            </w:pPr>
          </w:p>
        </w:tc>
        <w:tc>
          <w:tcPr>
            <w:tcW w:w="1032" w:type="dxa"/>
            <w:vAlign w:val="center"/>
          </w:tcPr>
          <w:p>
            <w:pPr>
              <w:snapToGrid w:val="0"/>
              <w:spacing w:line="360" w:lineRule="auto"/>
              <w:jc w:val="center"/>
              <w:rPr>
                <w:rFonts w:ascii="宋体" w:hAnsi="宋体" w:cs="宋体"/>
                <w:szCs w:val="21"/>
              </w:rPr>
            </w:pPr>
          </w:p>
        </w:tc>
        <w:tc>
          <w:tcPr>
            <w:tcW w:w="1100" w:type="dxa"/>
            <w:vAlign w:val="center"/>
          </w:tcPr>
          <w:p>
            <w:pPr>
              <w:snapToGrid w:val="0"/>
              <w:spacing w:line="360" w:lineRule="auto"/>
              <w:jc w:val="center"/>
              <w:rPr>
                <w:rFonts w:ascii="宋体" w:hAnsi="宋体" w:cs="宋体"/>
                <w:szCs w:val="21"/>
              </w:rPr>
            </w:pPr>
          </w:p>
        </w:tc>
        <w:tc>
          <w:tcPr>
            <w:tcW w:w="1100" w:type="dxa"/>
            <w:vAlign w:val="center"/>
          </w:tcPr>
          <w:p>
            <w:pPr>
              <w:snapToGrid w:val="0"/>
              <w:spacing w:line="360" w:lineRule="auto"/>
              <w:jc w:val="center"/>
              <w:rPr>
                <w:rFonts w:ascii="宋体" w:hAnsi="宋体" w:cs="宋体"/>
                <w:szCs w:val="21"/>
              </w:rPr>
            </w:pPr>
          </w:p>
        </w:tc>
      </w:tr>
    </w:tbl>
    <w:p>
      <w:pPr>
        <w:spacing w:line="440" w:lineRule="exact"/>
        <w:ind w:firstLine="422" w:firstLineChars="200"/>
        <w:outlineLvl w:val="1"/>
        <w:rPr>
          <w:rFonts w:ascii="宋体" w:hAnsi="宋体" w:cs="宋体"/>
          <w:b/>
          <w:szCs w:val="21"/>
        </w:rPr>
      </w:pPr>
      <w:bookmarkStart w:id="18" w:name="_Toc19444"/>
      <w:bookmarkStart w:id="19" w:name="_Toc26894"/>
      <w:bookmarkStart w:id="20" w:name="_Toc9690"/>
      <w:bookmarkStart w:id="21" w:name="_Toc31991"/>
      <w:bookmarkStart w:id="22" w:name="_Toc5680"/>
      <w:r>
        <w:rPr>
          <w:rFonts w:hint="eastAsia" w:ascii="宋体" w:hAnsi="宋体" w:cs="宋体"/>
          <w:b/>
          <w:szCs w:val="21"/>
        </w:rPr>
        <w:t>二、合同金额及结算规定</w:t>
      </w:r>
      <w:bookmarkEnd w:id="18"/>
      <w:bookmarkEnd w:id="19"/>
      <w:bookmarkEnd w:id="20"/>
      <w:bookmarkEnd w:id="21"/>
      <w:bookmarkEnd w:id="22"/>
    </w:p>
    <w:p>
      <w:pPr>
        <w:spacing w:line="440" w:lineRule="exact"/>
        <w:ind w:firstLine="420" w:firstLineChars="200"/>
        <w:rPr>
          <w:rFonts w:ascii="宋体" w:hAnsi="宋体" w:cs="宋体"/>
          <w:szCs w:val="21"/>
        </w:rPr>
      </w:pPr>
      <w:r>
        <w:rPr>
          <w:rFonts w:hint="eastAsia" w:ascii="宋体" w:hAnsi="宋体" w:cs="宋体"/>
          <w:szCs w:val="21"/>
        </w:rPr>
        <w:t>2.1合同金额：人民币（大写）</w:t>
      </w:r>
      <w:r>
        <w:rPr>
          <w:rFonts w:hint="eastAsia" w:ascii="宋体" w:hAnsi="宋体" w:cs="宋体"/>
          <w:szCs w:val="21"/>
          <w:u w:val="single"/>
        </w:rPr>
        <w:t xml:space="preserve">    </w:t>
      </w:r>
      <w:r>
        <w:rPr>
          <w:rFonts w:hint="eastAsia" w:ascii="宋体" w:hAnsi="宋体" w:cs="宋体"/>
          <w:szCs w:val="21"/>
        </w:rPr>
        <w:t>元整(￥</w:t>
      </w:r>
      <w:r>
        <w:rPr>
          <w:rFonts w:hint="eastAsia" w:ascii="宋体" w:hAnsi="宋体" w:cs="宋体"/>
          <w:szCs w:val="21"/>
          <w:u w:val="single"/>
        </w:rPr>
        <w:t xml:space="preserve">    </w:t>
      </w:r>
      <w:r>
        <w:rPr>
          <w:rFonts w:hint="eastAsia" w:ascii="宋体" w:hAnsi="宋体" w:cs="宋体"/>
          <w:szCs w:val="21"/>
        </w:rPr>
        <w:t>元)。</w:t>
      </w:r>
    </w:p>
    <w:p>
      <w:pPr>
        <w:spacing w:line="440" w:lineRule="exact"/>
        <w:ind w:firstLine="420" w:firstLineChars="200"/>
        <w:rPr>
          <w:rFonts w:ascii="宋体" w:hAnsi="宋体" w:cs="宋体"/>
          <w:szCs w:val="21"/>
        </w:rPr>
      </w:pPr>
      <w:r>
        <w:rPr>
          <w:rFonts w:hint="eastAsia" w:ascii="宋体" w:hAnsi="宋体" w:cs="宋体"/>
          <w:szCs w:val="21"/>
        </w:rPr>
        <w:t>2.2</w:t>
      </w:r>
      <w:r>
        <w:rPr>
          <w:rFonts w:hint="eastAsia"/>
          <w:szCs w:val="21"/>
          <w:lang w:val="zh-CN"/>
        </w:rPr>
        <w:t>当采购数量与实际使用数量不一致时，由采购单位向同级财政部门申请并经批准后，可以由乙方根据实际使用量供货，合同的最终结算金额按实际使用量乘以成交单价进行计算。</w:t>
      </w:r>
    </w:p>
    <w:p>
      <w:pPr>
        <w:spacing w:line="440" w:lineRule="exact"/>
        <w:ind w:firstLine="422" w:firstLineChars="200"/>
        <w:outlineLvl w:val="1"/>
        <w:rPr>
          <w:rFonts w:ascii="宋体" w:hAnsi="宋体" w:cs="宋体"/>
          <w:b/>
          <w:szCs w:val="21"/>
        </w:rPr>
      </w:pPr>
      <w:bookmarkStart w:id="23" w:name="_Toc29849"/>
      <w:bookmarkStart w:id="24" w:name="_Toc20726"/>
      <w:bookmarkStart w:id="25" w:name="_Toc5402"/>
      <w:bookmarkStart w:id="26" w:name="_Toc14990"/>
      <w:bookmarkStart w:id="27" w:name="_Toc14362"/>
      <w:r>
        <w:rPr>
          <w:rFonts w:hint="eastAsia" w:ascii="宋体" w:hAnsi="宋体" w:cs="宋体"/>
          <w:b/>
          <w:szCs w:val="21"/>
        </w:rPr>
        <w:t>三、知识产权和质量保证</w:t>
      </w:r>
      <w:bookmarkEnd w:id="23"/>
      <w:bookmarkEnd w:id="24"/>
      <w:bookmarkEnd w:id="25"/>
      <w:bookmarkEnd w:id="26"/>
      <w:bookmarkEnd w:id="27"/>
    </w:p>
    <w:p>
      <w:pPr>
        <w:spacing w:line="400" w:lineRule="exact"/>
        <w:ind w:firstLine="420" w:firstLineChars="200"/>
        <w:rPr>
          <w:rFonts w:ascii="宋体" w:hAnsi="宋体" w:cs="宋体"/>
          <w:szCs w:val="21"/>
        </w:rPr>
      </w:pPr>
      <w:r>
        <w:rPr>
          <w:rFonts w:hint="eastAsia" w:ascii="宋体" w:hAnsi="宋体" w:cs="宋体"/>
          <w:szCs w:val="21"/>
        </w:rPr>
        <w:t>3.1乙方</w:t>
      </w:r>
      <w:r>
        <w:rPr>
          <w:rFonts w:ascii="宋体" w:hAnsi="宋体" w:cs="宋体"/>
          <w:szCs w:val="21"/>
        </w:rPr>
        <w:t>应保证提供服务过程中不会侵犯任何第三方的知识产权。</w:t>
      </w:r>
      <w:r>
        <w:rPr>
          <w:rFonts w:hint="eastAsia" w:ascii="宋体" w:hAnsi="宋体" w:cs="宋体"/>
          <w:szCs w:val="21"/>
        </w:rPr>
        <w:t>乙方应保证甲方在使用该服务中的货物或其任何一部分时不受第三方提出侵犯其专利权、版权、商标权或其他权利的起诉。一旦出现侵权，索赔或诉讼，乙方应承担全部责任。</w:t>
      </w:r>
    </w:p>
    <w:p>
      <w:pPr>
        <w:spacing w:line="440" w:lineRule="exact"/>
        <w:ind w:firstLine="420" w:firstLineChars="200"/>
        <w:rPr>
          <w:rFonts w:ascii="宋体" w:hAnsi="宋体" w:cs="宋体"/>
          <w:szCs w:val="21"/>
        </w:rPr>
      </w:pPr>
      <w:r>
        <w:rPr>
          <w:rFonts w:hint="eastAsia" w:ascii="宋体" w:hAnsi="宋体" w:cs="宋体"/>
          <w:szCs w:val="21"/>
        </w:rPr>
        <w:t>3.2乙方必须按响应文件承诺的服务响应条款向甲方提供服务。</w:t>
      </w:r>
    </w:p>
    <w:p>
      <w:pPr>
        <w:spacing w:line="400" w:lineRule="exact"/>
        <w:ind w:firstLine="420" w:firstLineChars="200"/>
        <w:rPr>
          <w:rFonts w:ascii="宋体" w:hAnsi="宋体" w:cs="宋体"/>
          <w:szCs w:val="21"/>
        </w:rPr>
      </w:pPr>
      <w:r>
        <w:rPr>
          <w:rFonts w:hint="eastAsia" w:ascii="宋体" w:hAnsi="宋体" w:cs="宋体"/>
          <w:szCs w:val="21"/>
        </w:rPr>
        <w:t>3.3乙方保证货物是全新的、未使用过的，完全符合国家规范及甲乙双方确认的投标文件、本合同关于货物数量、质量的要求。货物符合实行国家“三包”规定的，应执行“三包”规定。</w:t>
      </w:r>
    </w:p>
    <w:p>
      <w:pPr>
        <w:spacing w:line="400" w:lineRule="exact"/>
        <w:ind w:firstLine="420" w:firstLineChars="200"/>
        <w:rPr>
          <w:rFonts w:ascii="宋体" w:hAnsi="宋体" w:cs="宋体"/>
          <w:szCs w:val="21"/>
        </w:rPr>
      </w:pPr>
      <w:r>
        <w:rPr>
          <w:rFonts w:hint="eastAsia" w:ascii="宋体" w:hAnsi="宋体" w:cs="宋体"/>
          <w:szCs w:val="21"/>
        </w:rPr>
        <w:t>3.4乙方提交的货物应符合投标文件中所记载的详细配置、技术参数、参数及性能，并应附有此类货物完整、详细的技术资料和说明文件。</w:t>
      </w:r>
    </w:p>
    <w:p>
      <w:pPr>
        <w:spacing w:line="400" w:lineRule="exact"/>
        <w:ind w:firstLine="420" w:firstLineChars="200"/>
        <w:rPr>
          <w:rFonts w:ascii="宋体" w:hAnsi="宋体" w:cs="宋体"/>
          <w:szCs w:val="21"/>
        </w:rPr>
      </w:pPr>
      <w:r>
        <w:rPr>
          <w:rFonts w:hint="eastAsia" w:ascii="宋体" w:hAnsi="宋体" w:cs="宋体"/>
          <w:szCs w:val="21"/>
        </w:rPr>
        <w:t>3.5乙方提交的服务必须按照招标采购文件的要求和中标人投标文件的承诺。</w:t>
      </w:r>
    </w:p>
    <w:p>
      <w:pPr>
        <w:spacing w:line="400" w:lineRule="exact"/>
        <w:ind w:firstLine="420" w:firstLineChars="200"/>
        <w:rPr>
          <w:rFonts w:ascii="宋体" w:hAnsi="宋体" w:cs="宋体"/>
          <w:szCs w:val="21"/>
        </w:rPr>
      </w:pPr>
      <w:r>
        <w:rPr>
          <w:rFonts w:hint="eastAsia" w:ascii="宋体" w:hAnsi="宋体" w:cs="宋体"/>
          <w:szCs w:val="21"/>
        </w:rPr>
        <w:t>3.6乙方应保证将货物按照国家或专业标准包装、确保货物安全无损运抵合同规定的交货地点，并进行安装、试运行。</w:t>
      </w:r>
    </w:p>
    <w:p>
      <w:pPr>
        <w:spacing w:line="400" w:lineRule="exact"/>
        <w:ind w:firstLine="420" w:firstLineChars="200"/>
        <w:rPr>
          <w:rFonts w:ascii="宋体" w:hAnsi="宋体" w:cs="宋体"/>
          <w:szCs w:val="21"/>
        </w:rPr>
      </w:pPr>
      <w:r>
        <w:rPr>
          <w:rFonts w:hint="eastAsia" w:ascii="宋体" w:hAnsi="宋体" w:cs="宋体"/>
          <w:szCs w:val="21"/>
        </w:rPr>
        <w:t>3.7乙方保证货物不存在危及人身及财产安全的产品缺陷，否则应承担全部法律责任。</w:t>
      </w:r>
    </w:p>
    <w:p>
      <w:pPr>
        <w:spacing w:line="400" w:lineRule="exact"/>
        <w:ind w:firstLine="420" w:firstLineChars="200"/>
        <w:rPr>
          <w:rFonts w:ascii="宋体" w:hAnsi="宋体" w:cs="宋体"/>
          <w:szCs w:val="21"/>
        </w:rPr>
      </w:pPr>
      <w:r>
        <w:rPr>
          <w:rFonts w:hint="eastAsia" w:ascii="宋体" w:hAnsi="宋体" w:cs="宋体"/>
          <w:szCs w:val="21"/>
        </w:rPr>
        <w:t>3.8本项目服务质量保证期</w:t>
      </w:r>
      <w:r>
        <w:rPr>
          <w:rFonts w:hint="eastAsia" w:ascii="宋体" w:hAnsi="宋体" w:cs="宋体"/>
          <w:szCs w:val="21"/>
          <w:u w:val="single"/>
        </w:rPr>
        <w:t xml:space="preserve">    </w:t>
      </w:r>
      <w:r>
        <w:rPr>
          <w:rFonts w:hint="eastAsia" w:ascii="宋体" w:hAnsi="宋体" w:cs="宋体"/>
          <w:szCs w:val="21"/>
        </w:rPr>
        <w:t>年；</w:t>
      </w:r>
    </w:p>
    <w:p>
      <w:pPr>
        <w:spacing w:line="440" w:lineRule="exact"/>
        <w:ind w:firstLine="422" w:firstLineChars="200"/>
        <w:outlineLvl w:val="1"/>
        <w:rPr>
          <w:rFonts w:ascii="宋体" w:hAnsi="宋体" w:cs="宋体"/>
          <w:b/>
          <w:szCs w:val="21"/>
        </w:rPr>
      </w:pPr>
      <w:bookmarkStart w:id="28" w:name="_Toc20392"/>
      <w:bookmarkStart w:id="29" w:name="_Toc19007"/>
      <w:bookmarkStart w:id="30" w:name="_Toc23922"/>
      <w:bookmarkStart w:id="31" w:name="_Toc26940"/>
      <w:bookmarkStart w:id="32" w:name="_Toc2604"/>
      <w:r>
        <w:rPr>
          <w:rFonts w:hint="eastAsia" w:ascii="宋体" w:hAnsi="宋体" w:cs="宋体"/>
          <w:b/>
          <w:szCs w:val="21"/>
        </w:rPr>
        <w:t>四、税费</w:t>
      </w:r>
      <w:bookmarkEnd w:id="28"/>
      <w:bookmarkEnd w:id="29"/>
      <w:bookmarkEnd w:id="30"/>
      <w:bookmarkEnd w:id="31"/>
      <w:bookmarkEnd w:id="32"/>
    </w:p>
    <w:p>
      <w:pPr>
        <w:spacing w:line="440" w:lineRule="exact"/>
        <w:ind w:firstLine="420" w:firstLineChars="200"/>
        <w:rPr>
          <w:rFonts w:ascii="宋体" w:hAnsi="宋体" w:cs="宋体"/>
          <w:szCs w:val="21"/>
        </w:rPr>
      </w:pPr>
      <w:r>
        <w:rPr>
          <w:rFonts w:hint="eastAsia" w:ascii="宋体" w:hAnsi="宋体" w:cs="宋体"/>
          <w:szCs w:val="21"/>
        </w:rPr>
        <w:t>本合同执行中相关的一切税费均由乙方负担。</w:t>
      </w:r>
    </w:p>
    <w:p>
      <w:pPr>
        <w:spacing w:line="440" w:lineRule="exact"/>
        <w:ind w:firstLine="422" w:firstLineChars="200"/>
        <w:outlineLvl w:val="1"/>
        <w:rPr>
          <w:rFonts w:ascii="宋体" w:hAnsi="宋体" w:cs="宋体"/>
          <w:b/>
          <w:szCs w:val="21"/>
        </w:rPr>
      </w:pPr>
      <w:bookmarkStart w:id="33" w:name="_Toc20848"/>
      <w:bookmarkStart w:id="34" w:name="_Toc6912"/>
      <w:bookmarkStart w:id="35" w:name="_Toc14880"/>
      <w:bookmarkStart w:id="36" w:name="_Toc6751"/>
      <w:bookmarkStart w:id="37" w:name="_Toc15329"/>
      <w:r>
        <w:rPr>
          <w:rFonts w:hint="eastAsia" w:ascii="宋体" w:hAnsi="宋体" w:cs="宋体"/>
          <w:b/>
          <w:szCs w:val="21"/>
        </w:rPr>
        <w:t>五、转包或分包</w:t>
      </w:r>
      <w:bookmarkEnd w:id="33"/>
      <w:bookmarkEnd w:id="34"/>
      <w:bookmarkEnd w:id="35"/>
      <w:bookmarkEnd w:id="36"/>
      <w:bookmarkEnd w:id="37"/>
    </w:p>
    <w:p>
      <w:pPr>
        <w:spacing w:line="440" w:lineRule="exact"/>
        <w:ind w:firstLine="420" w:firstLineChars="200"/>
        <w:rPr>
          <w:rFonts w:ascii="宋体" w:hAnsi="宋体" w:cs="宋体"/>
          <w:szCs w:val="21"/>
        </w:rPr>
      </w:pPr>
      <w:r>
        <w:rPr>
          <w:rFonts w:hint="eastAsia" w:ascii="宋体" w:hAnsi="宋体" w:cs="宋体"/>
          <w:szCs w:val="21"/>
        </w:rPr>
        <w:t>5.1本合同范围的服务，应由乙方直接供应，不得转让他人供应；</w:t>
      </w:r>
    </w:p>
    <w:p>
      <w:pPr>
        <w:spacing w:line="440" w:lineRule="exact"/>
        <w:ind w:firstLine="420" w:firstLineChars="200"/>
        <w:rPr>
          <w:rFonts w:ascii="宋体" w:hAnsi="宋体" w:cs="宋体"/>
          <w:szCs w:val="21"/>
        </w:rPr>
      </w:pPr>
      <w:r>
        <w:rPr>
          <w:rFonts w:hint="eastAsia" w:ascii="宋体" w:hAnsi="宋体" w:cs="宋体"/>
          <w:szCs w:val="21"/>
        </w:rPr>
        <w:t>5.2如有转让和未经甲方同意的分包行为，甲方有权解除合同，并追究乙方的违约责任。</w:t>
      </w:r>
    </w:p>
    <w:p>
      <w:pPr>
        <w:widowControl/>
        <w:numPr>
          <w:ilvl w:val="0"/>
          <w:numId w:val="8"/>
        </w:numPr>
        <w:spacing w:line="440" w:lineRule="exact"/>
        <w:ind w:left="482"/>
        <w:textAlignment w:val="baseline"/>
        <w:outlineLvl w:val="1"/>
        <w:rPr>
          <w:rFonts w:ascii="宋体" w:hAnsi="宋体" w:cs="宋体"/>
          <w:b/>
          <w:szCs w:val="21"/>
        </w:rPr>
      </w:pPr>
      <w:bookmarkStart w:id="38" w:name="_Toc15611"/>
      <w:bookmarkStart w:id="39" w:name="_Toc13229"/>
      <w:bookmarkStart w:id="40" w:name="_Toc13519"/>
      <w:bookmarkStart w:id="41" w:name="_Toc6325"/>
      <w:bookmarkStart w:id="42" w:name="_Toc13337"/>
      <w:r>
        <w:rPr>
          <w:rFonts w:hint="eastAsia" w:ascii="宋体" w:hAnsi="宋体" w:cs="宋体"/>
          <w:b/>
          <w:szCs w:val="21"/>
        </w:rPr>
        <w:t>付款方式</w:t>
      </w:r>
      <w:bookmarkEnd w:id="38"/>
      <w:bookmarkEnd w:id="39"/>
      <w:bookmarkEnd w:id="40"/>
      <w:bookmarkEnd w:id="41"/>
      <w:bookmarkEnd w:id="42"/>
    </w:p>
    <w:p>
      <w:pPr>
        <w:adjustRightInd w:val="0"/>
        <w:snapToGrid w:val="0"/>
        <w:spacing w:line="360" w:lineRule="auto"/>
        <w:ind w:firstLine="420" w:firstLineChars="200"/>
        <w:rPr>
          <w:rFonts w:ascii="宋体" w:hAnsi="宋体" w:cs="宋体"/>
          <w:bCs/>
          <w:szCs w:val="21"/>
        </w:rPr>
      </w:pPr>
      <w:bookmarkStart w:id="43" w:name="_Toc500339528"/>
      <w:bookmarkStart w:id="44" w:name="_Toc493957140"/>
      <w:bookmarkStart w:id="45" w:name="_Toc493956028"/>
      <w:bookmarkStart w:id="46" w:name="_Toc486423878"/>
      <w:bookmarkStart w:id="47" w:name="_Toc2468"/>
      <w:bookmarkStart w:id="48" w:name="_Toc10662"/>
      <w:bookmarkStart w:id="49" w:name="_Toc19072"/>
      <w:bookmarkStart w:id="50" w:name="_Toc21779"/>
      <w:bookmarkStart w:id="51" w:name="_Toc504480242"/>
      <w:bookmarkStart w:id="52" w:name="_Toc32618"/>
      <w:bookmarkStart w:id="53" w:name="_Toc3380"/>
      <w:r>
        <w:rPr>
          <w:rFonts w:hint="eastAsia" w:ascii="宋体" w:hAnsi="宋体" w:cs="宋体"/>
          <w:bCs/>
          <w:szCs w:val="21"/>
        </w:rPr>
        <w:t>6.1合同生效且具备实施条件后7个工作日内支付合同金额的40%作为项目预付款；安全监测设施实施部分全部完工验收后再支付至合同金额的20%；运行期监测服务满一年后支付合同金额的10%；运行期监测服务满二年后再支付合同金额的10%；运行期监测服务满三年后结清合同余额。</w:t>
      </w:r>
    </w:p>
    <w:p>
      <w:pPr>
        <w:adjustRightInd w:val="0"/>
        <w:snapToGrid w:val="0"/>
        <w:spacing w:line="360" w:lineRule="auto"/>
        <w:ind w:firstLine="315" w:firstLineChars="150"/>
        <w:rPr>
          <w:rFonts w:ascii="宋体" w:hAnsi="宋体" w:cs="宋体"/>
          <w:bCs/>
          <w:szCs w:val="21"/>
        </w:rPr>
      </w:pPr>
      <w:r>
        <w:rPr>
          <w:rFonts w:hint="eastAsia" w:ascii="宋体" w:hAnsi="宋体" w:cs="宋体"/>
          <w:bCs/>
          <w:szCs w:val="21"/>
        </w:rPr>
        <w:t>6.2付款时需提供等额正式税务发票。</w:t>
      </w:r>
    </w:p>
    <w:bookmarkEnd w:id="43"/>
    <w:bookmarkEnd w:id="44"/>
    <w:bookmarkEnd w:id="45"/>
    <w:bookmarkEnd w:id="46"/>
    <w:p>
      <w:pPr>
        <w:spacing w:line="440" w:lineRule="exact"/>
        <w:ind w:firstLine="413" w:firstLineChars="196"/>
        <w:outlineLvl w:val="1"/>
        <w:rPr>
          <w:rFonts w:ascii="宋体" w:hAnsi="宋体" w:cs="宋体"/>
          <w:b/>
          <w:szCs w:val="21"/>
        </w:rPr>
      </w:pPr>
      <w:r>
        <w:rPr>
          <w:rFonts w:hint="eastAsia" w:ascii="宋体" w:hAnsi="宋体" w:cs="宋体"/>
          <w:b/>
          <w:szCs w:val="21"/>
        </w:rPr>
        <w:t>七、履约保证金</w:t>
      </w:r>
      <w:bookmarkEnd w:id="47"/>
      <w:bookmarkEnd w:id="48"/>
      <w:bookmarkEnd w:id="49"/>
      <w:bookmarkEnd w:id="50"/>
      <w:bookmarkEnd w:id="51"/>
      <w:bookmarkEnd w:id="52"/>
      <w:bookmarkEnd w:id="53"/>
    </w:p>
    <w:p>
      <w:pPr>
        <w:spacing w:line="440" w:lineRule="exact"/>
        <w:ind w:firstLine="420" w:firstLineChars="200"/>
        <w:rPr>
          <w:rFonts w:ascii="宋体" w:hAnsi="宋体" w:cs="宋体"/>
          <w:szCs w:val="21"/>
        </w:rPr>
      </w:pPr>
      <w:bookmarkStart w:id="54" w:name="_Toc18591"/>
      <w:bookmarkStart w:id="55" w:name="_Toc27033"/>
      <w:r>
        <w:rPr>
          <w:rFonts w:hint="eastAsia" w:cs="宋体"/>
          <w:szCs w:val="21"/>
        </w:rPr>
        <w:t>乙方在收到中标通知书5个工作日内，需向甲方提供合同总金额的</w:t>
      </w:r>
      <w:r>
        <w:rPr>
          <w:rFonts w:hint="eastAsia" w:cs="宋体"/>
          <w:szCs w:val="21"/>
          <w:u w:val="single"/>
        </w:rPr>
        <w:t>1%</w:t>
      </w:r>
      <w:r>
        <w:rPr>
          <w:rFonts w:hint="eastAsia" w:cs="宋体"/>
          <w:szCs w:val="21"/>
        </w:rPr>
        <w:t>为履约保证金。供应商以银行、保险公司出具保函形式提交履约保证金的，采购单位不得拒收。履约保证金在项目验收结束后</w:t>
      </w:r>
      <w:bookmarkStart w:id="56" w:name="_Hlk102726910"/>
      <w:r>
        <w:rPr>
          <w:rFonts w:hint="eastAsia" w:cs="宋体"/>
          <w:szCs w:val="21"/>
        </w:rPr>
        <w:t>退还。</w:t>
      </w:r>
      <w:bookmarkEnd w:id="56"/>
    </w:p>
    <w:p>
      <w:pPr>
        <w:spacing w:line="440" w:lineRule="exact"/>
        <w:ind w:firstLine="413" w:firstLineChars="196"/>
        <w:outlineLvl w:val="1"/>
        <w:rPr>
          <w:rFonts w:ascii="宋体" w:hAnsi="宋体" w:cs="宋体"/>
          <w:b/>
          <w:bCs/>
          <w:szCs w:val="21"/>
        </w:rPr>
      </w:pPr>
      <w:bookmarkStart w:id="57" w:name="_Toc5631"/>
      <w:bookmarkStart w:id="58" w:name="_Toc21910"/>
      <w:bookmarkStart w:id="59" w:name="_Toc23585"/>
      <w:r>
        <w:rPr>
          <w:rFonts w:hint="eastAsia" w:ascii="宋体" w:hAnsi="宋体" w:cs="宋体"/>
          <w:b/>
          <w:szCs w:val="21"/>
        </w:rPr>
        <w:t>八、</w:t>
      </w:r>
      <w:r>
        <w:rPr>
          <w:rFonts w:hint="eastAsia" w:ascii="宋体" w:hAnsi="宋体" w:cs="宋体"/>
          <w:b/>
          <w:bCs/>
          <w:szCs w:val="21"/>
        </w:rPr>
        <w:t>项目工期和验收</w:t>
      </w:r>
      <w:bookmarkEnd w:id="54"/>
      <w:bookmarkEnd w:id="55"/>
      <w:bookmarkEnd w:id="57"/>
      <w:bookmarkEnd w:id="58"/>
      <w:bookmarkEnd w:id="59"/>
    </w:p>
    <w:p>
      <w:pPr>
        <w:spacing w:line="440" w:lineRule="exact"/>
        <w:ind w:firstLine="420" w:firstLineChars="200"/>
        <w:rPr>
          <w:rFonts w:ascii="宋体" w:hAnsi="宋体" w:cs="宋体"/>
          <w:b/>
          <w:szCs w:val="21"/>
        </w:rPr>
      </w:pPr>
      <w:r>
        <w:rPr>
          <w:rFonts w:hint="eastAsia" w:ascii="宋体" w:hAnsi="宋体" w:cs="宋体"/>
          <w:szCs w:val="21"/>
        </w:rPr>
        <w:t>8.1项目工期：</w:t>
      </w:r>
      <w:r>
        <w:rPr>
          <w:rFonts w:hint="eastAsia" w:ascii="宋体" w:hAnsi="宋体" w:cs="宋体"/>
          <w:bCs/>
          <w:szCs w:val="21"/>
        </w:rPr>
        <w:t>合同签订后12个月内完成全部设备供货、安装、调试、验收工作。其中西坑水库、岭口下水库、灵岩水库、共青号水库、凌云水库、下抱水库、黄坦水库(如有调整，以采购人通知为准，中标人须配合采购人安排)须在2022年11月30日前完成设备供货、安装、调试、验收工作。</w:t>
      </w:r>
      <w:r>
        <w:rPr>
          <w:rFonts w:hint="eastAsia" w:ascii="宋体" w:hAnsi="宋体" w:cs="宋体"/>
          <w:b/>
          <w:szCs w:val="21"/>
        </w:rPr>
        <w:t>逾期按每天合同价0.5%支付违约金，最高不超过合同价的20%。</w:t>
      </w:r>
    </w:p>
    <w:p>
      <w:pPr>
        <w:pStyle w:val="2"/>
        <w:spacing w:line="440" w:lineRule="exact"/>
      </w:pPr>
      <w:r>
        <w:rPr>
          <w:rFonts w:hint="eastAsia" w:ascii="宋体" w:hAnsi="宋体" w:cs="宋体"/>
          <w:bCs/>
        </w:rPr>
        <w:t>运行期监测及整编资料分析报告服务：3年。</w:t>
      </w:r>
    </w:p>
    <w:p>
      <w:pPr>
        <w:spacing w:line="440" w:lineRule="exact"/>
        <w:ind w:firstLine="420" w:firstLineChars="200"/>
        <w:rPr>
          <w:rFonts w:ascii="宋体" w:hAnsi="宋体" w:cs="宋体"/>
          <w:szCs w:val="21"/>
        </w:rPr>
      </w:pPr>
      <w:r>
        <w:rPr>
          <w:rFonts w:hint="eastAsia" w:ascii="宋体" w:hAnsi="宋体" w:cs="宋体"/>
          <w:szCs w:val="21"/>
        </w:rPr>
        <w:t>8.2甲方应当在到货后的2个工作日内对货物进行验收。货物验收时，甲乙双方必须同时在场，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w:t>
      </w:r>
    </w:p>
    <w:p>
      <w:pPr>
        <w:spacing w:line="440" w:lineRule="exact"/>
        <w:ind w:firstLine="420" w:firstLineChars="200"/>
        <w:rPr>
          <w:rFonts w:ascii="宋体" w:hAnsi="宋体" w:cs="宋体"/>
          <w:szCs w:val="21"/>
        </w:rPr>
      </w:pPr>
      <w:r>
        <w:rPr>
          <w:rFonts w:hint="eastAsia" w:ascii="宋体" w:hAnsi="宋体" w:cs="宋体"/>
          <w:szCs w:val="21"/>
        </w:rPr>
        <w:t>8.5需要乙方对货物（包括软件）或系统进行安装调试的，甲乙双方应在货物安装调试完毕后及时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w:t>
      </w:r>
    </w:p>
    <w:p>
      <w:pPr>
        <w:spacing w:line="440" w:lineRule="exact"/>
        <w:ind w:firstLine="420" w:firstLineChars="200"/>
        <w:rPr>
          <w:rFonts w:ascii="宋体" w:hAnsi="宋体" w:cs="宋体"/>
          <w:szCs w:val="21"/>
        </w:rPr>
      </w:pPr>
      <w:r>
        <w:rPr>
          <w:rFonts w:hint="eastAsia" w:ascii="宋体" w:hAnsi="宋体" w:cs="宋体"/>
          <w:szCs w:val="21"/>
        </w:rPr>
        <w:t>（1）重新调试直至合格为止；</w:t>
      </w:r>
    </w:p>
    <w:p>
      <w:pPr>
        <w:spacing w:line="440" w:lineRule="exact"/>
        <w:ind w:firstLine="420" w:firstLineChars="200"/>
        <w:rPr>
          <w:rFonts w:ascii="宋体" w:hAnsi="宋体" w:cs="宋体"/>
          <w:szCs w:val="21"/>
        </w:rPr>
      </w:pPr>
      <w:r>
        <w:rPr>
          <w:rFonts w:hint="eastAsia" w:ascii="宋体" w:hAnsi="宋体" w:cs="宋体"/>
          <w:szCs w:val="21"/>
        </w:rPr>
        <w:t>（2）要求乙方对货物进行免费更换，然后重新调试直至合格为止。</w:t>
      </w:r>
    </w:p>
    <w:p>
      <w:pPr>
        <w:spacing w:line="440" w:lineRule="exact"/>
        <w:ind w:firstLine="420" w:firstLineChars="200"/>
        <w:rPr>
          <w:rFonts w:ascii="宋体" w:hAnsi="宋体" w:cs="宋体"/>
          <w:szCs w:val="21"/>
        </w:rPr>
      </w:pPr>
      <w:r>
        <w:rPr>
          <w:rFonts w:hint="eastAsia" w:ascii="宋体" w:hAnsi="宋体" w:cs="宋体"/>
          <w:szCs w:val="21"/>
        </w:rPr>
        <w:t>（3）甲方因乙方原因所产生的所有费用均由乙方负担。</w:t>
      </w:r>
    </w:p>
    <w:p>
      <w:pPr>
        <w:spacing w:line="440" w:lineRule="exact"/>
        <w:ind w:firstLine="420" w:firstLineChars="200"/>
        <w:rPr>
          <w:rFonts w:ascii="宋体" w:hAnsi="宋体" w:cs="宋体"/>
          <w:szCs w:val="21"/>
        </w:rPr>
      </w:pPr>
      <w:r>
        <w:rPr>
          <w:rFonts w:hint="eastAsia" w:ascii="宋体" w:hAnsi="宋体" w:cs="宋体"/>
          <w:szCs w:val="21"/>
        </w:rPr>
        <w:t>8.6验收合格的，由双方共同签署《验收报告》。</w:t>
      </w:r>
    </w:p>
    <w:p>
      <w:pPr>
        <w:spacing w:line="440" w:lineRule="exact"/>
        <w:ind w:firstLine="420" w:firstLineChars="200"/>
        <w:rPr>
          <w:rFonts w:ascii="宋体" w:hAnsi="宋体" w:cs="宋体"/>
          <w:szCs w:val="21"/>
        </w:rPr>
      </w:pPr>
      <w:r>
        <w:rPr>
          <w:rFonts w:hint="eastAsia" w:ascii="宋体" w:hAnsi="宋体" w:cs="宋体"/>
          <w:szCs w:val="21"/>
        </w:rPr>
        <w:t>8.7甲方可以视项目规模或复杂情况聘请专业人员参与验收。</w:t>
      </w:r>
    </w:p>
    <w:p>
      <w:pPr>
        <w:spacing w:line="440" w:lineRule="exact"/>
        <w:ind w:firstLine="420" w:firstLineChars="200"/>
        <w:rPr>
          <w:rFonts w:ascii="宋体" w:hAnsi="宋体" w:cs="宋体"/>
          <w:szCs w:val="21"/>
        </w:rPr>
      </w:pPr>
      <w:r>
        <w:rPr>
          <w:rFonts w:hint="eastAsia" w:ascii="宋体" w:hAnsi="宋体" w:cs="宋体"/>
          <w:szCs w:val="21"/>
        </w:rPr>
        <w:t>8.8服务成果（货物）达不到本合同规定的数量、质量要求和运行效果，甲方有权拒收，并可以解除合同；由此引起甲方损失及赔偿责任由乙方承担。</w:t>
      </w:r>
    </w:p>
    <w:p>
      <w:pPr>
        <w:spacing w:line="440" w:lineRule="exact"/>
        <w:ind w:firstLine="420" w:firstLineChars="200"/>
        <w:rPr>
          <w:rFonts w:ascii="宋体" w:hAnsi="宋体" w:cs="宋体"/>
          <w:szCs w:val="21"/>
        </w:rPr>
      </w:pPr>
      <w:r>
        <w:rPr>
          <w:rFonts w:hint="eastAsia" w:ascii="宋体" w:hAnsi="宋体" w:cs="宋体"/>
          <w:szCs w:val="21"/>
        </w:rPr>
        <w:t>8.9如果合同双方对《验收报告》有分歧，双方须于出现分歧后7天内给对方书面声明，以陈述己方的理由及要求，并附有关证据。分歧应通过协商解决。</w:t>
      </w:r>
    </w:p>
    <w:p>
      <w:pPr>
        <w:pStyle w:val="2"/>
        <w:adjustRightInd w:val="0"/>
        <w:snapToGrid w:val="0"/>
        <w:spacing w:after="0" w:line="440" w:lineRule="exact"/>
        <w:ind w:left="0" w:leftChars="0" w:firstLine="420" w:firstLineChars="200"/>
      </w:pPr>
      <w:r>
        <w:rPr>
          <w:rFonts w:hint="eastAsia"/>
        </w:rPr>
        <w:t>8.10</w:t>
      </w:r>
      <w:r>
        <w:rPr>
          <w:rFonts w:hint="eastAsia" w:ascii="宋体" w:hAnsi="宋体" w:cs="宋体"/>
        </w:rPr>
        <w:t>乙方</w:t>
      </w:r>
      <w:r>
        <w:rPr>
          <w:rFonts w:hint="eastAsia" w:ascii="宋体" w:hAnsi="宋体" w:cs="宋体"/>
          <w:color w:val="000000"/>
          <w:spacing w:val="-4"/>
        </w:rPr>
        <w:t>根据招标文件、投标文件、现行技术规范、规程、</w:t>
      </w:r>
      <w:r>
        <w:rPr>
          <w:rFonts w:hint="eastAsia" w:ascii="宋体" w:hAnsi="宋体" w:cs="宋体"/>
          <w:spacing w:val="-4"/>
        </w:rPr>
        <w:t>标准等要求进行</w:t>
      </w:r>
      <w:r>
        <w:rPr>
          <w:rFonts w:hint="eastAsia" w:ascii="宋体" w:hAnsi="宋体" w:cs="宋体"/>
          <w:bCs/>
        </w:rPr>
        <w:t>运行期监测及整编资料分析报告服务</w:t>
      </w:r>
      <w:r>
        <w:rPr>
          <w:rFonts w:hint="eastAsia" w:ascii="宋体" w:hAnsi="宋体" w:cs="宋体"/>
        </w:rPr>
        <w:t>。</w:t>
      </w:r>
    </w:p>
    <w:p>
      <w:pPr>
        <w:spacing w:line="440" w:lineRule="exact"/>
        <w:ind w:firstLine="422" w:firstLineChars="200"/>
        <w:outlineLvl w:val="1"/>
        <w:rPr>
          <w:rFonts w:ascii="宋体" w:hAnsi="宋体" w:cs="宋体"/>
          <w:b/>
          <w:szCs w:val="21"/>
        </w:rPr>
      </w:pPr>
      <w:bookmarkStart w:id="60" w:name="_Toc27085"/>
      <w:bookmarkStart w:id="61" w:name="_Toc28056"/>
      <w:bookmarkStart w:id="62" w:name="_Toc27137"/>
      <w:bookmarkStart w:id="63" w:name="_Toc25516"/>
      <w:bookmarkStart w:id="64" w:name="_Toc8443"/>
      <w:r>
        <w:rPr>
          <w:rFonts w:hint="eastAsia" w:ascii="宋体" w:hAnsi="宋体" w:cs="宋体"/>
          <w:b/>
          <w:bCs/>
          <w:szCs w:val="21"/>
        </w:rPr>
        <w:t>九、</w:t>
      </w:r>
      <w:r>
        <w:rPr>
          <w:rFonts w:hint="eastAsia" w:ascii="宋体" w:hAnsi="宋体" w:cs="宋体"/>
          <w:b/>
          <w:szCs w:val="21"/>
        </w:rPr>
        <w:t>安全生产事故责任</w:t>
      </w:r>
      <w:bookmarkEnd w:id="60"/>
      <w:bookmarkEnd w:id="61"/>
      <w:bookmarkEnd w:id="62"/>
      <w:bookmarkEnd w:id="63"/>
      <w:bookmarkEnd w:id="64"/>
    </w:p>
    <w:p>
      <w:pPr>
        <w:spacing w:line="440" w:lineRule="exact"/>
        <w:ind w:firstLine="420" w:firstLineChars="200"/>
        <w:rPr>
          <w:rFonts w:ascii="宋体" w:hAnsi="宋体" w:cs="宋体"/>
          <w:szCs w:val="21"/>
        </w:rPr>
      </w:pPr>
      <w:r>
        <w:rPr>
          <w:rFonts w:hint="eastAsia" w:ascii="宋体" w:hAnsi="宋体" w:cs="宋体"/>
          <w:szCs w:val="21"/>
        </w:rPr>
        <w:t>乙方应切实做好作业人员安全生产教育工作，严格落实安全文明施工措施。合同履行期间，工作时间内、外发生的乙方作业人员遭遇意外伤害、交通事故；以及由乙方作业引发的第三者意外伤害等所有安全事故，乙方应承担全部法律责任和经济损失。</w:t>
      </w:r>
    </w:p>
    <w:p>
      <w:pPr>
        <w:spacing w:line="440" w:lineRule="exact"/>
        <w:ind w:firstLine="422" w:firstLineChars="200"/>
        <w:outlineLvl w:val="1"/>
        <w:rPr>
          <w:rFonts w:ascii="宋体" w:hAnsi="宋体" w:cs="宋体"/>
          <w:szCs w:val="21"/>
        </w:rPr>
      </w:pPr>
      <w:bookmarkStart w:id="65" w:name="_Toc24720"/>
      <w:bookmarkStart w:id="66" w:name="_Toc18013"/>
      <w:bookmarkStart w:id="67" w:name="_Toc3806"/>
      <w:bookmarkStart w:id="68" w:name="_Toc7066"/>
      <w:bookmarkStart w:id="69" w:name="_Toc176"/>
      <w:r>
        <w:rPr>
          <w:rFonts w:hint="eastAsia" w:ascii="宋体" w:hAnsi="宋体" w:cs="宋体"/>
          <w:b/>
          <w:szCs w:val="21"/>
        </w:rPr>
        <w:t>十、售后服务</w:t>
      </w:r>
      <w:bookmarkEnd w:id="65"/>
      <w:bookmarkEnd w:id="66"/>
      <w:bookmarkEnd w:id="67"/>
      <w:bookmarkEnd w:id="68"/>
      <w:bookmarkEnd w:id="69"/>
    </w:p>
    <w:p>
      <w:pPr>
        <w:spacing w:line="400" w:lineRule="exact"/>
        <w:ind w:firstLine="420" w:firstLineChars="200"/>
        <w:rPr>
          <w:rFonts w:ascii="宋体" w:hAnsi="宋体" w:cs="宋体"/>
          <w:szCs w:val="21"/>
        </w:rPr>
      </w:pPr>
      <w:r>
        <w:rPr>
          <w:rFonts w:hint="eastAsia" w:ascii="宋体" w:hAnsi="宋体" w:cs="宋体"/>
          <w:szCs w:val="21"/>
        </w:rPr>
        <w:t>10.1质量保证期为自项目通过竣工验收之日起</w:t>
      </w:r>
      <w:r>
        <w:rPr>
          <w:rFonts w:hint="eastAsia" w:ascii="宋体" w:hAnsi="宋体" w:cs="宋体"/>
          <w:szCs w:val="21"/>
          <w:u w:val="single"/>
        </w:rPr>
        <w:t xml:space="preserve">    </w:t>
      </w:r>
      <w:r>
        <w:rPr>
          <w:rFonts w:hint="eastAsia" w:ascii="宋体" w:hAnsi="宋体" w:cs="宋体"/>
          <w:szCs w:val="21"/>
        </w:rPr>
        <w:t>个月。若国家有明确规定的质量保证期高于此质量保证期的，执行国家规定。</w:t>
      </w:r>
    </w:p>
    <w:p>
      <w:pPr>
        <w:spacing w:line="400" w:lineRule="exact"/>
        <w:ind w:firstLine="420" w:firstLineChars="200"/>
        <w:rPr>
          <w:rFonts w:ascii="宋体" w:hAnsi="宋体" w:cs="宋体"/>
          <w:szCs w:val="21"/>
        </w:rPr>
      </w:pPr>
      <w:r>
        <w:rPr>
          <w:rFonts w:hint="eastAsia" w:ascii="宋体" w:hAnsi="宋体" w:cs="宋体"/>
          <w:szCs w:val="21"/>
        </w:rPr>
        <w:t>10.2在服务成果（货物）质保期内，乙方应对由于设计、工艺、质量（含环保节能要求）、材料和的缺陷而发生的任何不足或故障负责，并解决存在的问题。</w:t>
      </w:r>
    </w:p>
    <w:p>
      <w:pPr>
        <w:spacing w:line="400" w:lineRule="exact"/>
        <w:ind w:firstLine="420" w:firstLineChars="200"/>
        <w:rPr>
          <w:rFonts w:ascii="宋体" w:hAnsi="宋体" w:cs="宋体"/>
          <w:szCs w:val="21"/>
        </w:rPr>
      </w:pPr>
      <w:r>
        <w:rPr>
          <w:rFonts w:hint="eastAsia" w:ascii="宋体" w:hAnsi="宋体" w:cs="宋体"/>
          <w:szCs w:val="21"/>
        </w:rPr>
        <w:t>10.3对不符合本合同规定要求的服务成果（货物）应立即进行调换，调换本身并不影响甲方就其损失向乙方索赔的权利。</w:t>
      </w:r>
    </w:p>
    <w:p>
      <w:pPr>
        <w:spacing w:line="400" w:lineRule="exact"/>
        <w:ind w:firstLine="420" w:firstLineChars="200"/>
        <w:rPr>
          <w:rFonts w:ascii="宋体" w:hAnsi="宋体" w:cs="宋体"/>
          <w:szCs w:val="21"/>
        </w:rPr>
      </w:pPr>
      <w:r>
        <w:rPr>
          <w:rFonts w:hint="eastAsia" w:ascii="宋体" w:hAnsi="宋体" w:cs="宋体"/>
          <w:szCs w:val="21"/>
        </w:rPr>
        <w:t>10.4系统安装调试完成后，乙方应继续向甲方提供良好的技术支持。应当由专门队伍从事此项工作，并提供全天候的热线技术支持服务，应当对甲方所反映的任何问题在</w:t>
      </w:r>
      <w:r>
        <w:rPr>
          <w:rFonts w:hint="eastAsia" w:ascii="宋体" w:hAnsi="宋体" w:cs="宋体"/>
          <w:szCs w:val="21"/>
          <w:u w:val="single"/>
        </w:rPr>
        <w:t>2</w:t>
      </w:r>
      <w:r>
        <w:rPr>
          <w:rFonts w:hint="eastAsia" w:ascii="宋体" w:hAnsi="宋体" w:cs="宋体"/>
          <w:szCs w:val="21"/>
        </w:rPr>
        <w:t>小时之内做出及时响应，在</w:t>
      </w:r>
      <w:r>
        <w:rPr>
          <w:rFonts w:hint="eastAsia" w:ascii="宋体" w:hAnsi="宋体" w:cs="宋体"/>
          <w:szCs w:val="21"/>
          <w:u w:val="single"/>
        </w:rPr>
        <w:t>24</w:t>
      </w:r>
      <w:r>
        <w:rPr>
          <w:rFonts w:hint="eastAsia" w:ascii="宋体" w:hAnsi="宋体" w:cs="宋体"/>
          <w:szCs w:val="21"/>
        </w:rPr>
        <w:t>小时之内赶到现场实地解决问题。若问题、故障在检修</w:t>
      </w:r>
      <w:r>
        <w:rPr>
          <w:rFonts w:hint="eastAsia" w:ascii="宋体" w:hAnsi="宋体" w:cs="宋体"/>
          <w:szCs w:val="21"/>
          <w:u w:val="single"/>
        </w:rPr>
        <w:t>1</w:t>
      </w:r>
      <w:r>
        <w:rPr>
          <w:rFonts w:hint="eastAsia" w:ascii="宋体" w:hAnsi="宋体" w:cs="宋体"/>
          <w:szCs w:val="21"/>
        </w:rPr>
        <w:t>工作日后仍无法解决，乙方应在</w:t>
      </w:r>
      <w:r>
        <w:rPr>
          <w:rFonts w:hint="eastAsia" w:ascii="宋体" w:hAnsi="宋体" w:cs="宋体"/>
          <w:szCs w:val="21"/>
          <w:u w:val="single"/>
        </w:rPr>
        <w:t>1</w:t>
      </w:r>
      <w:r>
        <w:rPr>
          <w:rFonts w:hint="eastAsia" w:ascii="宋体" w:hAnsi="宋体" w:cs="宋体"/>
          <w:szCs w:val="21"/>
        </w:rPr>
        <w:t>日内免费提供不低于故障货物规格型号档次的备用货物供甲方使用，直至故障货物修复。</w:t>
      </w:r>
    </w:p>
    <w:p>
      <w:pPr>
        <w:spacing w:line="400" w:lineRule="exact"/>
        <w:ind w:firstLine="420" w:firstLineChars="200"/>
        <w:rPr>
          <w:rFonts w:ascii="宋体" w:hAnsi="宋体" w:cs="宋体"/>
          <w:szCs w:val="21"/>
        </w:rPr>
      </w:pPr>
      <w:r>
        <w:rPr>
          <w:rFonts w:hint="eastAsia" w:ascii="宋体" w:hAnsi="宋体" w:cs="宋体"/>
          <w:szCs w:val="21"/>
        </w:rPr>
        <w:t>10.5乙方应当建立健全售后服务体系，确保系统正常运行。乙方应当遵守甲方的有关管理制度、操作规程。对于乙方违规操作造成甲方损失的，由乙方按照本合同第十二条的约定承担赔偿责任。</w:t>
      </w:r>
    </w:p>
    <w:p>
      <w:pPr>
        <w:spacing w:line="400" w:lineRule="exact"/>
        <w:ind w:firstLine="420" w:firstLineChars="200"/>
        <w:rPr>
          <w:rFonts w:ascii="宋体" w:hAnsi="宋体" w:cs="宋体"/>
          <w:szCs w:val="21"/>
        </w:rPr>
      </w:pPr>
      <w:r>
        <w:rPr>
          <w:rFonts w:hint="eastAsia" w:ascii="宋体" w:hAnsi="宋体" w:cs="宋体"/>
          <w:szCs w:val="21"/>
        </w:rPr>
        <w:t>10.6乙方应负责货物及主要部件、配件维修更换。质保期内，乙方对货物（人为故意损坏除外）提供全免费保修或免费更换；质保期后，收取维修成本费（备品备件乙方应以投标文件承诺的优惠价格提供）。</w:t>
      </w:r>
    </w:p>
    <w:p>
      <w:pPr>
        <w:spacing w:line="440" w:lineRule="exact"/>
        <w:ind w:firstLine="422" w:firstLineChars="200"/>
        <w:outlineLvl w:val="1"/>
        <w:rPr>
          <w:rFonts w:ascii="宋体" w:hAnsi="宋体" w:cs="宋体"/>
          <w:b/>
          <w:szCs w:val="21"/>
        </w:rPr>
      </w:pPr>
      <w:bookmarkStart w:id="70" w:name="_Toc2711"/>
      <w:bookmarkStart w:id="71" w:name="_Toc1922"/>
      <w:bookmarkStart w:id="72" w:name="_Toc9615"/>
      <w:bookmarkStart w:id="73" w:name="_Toc27488"/>
      <w:bookmarkStart w:id="74" w:name="_Toc14898"/>
      <w:r>
        <w:rPr>
          <w:rFonts w:hint="eastAsia" w:ascii="宋体" w:hAnsi="宋体" w:cs="宋体"/>
          <w:b/>
          <w:szCs w:val="21"/>
        </w:rPr>
        <w:t>十一、违约责任</w:t>
      </w:r>
      <w:bookmarkEnd w:id="70"/>
      <w:bookmarkEnd w:id="71"/>
      <w:bookmarkEnd w:id="72"/>
      <w:bookmarkEnd w:id="73"/>
      <w:bookmarkEnd w:id="74"/>
    </w:p>
    <w:p>
      <w:pPr>
        <w:spacing w:line="400" w:lineRule="exact"/>
        <w:ind w:firstLine="420" w:firstLineChars="200"/>
        <w:rPr>
          <w:rFonts w:ascii="宋体" w:hAnsi="宋体" w:cs="宋体"/>
          <w:szCs w:val="21"/>
        </w:rPr>
      </w:pPr>
      <w:r>
        <w:rPr>
          <w:rFonts w:hint="eastAsia" w:ascii="宋体" w:hAnsi="宋体" w:cs="宋体"/>
          <w:szCs w:val="21"/>
        </w:rPr>
        <w:t>11.1乙方所交付的服务成果（货物）不符合本合同规定的，甲方有权拒收，乙方在得到甲方通知之日起</w:t>
      </w:r>
      <w:r>
        <w:rPr>
          <w:rFonts w:hint="eastAsia" w:ascii="宋体" w:hAnsi="宋体" w:cs="宋体"/>
          <w:szCs w:val="21"/>
          <w:u w:val="single"/>
        </w:rPr>
        <w:t>2</w:t>
      </w:r>
      <w:r>
        <w:rPr>
          <w:rFonts w:hint="eastAsia" w:ascii="宋体" w:hAnsi="宋体" w:cs="宋体"/>
          <w:szCs w:val="21"/>
        </w:rPr>
        <w:t>个工作日内采取补救措施，逾期仍未采取有效措施的，甲方有权要求乙方赔偿因此造成的损失；同时乙方应向甲方支付合同总价</w:t>
      </w:r>
      <w:r>
        <w:rPr>
          <w:rFonts w:hint="eastAsia" w:ascii="宋体" w:hAnsi="宋体" w:cs="宋体"/>
          <w:szCs w:val="21"/>
          <w:u w:val="single"/>
        </w:rPr>
        <w:t>1</w:t>
      </w:r>
      <w:r>
        <w:rPr>
          <w:rFonts w:hint="eastAsia" w:ascii="宋体" w:hAnsi="宋体" w:cs="宋体"/>
          <w:szCs w:val="21"/>
        </w:rPr>
        <w:t>％的违约金。</w:t>
      </w:r>
    </w:p>
    <w:p>
      <w:pPr>
        <w:spacing w:line="400" w:lineRule="exact"/>
        <w:ind w:firstLine="420" w:firstLineChars="200"/>
        <w:rPr>
          <w:rFonts w:ascii="宋体" w:hAnsi="宋体" w:cs="宋体"/>
          <w:szCs w:val="21"/>
        </w:rPr>
      </w:pPr>
      <w:r>
        <w:rPr>
          <w:rFonts w:hint="eastAsia" w:ascii="宋体" w:hAnsi="宋体" w:cs="宋体"/>
          <w:szCs w:val="21"/>
        </w:rPr>
        <w:t>11.2甲方无正当理由拒收服务（货物）、拒付货款的，甲方应向乙方偿付拒付部分款项</w:t>
      </w:r>
      <w:r>
        <w:rPr>
          <w:rFonts w:hint="eastAsia" w:ascii="宋体" w:hAnsi="宋体" w:cs="宋体"/>
          <w:szCs w:val="21"/>
          <w:u w:val="single"/>
        </w:rPr>
        <w:t>1</w:t>
      </w:r>
      <w:r>
        <w:rPr>
          <w:rFonts w:hint="eastAsia" w:ascii="宋体" w:hAnsi="宋体" w:cs="宋体"/>
          <w:szCs w:val="21"/>
        </w:rPr>
        <w:t>％的违约金。</w:t>
      </w:r>
    </w:p>
    <w:p>
      <w:pPr>
        <w:spacing w:line="400" w:lineRule="exact"/>
        <w:ind w:firstLine="420" w:firstLineChars="200"/>
        <w:rPr>
          <w:rFonts w:ascii="宋体" w:hAnsi="宋体" w:cs="宋体"/>
          <w:szCs w:val="21"/>
        </w:rPr>
      </w:pPr>
      <w:r>
        <w:rPr>
          <w:rFonts w:hint="eastAsia" w:ascii="宋体" w:hAnsi="宋体" w:cs="宋体"/>
          <w:szCs w:val="21"/>
        </w:rPr>
        <w:t>11.3在乙方承诺的或国家规定的质量保证期内（取两者中最长的期限），如经乙方两次维修，服务成果（货物）仍不能达到合同约定的质量标准、运行效果的，换新并达到使用要求，乙方还须赔偿甲方因此遭受的损失。</w:t>
      </w:r>
    </w:p>
    <w:p>
      <w:pPr>
        <w:spacing w:line="400" w:lineRule="exact"/>
        <w:ind w:firstLine="420" w:firstLineChars="200"/>
        <w:rPr>
          <w:rFonts w:ascii="宋体" w:hAnsi="宋体" w:cs="宋体"/>
          <w:szCs w:val="21"/>
        </w:rPr>
      </w:pPr>
      <w:r>
        <w:rPr>
          <w:rFonts w:hint="eastAsia" w:ascii="宋体" w:hAnsi="宋体" w:cs="宋体"/>
          <w:szCs w:val="21"/>
        </w:rPr>
        <w:t>11.4其它未尽事宜，以《民法典》和《政府采购法》等有关法律法规规定为准，无相关规定的，双方协商解决。</w:t>
      </w:r>
    </w:p>
    <w:p>
      <w:pPr>
        <w:spacing w:line="440" w:lineRule="exact"/>
        <w:ind w:firstLine="422" w:firstLineChars="200"/>
        <w:outlineLvl w:val="1"/>
        <w:rPr>
          <w:rFonts w:ascii="宋体" w:hAnsi="宋体" w:cs="宋体"/>
          <w:b/>
          <w:szCs w:val="21"/>
        </w:rPr>
      </w:pPr>
      <w:bookmarkStart w:id="75" w:name="_Toc1511"/>
      <w:bookmarkStart w:id="76" w:name="_Toc22795"/>
      <w:bookmarkStart w:id="77" w:name="_Toc18642"/>
      <w:bookmarkStart w:id="78" w:name="_Toc8631"/>
      <w:bookmarkStart w:id="79" w:name="_Toc9025"/>
      <w:r>
        <w:rPr>
          <w:rFonts w:hint="eastAsia" w:ascii="宋体" w:hAnsi="宋体" w:cs="宋体"/>
          <w:b/>
          <w:szCs w:val="21"/>
        </w:rPr>
        <w:t>十二、不可抗力事件处理</w:t>
      </w:r>
      <w:bookmarkEnd w:id="75"/>
      <w:bookmarkEnd w:id="76"/>
      <w:bookmarkEnd w:id="77"/>
      <w:bookmarkEnd w:id="78"/>
      <w:bookmarkEnd w:id="79"/>
    </w:p>
    <w:p>
      <w:pPr>
        <w:spacing w:line="440" w:lineRule="exact"/>
        <w:ind w:firstLine="420" w:firstLineChars="200"/>
        <w:rPr>
          <w:rFonts w:ascii="宋体" w:hAnsi="宋体" w:cs="宋体"/>
          <w:szCs w:val="21"/>
        </w:rPr>
      </w:pPr>
      <w:r>
        <w:rPr>
          <w:rFonts w:hint="eastAsia" w:ascii="宋体" w:hAnsi="宋体" w:cs="宋体"/>
          <w:szCs w:val="21"/>
        </w:rPr>
        <w:t>12.1在合同有效期限内，任何一方因不可抗力事件导致不能履行合同，则合同履行期可延长，其延长期与不可抗力影响期相同。</w:t>
      </w:r>
    </w:p>
    <w:p>
      <w:pPr>
        <w:spacing w:line="440" w:lineRule="exact"/>
        <w:ind w:firstLine="420" w:firstLineChars="200"/>
        <w:rPr>
          <w:rFonts w:ascii="宋体" w:hAnsi="宋体" w:cs="宋体"/>
          <w:szCs w:val="21"/>
        </w:rPr>
      </w:pPr>
      <w:r>
        <w:rPr>
          <w:rFonts w:hint="eastAsia" w:ascii="宋体" w:hAnsi="宋体" w:cs="宋体"/>
          <w:szCs w:val="21"/>
        </w:rPr>
        <w:t>12.2不可抗力事件发生后，应立即通知对方，并寄送有关权威机构出具的证明。</w:t>
      </w:r>
    </w:p>
    <w:p>
      <w:pPr>
        <w:spacing w:line="440" w:lineRule="exact"/>
        <w:ind w:firstLine="420" w:firstLineChars="200"/>
        <w:rPr>
          <w:rFonts w:ascii="宋体" w:hAnsi="宋体" w:cs="宋体"/>
          <w:szCs w:val="21"/>
        </w:rPr>
      </w:pPr>
      <w:r>
        <w:rPr>
          <w:rFonts w:hint="eastAsia" w:ascii="宋体" w:hAnsi="宋体" w:cs="宋体"/>
          <w:szCs w:val="21"/>
        </w:rPr>
        <w:t>12.3不可抗力事件延续120天以上，双方应通过友好协商，确定是否继续履行合同。</w:t>
      </w:r>
    </w:p>
    <w:p>
      <w:pPr>
        <w:spacing w:line="440" w:lineRule="exact"/>
        <w:ind w:firstLine="422" w:firstLineChars="200"/>
        <w:outlineLvl w:val="1"/>
        <w:rPr>
          <w:rFonts w:ascii="宋体" w:hAnsi="宋体" w:cs="宋体"/>
          <w:b/>
          <w:szCs w:val="21"/>
        </w:rPr>
      </w:pPr>
      <w:bookmarkStart w:id="80" w:name="_Toc13448"/>
      <w:bookmarkStart w:id="81" w:name="_Toc25042"/>
      <w:bookmarkStart w:id="82" w:name="_Toc31846"/>
      <w:bookmarkStart w:id="83" w:name="_Toc8278"/>
      <w:bookmarkStart w:id="84" w:name="_Toc31807"/>
      <w:r>
        <w:rPr>
          <w:rFonts w:hint="eastAsia" w:ascii="宋体" w:hAnsi="宋体" w:cs="宋体"/>
          <w:b/>
          <w:szCs w:val="21"/>
        </w:rPr>
        <w:t>十三、争议的解决</w:t>
      </w:r>
      <w:bookmarkEnd w:id="80"/>
      <w:bookmarkEnd w:id="81"/>
      <w:bookmarkEnd w:id="82"/>
      <w:bookmarkEnd w:id="83"/>
      <w:bookmarkEnd w:id="84"/>
    </w:p>
    <w:p>
      <w:pPr>
        <w:spacing w:line="440" w:lineRule="exact"/>
        <w:ind w:firstLine="420" w:firstLineChars="200"/>
        <w:rPr>
          <w:rFonts w:ascii="宋体" w:hAnsi="宋体" w:cs="宋体"/>
          <w:szCs w:val="21"/>
        </w:rPr>
      </w:pPr>
      <w:r>
        <w:rPr>
          <w:rFonts w:hint="eastAsia" w:ascii="宋体" w:hAnsi="宋体" w:cs="宋体"/>
          <w:szCs w:val="21"/>
        </w:rPr>
        <w:t>13.1 因服务成果（货物）的质量问题发生争议的，应当邀请国家认可的质量检测机构对服务成果（货物）质量进行鉴定。服务成果（货物）符合标准的，鉴定费由甲方承担；服务成果（货物）不符合质量标准的，鉴定费由乙方承担。</w:t>
      </w:r>
    </w:p>
    <w:p>
      <w:pPr>
        <w:pStyle w:val="23"/>
        <w:snapToGrid w:val="0"/>
        <w:spacing w:line="440" w:lineRule="exact"/>
        <w:ind w:firstLine="420" w:firstLineChars="200"/>
        <w:textAlignment w:val="baseline"/>
        <w:rPr>
          <w:rFonts w:hAnsi="宋体" w:cs="宋体"/>
          <w:snapToGrid w:val="0"/>
          <w:szCs w:val="21"/>
        </w:rPr>
      </w:pPr>
      <w:r>
        <w:rPr>
          <w:rFonts w:hint="eastAsia" w:hAnsi="宋体" w:cs="宋体"/>
          <w:szCs w:val="21"/>
        </w:rPr>
        <w:t>13.2</w:t>
      </w:r>
      <w:r>
        <w:rPr>
          <w:rFonts w:hint="eastAsia" w:hAnsi="宋体" w:cs="宋体"/>
          <w:snapToGrid w:val="0"/>
          <w:szCs w:val="21"/>
        </w:rPr>
        <w:t>双方在执行合同中所发生的一切争议，应通过协商解决。如协商不成，可向甲方所在地法院起诉。</w:t>
      </w:r>
    </w:p>
    <w:p>
      <w:pPr>
        <w:spacing w:line="440" w:lineRule="exact"/>
        <w:ind w:firstLine="422" w:firstLineChars="200"/>
        <w:outlineLvl w:val="1"/>
        <w:rPr>
          <w:rFonts w:ascii="宋体" w:hAnsi="宋体" w:cs="宋体"/>
          <w:b/>
          <w:szCs w:val="21"/>
        </w:rPr>
      </w:pPr>
      <w:bookmarkStart w:id="85" w:name="_Toc1027"/>
      <w:bookmarkStart w:id="86" w:name="_Toc11741"/>
      <w:bookmarkStart w:id="87" w:name="_Toc27652"/>
      <w:bookmarkStart w:id="88" w:name="_Toc2654"/>
      <w:bookmarkStart w:id="89" w:name="_Toc8220"/>
      <w:r>
        <w:rPr>
          <w:rFonts w:hint="eastAsia" w:ascii="宋体" w:hAnsi="宋体" w:cs="宋体"/>
          <w:b/>
          <w:szCs w:val="21"/>
        </w:rPr>
        <w:t>十四、合同生效</w:t>
      </w:r>
      <w:bookmarkEnd w:id="85"/>
      <w:bookmarkEnd w:id="86"/>
      <w:bookmarkEnd w:id="87"/>
      <w:bookmarkEnd w:id="88"/>
      <w:bookmarkEnd w:id="89"/>
    </w:p>
    <w:p>
      <w:pPr>
        <w:spacing w:line="440" w:lineRule="exact"/>
        <w:ind w:firstLine="420" w:firstLineChars="200"/>
        <w:rPr>
          <w:rFonts w:ascii="宋体" w:hAnsi="宋体" w:cs="宋体"/>
          <w:szCs w:val="21"/>
        </w:rPr>
      </w:pPr>
      <w:r>
        <w:rPr>
          <w:rFonts w:hint="eastAsia" w:ascii="宋体" w:hAnsi="宋体" w:cs="宋体"/>
          <w:szCs w:val="21"/>
        </w:rPr>
        <w:t>14.1合同经双方法定代表人或授权委托人签字加盖单位公章后生效。</w:t>
      </w:r>
    </w:p>
    <w:p>
      <w:pPr>
        <w:spacing w:line="440" w:lineRule="exact"/>
        <w:ind w:firstLine="420" w:firstLineChars="200"/>
        <w:rPr>
          <w:rFonts w:ascii="宋体" w:hAnsi="宋体" w:cs="宋体"/>
          <w:szCs w:val="21"/>
        </w:rPr>
      </w:pPr>
      <w:r>
        <w:rPr>
          <w:rFonts w:hint="eastAsia" w:ascii="宋体" w:hAnsi="宋体" w:cs="宋体"/>
          <w:szCs w:val="21"/>
        </w:rPr>
        <w:t>14.2</w:t>
      </w:r>
      <w:r>
        <w:rPr>
          <w:rFonts w:hint="eastAsia" w:ascii="宋体" w:cs="宋体"/>
          <w:szCs w:val="21"/>
        </w:rPr>
        <w:t>如需修改或补充合同内容，经协商，双方应签署书面修改或补充协议，作为本合同的一个组成部分</w:t>
      </w:r>
      <w:r>
        <w:rPr>
          <w:rFonts w:hint="eastAsia"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14.3</w:t>
      </w:r>
      <w:r>
        <w:rPr>
          <w:rFonts w:hint="eastAsia" w:ascii="宋体" w:cs="宋体"/>
          <w:szCs w:val="21"/>
        </w:rPr>
        <w:t>本合同中如有未尽事宜，由双方协商另行解决</w:t>
      </w:r>
      <w:r>
        <w:rPr>
          <w:rFonts w:hint="eastAsia"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14.4本合同一式</w:t>
      </w:r>
      <w:r>
        <w:rPr>
          <w:rFonts w:hint="eastAsia" w:ascii="宋体" w:hAnsi="宋体" w:cs="宋体"/>
          <w:szCs w:val="21"/>
          <w:u w:val="single"/>
        </w:rPr>
        <w:t xml:space="preserve">    </w:t>
      </w:r>
      <w:r>
        <w:rPr>
          <w:rFonts w:hint="eastAsia" w:ascii="宋体" w:hAnsi="宋体" w:cs="宋体"/>
          <w:szCs w:val="21"/>
        </w:rPr>
        <w:t>份，甲、乙双方各</w:t>
      </w:r>
      <w:r>
        <w:rPr>
          <w:rFonts w:hint="eastAsia" w:ascii="宋体" w:hAnsi="宋体" w:cs="宋体"/>
          <w:szCs w:val="21"/>
          <w:u w:val="single"/>
        </w:rPr>
        <w:t xml:space="preserve">    </w:t>
      </w:r>
      <w:r>
        <w:rPr>
          <w:rFonts w:hint="eastAsia" w:ascii="宋体" w:hAnsi="宋体" w:cs="宋体"/>
          <w:szCs w:val="21"/>
        </w:rPr>
        <w:t>份，均具同等法律效力。</w:t>
      </w:r>
    </w:p>
    <w:p>
      <w:pPr>
        <w:widowControl/>
        <w:spacing w:line="360" w:lineRule="auto"/>
        <w:rPr>
          <w:rFonts w:ascii="宋体" w:hAnsi="宋体" w:cs="宋体"/>
          <w:kern w:val="0"/>
          <w:szCs w:val="21"/>
        </w:rPr>
      </w:pPr>
      <w:r>
        <w:rPr>
          <w:rFonts w:hint="eastAsia" w:ascii="宋体" w:hAnsi="宋体" w:cs="宋体"/>
          <w:kern w:val="0"/>
          <w:szCs w:val="21"/>
        </w:rPr>
        <w:t xml:space="preserve">甲方（公章）：                             乙方（公章）：          </w:t>
      </w:r>
    </w:p>
    <w:p>
      <w:pPr>
        <w:widowControl/>
        <w:spacing w:line="360" w:lineRule="auto"/>
        <w:rPr>
          <w:rFonts w:ascii="宋体" w:hAnsi="宋体" w:cs="宋体"/>
          <w:kern w:val="0"/>
          <w:szCs w:val="21"/>
        </w:rPr>
      </w:pPr>
    </w:p>
    <w:p>
      <w:pPr>
        <w:widowControl/>
        <w:spacing w:line="360" w:lineRule="auto"/>
        <w:rPr>
          <w:rFonts w:ascii="宋体" w:hAnsi="宋体" w:cs="宋体"/>
          <w:kern w:val="0"/>
          <w:szCs w:val="21"/>
        </w:rPr>
      </w:pPr>
      <w:r>
        <w:rPr>
          <w:rFonts w:hint="eastAsia" w:ascii="宋体" w:hAnsi="宋体" w:cs="宋体"/>
          <w:kern w:val="0"/>
          <w:szCs w:val="21"/>
        </w:rPr>
        <w:t xml:space="preserve">法定代表人或委托人：                      法定代表人或委托人：         </w:t>
      </w:r>
    </w:p>
    <w:p>
      <w:pPr>
        <w:widowControl/>
        <w:spacing w:line="360" w:lineRule="auto"/>
        <w:rPr>
          <w:rFonts w:ascii="宋体" w:hAnsi="宋体" w:cs="宋体"/>
          <w:kern w:val="0"/>
          <w:szCs w:val="21"/>
        </w:rPr>
      </w:pPr>
    </w:p>
    <w:p>
      <w:pPr>
        <w:widowControl/>
        <w:spacing w:line="360" w:lineRule="auto"/>
        <w:rPr>
          <w:rFonts w:ascii="宋体" w:hAnsi="宋体" w:cs="宋体"/>
          <w:kern w:val="0"/>
          <w:szCs w:val="21"/>
        </w:rPr>
      </w:pPr>
      <w:r>
        <w:rPr>
          <w:rFonts w:hint="eastAsia" w:ascii="宋体" w:hAnsi="宋体" w:cs="宋体"/>
          <w:kern w:val="0"/>
          <w:szCs w:val="21"/>
        </w:rPr>
        <w:t>联系电话：                                联系电话：</w:t>
      </w:r>
    </w:p>
    <w:p>
      <w:pPr>
        <w:widowControl/>
        <w:spacing w:line="360" w:lineRule="auto"/>
        <w:rPr>
          <w:rFonts w:ascii="宋体" w:hAnsi="宋体" w:cs="宋体"/>
          <w:kern w:val="0"/>
          <w:szCs w:val="21"/>
        </w:rPr>
      </w:pPr>
    </w:p>
    <w:p>
      <w:pPr>
        <w:widowControl/>
        <w:spacing w:line="360" w:lineRule="auto"/>
        <w:rPr>
          <w:rFonts w:ascii="宋体" w:hAnsi="宋体" w:cs="宋体"/>
          <w:kern w:val="0"/>
          <w:szCs w:val="21"/>
        </w:rPr>
      </w:pPr>
      <w:r>
        <w:rPr>
          <w:rFonts w:hint="eastAsia" w:ascii="宋体" w:hAnsi="宋体" w:cs="宋体"/>
          <w:kern w:val="0"/>
          <w:szCs w:val="21"/>
        </w:rPr>
        <w:t xml:space="preserve">开户银行：                                开户银行：    </w:t>
      </w:r>
    </w:p>
    <w:p>
      <w:pPr>
        <w:widowControl/>
        <w:spacing w:line="360" w:lineRule="auto"/>
        <w:rPr>
          <w:rFonts w:ascii="宋体" w:hAnsi="宋体" w:cs="宋体"/>
          <w:kern w:val="0"/>
          <w:szCs w:val="21"/>
        </w:rPr>
      </w:pPr>
    </w:p>
    <w:p>
      <w:pPr>
        <w:widowControl/>
        <w:spacing w:line="360" w:lineRule="auto"/>
        <w:rPr>
          <w:rFonts w:ascii="宋体" w:hAnsi="宋体" w:cs="宋体"/>
          <w:kern w:val="0"/>
          <w:szCs w:val="21"/>
        </w:rPr>
      </w:pPr>
      <w:r>
        <w:rPr>
          <w:rFonts w:hint="eastAsia" w:ascii="宋体" w:hAnsi="宋体" w:cs="宋体"/>
          <w:kern w:val="0"/>
          <w:szCs w:val="21"/>
        </w:rPr>
        <w:t>账    号：                                账    号：</w:t>
      </w:r>
    </w:p>
    <w:p>
      <w:r>
        <w:rPr>
          <w:rFonts w:hint="eastAsia" w:ascii="宋体" w:hAnsi="宋体"/>
          <w:b/>
          <w:sz w:val="32"/>
        </w:rPr>
        <w:br w:type="page"/>
      </w:r>
    </w:p>
    <w:p>
      <w:pPr>
        <w:spacing w:line="360" w:lineRule="auto"/>
        <w:jc w:val="center"/>
        <w:rPr>
          <w:rFonts w:ascii="宋体" w:hAnsi="宋体" w:cs="宋体"/>
          <w:b/>
          <w:bCs/>
          <w:sz w:val="36"/>
          <w:szCs w:val="44"/>
        </w:rPr>
      </w:pPr>
      <w:r>
        <w:rPr>
          <w:rFonts w:hint="eastAsia" w:ascii="宋体" w:hAnsi="宋体" w:cs="宋体"/>
          <w:b/>
          <w:bCs/>
          <w:sz w:val="36"/>
          <w:szCs w:val="44"/>
        </w:rPr>
        <w:t>第六章投标文件格式附件</w:t>
      </w:r>
    </w:p>
    <w:p>
      <w:pPr>
        <w:rPr>
          <w:rFonts w:ascii="宋体" w:hAnsi="宋体"/>
          <w:b/>
          <w:kern w:val="0"/>
          <w:sz w:val="28"/>
          <w:szCs w:val="28"/>
        </w:rPr>
      </w:pPr>
      <w:r>
        <w:rPr>
          <w:rFonts w:hint="eastAsia" w:ascii="宋体" w:hAnsi="宋体" w:cs="宋体"/>
          <w:b/>
          <w:bCs/>
          <w:sz w:val="28"/>
          <w:szCs w:val="36"/>
        </w:rPr>
        <w:t>附件1　</w:t>
      </w:r>
      <w:r>
        <w:rPr>
          <w:rFonts w:hint="eastAsia" w:ascii="宋体" w:hAnsi="宋体"/>
          <w:sz w:val="30"/>
          <w:szCs w:val="30"/>
        </w:rPr>
        <w:t xml:space="preserve">　　                                      </w:t>
      </w:r>
      <w:r>
        <w:rPr>
          <w:rFonts w:hint="eastAsia" w:ascii="宋体" w:hAnsi="宋体"/>
          <w:bCs/>
          <w:sz w:val="24"/>
        </w:rPr>
        <w:t>本</w:t>
      </w:r>
    </w:p>
    <w:p>
      <w:pPr>
        <w:spacing w:line="360" w:lineRule="auto"/>
        <w:rPr>
          <w:rFonts w:ascii="宋体" w:hAnsi="宋体" w:cs="宋体"/>
          <w:b/>
          <w:sz w:val="30"/>
          <w:szCs w:val="30"/>
        </w:rPr>
      </w:pPr>
    </w:p>
    <w:p>
      <w:pPr>
        <w:spacing w:line="360" w:lineRule="auto"/>
        <w:jc w:val="center"/>
        <w:rPr>
          <w:rFonts w:ascii="宋体" w:hAnsi="宋体"/>
          <w:spacing w:val="40"/>
          <w:sz w:val="52"/>
          <w:szCs w:val="52"/>
        </w:rPr>
      </w:pPr>
      <w:r>
        <w:rPr>
          <w:rFonts w:hint="eastAsia" w:ascii="宋体" w:hAnsi="宋体"/>
          <w:spacing w:val="40"/>
          <w:sz w:val="52"/>
          <w:szCs w:val="52"/>
        </w:rPr>
        <w:t>项目名称</w:t>
      </w:r>
    </w:p>
    <w:p>
      <w:pPr>
        <w:spacing w:line="360" w:lineRule="auto"/>
        <w:jc w:val="center"/>
        <w:rPr>
          <w:rFonts w:ascii="宋体" w:hAnsi="宋体"/>
          <w:sz w:val="36"/>
          <w:szCs w:val="36"/>
        </w:rPr>
      </w:pPr>
      <w:r>
        <w:rPr>
          <w:rFonts w:hint="eastAsia" w:ascii="宋体" w:hAnsi="宋体"/>
          <w:sz w:val="36"/>
          <w:szCs w:val="36"/>
        </w:rPr>
        <w:t>项目编号：</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件</w:t>
      </w:r>
    </w:p>
    <w:p>
      <w:pPr>
        <w:autoSpaceDE w:val="0"/>
        <w:autoSpaceDN w:val="0"/>
        <w:adjustRightInd w:val="0"/>
        <w:spacing w:line="360" w:lineRule="auto"/>
        <w:jc w:val="center"/>
        <w:rPr>
          <w:rFonts w:ascii="宋体" w:hAnsi="宋体"/>
          <w:sz w:val="36"/>
          <w:szCs w:val="36"/>
        </w:rPr>
      </w:pPr>
    </w:p>
    <w:p>
      <w:pPr>
        <w:autoSpaceDE w:val="0"/>
        <w:autoSpaceDN w:val="0"/>
        <w:adjustRightInd w:val="0"/>
        <w:spacing w:line="360" w:lineRule="auto"/>
        <w:jc w:val="center"/>
        <w:rPr>
          <w:rFonts w:ascii="宋体" w:hAnsi="宋体"/>
          <w:sz w:val="36"/>
          <w:szCs w:val="36"/>
        </w:rPr>
      </w:pPr>
      <w:r>
        <w:rPr>
          <w:rFonts w:hint="eastAsia" w:ascii="宋体" w:hAnsi="宋体"/>
          <w:sz w:val="36"/>
          <w:szCs w:val="36"/>
        </w:rPr>
        <w:t>（资格及商务技术文件）</w:t>
      </w:r>
    </w:p>
    <w:p>
      <w:pPr>
        <w:autoSpaceDE w:val="0"/>
        <w:autoSpaceDN w:val="0"/>
        <w:adjustRightInd w:val="0"/>
        <w:spacing w:line="360" w:lineRule="auto"/>
        <w:rPr>
          <w:rFonts w:ascii="宋体" w:hAnsi="宋体"/>
          <w:sz w:val="36"/>
          <w:szCs w:val="36"/>
        </w:rPr>
      </w:pPr>
    </w:p>
    <w:p>
      <w:pPr>
        <w:autoSpaceDE w:val="0"/>
        <w:autoSpaceDN w:val="0"/>
        <w:adjustRightInd w:val="0"/>
        <w:spacing w:line="360" w:lineRule="auto"/>
        <w:rPr>
          <w:rFonts w:ascii="宋体" w:hAnsi="宋体"/>
          <w:sz w:val="36"/>
          <w:szCs w:val="36"/>
        </w:rPr>
      </w:pPr>
      <w:r>
        <w:rPr>
          <w:rFonts w:hint="eastAsia" w:ascii="宋体" w:hAnsi="宋体"/>
          <w:sz w:val="36"/>
          <w:szCs w:val="36"/>
        </w:rPr>
        <w:t>投标人全称（公章）：</w:t>
      </w:r>
    </w:p>
    <w:p>
      <w:pPr>
        <w:autoSpaceDE w:val="0"/>
        <w:autoSpaceDN w:val="0"/>
        <w:adjustRightInd w:val="0"/>
        <w:spacing w:line="360" w:lineRule="auto"/>
        <w:rPr>
          <w:rFonts w:ascii="宋体" w:hAnsi="宋体"/>
          <w:sz w:val="36"/>
          <w:szCs w:val="36"/>
        </w:rPr>
      </w:pPr>
      <w:r>
        <w:rPr>
          <w:rFonts w:hint="eastAsia" w:ascii="宋体" w:hAnsi="宋体"/>
          <w:sz w:val="36"/>
          <w:szCs w:val="36"/>
        </w:rPr>
        <w:t>地址：</w:t>
      </w:r>
    </w:p>
    <w:p>
      <w:pPr>
        <w:autoSpaceDE w:val="0"/>
        <w:autoSpaceDN w:val="0"/>
        <w:adjustRightInd w:val="0"/>
        <w:spacing w:line="360" w:lineRule="auto"/>
        <w:rPr>
          <w:rFonts w:ascii="宋体" w:hAnsi="宋体"/>
          <w:sz w:val="36"/>
          <w:szCs w:val="36"/>
        </w:rPr>
      </w:pPr>
      <w:r>
        <w:rPr>
          <w:rFonts w:hint="eastAsia" w:ascii="宋体" w:hAnsi="宋体"/>
          <w:sz w:val="36"/>
          <w:szCs w:val="36"/>
        </w:rPr>
        <w:t>时间：</w:t>
      </w:r>
    </w:p>
    <w:p>
      <w:pPr>
        <w:spacing w:line="360" w:lineRule="auto"/>
        <w:jc w:val="center"/>
        <w:rPr>
          <w:b/>
          <w:bCs/>
          <w:sz w:val="36"/>
          <w:szCs w:val="44"/>
        </w:rPr>
      </w:pPr>
      <w:r>
        <w:rPr>
          <w:rFonts w:hint="eastAsia"/>
          <w:b/>
          <w:bCs/>
          <w:sz w:val="36"/>
          <w:szCs w:val="44"/>
        </w:rPr>
        <w:t>资格及商务技术文件目录</w:t>
      </w:r>
    </w:p>
    <w:p>
      <w:pPr>
        <w:spacing w:line="360" w:lineRule="auto"/>
        <w:jc w:val="center"/>
        <w:rPr>
          <w:rFonts w:ascii="宋体" w:hAnsi="宋体" w:cs="宋体"/>
          <w:b/>
          <w:bCs/>
          <w:sz w:val="28"/>
          <w:szCs w:val="36"/>
        </w:rPr>
      </w:pPr>
      <w:r>
        <w:rPr>
          <w:rFonts w:hint="eastAsia" w:ascii="宋体" w:hAnsi="宋体" w:cs="宋体"/>
          <w:b/>
          <w:bCs/>
          <w:sz w:val="28"/>
          <w:szCs w:val="36"/>
        </w:rPr>
        <w:t>第一部分资格证明文件目录</w:t>
      </w:r>
    </w:p>
    <w:p>
      <w:pPr>
        <w:spacing w:line="360" w:lineRule="auto"/>
        <w:ind w:firstLine="420" w:firstLineChars="200"/>
        <w:rPr>
          <w:rFonts w:ascii="宋体" w:hAnsi="宋体" w:cs="宋体"/>
          <w:szCs w:val="21"/>
        </w:rPr>
      </w:pPr>
      <w:r>
        <w:rPr>
          <w:rFonts w:hint="eastAsia" w:ascii="宋体" w:hAnsi="宋体" w:cs="宋体"/>
          <w:szCs w:val="21"/>
        </w:rPr>
        <w:t>1、投标声明书（附件2）；</w:t>
      </w:r>
    </w:p>
    <w:p>
      <w:pPr>
        <w:spacing w:line="360" w:lineRule="auto"/>
        <w:ind w:firstLine="420" w:firstLineChars="200"/>
        <w:rPr>
          <w:rFonts w:ascii="宋体" w:hAnsi="宋体" w:cs="宋体"/>
          <w:szCs w:val="21"/>
        </w:rPr>
      </w:pPr>
      <w:r>
        <w:rPr>
          <w:rFonts w:hint="eastAsia" w:ascii="宋体" w:hAnsi="宋体" w:cs="宋体"/>
          <w:szCs w:val="21"/>
        </w:rPr>
        <w:t>2、授权委托书（附件3）；</w:t>
      </w:r>
    </w:p>
    <w:p>
      <w:pPr>
        <w:spacing w:line="360" w:lineRule="auto"/>
        <w:ind w:firstLine="420" w:firstLineChars="200"/>
        <w:rPr>
          <w:rFonts w:ascii="宋体" w:hAnsi="宋体" w:cs="宋体"/>
          <w:szCs w:val="21"/>
        </w:rPr>
      </w:pPr>
      <w:r>
        <w:rPr>
          <w:rFonts w:hint="eastAsia" w:ascii="宋体" w:hAnsi="宋体" w:cs="宋体"/>
          <w:szCs w:val="21"/>
        </w:rPr>
        <w:t>3、法人或者其他组织的营业执照等证明文件，自然人的身份证明；</w:t>
      </w:r>
    </w:p>
    <w:p>
      <w:pPr>
        <w:pStyle w:val="4"/>
        <w:ind w:firstLine="420" w:firstLineChars="200"/>
        <w:rPr>
          <w:rFonts w:ascii="宋体" w:hAnsi="宋体" w:cs="宋体"/>
          <w:sz w:val="21"/>
          <w:szCs w:val="21"/>
        </w:rPr>
      </w:pPr>
      <w:r>
        <w:rPr>
          <w:rFonts w:hint="eastAsia" w:ascii="宋体" w:hAnsi="宋体" w:cs="宋体"/>
          <w:sz w:val="21"/>
          <w:szCs w:val="21"/>
        </w:rPr>
        <w:t>4、财务状况报告，依法缴纳税收和社会保障资金的相关材料（附件4）；</w:t>
      </w:r>
    </w:p>
    <w:p>
      <w:pPr>
        <w:spacing w:line="360" w:lineRule="auto"/>
        <w:ind w:firstLine="420" w:firstLineChars="200"/>
        <w:rPr>
          <w:rFonts w:ascii="宋体" w:hAnsi="宋体" w:cs="宋体"/>
          <w:szCs w:val="21"/>
        </w:rPr>
      </w:pPr>
      <w:r>
        <w:rPr>
          <w:rFonts w:hint="eastAsia" w:ascii="宋体" w:hAnsi="宋体" w:cs="宋体"/>
          <w:szCs w:val="21"/>
        </w:rPr>
        <w:t>5、具备履行合同所必需的设备和专业技术能力的证明材料（根据项目性质提供）；</w:t>
      </w:r>
    </w:p>
    <w:p>
      <w:pPr>
        <w:pStyle w:val="4"/>
        <w:ind w:firstLine="420" w:firstLineChars="200"/>
        <w:rPr>
          <w:sz w:val="21"/>
          <w:szCs w:val="21"/>
        </w:rPr>
      </w:pPr>
      <w:r>
        <w:rPr>
          <w:rFonts w:hint="eastAsia" w:ascii="宋体" w:hAnsi="宋体" w:cs="宋体"/>
          <w:sz w:val="21"/>
          <w:szCs w:val="21"/>
        </w:rPr>
        <w:t>6、落实政府采购政策需满足的资格要求所对应的证明材料（附件5）</w:t>
      </w:r>
    </w:p>
    <w:p>
      <w:pPr>
        <w:spacing w:line="360" w:lineRule="auto"/>
        <w:ind w:firstLine="420" w:firstLineChars="200"/>
        <w:rPr>
          <w:rFonts w:ascii="宋体" w:hAnsi="宋体" w:cs="宋体"/>
          <w:szCs w:val="21"/>
        </w:rPr>
      </w:pPr>
      <w:r>
        <w:rPr>
          <w:rFonts w:hint="eastAsia" w:ascii="宋体" w:hAnsi="宋体" w:cs="宋体"/>
          <w:szCs w:val="21"/>
        </w:rPr>
        <w:t>7、</w:t>
      </w:r>
      <w:r>
        <w:rPr>
          <w:rFonts w:hint="eastAsia" w:ascii="宋体" w:hAnsi="宋体" w:cs="宋体"/>
          <w:szCs w:val="21"/>
          <w:lang w:val="zh-CN"/>
        </w:rPr>
        <w:t>采购公告中符合供应商特定条件的有效资质证书复印件（投标供应商特定条件中有要求的必须提供），以及需要说明的其他资料</w:t>
      </w:r>
      <w:r>
        <w:rPr>
          <w:rFonts w:hint="eastAsia" w:ascii="宋体" w:hAnsi="宋体" w:cs="宋体"/>
          <w:szCs w:val="21"/>
        </w:rPr>
        <w:t>。</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widowControl/>
        <w:jc w:val="left"/>
        <w:rPr>
          <w:rFonts w:ascii="宋体" w:hAnsi="宋体"/>
          <w:b/>
          <w:sz w:val="28"/>
        </w:rPr>
      </w:pPr>
      <w:r>
        <w:rPr>
          <w:rFonts w:ascii="宋体" w:hAnsi="宋体"/>
          <w:b/>
          <w:sz w:val="28"/>
        </w:rPr>
        <w:br w:type="page"/>
      </w:r>
    </w:p>
    <w:p>
      <w:pPr>
        <w:spacing w:line="28" w:lineRule="atLeast"/>
        <w:rPr>
          <w:rFonts w:ascii="宋体" w:hAnsi="宋体"/>
          <w:b/>
          <w:sz w:val="28"/>
        </w:rPr>
      </w:pPr>
      <w:r>
        <w:rPr>
          <w:rFonts w:hint="eastAsia" w:ascii="宋体" w:hAnsi="宋体"/>
          <w:b/>
          <w:sz w:val="28"/>
        </w:rPr>
        <w:t>附件</w:t>
      </w:r>
      <w:r>
        <w:rPr>
          <w:rFonts w:ascii="宋体" w:hAnsi="宋体"/>
          <w:b/>
          <w:sz w:val="28"/>
        </w:rPr>
        <w:t>2</w:t>
      </w:r>
    </w:p>
    <w:p>
      <w:pPr>
        <w:spacing w:line="28" w:lineRule="atLeast"/>
        <w:jc w:val="center"/>
        <w:rPr>
          <w:rFonts w:ascii="宋体"/>
          <w:b/>
          <w:kern w:val="0"/>
          <w:sz w:val="32"/>
          <w:szCs w:val="32"/>
          <w:lang w:val="zh-CN"/>
        </w:rPr>
      </w:pPr>
      <w:r>
        <w:rPr>
          <w:rFonts w:hint="eastAsia" w:ascii="宋体" w:hAnsi="宋体"/>
          <w:b/>
          <w:kern w:val="0"/>
          <w:sz w:val="32"/>
          <w:szCs w:val="32"/>
          <w:lang w:val="zh-CN"/>
        </w:rPr>
        <w:t>投标声明书</w:t>
      </w:r>
    </w:p>
    <w:p>
      <w:pPr>
        <w:spacing w:line="360" w:lineRule="auto"/>
        <w:rPr>
          <w:rFonts w:ascii="宋体" w:hAnsi="宋体" w:cs="宋体"/>
          <w:szCs w:val="21"/>
        </w:rPr>
      </w:pPr>
      <w:r>
        <w:rPr>
          <w:rFonts w:hint="eastAsia" w:ascii="宋体" w:hAnsi="宋体" w:cs="宋体"/>
          <w:szCs w:val="21"/>
          <w:u w:val="single"/>
        </w:rPr>
        <w:t>台州市黄岩区水利局、浙江建通工程建设管理有限公司</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u w:val="single"/>
        </w:rPr>
        <w:t>（投标人名称）</w:t>
      </w:r>
      <w:r>
        <w:rPr>
          <w:rFonts w:hint="eastAsia" w:ascii="宋体" w:hAnsi="宋体" w:cs="宋体"/>
          <w:szCs w:val="21"/>
        </w:rPr>
        <w:t>系中华人民共和国合法企业，经营地址</w:t>
      </w:r>
      <w:r>
        <w:rPr>
          <w:rFonts w:hint="eastAsia" w:ascii="宋体" w:hAnsi="宋体" w:cs="宋体"/>
          <w:szCs w:val="21"/>
          <w:u w:val="single"/>
        </w:rPr>
        <w:t>。</w:t>
      </w:r>
    </w:p>
    <w:p>
      <w:pPr>
        <w:spacing w:line="360" w:lineRule="auto"/>
        <w:ind w:firstLine="420" w:firstLineChars="200"/>
        <w:rPr>
          <w:rFonts w:ascii="宋体" w:hAnsi="宋体" w:cs="宋体"/>
          <w:szCs w:val="21"/>
        </w:rPr>
      </w:pPr>
      <w:r>
        <w:rPr>
          <w:rFonts w:hint="eastAsia" w:ascii="宋体" w:hAnsi="宋体" w:cs="宋体"/>
          <w:szCs w:val="21"/>
        </w:rPr>
        <w:t>我（</w:t>
      </w:r>
      <w:r>
        <w:rPr>
          <w:rFonts w:hint="eastAsia" w:ascii="宋体" w:hAnsi="宋体" w:cs="宋体"/>
          <w:szCs w:val="21"/>
          <w:u w:val="single"/>
        </w:rPr>
        <w:t>姓名</w:t>
      </w:r>
      <w:r>
        <w:rPr>
          <w:rFonts w:hint="eastAsia" w:ascii="宋体" w:hAnsi="宋体" w:cs="宋体"/>
          <w:szCs w:val="21"/>
        </w:rPr>
        <w:t>）系（</w:t>
      </w:r>
      <w:r>
        <w:rPr>
          <w:rFonts w:hint="eastAsia" w:ascii="宋体" w:hAnsi="宋体" w:cs="宋体"/>
          <w:szCs w:val="21"/>
          <w:u w:val="single"/>
        </w:rPr>
        <w:t>投标人名称</w:t>
      </w:r>
      <w:r>
        <w:rPr>
          <w:rFonts w:hint="eastAsia" w:ascii="宋体" w:hAnsi="宋体" w:cs="宋体"/>
          <w:szCs w:val="21"/>
        </w:rPr>
        <w:t>）的法定代表人，我公司自愿参加贵方组织的（</w:t>
      </w:r>
      <w:r>
        <w:rPr>
          <w:rFonts w:hint="eastAsia" w:ascii="宋体" w:hAnsi="宋体" w:cs="宋体"/>
          <w:szCs w:val="21"/>
          <w:u w:val="single"/>
        </w:rPr>
        <w:t>黄岩区小型水库大坝安全监测实施及服务项目</w:t>
      </w:r>
      <w:r>
        <w:rPr>
          <w:rFonts w:hint="eastAsia" w:ascii="宋体" w:hAnsi="宋体" w:cs="宋体"/>
          <w:szCs w:val="21"/>
        </w:rPr>
        <w:t>）（编号为</w:t>
      </w:r>
      <w:r>
        <w:rPr>
          <w:rFonts w:hint="eastAsia" w:ascii="宋体" w:hAnsi="宋体" w:cs="宋体"/>
          <w:szCs w:val="21"/>
          <w:u w:val="single"/>
        </w:rPr>
        <w:t>ZJJTCG-2022-GK134号</w:t>
      </w:r>
      <w:r>
        <w:rPr>
          <w:rFonts w:hint="eastAsia" w:ascii="宋体" w:hAnsi="宋体" w:cs="宋体"/>
          <w:szCs w:val="21"/>
        </w:rPr>
        <w:t>）的投标，为此，我公司就本次投标有关事项郑重声明如下：</w:t>
      </w:r>
    </w:p>
    <w:p>
      <w:pPr>
        <w:spacing w:line="360" w:lineRule="auto"/>
        <w:ind w:firstLine="420" w:firstLineChars="200"/>
        <w:rPr>
          <w:rFonts w:ascii="宋体" w:hAnsi="宋体" w:cs="宋体"/>
          <w:szCs w:val="21"/>
        </w:rPr>
      </w:pPr>
      <w:r>
        <w:rPr>
          <w:rFonts w:hint="eastAsia" w:ascii="宋体" w:hAnsi="宋体" w:cs="宋体"/>
          <w:szCs w:val="21"/>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pacing w:line="360" w:lineRule="auto"/>
        <w:ind w:firstLine="420" w:firstLineChars="200"/>
        <w:rPr>
          <w:rFonts w:ascii="宋体" w:hAnsi="宋体" w:cs="宋体"/>
          <w:szCs w:val="21"/>
        </w:rPr>
      </w:pPr>
      <w:r>
        <w:rPr>
          <w:rFonts w:hint="eastAsia" w:ascii="宋体" w:hAnsi="宋体" w:cs="宋体"/>
          <w:szCs w:val="21"/>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spacing w:line="360" w:lineRule="auto"/>
        <w:ind w:firstLine="420" w:firstLineChars="200"/>
        <w:rPr>
          <w:rFonts w:ascii="宋体" w:hAnsi="宋体" w:cs="宋体"/>
          <w:szCs w:val="21"/>
        </w:rPr>
      </w:pPr>
      <w:r>
        <w:rPr>
          <w:rFonts w:hint="eastAsia" w:ascii="宋体" w:hAnsi="宋体" w:cs="宋体"/>
          <w:szCs w:val="21"/>
        </w:rPr>
        <w:t>3、我</w:t>
      </w:r>
      <w:r>
        <w:rPr>
          <w:rFonts w:hint="eastAsia" w:ascii="宋体" w:hAnsi="宋体" w:cs="宋体"/>
          <w:szCs w:val="21"/>
          <w:lang w:val="zh-CN"/>
        </w:rPr>
        <w:t>公司</w:t>
      </w:r>
      <w:r>
        <w:rPr>
          <w:rFonts w:hint="eastAsia" w:ascii="宋体" w:hAnsi="宋体" w:cs="宋体"/>
          <w:szCs w:val="21"/>
        </w:rPr>
        <w:t>不是采购人的附属机构；在获知本项目采购信息后，与采购人聘请的为此项目提供咨询服务的公司及其附属机构没有任何联系。</w:t>
      </w:r>
    </w:p>
    <w:p>
      <w:pPr>
        <w:spacing w:line="360" w:lineRule="auto"/>
        <w:ind w:firstLine="420" w:firstLineChars="200"/>
        <w:rPr>
          <w:rFonts w:ascii="宋体" w:hAnsi="宋体" w:cs="宋体"/>
          <w:szCs w:val="21"/>
          <w:lang w:val="af-ZA"/>
        </w:rPr>
      </w:pPr>
      <w:r>
        <w:rPr>
          <w:rFonts w:hint="eastAsia" w:ascii="宋体" w:hAnsi="宋体" w:cs="宋体"/>
          <w:szCs w:val="21"/>
        </w:rPr>
        <w:t>4、我</w:t>
      </w:r>
      <w:r>
        <w:rPr>
          <w:rFonts w:hint="eastAsia" w:ascii="宋体" w:hAnsi="宋体" w:cs="宋体"/>
          <w:szCs w:val="21"/>
          <w:lang w:val="zh-CN"/>
        </w:rPr>
        <w:t>公司</w:t>
      </w:r>
      <w:r>
        <w:rPr>
          <w:rFonts w:hint="eastAsia" w:ascii="宋体" w:hAnsi="宋体" w:cs="宋体"/>
          <w:szCs w:val="21"/>
        </w:rPr>
        <w:t>保证，</w:t>
      </w:r>
      <w:r>
        <w:rPr>
          <w:rFonts w:hint="eastAsia" w:ascii="宋体" w:hAnsi="宋体" w:cs="宋体"/>
          <w:szCs w:val="21"/>
          <w:lang w:val="af-ZA"/>
        </w:rPr>
        <w:t>采购人在中华人民共和国境内使用</w:t>
      </w:r>
      <w:r>
        <w:rPr>
          <w:rFonts w:hint="eastAsia" w:ascii="宋体" w:hAnsi="宋体" w:cs="宋体"/>
          <w:szCs w:val="21"/>
        </w:rPr>
        <w:t>我</w:t>
      </w:r>
      <w:r>
        <w:rPr>
          <w:rFonts w:hint="eastAsia" w:ascii="宋体" w:hAnsi="宋体" w:cs="宋体"/>
          <w:szCs w:val="21"/>
          <w:lang w:val="zh-CN"/>
        </w:rPr>
        <w:t>公司</w:t>
      </w:r>
      <w:r>
        <w:rPr>
          <w:rFonts w:hint="eastAsia" w:ascii="宋体" w:hAnsi="宋体" w:cs="宋体"/>
          <w:szCs w:val="21"/>
          <w:lang w:val="af-ZA"/>
        </w:rPr>
        <w:t>投标产品、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360" w:lineRule="auto"/>
        <w:ind w:firstLine="420" w:firstLineChars="200"/>
        <w:rPr>
          <w:rFonts w:ascii="宋体" w:hAnsi="宋体" w:cs="宋体"/>
          <w:szCs w:val="21"/>
        </w:rPr>
      </w:pPr>
      <w:r>
        <w:rPr>
          <w:rFonts w:hint="eastAsia" w:ascii="宋体" w:hAnsi="宋体" w:cs="宋体"/>
          <w:szCs w:val="21"/>
          <w:lang w:val="af-ZA"/>
        </w:rPr>
        <w:t>5、我</w:t>
      </w:r>
      <w:r>
        <w:rPr>
          <w:rFonts w:hint="eastAsia" w:ascii="宋体" w:hAnsi="宋体" w:cs="宋体"/>
          <w:szCs w:val="21"/>
          <w:lang w:val="zh-CN"/>
        </w:rPr>
        <w:t>公司</w:t>
      </w:r>
      <w:r>
        <w:rPr>
          <w:rFonts w:hint="eastAsia" w:ascii="宋体" w:hAnsi="宋体" w:cs="宋体"/>
          <w:szCs w:val="21"/>
          <w:lang w:val="af-ZA"/>
        </w:rPr>
        <w:t>严格履行政府采购合同，不降低合同约定的产品质量和服务，不擅自变更、中止、终止合同，或拒绝履行合同义务；</w:t>
      </w:r>
    </w:p>
    <w:p>
      <w:pPr>
        <w:spacing w:line="360" w:lineRule="auto"/>
        <w:ind w:firstLine="420" w:firstLineChars="200"/>
        <w:rPr>
          <w:rFonts w:ascii="宋体" w:hAnsi="宋体" w:cs="宋体"/>
          <w:szCs w:val="21"/>
        </w:rPr>
      </w:pPr>
      <w:r>
        <w:rPr>
          <w:rFonts w:hint="eastAsia" w:ascii="宋体" w:hAnsi="宋体" w:cs="宋体"/>
          <w:szCs w:val="21"/>
        </w:rPr>
        <w:t>6、以上事项如有虚假或隐瞒，我</w:t>
      </w:r>
      <w:r>
        <w:rPr>
          <w:rFonts w:hint="eastAsia" w:ascii="宋体" w:hAnsi="宋体" w:cs="宋体"/>
          <w:szCs w:val="21"/>
          <w:lang w:val="zh-CN"/>
        </w:rPr>
        <w:t>公司</w:t>
      </w:r>
      <w:r>
        <w:rPr>
          <w:rFonts w:hint="eastAsia" w:ascii="宋体" w:hAnsi="宋体" w:cs="宋体"/>
          <w:szCs w:val="21"/>
        </w:rPr>
        <w:t>愿意承担一切后果，并不再寻求任何旨在减轻或免除法律责任的辩解。</w:t>
      </w:r>
    </w:p>
    <w:p>
      <w:pPr>
        <w:spacing w:line="360" w:lineRule="auto"/>
        <w:ind w:firstLine="420" w:firstLineChars="200"/>
        <w:rPr>
          <w:rFonts w:ascii="宋体" w:hAnsi="宋体" w:cs="宋体"/>
          <w:szCs w:val="21"/>
          <w:lang w:val="zh-CN"/>
        </w:rPr>
      </w:pPr>
      <w:r>
        <w:rPr>
          <w:rFonts w:hint="eastAsia" w:ascii="宋体" w:hAnsi="宋体" w:cs="宋体"/>
          <w:szCs w:val="21"/>
          <w:lang w:val="zh-CN"/>
        </w:rPr>
        <w:t>本单位若违反以上承诺，将无条件接受项目主管部门和有关监督管理部门的调查，并愿意承担取消中标资格、没收履约保证金及限制在本地区参与投标等一切法律责任。</w:t>
      </w:r>
    </w:p>
    <w:p>
      <w:pPr>
        <w:spacing w:line="360" w:lineRule="auto"/>
        <w:ind w:firstLine="3990" w:firstLineChars="1900"/>
        <w:rPr>
          <w:rFonts w:ascii="宋体" w:hAnsi="宋体" w:cs="宋体"/>
          <w:szCs w:val="21"/>
          <w:lang w:val="zh-CN"/>
        </w:rPr>
      </w:pPr>
      <w:r>
        <w:rPr>
          <w:rFonts w:hint="eastAsia" w:ascii="宋体" w:hAnsi="宋体" w:cs="宋体"/>
          <w:szCs w:val="21"/>
          <w:lang w:val="zh-CN"/>
        </w:rPr>
        <w:t>投标人名称（公章）：</w:t>
      </w:r>
    </w:p>
    <w:p>
      <w:pPr>
        <w:spacing w:line="360" w:lineRule="auto"/>
        <w:ind w:firstLine="3990" w:firstLineChars="1900"/>
        <w:rPr>
          <w:rFonts w:ascii="宋体" w:hAnsi="宋体" w:cs="宋体"/>
          <w:szCs w:val="21"/>
          <w:lang w:val="zh-CN"/>
        </w:rPr>
      </w:pPr>
      <w:r>
        <w:rPr>
          <w:rFonts w:hint="eastAsia" w:ascii="宋体" w:hAnsi="宋体" w:cs="宋体"/>
          <w:szCs w:val="21"/>
          <w:lang w:val="zh-CN"/>
        </w:rPr>
        <w:t>法定代表人或授权委托人（签字）：</w:t>
      </w:r>
    </w:p>
    <w:p>
      <w:pPr>
        <w:spacing w:line="360" w:lineRule="auto"/>
        <w:ind w:firstLine="3990" w:firstLineChars="1900"/>
        <w:rPr>
          <w:rFonts w:ascii="宋体" w:hAnsi="宋体" w:cs="仿宋_GB2312"/>
          <w:kern w:val="0"/>
          <w:szCs w:val="21"/>
        </w:rPr>
      </w:pPr>
      <w:r>
        <w:rPr>
          <w:rFonts w:hint="eastAsia" w:ascii="宋体" w:hAnsi="宋体" w:cs="宋体"/>
          <w:szCs w:val="21"/>
          <w:lang w:val="zh-CN"/>
        </w:rPr>
        <w:t>日期：年月日</w:t>
      </w:r>
    </w:p>
    <w:p>
      <w:pPr>
        <w:pStyle w:val="2"/>
      </w:pPr>
    </w:p>
    <w:p>
      <w:pPr>
        <w:spacing w:line="360" w:lineRule="auto"/>
        <w:rPr>
          <w:rFonts w:ascii="宋体" w:hAnsi="宋体"/>
          <w:b/>
          <w:sz w:val="28"/>
        </w:rPr>
      </w:pPr>
      <w:r>
        <w:rPr>
          <w:rFonts w:hint="eastAsia" w:ascii="宋体" w:hAnsi="宋体"/>
          <w:b/>
          <w:sz w:val="28"/>
        </w:rPr>
        <w:t>附件3</w:t>
      </w:r>
    </w:p>
    <w:p>
      <w:pPr>
        <w:spacing w:line="360" w:lineRule="auto"/>
        <w:jc w:val="center"/>
        <w:rPr>
          <w:rFonts w:ascii="宋体" w:hAnsi="宋体"/>
          <w:b/>
          <w:sz w:val="28"/>
        </w:rPr>
      </w:pPr>
      <w:r>
        <w:rPr>
          <w:rFonts w:hint="eastAsia" w:ascii="宋体" w:hAnsi="宋体"/>
          <w:b/>
          <w:sz w:val="28"/>
        </w:rPr>
        <w:t>授权委托书</w:t>
      </w:r>
    </w:p>
    <w:p>
      <w:pPr>
        <w:spacing w:line="360" w:lineRule="auto"/>
        <w:jc w:val="left"/>
        <w:rPr>
          <w:rFonts w:ascii="宋体" w:hAnsi="宋体" w:cs="宋体"/>
          <w:szCs w:val="21"/>
        </w:rPr>
      </w:pPr>
      <w:r>
        <w:rPr>
          <w:rFonts w:hint="eastAsia" w:ascii="宋体" w:hAnsi="宋体" w:cs="宋体"/>
          <w:szCs w:val="21"/>
          <w:u w:val="single"/>
        </w:rPr>
        <w:t>台州市黄岩区水利局、浙江建通工程建设管理有限公司</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u w:val="single"/>
        </w:rPr>
        <w:t>（投标人全称）</w:t>
      </w:r>
      <w:r>
        <w:rPr>
          <w:rFonts w:hint="eastAsia" w:ascii="宋体" w:hAnsi="宋体" w:cs="宋体"/>
          <w:szCs w:val="21"/>
        </w:rPr>
        <w:t>法定代表人（或营业执照中单位负责人）</w:t>
      </w:r>
      <w:r>
        <w:rPr>
          <w:rFonts w:hint="eastAsia" w:ascii="宋体" w:hAnsi="宋体" w:cs="宋体"/>
          <w:szCs w:val="21"/>
          <w:u w:val="single"/>
        </w:rPr>
        <w:tab/>
      </w:r>
      <w:r>
        <w:rPr>
          <w:rFonts w:hint="eastAsia" w:ascii="宋体" w:hAnsi="宋体" w:cs="宋体"/>
          <w:szCs w:val="21"/>
          <w:u w:val="single"/>
        </w:rPr>
        <w:t>（法定代表人或营业执照中单位负责人姓名）</w:t>
      </w:r>
      <w:r>
        <w:rPr>
          <w:rFonts w:hint="eastAsia" w:ascii="宋体" w:hAnsi="宋体" w:cs="宋体"/>
          <w:szCs w:val="21"/>
        </w:rPr>
        <w:t>授权</w:t>
      </w:r>
      <w:r>
        <w:rPr>
          <w:rFonts w:hint="eastAsia" w:ascii="宋体" w:hAnsi="宋体" w:cs="宋体"/>
          <w:szCs w:val="21"/>
          <w:u w:val="single"/>
        </w:rPr>
        <w:t>（授权委托代理人姓名）</w:t>
      </w:r>
      <w:r>
        <w:rPr>
          <w:rFonts w:hint="eastAsia" w:ascii="宋体" w:hAnsi="宋体" w:cs="宋体"/>
          <w:szCs w:val="21"/>
        </w:rPr>
        <w:t>为授权委托代理人，参加贵单位组织的</w:t>
      </w:r>
      <w:r>
        <w:rPr>
          <w:rFonts w:hint="eastAsia" w:ascii="宋体" w:hAnsi="宋体" w:cs="宋体"/>
          <w:szCs w:val="21"/>
          <w:u w:val="single"/>
        </w:rPr>
        <w:t>黄岩区小型水库大坝安全监测实施及服务项目</w:t>
      </w:r>
      <w:r>
        <w:rPr>
          <w:rFonts w:hint="eastAsia" w:ascii="宋体" w:hAnsi="宋体" w:cs="宋体"/>
          <w:szCs w:val="21"/>
        </w:rPr>
        <w:t>的采购活动，并代表我方全权办理针对上述项目的投标、开标、评标、签约等具体事务和签署相关文件。我方对授权委托代理人的签字事项负全部责任。</w:t>
      </w:r>
    </w:p>
    <w:p>
      <w:pPr>
        <w:spacing w:line="360" w:lineRule="auto"/>
        <w:ind w:firstLine="420" w:firstLineChars="200"/>
        <w:rPr>
          <w:rFonts w:ascii="宋体" w:hAnsi="宋体" w:cs="宋体"/>
          <w:szCs w:val="21"/>
        </w:rPr>
      </w:pPr>
      <w:r>
        <w:rPr>
          <w:rFonts w:hint="eastAsia" w:ascii="宋体" w:hAnsi="宋体" w:cs="宋体"/>
          <w:szCs w:val="21"/>
        </w:rPr>
        <w:t>在撤销授权的书面通知以前，本授权书一直有效。授权委托代理人在授权委托书有效期内签署的所有文件不因授权的撤销而失效。</w:t>
      </w:r>
    </w:p>
    <w:p>
      <w:pPr>
        <w:spacing w:line="360" w:lineRule="auto"/>
        <w:ind w:firstLine="420" w:firstLineChars="200"/>
        <w:rPr>
          <w:rFonts w:ascii="宋体" w:hAnsi="宋体" w:cs="宋体"/>
          <w:szCs w:val="21"/>
        </w:rPr>
      </w:pPr>
      <w:r>
        <w:rPr>
          <w:rFonts w:hint="eastAsia" w:ascii="宋体" w:hAnsi="宋体" w:cs="宋体"/>
          <w:szCs w:val="21"/>
        </w:rPr>
        <w:t>授权委托代理人无转委托权，特此委托。</w:t>
      </w:r>
    </w:p>
    <w:p>
      <w:pPr>
        <w:spacing w:line="360" w:lineRule="auto"/>
        <w:ind w:firstLine="420" w:firstLineChars="200"/>
        <w:rPr>
          <w:rFonts w:ascii="宋体" w:hAnsi="宋体" w:cs="宋体"/>
          <w:szCs w:val="21"/>
        </w:rPr>
      </w:pPr>
      <w:r>
        <w:rPr>
          <w:rFonts w:hint="eastAsia" w:ascii="宋体" w:hAnsi="宋体" w:cs="宋体"/>
          <w:szCs w:val="21"/>
        </w:rPr>
        <w:t>法定代表人签字或盖章：</w:t>
      </w:r>
    </w:p>
    <w:p>
      <w:pPr>
        <w:spacing w:line="360" w:lineRule="auto"/>
        <w:ind w:firstLine="420" w:firstLineChars="200"/>
        <w:rPr>
          <w:rFonts w:ascii="宋体" w:hAnsi="宋体" w:cs="宋体"/>
          <w:szCs w:val="21"/>
        </w:rPr>
      </w:pPr>
      <w:r>
        <w:rPr>
          <w:rFonts w:hint="eastAsia" w:ascii="宋体" w:hAnsi="宋体" w:cs="宋体"/>
          <w:szCs w:val="21"/>
        </w:rPr>
        <w:t>投标人全称（公章）：</w:t>
      </w:r>
      <w:r>
        <w:rPr>
          <w:rFonts w:hint="eastAsia" w:ascii="宋体" w:hAnsi="宋体" w:cs="宋体"/>
          <w:szCs w:val="21"/>
          <w:lang w:val="zh-CN"/>
        </w:rPr>
        <w:t>日期：年月日</w:t>
      </w:r>
    </w:p>
    <w:p>
      <w:pPr>
        <w:spacing w:line="360" w:lineRule="auto"/>
        <w:ind w:firstLine="420" w:firstLineChars="200"/>
        <w:rPr>
          <w:rFonts w:ascii="宋体" w:hAnsi="宋体" w:cs="宋体"/>
          <w:szCs w:val="21"/>
        </w:rPr>
      </w:pPr>
    </w:p>
    <w:p>
      <w:pPr>
        <w:spacing w:line="360" w:lineRule="auto"/>
        <w:rPr>
          <w:rFonts w:ascii="宋体" w:hAnsi="宋体" w:cs="宋体"/>
          <w:b/>
          <w:bCs/>
          <w:szCs w:val="21"/>
        </w:rPr>
      </w:pPr>
      <w:r>
        <w:rPr>
          <w:rFonts w:hint="eastAsia" w:ascii="宋体" w:hAnsi="宋体" w:cs="宋体"/>
          <w:b/>
          <w:bCs/>
          <w:szCs w:val="21"/>
        </w:rPr>
        <w:t>附：</w:t>
      </w:r>
    </w:p>
    <w:tbl>
      <w:tblPr>
        <w:tblStyle w:val="4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b/>
                <w:szCs w:val="21"/>
              </w:rPr>
            </w:pPr>
            <w:r>
              <w:rPr>
                <w:rFonts w:hint="eastAsia" w:ascii="宋体"/>
                <w:b/>
                <w:szCs w:val="21"/>
              </w:rPr>
              <w:t>法定代表身份证复印件粘帖处</w:t>
            </w:r>
          </w:p>
        </w:tc>
      </w:tr>
    </w:tbl>
    <w:p>
      <w:pPr>
        <w:spacing w:line="360" w:lineRule="auto"/>
        <w:rPr>
          <w:rFonts w:ascii="宋体" w:hAnsi="宋体" w:cs="宋体"/>
          <w:szCs w:val="21"/>
        </w:rPr>
      </w:pPr>
      <w:r>
        <w:rPr>
          <w:rFonts w:hint="eastAsia" w:ascii="宋体" w:hAnsi="宋体" w:cs="宋体"/>
          <w:szCs w:val="21"/>
        </w:rPr>
        <w:t>法定代表人姓名：</w:t>
      </w:r>
    </w:p>
    <w:p>
      <w:pPr>
        <w:spacing w:line="360" w:lineRule="auto"/>
        <w:rPr>
          <w:rFonts w:ascii="宋体" w:hAnsi="宋体" w:cs="宋体"/>
          <w:szCs w:val="21"/>
        </w:rPr>
      </w:pPr>
      <w:r>
        <w:rPr>
          <w:rFonts w:hint="eastAsia" w:ascii="宋体" w:hAnsi="宋体" w:cs="宋体"/>
          <w:szCs w:val="21"/>
        </w:rPr>
        <w:t>传真：</w:t>
      </w:r>
    </w:p>
    <w:p>
      <w:pPr>
        <w:spacing w:line="360" w:lineRule="auto"/>
        <w:rPr>
          <w:rFonts w:ascii="宋体" w:hAnsi="宋体" w:cs="宋体"/>
          <w:szCs w:val="21"/>
        </w:rPr>
      </w:pPr>
      <w:r>
        <w:rPr>
          <w:rFonts w:hint="eastAsia" w:ascii="宋体" w:hAnsi="宋体" w:cs="宋体"/>
          <w:szCs w:val="21"/>
        </w:rPr>
        <w:t>手机：</w:t>
      </w:r>
    </w:p>
    <w:p>
      <w:pPr>
        <w:spacing w:line="360" w:lineRule="auto"/>
        <w:rPr>
          <w:rFonts w:ascii="宋体" w:hAnsi="宋体" w:cs="宋体"/>
          <w:szCs w:val="21"/>
        </w:rPr>
      </w:pPr>
      <w:r>
        <w:rPr>
          <w:rFonts w:hint="eastAsia" w:ascii="宋体" w:hAnsi="宋体" w:cs="宋体"/>
          <w:szCs w:val="21"/>
        </w:rPr>
        <w:t>详细通讯地址：</w:t>
      </w:r>
    </w:p>
    <w:p>
      <w:pPr>
        <w:spacing w:line="360" w:lineRule="auto"/>
        <w:rPr>
          <w:rFonts w:ascii="宋体" w:hAnsi="宋体" w:cs="宋体"/>
          <w:szCs w:val="21"/>
        </w:rPr>
      </w:pPr>
      <w:r>
        <w:rPr>
          <w:rFonts w:hint="eastAsia" w:ascii="宋体" w:hAnsi="宋体" w:cs="宋体"/>
          <w:szCs w:val="21"/>
        </w:rPr>
        <w:t>邮政编码：</w:t>
      </w:r>
    </w:p>
    <w:p>
      <w:pPr>
        <w:spacing w:line="360" w:lineRule="auto"/>
        <w:rPr>
          <w:b/>
          <w:szCs w:val="21"/>
        </w:rPr>
      </w:pPr>
    </w:p>
    <w:tbl>
      <w:tblPr>
        <w:tblStyle w:val="4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b/>
                <w:szCs w:val="21"/>
              </w:rPr>
            </w:pPr>
            <w:r>
              <w:rPr>
                <w:rFonts w:hint="eastAsia" w:ascii="宋体"/>
                <w:b/>
                <w:szCs w:val="21"/>
              </w:rPr>
              <w:t>授权委托代理人身份证复印件粘帖处</w:t>
            </w:r>
          </w:p>
        </w:tc>
      </w:tr>
    </w:tbl>
    <w:p>
      <w:pPr>
        <w:spacing w:line="360" w:lineRule="auto"/>
        <w:rPr>
          <w:rFonts w:ascii="宋体" w:hAnsi="宋体" w:cs="宋体"/>
          <w:szCs w:val="21"/>
        </w:rPr>
      </w:pPr>
      <w:r>
        <w:rPr>
          <w:rFonts w:hint="eastAsia" w:ascii="宋体" w:hAnsi="宋体" w:cs="宋体"/>
          <w:szCs w:val="21"/>
        </w:rPr>
        <w:t>授权委托代理人姓名：</w:t>
      </w:r>
    </w:p>
    <w:p>
      <w:pPr>
        <w:spacing w:line="360" w:lineRule="auto"/>
        <w:rPr>
          <w:rFonts w:ascii="宋体" w:hAnsi="宋体" w:cs="宋体"/>
          <w:szCs w:val="21"/>
        </w:rPr>
      </w:pPr>
      <w:r>
        <w:rPr>
          <w:rFonts w:hint="eastAsia" w:ascii="宋体" w:hAnsi="宋体" w:cs="宋体"/>
          <w:szCs w:val="21"/>
        </w:rPr>
        <w:t>职务：</w:t>
      </w:r>
    </w:p>
    <w:p>
      <w:pPr>
        <w:spacing w:line="360" w:lineRule="auto"/>
        <w:rPr>
          <w:rFonts w:ascii="宋体" w:hAnsi="宋体" w:cs="宋体"/>
          <w:szCs w:val="21"/>
        </w:rPr>
      </w:pPr>
      <w:r>
        <w:rPr>
          <w:rFonts w:hint="eastAsia" w:ascii="宋体" w:hAnsi="宋体" w:cs="宋体"/>
          <w:szCs w:val="21"/>
        </w:rPr>
        <w:t>传真：</w:t>
      </w:r>
    </w:p>
    <w:p>
      <w:pPr>
        <w:spacing w:line="360" w:lineRule="auto"/>
        <w:rPr>
          <w:rFonts w:ascii="宋体" w:hAnsi="宋体" w:cs="宋体"/>
          <w:szCs w:val="21"/>
        </w:rPr>
      </w:pPr>
      <w:r>
        <w:rPr>
          <w:rFonts w:hint="eastAsia" w:ascii="宋体" w:hAnsi="宋体" w:cs="宋体"/>
          <w:szCs w:val="21"/>
        </w:rPr>
        <w:t>手机：</w:t>
      </w:r>
    </w:p>
    <w:p>
      <w:pPr>
        <w:spacing w:line="360" w:lineRule="auto"/>
        <w:rPr>
          <w:rFonts w:ascii="宋体" w:hAnsi="宋体" w:cs="宋体"/>
          <w:szCs w:val="21"/>
        </w:rPr>
      </w:pPr>
      <w:r>
        <w:rPr>
          <w:rFonts w:hint="eastAsia" w:ascii="宋体" w:hAnsi="宋体" w:cs="宋体"/>
          <w:szCs w:val="21"/>
        </w:rPr>
        <w:t>详细通讯地址：</w:t>
      </w:r>
    </w:p>
    <w:p>
      <w:pPr>
        <w:spacing w:line="360" w:lineRule="auto"/>
        <w:rPr>
          <w:rFonts w:ascii="宋体" w:hAnsi="宋体" w:cs="宋体"/>
          <w:szCs w:val="21"/>
        </w:rPr>
      </w:pPr>
      <w:r>
        <w:rPr>
          <w:rFonts w:hint="eastAsia" w:ascii="宋体" w:hAnsi="宋体" w:cs="宋体"/>
          <w:szCs w:val="21"/>
        </w:rPr>
        <w:t>邮政编码：</w:t>
      </w:r>
    </w:p>
    <w:p>
      <w:pPr>
        <w:spacing w:line="360" w:lineRule="auto"/>
        <w:rPr>
          <w:rFonts w:ascii="宋体" w:hAnsi="宋体" w:cs="宋体"/>
          <w:b/>
          <w:bCs/>
          <w:sz w:val="28"/>
          <w:szCs w:val="36"/>
        </w:rPr>
      </w:pPr>
    </w:p>
    <w:p>
      <w:pPr>
        <w:spacing w:line="360" w:lineRule="auto"/>
        <w:rPr>
          <w:rFonts w:ascii="宋体" w:hAnsi="宋体" w:cs="宋体"/>
          <w:b/>
          <w:bCs/>
          <w:sz w:val="28"/>
          <w:szCs w:val="36"/>
        </w:rPr>
      </w:pPr>
      <w:r>
        <w:rPr>
          <w:rFonts w:hint="eastAsia" w:ascii="宋体" w:hAnsi="宋体" w:cs="宋体"/>
          <w:b/>
          <w:bCs/>
          <w:sz w:val="28"/>
          <w:szCs w:val="36"/>
        </w:rPr>
        <w:t>附件4</w:t>
      </w:r>
    </w:p>
    <w:p>
      <w:pPr>
        <w:spacing w:line="360" w:lineRule="auto"/>
        <w:jc w:val="center"/>
        <w:rPr>
          <w:rFonts w:ascii="宋体" w:hAnsi="宋体" w:cs="宋体"/>
          <w:b/>
          <w:bCs/>
          <w:sz w:val="32"/>
          <w:szCs w:val="40"/>
        </w:rPr>
      </w:pPr>
      <w:bookmarkStart w:id="90" w:name="_Toc495302720"/>
      <w:r>
        <w:rPr>
          <w:rFonts w:hint="eastAsia" w:ascii="宋体" w:hAnsi="宋体" w:cs="宋体"/>
          <w:b/>
          <w:bCs/>
          <w:sz w:val="32"/>
          <w:szCs w:val="40"/>
        </w:rPr>
        <w:t>财务状况报告</w:t>
      </w:r>
      <w:bookmarkEnd w:id="90"/>
    </w:p>
    <w:p>
      <w:pPr>
        <w:spacing w:line="360" w:lineRule="auto"/>
        <w:rPr>
          <w:rFonts w:ascii="宋体" w:hAnsi="宋体" w:cs="宋体"/>
          <w:b/>
          <w:bCs/>
          <w:szCs w:val="21"/>
        </w:rPr>
      </w:pPr>
      <w:r>
        <w:rPr>
          <w:rFonts w:hint="eastAsia" w:ascii="宋体" w:hAnsi="宋体" w:cs="宋体"/>
          <w:b/>
          <w:bCs/>
          <w:szCs w:val="21"/>
        </w:rPr>
        <w:t>投标人可提供以下一种材料作为本单位财务状态报告：</w:t>
      </w:r>
    </w:p>
    <w:p>
      <w:pPr>
        <w:spacing w:line="360" w:lineRule="auto"/>
        <w:ind w:firstLine="420" w:firstLineChars="200"/>
        <w:rPr>
          <w:rFonts w:ascii="宋体" w:hAnsi="宋体" w:cs="宋体"/>
          <w:szCs w:val="21"/>
        </w:rPr>
      </w:pPr>
      <w:r>
        <w:rPr>
          <w:rFonts w:hint="eastAsia" w:ascii="宋体" w:hAnsi="宋体" w:cs="宋体"/>
          <w:szCs w:val="21"/>
        </w:rPr>
        <w:t>1.提供经审计的财务报告，包括资产负载表、利润表、现金流量表、所有者权益变动表及其附注复印件；</w:t>
      </w:r>
    </w:p>
    <w:p>
      <w:pPr>
        <w:spacing w:line="360" w:lineRule="auto"/>
        <w:ind w:firstLine="420" w:firstLineChars="200"/>
        <w:rPr>
          <w:rFonts w:ascii="宋体" w:hAnsi="宋体" w:cs="宋体"/>
          <w:szCs w:val="21"/>
        </w:rPr>
      </w:pPr>
      <w:r>
        <w:rPr>
          <w:rFonts w:hint="eastAsia" w:ascii="宋体" w:hAnsi="宋体" w:cs="宋体"/>
          <w:szCs w:val="21"/>
        </w:rPr>
        <w:t>2.银行出具的资信证明复印件；</w:t>
      </w:r>
    </w:p>
    <w:p>
      <w:pPr>
        <w:spacing w:line="360" w:lineRule="auto"/>
        <w:ind w:firstLine="420" w:firstLineChars="200"/>
        <w:rPr>
          <w:rFonts w:ascii="宋体" w:hAnsi="宋体" w:cs="宋体"/>
          <w:szCs w:val="21"/>
        </w:rPr>
      </w:pPr>
      <w:r>
        <w:rPr>
          <w:rFonts w:hint="eastAsia" w:ascii="宋体" w:hAnsi="宋体" w:cs="宋体"/>
          <w:szCs w:val="21"/>
        </w:rPr>
        <w:t>注：复印件需要盖章确认。</w:t>
      </w:r>
    </w:p>
    <w:p>
      <w:pPr>
        <w:spacing w:line="360" w:lineRule="auto"/>
        <w:ind w:firstLine="420" w:firstLineChars="200"/>
        <w:rPr>
          <w:rFonts w:ascii="宋体" w:hAnsi="宋体" w:cs="宋体"/>
          <w:szCs w:val="21"/>
          <w:lang w:val="zh-CN"/>
        </w:rPr>
      </w:pPr>
    </w:p>
    <w:p>
      <w:pPr>
        <w:spacing w:line="360" w:lineRule="auto"/>
        <w:ind w:firstLine="480" w:firstLineChars="200"/>
        <w:rPr>
          <w:rFonts w:ascii="宋体" w:hAnsi="宋体" w:cs="宋体"/>
          <w:sz w:val="24"/>
          <w:szCs w:val="32"/>
          <w:lang w:val="zh-CN"/>
        </w:rPr>
      </w:pPr>
    </w:p>
    <w:p>
      <w:pPr>
        <w:spacing w:line="360" w:lineRule="auto"/>
        <w:jc w:val="center"/>
        <w:rPr>
          <w:rFonts w:ascii="宋体" w:hAnsi="宋体" w:cs="宋体"/>
          <w:b/>
          <w:bCs/>
          <w:sz w:val="32"/>
          <w:szCs w:val="40"/>
        </w:rPr>
      </w:pPr>
      <w:bookmarkStart w:id="91" w:name="_Toc495302721"/>
      <w:r>
        <w:rPr>
          <w:rFonts w:hint="eastAsia" w:ascii="宋体" w:hAnsi="宋体" w:cs="宋体"/>
          <w:b/>
          <w:bCs/>
          <w:sz w:val="32"/>
          <w:szCs w:val="40"/>
        </w:rPr>
        <w:t>依法缴纳税收和社会保障资金</w:t>
      </w:r>
      <w:bookmarkEnd w:id="91"/>
    </w:p>
    <w:p>
      <w:pPr>
        <w:spacing w:line="360" w:lineRule="auto"/>
        <w:rPr>
          <w:rFonts w:ascii="宋体" w:hAnsi="宋体" w:cs="宋体"/>
          <w:b/>
          <w:bCs/>
          <w:szCs w:val="21"/>
        </w:rPr>
      </w:pPr>
      <w:r>
        <w:rPr>
          <w:rFonts w:hint="eastAsia" w:ascii="宋体" w:hAnsi="宋体" w:cs="宋体"/>
          <w:b/>
          <w:bCs/>
          <w:szCs w:val="21"/>
        </w:rPr>
        <w:t>依法缴纳税收和社会保障资金的相关材料要求：</w:t>
      </w:r>
    </w:p>
    <w:p>
      <w:pPr>
        <w:spacing w:line="360" w:lineRule="auto"/>
        <w:ind w:firstLine="420" w:firstLineChars="200"/>
        <w:rPr>
          <w:rFonts w:ascii="宋体" w:hAnsi="宋体" w:cs="宋体"/>
          <w:szCs w:val="21"/>
        </w:rPr>
      </w:pPr>
      <w:r>
        <w:rPr>
          <w:rFonts w:hint="eastAsia" w:ascii="宋体" w:hAnsi="宋体" w:cs="宋体"/>
          <w:szCs w:val="21"/>
        </w:rPr>
        <w:t>营业执照属于三证合一的，则不需要提供税务登记证复印件。营业执照属于五证合一的，则不需要提供税务登记证和社会保险登记证复印件。</w:t>
      </w:r>
    </w:p>
    <w:p>
      <w:pPr>
        <w:spacing w:line="360" w:lineRule="auto"/>
        <w:ind w:firstLine="420" w:firstLineChars="200"/>
        <w:rPr>
          <w:rFonts w:ascii="宋体" w:hAnsi="宋体" w:cs="宋体"/>
          <w:szCs w:val="21"/>
        </w:rPr>
      </w:pPr>
      <w:r>
        <w:rPr>
          <w:rFonts w:hint="eastAsia" w:ascii="宋体" w:hAnsi="宋体" w:cs="宋体"/>
          <w:szCs w:val="21"/>
        </w:rPr>
        <w:t>1.提供投标人税务登记证（国税、地税）和参加本项目采购活动前近三个月内相应税务机关出具的完税证明，包括缴纳增值税、企业所得税等凭据的复印件；</w:t>
      </w:r>
    </w:p>
    <w:p>
      <w:pPr>
        <w:spacing w:line="360" w:lineRule="auto"/>
        <w:ind w:firstLine="420" w:firstLineChars="200"/>
        <w:rPr>
          <w:rFonts w:ascii="宋体" w:hAnsi="宋体" w:cs="宋体"/>
          <w:szCs w:val="21"/>
        </w:rPr>
      </w:pPr>
      <w:r>
        <w:rPr>
          <w:rFonts w:hint="eastAsia" w:ascii="宋体" w:hAnsi="宋体" w:cs="宋体"/>
          <w:szCs w:val="21"/>
        </w:rPr>
        <w:t>2.提供投标人社会保险登记证和参加政府采购活动前近三个月内缴纳社会保险的凭据（专用收据或社会保险缴纳清单）复印件；</w:t>
      </w:r>
    </w:p>
    <w:p>
      <w:pPr>
        <w:spacing w:line="360" w:lineRule="auto"/>
        <w:ind w:firstLine="420" w:firstLineChars="200"/>
        <w:rPr>
          <w:rFonts w:ascii="宋体" w:hAnsi="宋体" w:cs="宋体"/>
          <w:szCs w:val="21"/>
        </w:rPr>
      </w:pPr>
      <w:r>
        <w:rPr>
          <w:rFonts w:hint="eastAsia" w:ascii="宋体" w:hAnsi="宋体" w:cs="宋体"/>
          <w:szCs w:val="21"/>
        </w:rPr>
        <w:t>3.依法免税或不需要缴纳社会保障资金的投标人，应提供相应文件证明其依法免税或不需要缴纳社会保障资金的材料复印件；</w:t>
      </w:r>
    </w:p>
    <w:p>
      <w:pPr>
        <w:spacing w:line="360" w:lineRule="auto"/>
        <w:ind w:firstLine="420" w:firstLineChars="200"/>
        <w:rPr>
          <w:rFonts w:ascii="宋体" w:hAnsi="宋体" w:cs="宋体"/>
          <w:szCs w:val="21"/>
        </w:rPr>
      </w:pPr>
      <w:r>
        <w:rPr>
          <w:rFonts w:hint="eastAsia" w:ascii="宋体" w:hAnsi="宋体" w:cs="宋体"/>
          <w:szCs w:val="21"/>
        </w:rPr>
        <w:t>4.复印件需要盖章确认。</w:t>
      </w:r>
    </w:p>
    <w:p>
      <w:pPr>
        <w:spacing w:line="360" w:lineRule="auto"/>
        <w:ind w:firstLine="480" w:firstLineChars="200"/>
        <w:rPr>
          <w:rFonts w:ascii="宋体" w:hAnsi="宋体" w:cs="宋体"/>
          <w:sz w:val="24"/>
          <w:szCs w:val="32"/>
          <w:lang w:val="zh-CN"/>
        </w:rPr>
      </w:pPr>
    </w:p>
    <w:p>
      <w:pPr>
        <w:spacing w:line="360" w:lineRule="auto"/>
        <w:ind w:firstLine="480" w:firstLineChars="200"/>
        <w:rPr>
          <w:rFonts w:ascii="宋体" w:hAnsi="宋体" w:cs="宋体"/>
          <w:sz w:val="24"/>
          <w:szCs w:val="32"/>
          <w:lang w:val="zh-CN"/>
        </w:rPr>
      </w:pPr>
    </w:p>
    <w:p>
      <w:pPr>
        <w:spacing w:line="360" w:lineRule="auto"/>
        <w:ind w:firstLine="480" w:firstLineChars="200"/>
        <w:rPr>
          <w:rFonts w:ascii="宋体" w:hAnsi="宋体" w:cs="宋体"/>
          <w:sz w:val="24"/>
          <w:szCs w:val="32"/>
          <w:lang w:val="zh-CN"/>
        </w:rPr>
      </w:pPr>
    </w:p>
    <w:p>
      <w:pPr>
        <w:pStyle w:val="4"/>
        <w:rPr>
          <w:rFonts w:ascii="宋体" w:hAnsi="宋体" w:cs="宋体"/>
          <w:szCs w:val="32"/>
          <w:lang w:val="zh-CN"/>
        </w:rPr>
      </w:pPr>
    </w:p>
    <w:p>
      <w:pPr>
        <w:pStyle w:val="5"/>
        <w:rPr>
          <w:rFonts w:ascii="宋体" w:hAnsi="宋体" w:cs="宋体"/>
          <w:sz w:val="24"/>
          <w:szCs w:val="32"/>
          <w:lang w:val="zh-CN"/>
        </w:rPr>
      </w:pPr>
    </w:p>
    <w:p>
      <w:pPr>
        <w:pStyle w:val="6"/>
        <w:rPr>
          <w:rFonts w:ascii="宋体" w:hAnsi="宋体" w:cs="宋体"/>
          <w:sz w:val="24"/>
          <w:szCs w:val="32"/>
          <w:lang w:val="zh-CN"/>
        </w:rPr>
      </w:pPr>
    </w:p>
    <w:p>
      <w:pPr>
        <w:rPr>
          <w:rFonts w:ascii="宋体" w:hAnsi="宋体" w:cs="宋体"/>
          <w:sz w:val="24"/>
          <w:szCs w:val="32"/>
          <w:lang w:val="zh-CN"/>
        </w:rPr>
      </w:pPr>
    </w:p>
    <w:p>
      <w:pPr>
        <w:pStyle w:val="4"/>
        <w:rPr>
          <w:rFonts w:ascii="宋体" w:hAnsi="宋体" w:cs="宋体"/>
          <w:szCs w:val="32"/>
          <w:lang w:val="zh-CN"/>
        </w:rPr>
      </w:pPr>
    </w:p>
    <w:p>
      <w:pPr>
        <w:pStyle w:val="5"/>
        <w:rPr>
          <w:lang w:val="zh-CN"/>
        </w:rPr>
      </w:pPr>
    </w:p>
    <w:p>
      <w:pPr>
        <w:pStyle w:val="6"/>
        <w:rPr>
          <w:lang w:val="zh-CN"/>
        </w:rPr>
      </w:pPr>
    </w:p>
    <w:p>
      <w:pPr>
        <w:spacing w:line="360" w:lineRule="auto"/>
        <w:rPr>
          <w:rFonts w:ascii="宋体" w:hAnsi="宋体" w:cs="宋体"/>
          <w:b/>
          <w:bCs/>
          <w:sz w:val="28"/>
          <w:szCs w:val="36"/>
        </w:rPr>
      </w:pPr>
      <w:r>
        <w:rPr>
          <w:rFonts w:hint="eastAsia" w:ascii="宋体" w:hAnsi="宋体" w:cs="宋体"/>
          <w:b/>
          <w:bCs/>
          <w:sz w:val="28"/>
          <w:szCs w:val="36"/>
        </w:rPr>
        <w:t>附件5</w:t>
      </w:r>
    </w:p>
    <w:p>
      <w:pPr>
        <w:spacing w:line="360" w:lineRule="auto"/>
        <w:jc w:val="center"/>
        <w:rPr>
          <w:rFonts w:ascii="宋体" w:hAnsi="宋体" w:cs="宋体"/>
          <w:b/>
          <w:bCs/>
          <w:sz w:val="28"/>
          <w:szCs w:val="36"/>
        </w:rPr>
      </w:pPr>
      <w:r>
        <w:rPr>
          <w:rFonts w:hint="eastAsia" w:ascii="宋体" w:hAnsi="宋体" w:cs="宋体"/>
          <w:b/>
          <w:bCs/>
          <w:sz w:val="28"/>
          <w:szCs w:val="36"/>
        </w:rPr>
        <w:t>落实政府采购政策需满足的资格要求所对应的证明材料</w:t>
      </w:r>
    </w:p>
    <w:p>
      <w:pPr>
        <w:spacing w:line="360" w:lineRule="auto"/>
        <w:ind w:firstLine="420" w:firstLineChars="200"/>
        <w:jc w:val="left"/>
        <w:rPr>
          <w:rFonts w:ascii="宋体" w:hAnsi="宋体" w:cs="宋体"/>
          <w:bCs/>
          <w:szCs w:val="21"/>
        </w:rPr>
      </w:pPr>
      <w:r>
        <w:rPr>
          <w:rFonts w:hint="eastAsia" w:ascii="宋体" w:hAnsi="宋体" w:cs="宋体"/>
          <w:bCs/>
          <w:szCs w:val="21"/>
        </w:rPr>
        <w:t>a.中小企业声明函；</w:t>
      </w:r>
    </w:p>
    <w:p>
      <w:pPr>
        <w:spacing w:line="360" w:lineRule="auto"/>
        <w:ind w:firstLine="420" w:firstLineChars="200"/>
        <w:jc w:val="left"/>
        <w:rPr>
          <w:rFonts w:ascii="宋体" w:hAnsi="宋体" w:cs="宋体"/>
          <w:bCs/>
          <w:szCs w:val="21"/>
        </w:rPr>
      </w:pPr>
      <w:r>
        <w:rPr>
          <w:rFonts w:hint="eastAsia" w:ascii="宋体" w:hAnsi="宋体" w:cs="宋体"/>
          <w:bCs/>
          <w:szCs w:val="21"/>
        </w:rPr>
        <w:t>中小企业应当按照《政府采购促进中小企业发展管理办法》规定和《中小企业划型标准规定》（工信部联企业〔2011〕300 号），如实填写并提交《中小企业声明函》。</w:t>
      </w:r>
    </w:p>
    <w:p>
      <w:pPr>
        <w:spacing w:line="360" w:lineRule="auto"/>
        <w:ind w:firstLine="420" w:firstLineChars="200"/>
        <w:jc w:val="left"/>
        <w:rPr>
          <w:rFonts w:ascii="宋体" w:hAnsi="宋体" w:cs="宋体"/>
          <w:bCs/>
          <w:szCs w:val="21"/>
        </w:rPr>
      </w:pPr>
      <w:r>
        <w:rPr>
          <w:rFonts w:hint="eastAsia" w:ascii="宋体" w:hAnsi="宋体" w:cs="宋体"/>
          <w:bCs/>
          <w:szCs w:val="21"/>
        </w:rPr>
        <w:t>中小企业对其声明内容的真实性负责，声明函内容不实的，属于提供虚假材料谋取中标、成交，依照《中华人民共和国政府采购法》等国家有关规定追究相应责任。</w:t>
      </w:r>
    </w:p>
    <w:p>
      <w:pPr>
        <w:spacing w:line="360" w:lineRule="auto"/>
        <w:ind w:firstLine="420" w:firstLineChars="200"/>
        <w:jc w:val="left"/>
        <w:rPr>
          <w:rFonts w:ascii="宋体" w:hAnsi="宋体" w:cs="宋体"/>
          <w:bCs/>
          <w:szCs w:val="21"/>
          <w:lang w:val="zh-CN"/>
        </w:rPr>
      </w:pPr>
      <w:r>
        <w:rPr>
          <w:rFonts w:hint="eastAsia" w:ascii="宋体" w:hAnsi="宋体" w:cs="宋体"/>
          <w:bCs/>
          <w:szCs w:val="21"/>
        </w:rPr>
        <w:t>b.投标人为监狱企业的证明文件：省级以上监狱管理局、戒毒管理局（含新疆生产建设兵团）出具。（如是）</w:t>
      </w:r>
      <w:r>
        <w:rPr>
          <w:rFonts w:hint="eastAsia" w:ascii="宋体" w:hAnsi="宋体" w:cs="宋体"/>
          <w:bCs/>
          <w:szCs w:val="21"/>
          <w:lang w:val="zh-CN"/>
        </w:rPr>
        <w:t>。</w:t>
      </w:r>
    </w:p>
    <w:p>
      <w:pPr>
        <w:spacing w:line="360" w:lineRule="auto"/>
        <w:ind w:firstLine="420" w:firstLineChars="200"/>
        <w:jc w:val="left"/>
        <w:rPr>
          <w:rFonts w:ascii="宋体" w:hAnsi="宋体" w:cs="宋体"/>
          <w:bCs/>
          <w:szCs w:val="21"/>
        </w:rPr>
      </w:pPr>
      <w:r>
        <w:rPr>
          <w:rFonts w:hint="eastAsia" w:ascii="宋体" w:hAnsi="宋体" w:cs="宋体"/>
          <w:bCs/>
          <w:szCs w:val="21"/>
        </w:rPr>
        <w:t>c.投标人如符合《财政部、民政部、中国残疾人联合会关于促进残疾人就业政府采购政策的通知》（财库〔2017〕141 号）政策规定的，须提供《残疾人福利性单位声明函》；（如是）</w:t>
      </w:r>
    </w:p>
    <w:p>
      <w:pPr>
        <w:pStyle w:val="5"/>
        <w:rPr>
          <w:rFonts w:ascii="宋体" w:hAnsi="宋体" w:cs="宋体"/>
          <w:sz w:val="28"/>
          <w:szCs w:val="36"/>
        </w:rPr>
      </w:pPr>
    </w:p>
    <w:p>
      <w:pPr>
        <w:pStyle w:val="6"/>
        <w:rPr>
          <w:rFonts w:ascii="宋体" w:hAnsi="宋体" w:cs="宋体"/>
          <w:sz w:val="28"/>
          <w:szCs w:val="36"/>
        </w:rPr>
      </w:pPr>
    </w:p>
    <w:p>
      <w:pPr>
        <w:rPr>
          <w:rFonts w:ascii="宋体" w:hAnsi="宋体" w:cs="宋体"/>
          <w:sz w:val="28"/>
          <w:szCs w:val="36"/>
        </w:rPr>
      </w:pPr>
    </w:p>
    <w:p>
      <w:pPr>
        <w:pStyle w:val="5"/>
        <w:rPr>
          <w:rFonts w:ascii="宋体" w:hAnsi="宋体" w:cs="宋体"/>
          <w:sz w:val="28"/>
          <w:szCs w:val="36"/>
        </w:rPr>
      </w:pPr>
    </w:p>
    <w:p>
      <w:pPr>
        <w:pStyle w:val="6"/>
        <w:rPr>
          <w:rFonts w:ascii="宋体" w:hAnsi="宋体" w:cs="宋体"/>
          <w:sz w:val="28"/>
          <w:szCs w:val="36"/>
        </w:rPr>
      </w:pPr>
    </w:p>
    <w:p>
      <w:pPr>
        <w:rPr>
          <w:rFonts w:ascii="宋体" w:hAnsi="宋体" w:cs="宋体"/>
          <w:sz w:val="28"/>
          <w:szCs w:val="36"/>
        </w:rPr>
      </w:pPr>
    </w:p>
    <w:p>
      <w:pPr>
        <w:pStyle w:val="5"/>
        <w:rPr>
          <w:rFonts w:ascii="宋体" w:hAnsi="宋体" w:cs="宋体"/>
          <w:sz w:val="28"/>
          <w:szCs w:val="36"/>
        </w:rPr>
      </w:pPr>
    </w:p>
    <w:p>
      <w:pPr>
        <w:pStyle w:val="6"/>
        <w:rPr>
          <w:rFonts w:ascii="宋体" w:hAnsi="宋体" w:cs="宋体"/>
          <w:sz w:val="28"/>
          <w:szCs w:val="36"/>
        </w:rPr>
      </w:pPr>
    </w:p>
    <w:p>
      <w:pPr>
        <w:rPr>
          <w:rFonts w:ascii="宋体" w:hAnsi="宋体" w:cs="宋体"/>
          <w:sz w:val="28"/>
          <w:szCs w:val="36"/>
        </w:rPr>
      </w:pPr>
    </w:p>
    <w:p>
      <w:pPr>
        <w:pStyle w:val="4"/>
      </w:pPr>
    </w:p>
    <w:p>
      <w:pPr>
        <w:rPr>
          <w:rFonts w:ascii="宋体" w:hAnsi="宋体" w:cs="宋体"/>
          <w:sz w:val="28"/>
          <w:szCs w:val="36"/>
        </w:rPr>
      </w:pPr>
    </w:p>
    <w:p>
      <w:pPr>
        <w:pStyle w:val="4"/>
        <w:rPr>
          <w:rFonts w:ascii="宋体" w:hAnsi="宋体" w:cs="宋体"/>
          <w:sz w:val="28"/>
          <w:szCs w:val="36"/>
        </w:rPr>
      </w:pPr>
    </w:p>
    <w:p>
      <w:pPr>
        <w:pStyle w:val="5"/>
        <w:rPr>
          <w:rFonts w:ascii="宋体" w:hAnsi="宋体" w:cs="宋体"/>
          <w:sz w:val="28"/>
          <w:szCs w:val="36"/>
        </w:rPr>
      </w:pPr>
    </w:p>
    <w:p>
      <w:pPr>
        <w:widowControl/>
        <w:jc w:val="left"/>
        <w:rPr>
          <w:rFonts w:ascii="宋体" w:hAnsi="宋体"/>
          <w:b/>
          <w:sz w:val="32"/>
          <w:szCs w:val="32"/>
        </w:rPr>
      </w:pPr>
      <w:r>
        <w:rPr>
          <w:rFonts w:ascii="宋体" w:hAnsi="宋体"/>
          <w:b/>
          <w:sz w:val="32"/>
          <w:szCs w:val="32"/>
        </w:rPr>
        <w:br w:type="page"/>
      </w:r>
    </w:p>
    <w:p>
      <w:pPr>
        <w:spacing w:line="360" w:lineRule="auto"/>
        <w:jc w:val="center"/>
        <w:rPr>
          <w:rFonts w:ascii="宋体" w:hAnsi="宋体"/>
          <w:b/>
          <w:sz w:val="32"/>
          <w:szCs w:val="32"/>
        </w:rPr>
      </w:pPr>
      <w:r>
        <w:rPr>
          <w:rFonts w:hint="eastAsia" w:ascii="宋体" w:hAnsi="宋体"/>
          <w:b/>
          <w:sz w:val="32"/>
          <w:szCs w:val="32"/>
        </w:rPr>
        <w:t>中小企业声明函（货物）</w:t>
      </w:r>
    </w:p>
    <w:p>
      <w:pPr>
        <w:spacing w:line="360" w:lineRule="auto"/>
        <w:ind w:firstLine="420" w:firstLineChars="200"/>
        <w:jc w:val="left"/>
        <w:rPr>
          <w:rFonts w:ascii="宋体" w:hAnsi="宋体"/>
          <w:bCs/>
          <w:szCs w:val="21"/>
        </w:rPr>
      </w:pPr>
      <w:r>
        <w:rPr>
          <w:rFonts w:hint="eastAsia" w:ascii="宋体" w:hAnsi="宋体"/>
          <w:bCs/>
          <w:szCs w:val="21"/>
        </w:rPr>
        <w:t>本公司郑重声明，根据《政府采购促进中小企业发展管理办法》（财库﹝2020﹞46 号）的规定，本公司参加</w:t>
      </w:r>
      <w:r>
        <w:rPr>
          <w:rFonts w:hint="eastAsia" w:ascii="宋体" w:hAnsi="宋体"/>
          <w:bCs/>
          <w:szCs w:val="21"/>
          <w:u w:val="single"/>
        </w:rPr>
        <w:t>（单位名称）</w:t>
      </w:r>
      <w:r>
        <w:rPr>
          <w:rFonts w:hint="eastAsia" w:ascii="宋体" w:hAnsi="宋体"/>
          <w:bCs/>
          <w:szCs w:val="21"/>
        </w:rPr>
        <w:t>的</w:t>
      </w:r>
      <w:r>
        <w:rPr>
          <w:rFonts w:hint="eastAsia" w:ascii="宋体" w:hAnsi="宋体"/>
          <w:bCs/>
          <w:szCs w:val="21"/>
          <w:u w:val="single"/>
        </w:rPr>
        <w:t>（项目名称）</w:t>
      </w:r>
      <w:r>
        <w:rPr>
          <w:rFonts w:hint="eastAsia" w:ascii="宋体" w:hAnsi="宋体"/>
          <w:bCs/>
          <w:szCs w:val="21"/>
        </w:rPr>
        <w:t>采购活动，提供的货物全部由符合政策要求的中小企业制造。相关企业的具体情况如下：</w:t>
      </w:r>
    </w:p>
    <w:p>
      <w:pPr>
        <w:spacing w:line="360" w:lineRule="auto"/>
        <w:ind w:firstLine="420" w:firstLineChars="200"/>
        <w:jc w:val="left"/>
        <w:rPr>
          <w:rFonts w:ascii="宋体" w:hAnsi="宋体"/>
          <w:bCs/>
          <w:szCs w:val="21"/>
        </w:rPr>
      </w:pPr>
      <w:r>
        <w:rPr>
          <w:rFonts w:hint="eastAsia" w:ascii="宋体" w:hAnsi="宋体"/>
          <w:bCs/>
          <w:szCs w:val="21"/>
        </w:rPr>
        <w:t>1.</w:t>
      </w:r>
      <w:r>
        <w:rPr>
          <w:rFonts w:hint="eastAsia" w:ascii="宋体" w:hAnsi="宋体"/>
          <w:bCs/>
          <w:szCs w:val="21"/>
          <w:u w:val="single"/>
        </w:rPr>
        <w:t>（标的名称）</w:t>
      </w:r>
      <w:r>
        <w:rPr>
          <w:rFonts w:hint="eastAsia" w:ascii="宋体" w:hAnsi="宋体"/>
          <w:bCs/>
          <w:szCs w:val="21"/>
        </w:rPr>
        <w:t>，属于</w:t>
      </w:r>
      <w:r>
        <w:rPr>
          <w:rFonts w:hint="eastAsia" w:ascii="宋体" w:hAnsi="宋体"/>
          <w:bCs/>
          <w:szCs w:val="21"/>
          <w:u w:val="single"/>
        </w:rPr>
        <w:t>（采购文件中明确的所属行业）</w:t>
      </w:r>
      <w:r>
        <w:rPr>
          <w:rFonts w:hint="eastAsia" w:ascii="宋体" w:hAnsi="宋体"/>
          <w:bCs/>
          <w:szCs w:val="21"/>
        </w:rPr>
        <w:t>行业；制造商为</w:t>
      </w:r>
      <w:r>
        <w:rPr>
          <w:rFonts w:hint="eastAsia" w:ascii="宋体" w:hAnsi="宋体"/>
          <w:bCs/>
          <w:szCs w:val="21"/>
          <w:u w:val="single"/>
        </w:rPr>
        <w:t>（企业名称）</w:t>
      </w:r>
      <w:r>
        <w:rPr>
          <w:rFonts w:hint="eastAsia" w:ascii="宋体" w:hAnsi="宋体"/>
          <w:bCs/>
          <w:szCs w:val="21"/>
        </w:rPr>
        <w:t>，从业人员人，营业收入为万元，资产总额为万元</w:t>
      </w:r>
      <w:r>
        <w:rPr>
          <w:rStyle w:val="49"/>
          <w:rFonts w:hint="eastAsia" w:ascii="宋体" w:hAnsi="宋体"/>
          <w:bCs/>
          <w:szCs w:val="21"/>
        </w:rPr>
        <w:footnoteReference w:id="0"/>
      </w:r>
      <w:r>
        <w:rPr>
          <w:rFonts w:hint="eastAsia" w:ascii="宋体" w:hAnsi="宋体"/>
          <w:bCs/>
          <w:szCs w:val="21"/>
        </w:rPr>
        <w:t>，属于</w:t>
      </w:r>
      <w:r>
        <w:rPr>
          <w:rFonts w:hint="eastAsia" w:ascii="宋体" w:hAnsi="宋体"/>
          <w:bCs/>
          <w:szCs w:val="21"/>
          <w:u w:val="single"/>
        </w:rPr>
        <w:t>（中型企业、小型企业、微型企业）</w:t>
      </w:r>
      <w:r>
        <w:rPr>
          <w:rFonts w:hint="eastAsia" w:ascii="宋体" w:hAnsi="宋体"/>
          <w:bCs/>
          <w:szCs w:val="21"/>
        </w:rPr>
        <w:t>；</w:t>
      </w:r>
    </w:p>
    <w:p>
      <w:pPr>
        <w:spacing w:line="360" w:lineRule="auto"/>
        <w:ind w:firstLine="420" w:firstLineChars="200"/>
        <w:jc w:val="left"/>
        <w:rPr>
          <w:rFonts w:ascii="宋体" w:hAnsi="宋体"/>
          <w:bCs/>
          <w:szCs w:val="21"/>
        </w:rPr>
      </w:pPr>
      <w:r>
        <w:rPr>
          <w:rFonts w:hint="eastAsia" w:ascii="宋体" w:hAnsi="宋体"/>
          <w:bCs/>
          <w:szCs w:val="21"/>
        </w:rPr>
        <w:t>2.</w:t>
      </w:r>
      <w:r>
        <w:rPr>
          <w:rFonts w:hint="eastAsia" w:ascii="宋体" w:hAnsi="宋体"/>
          <w:bCs/>
          <w:szCs w:val="21"/>
          <w:u w:val="single"/>
        </w:rPr>
        <w:t>（标的名称）</w:t>
      </w:r>
      <w:r>
        <w:rPr>
          <w:rFonts w:hint="eastAsia" w:ascii="宋体" w:hAnsi="宋体"/>
          <w:bCs/>
          <w:szCs w:val="21"/>
        </w:rPr>
        <w:t>，属于</w:t>
      </w:r>
      <w:r>
        <w:rPr>
          <w:rFonts w:hint="eastAsia" w:ascii="宋体" w:hAnsi="宋体"/>
          <w:bCs/>
          <w:szCs w:val="21"/>
          <w:u w:val="single"/>
        </w:rPr>
        <w:t>（采购文件中明确的所属行业）</w:t>
      </w:r>
      <w:r>
        <w:rPr>
          <w:rFonts w:hint="eastAsia" w:ascii="宋体" w:hAnsi="宋体"/>
          <w:bCs/>
          <w:szCs w:val="21"/>
        </w:rPr>
        <w:t>行业；制造商为</w:t>
      </w:r>
      <w:r>
        <w:rPr>
          <w:rFonts w:hint="eastAsia" w:ascii="宋体" w:hAnsi="宋体"/>
          <w:bCs/>
          <w:szCs w:val="21"/>
          <w:u w:val="single"/>
        </w:rPr>
        <w:t>（企业名称）</w:t>
      </w:r>
      <w:r>
        <w:rPr>
          <w:rFonts w:hint="eastAsia" w:ascii="宋体" w:hAnsi="宋体"/>
          <w:bCs/>
          <w:szCs w:val="21"/>
        </w:rPr>
        <w:t>，从业人员人，营业收入为万元，资产总额为万元，属于</w:t>
      </w:r>
      <w:r>
        <w:rPr>
          <w:rFonts w:hint="eastAsia" w:ascii="宋体" w:hAnsi="宋体"/>
          <w:bCs/>
          <w:szCs w:val="21"/>
          <w:u w:val="single"/>
        </w:rPr>
        <w:t>（中型企业、小型企业、微型企业）</w:t>
      </w:r>
      <w:r>
        <w:rPr>
          <w:rFonts w:hint="eastAsia" w:ascii="宋体" w:hAnsi="宋体"/>
          <w:bCs/>
          <w:szCs w:val="21"/>
        </w:rPr>
        <w:t>；</w:t>
      </w:r>
    </w:p>
    <w:p>
      <w:pPr>
        <w:spacing w:line="360" w:lineRule="auto"/>
        <w:ind w:firstLine="420" w:firstLineChars="200"/>
        <w:jc w:val="left"/>
        <w:rPr>
          <w:rFonts w:ascii="宋体" w:hAnsi="宋体"/>
          <w:bCs/>
          <w:szCs w:val="21"/>
        </w:rPr>
      </w:pPr>
      <w:r>
        <w:rPr>
          <w:rFonts w:hint="eastAsia" w:ascii="宋体" w:hAnsi="宋体"/>
          <w:bCs/>
          <w:szCs w:val="21"/>
        </w:rPr>
        <w:t>……</w:t>
      </w:r>
    </w:p>
    <w:p>
      <w:pPr>
        <w:spacing w:line="360" w:lineRule="auto"/>
        <w:ind w:firstLine="420" w:firstLineChars="200"/>
        <w:jc w:val="left"/>
        <w:rPr>
          <w:rFonts w:ascii="宋体" w:hAnsi="宋体"/>
          <w:bCs/>
          <w:szCs w:val="21"/>
        </w:rPr>
      </w:pPr>
      <w:r>
        <w:rPr>
          <w:rFonts w:hint="eastAsia" w:ascii="宋体" w:hAnsi="宋体"/>
          <w:bCs/>
          <w:szCs w:val="21"/>
        </w:rPr>
        <w:t>以上企业，不属于大企业的分支机构，不存在控股股东为大企业的情形，也不存在与大企业的负责人为同一人的情形。</w:t>
      </w:r>
    </w:p>
    <w:p>
      <w:pPr>
        <w:spacing w:line="360" w:lineRule="auto"/>
        <w:ind w:firstLine="420" w:firstLineChars="200"/>
        <w:jc w:val="left"/>
        <w:rPr>
          <w:rFonts w:ascii="宋体" w:hAnsi="宋体"/>
          <w:bCs/>
          <w:szCs w:val="21"/>
        </w:rPr>
      </w:pPr>
      <w:r>
        <w:rPr>
          <w:rFonts w:hint="eastAsia" w:ascii="宋体" w:hAnsi="宋体"/>
          <w:bCs/>
          <w:szCs w:val="21"/>
        </w:rPr>
        <w:t>本企业对上述声明内容的真实性负责。如有虚假，将依法承担相应责任。</w:t>
      </w:r>
    </w:p>
    <w:p>
      <w:pPr>
        <w:spacing w:line="360" w:lineRule="auto"/>
        <w:jc w:val="left"/>
        <w:rPr>
          <w:rFonts w:ascii="宋体" w:hAnsi="宋体"/>
          <w:bCs/>
          <w:szCs w:val="21"/>
        </w:rPr>
      </w:pPr>
    </w:p>
    <w:p>
      <w:pPr>
        <w:spacing w:line="360" w:lineRule="auto"/>
        <w:ind w:firstLine="4200" w:firstLineChars="2000"/>
        <w:jc w:val="left"/>
        <w:rPr>
          <w:rFonts w:ascii="宋体" w:hAnsi="宋体"/>
          <w:bCs/>
          <w:szCs w:val="21"/>
        </w:rPr>
      </w:pPr>
      <w:r>
        <w:rPr>
          <w:rFonts w:hint="eastAsia" w:ascii="宋体" w:hAnsi="宋体"/>
          <w:bCs/>
          <w:szCs w:val="21"/>
        </w:rPr>
        <w:t>企业名称（盖章）：</w:t>
      </w:r>
    </w:p>
    <w:p>
      <w:pPr>
        <w:spacing w:line="360" w:lineRule="auto"/>
        <w:ind w:firstLine="4200" w:firstLineChars="2000"/>
        <w:jc w:val="left"/>
        <w:rPr>
          <w:rFonts w:ascii="宋体" w:hAnsi="宋体"/>
          <w:bCs/>
          <w:szCs w:val="21"/>
        </w:rPr>
      </w:pPr>
      <w:r>
        <w:rPr>
          <w:rFonts w:hint="eastAsia" w:ascii="宋体" w:hAnsi="宋体"/>
          <w:bCs/>
          <w:szCs w:val="21"/>
        </w:rPr>
        <w:t>日期：</w:t>
      </w: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pStyle w:val="5"/>
        <w:ind w:firstLine="0"/>
      </w:pPr>
    </w:p>
    <w:p>
      <w:pPr>
        <w:spacing w:line="360" w:lineRule="auto"/>
        <w:jc w:val="left"/>
        <w:rPr>
          <w:rFonts w:ascii="宋体" w:hAnsi="宋体"/>
          <w:bCs/>
          <w:sz w:val="24"/>
        </w:rPr>
      </w:pPr>
    </w:p>
    <w:p>
      <w:pPr>
        <w:widowControl/>
        <w:jc w:val="left"/>
        <w:rPr>
          <w:rFonts w:ascii="宋体" w:hAnsi="宋体"/>
          <w:b/>
          <w:sz w:val="32"/>
          <w:szCs w:val="32"/>
        </w:rPr>
      </w:pPr>
      <w:r>
        <w:rPr>
          <w:rFonts w:ascii="宋体" w:hAnsi="宋体"/>
          <w:b/>
          <w:sz w:val="32"/>
          <w:szCs w:val="32"/>
        </w:rPr>
        <w:br w:type="page"/>
      </w:r>
    </w:p>
    <w:p>
      <w:pPr>
        <w:spacing w:line="360" w:lineRule="auto"/>
        <w:jc w:val="center"/>
        <w:rPr>
          <w:rFonts w:ascii="宋体" w:hAnsi="宋体"/>
          <w:b/>
          <w:sz w:val="32"/>
          <w:szCs w:val="32"/>
        </w:rPr>
      </w:pPr>
      <w:r>
        <w:rPr>
          <w:rFonts w:hint="eastAsia" w:ascii="宋体" w:hAnsi="宋体"/>
          <w:b/>
          <w:sz w:val="32"/>
          <w:szCs w:val="32"/>
        </w:rPr>
        <w:t>中小企业声明函（工程、服务）</w:t>
      </w:r>
    </w:p>
    <w:p>
      <w:pPr>
        <w:spacing w:line="360" w:lineRule="auto"/>
        <w:ind w:firstLine="420" w:firstLineChars="200"/>
        <w:jc w:val="left"/>
        <w:rPr>
          <w:rFonts w:ascii="宋体" w:hAnsi="宋体"/>
          <w:bCs/>
          <w:szCs w:val="21"/>
        </w:rPr>
      </w:pPr>
      <w:r>
        <w:rPr>
          <w:rFonts w:hint="eastAsia" w:ascii="宋体" w:hAnsi="宋体"/>
          <w:bCs/>
          <w:szCs w:val="21"/>
        </w:rPr>
        <w:t>本公司郑重声明，根据《政府采购促进中小企业发展管理办法》（财库﹝2020﹞46 号）的规定，本公司参加</w:t>
      </w:r>
      <w:r>
        <w:rPr>
          <w:rFonts w:hint="eastAsia" w:ascii="宋体" w:hAnsi="宋体"/>
          <w:bCs/>
          <w:szCs w:val="21"/>
          <w:u w:val="single"/>
        </w:rPr>
        <w:t>（单位名称）</w:t>
      </w:r>
      <w:r>
        <w:rPr>
          <w:rFonts w:hint="eastAsia" w:ascii="宋体" w:hAnsi="宋体"/>
          <w:bCs/>
          <w:szCs w:val="21"/>
        </w:rPr>
        <w:t>的</w:t>
      </w:r>
      <w:r>
        <w:rPr>
          <w:rFonts w:hint="eastAsia" w:ascii="宋体" w:hAnsi="宋体"/>
          <w:bCs/>
          <w:szCs w:val="21"/>
          <w:u w:val="single"/>
        </w:rPr>
        <w:t>（项目名称）</w:t>
      </w:r>
      <w:r>
        <w:rPr>
          <w:rFonts w:hint="eastAsia" w:ascii="宋体" w:hAnsi="宋体"/>
          <w:bCs/>
          <w:szCs w:val="21"/>
        </w:rPr>
        <w:t>采购活动，工程的施工单位全部为符合政策要求的中小企业（或者：服务全部由符合政策要求的中小企业承接）。相关企业的具体情况如下：</w:t>
      </w:r>
    </w:p>
    <w:p>
      <w:pPr>
        <w:spacing w:line="360" w:lineRule="auto"/>
        <w:ind w:firstLine="420" w:firstLineChars="200"/>
        <w:jc w:val="left"/>
        <w:rPr>
          <w:rFonts w:ascii="宋体" w:hAnsi="宋体"/>
          <w:bCs/>
          <w:szCs w:val="21"/>
        </w:rPr>
      </w:pPr>
      <w:r>
        <w:rPr>
          <w:rFonts w:hint="eastAsia" w:ascii="宋体" w:hAnsi="宋体"/>
          <w:bCs/>
          <w:szCs w:val="21"/>
        </w:rPr>
        <w:t>1.</w:t>
      </w:r>
      <w:r>
        <w:rPr>
          <w:rFonts w:hint="eastAsia" w:ascii="宋体" w:hAnsi="宋体"/>
          <w:bCs/>
          <w:szCs w:val="21"/>
          <w:u w:val="single"/>
        </w:rPr>
        <w:t>（标的名称）</w:t>
      </w:r>
      <w:r>
        <w:rPr>
          <w:rFonts w:hint="eastAsia" w:ascii="宋体" w:hAnsi="宋体"/>
          <w:bCs/>
          <w:szCs w:val="21"/>
        </w:rPr>
        <w:t>，属于</w:t>
      </w:r>
      <w:r>
        <w:rPr>
          <w:rFonts w:hint="eastAsia" w:ascii="宋体" w:hAnsi="宋体"/>
          <w:bCs/>
          <w:szCs w:val="21"/>
          <w:u w:val="single"/>
        </w:rPr>
        <w:t>（采购文件中明确的所属行业）</w:t>
      </w:r>
      <w:r>
        <w:rPr>
          <w:rFonts w:hint="eastAsia" w:ascii="宋体" w:hAnsi="宋体"/>
          <w:bCs/>
          <w:szCs w:val="21"/>
        </w:rPr>
        <w:t>；承建（承接）企业为</w:t>
      </w:r>
      <w:r>
        <w:rPr>
          <w:rFonts w:hint="eastAsia" w:ascii="宋体" w:hAnsi="宋体"/>
          <w:bCs/>
          <w:szCs w:val="21"/>
          <w:u w:val="single"/>
        </w:rPr>
        <w:t>（企业名称）</w:t>
      </w:r>
      <w:r>
        <w:rPr>
          <w:rFonts w:hint="eastAsia" w:ascii="宋体" w:hAnsi="宋体"/>
          <w:bCs/>
          <w:szCs w:val="21"/>
        </w:rPr>
        <w:t>，从业人员人，营业收入为万元，资产总额为万元</w:t>
      </w:r>
      <w:r>
        <w:rPr>
          <w:rStyle w:val="49"/>
          <w:rFonts w:hint="eastAsia" w:ascii="宋体" w:hAnsi="宋体"/>
          <w:bCs/>
          <w:szCs w:val="21"/>
        </w:rPr>
        <w:footnoteReference w:id="1"/>
      </w:r>
      <w:r>
        <w:rPr>
          <w:rFonts w:hint="eastAsia" w:ascii="宋体" w:hAnsi="宋体"/>
          <w:bCs/>
          <w:szCs w:val="21"/>
        </w:rPr>
        <w:t>，属于</w:t>
      </w:r>
      <w:r>
        <w:rPr>
          <w:rFonts w:hint="eastAsia" w:ascii="宋体" w:hAnsi="宋体"/>
          <w:bCs/>
          <w:szCs w:val="21"/>
          <w:u w:val="single"/>
        </w:rPr>
        <w:t>（中型企业、小型企业、微型企业）</w:t>
      </w:r>
      <w:r>
        <w:rPr>
          <w:rFonts w:hint="eastAsia" w:ascii="宋体" w:hAnsi="宋体"/>
          <w:bCs/>
          <w:szCs w:val="21"/>
        </w:rPr>
        <w:t>；</w:t>
      </w:r>
    </w:p>
    <w:p>
      <w:pPr>
        <w:spacing w:line="360" w:lineRule="auto"/>
        <w:ind w:firstLine="420" w:firstLineChars="200"/>
        <w:jc w:val="left"/>
        <w:rPr>
          <w:rFonts w:ascii="宋体" w:hAnsi="宋体"/>
          <w:bCs/>
          <w:szCs w:val="21"/>
        </w:rPr>
      </w:pPr>
      <w:r>
        <w:rPr>
          <w:rFonts w:hint="eastAsia" w:ascii="宋体" w:hAnsi="宋体"/>
          <w:bCs/>
          <w:szCs w:val="21"/>
        </w:rPr>
        <w:t>2.</w:t>
      </w:r>
      <w:r>
        <w:rPr>
          <w:rFonts w:hint="eastAsia" w:ascii="宋体" w:hAnsi="宋体"/>
          <w:bCs/>
          <w:szCs w:val="21"/>
          <w:u w:val="single"/>
        </w:rPr>
        <w:t>（标的名称）</w:t>
      </w:r>
      <w:r>
        <w:rPr>
          <w:rFonts w:hint="eastAsia" w:ascii="宋体" w:hAnsi="宋体"/>
          <w:bCs/>
          <w:szCs w:val="21"/>
        </w:rPr>
        <w:t>，属于</w:t>
      </w:r>
      <w:r>
        <w:rPr>
          <w:rFonts w:hint="eastAsia" w:ascii="宋体" w:hAnsi="宋体"/>
          <w:bCs/>
          <w:szCs w:val="21"/>
          <w:u w:val="single"/>
        </w:rPr>
        <w:t>（采购文件中明确的所属行业）</w:t>
      </w:r>
      <w:r>
        <w:rPr>
          <w:rFonts w:hint="eastAsia" w:ascii="宋体" w:hAnsi="宋体"/>
          <w:bCs/>
          <w:szCs w:val="21"/>
        </w:rPr>
        <w:t>；承建（承接）企业为</w:t>
      </w:r>
      <w:r>
        <w:rPr>
          <w:rFonts w:hint="eastAsia" w:ascii="宋体" w:hAnsi="宋体"/>
          <w:bCs/>
          <w:szCs w:val="21"/>
          <w:u w:val="single"/>
        </w:rPr>
        <w:t>（企业名称）</w:t>
      </w:r>
      <w:r>
        <w:rPr>
          <w:rFonts w:hint="eastAsia" w:ascii="宋体" w:hAnsi="宋体"/>
          <w:bCs/>
          <w:szCs w:val="21"/>
        </w:rPr>
        <w:t>，从业人员人，营业收入为万元，资产总额为万元，属于</w:t>
      </w:r>
      <w:r>
        <w:rPr>
          <w:rFonts w:hint="eastAsia" w:ascii="宋体" w:hAnsi="宋体"/>
          <w:bCs/>
          <w:szCs w:val="21"/>
          <w:u w:val="single"/>
        </w:rPr>
        <w:t>（中型企业、小型企业、微型企业）</w:t>
      </w:r>
      <w:r>
        <w:rPr>
          <w:rFonts w:hint="eastAsia" w:ascii="宋体" w:hAnsi="宋体"/>
          <w:bCs/>
          <w:szCs w:val="21"/>
        </w:rPr>
        <w:t>；</w:t>
      </w:r>
    </w:p>
    <w:p>
      <w:pPr>
        <w:spacing w:line="360" w:lineRule="auto"/>
        <w:ind w:firstLine="420" w:firstLineChars="200"/>
        <w:jc w:val="left"/>
        <w:rPr>
          <w:rFonts w:ascii="宋体" w:hAnsi="宋体"/>
          <w:bCs/>
          <w:szCs w:val="21"/>
        </w:rPr>
      </w:pPr>
      <w:r>
        <w:rPr>
          <w:rFonts w:hint="eastAsia" w:ascii="宋体" w:hAnsi="宋体"/>
          <w:bCs/>
          <w:szCs w:val="21"/>
        </w:rPr>
        <w:t>……</w:t>
      </w:r>
    </w:p>
    <w:p>
      <w:pPr>
        <w:spacing w:line="360" w:lineRule="auto"/>
        <w:ind w:firstLine="420" w:firstLineChars="200"/>
        <w:jc w:val="left"/>
        <w:rPr>
          <w:rFonts w:ascii="宋体" w:hAnsi="宋体"/>
          <w:bCs/>
          <w:szCs w:val="21"/>
        </w:rPr>
      </w:pPr>
      <w:r>
        <w:rPr>
          <w:rFonts w:hint="eastAsia" w:ascii="宋体" w:hAnsi="宋体"/>
          <w:bCs/>
          <w:szCs w:val="21"/>
        </w:rPr>
        <w:t>以上企业，不属于大企业的分支机构，不存在控股股东为大企业的情形，也不存在与大企业的负责人为同一人的情形。</w:t>
      </w:r>
    </w:p>
    <w:p>
      <w:pPr>
        <w:spacing w:line="360" w:lineRule="auto"/>
        <w:ind w:firstLine="420" w:firstLineChars="200"/>
        <w:jc w:val="left"/>
        <w:rPr>
          <w:rFonts w:ascii="宋体" w:hAnsi="宋体"/>
          <w:bCs/>
          <w:szCs w:val="21"/>
        </w:rPr>
      </w:pPr>
      <w:r>
        <w:rPr>
          <w:rFonts w:hint="eastAsia" w:ascii="宋体" w:hAnsi="宋体"/>
          <w:bCs/>
          <w:szCs w:val="21"/>
        </w:rPr>
        <w:t>本企业对上述声明内容的真实性负责。如有虚假，将依法承担相应责任。</w:t>
      </w:r>
    </w:p>
    <w:p>
      <w:pPr>
        <w:spacing w:line="360" w:lineRule="auto"/>
        <w:jc w:val="left"/>
        <w:rPr>
          <w:rFonts w:ascii="宋体" w:hAnsi="宋体"/>
          <w:bCs/>
          <w:szCs w:val="21"/>
        </w:rPr>
      </w:pPr>
    </w:p>
    <w:p>
      <w:pPr>
        <w:spacing w:line="360" w:lineRule="auto"/>
        <w:ind w:firstLine="4200" w:firstLineChars="2000"/>
        <w:jc w:val="left"/>
        <w:rPr>
          <w:rFonts w:ascii="宋体" w:hAnsi="宋体"/>
          <w:bCs/>
          <w:szCs w:val="21"/>
        </w:rPr>
      </w:pPr>
      <w:r>
        <w:rPr>
          <w:rFonts w:hint="eastAsia" w:ascii="宋体" w:hAnsi="宋体"/>
          <w:bCs/>
          <w:szCs w:val="21"/>
        </w:rPr>
        <w:t>企业名称（盖章）：</w:t>
      </w:r>
    </w:p>
    <w:p>
      <w:pPr>
        <w:spacing w:line="360" w:lineRule="auto"/>
        <w:ind w:firstLine="4200" w:firstLineChars="2000"/>
        <w:jc w:val="left"/>
        <w:rPr>
          <w:rFonts w:ascii="宋体" w:hAnsi="宋体"/>
          <w:bCs/>
          <w:szCs w:val="21"/>
        </w:rPr>
      </w:pPr>
      <w:r>
        <w:rPr>
          <w:rFonts w:hint="eastAsia" w:ascii="宋体" w:hAnsi="宋体"/>
          <w:bCs/>
          <w:szCs w:val="21"/>
        </w:rPr>
        <w:t>日期：</w:t>
      </w: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ind w:left="-2" w:hanging="2"/>
        <w:jc w:val="center"/>
        <w:rPr>
          <w:rFonts w:ascii="宋体" w:hAnsi="宋体"/>
          <w:b/>
          <w:sz w:val="32"/>
          <w:szCs w:val="32"/>
          <w:lang w:val="en-GB"/>
        </w:rPr>
      </w:pPr>
      <w:r>
        <w:rPr>
          <w:rFonts w:hint="eastAsia" w:ascii="宋体" w:hAnsi="宋体"/>
          <w:b/>
          <w:sz w:val="32"/>
          <w:szCs w:val="32"/>
          <w:lang w:val="en-GB"/>
        </w:rPr>
        <w:t>残疾人福利性单位声明函</w:t>
      </w:r>
    </w:p>
    <w:p>
      <w:pPr>
        <w:spacing w:line="360" w:lineRule="auto"/>
        <w:ind w:firstLine="420" w:firstLineChars="200"/>
        <w:rPr>
          <w:rFonts w:ascii="宋体" w:hAnsi="宋体" w:cs="宋体"/>
          <w:szCs w:val="21"/>
        </w:rPr>
      </w:pPr>
      <w:r>
        <w:rPr>
          <w:rFonts w:hint="eastAsia" w:ascii="宋体" w:hAnsi="宋体" w:cs="宋体"/>
          <w:szCs w:val="21"/>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pPr>
        <w:spacing w:line="360" w:lineRule="auto"/>
        <w:ind w:firstLine="420" w:firstLineChars="200"/>
        <w:rPr>
          <w:rFonts w:ascii="宋体" w:hAnsi="宋体" w:cs="宋体"/>
          <w:szCs w:val="21"/>
        </w:rPr>
      </w:pPr>
    </w:p>
    <w:p>
      <w:pPr>
        <w:spacing w:line="360" w:lineRule="auto"/>
        <w:ind w:firstLine="2730" w:firstLineChars="1300"/>
        <w:jc w:val="left"/>
        <w:rPr>
          <w:rFonts w:ascii="宋体" w:hAnsi="宋体"/>
          <w:bCs/>
          <w:szCs w:val="21"/>
        </w:rPr>
      </w:pPr>
      <w:r>
        <w:rPr>
          <w:rFonts w:hint="eastAsia" w:ascii="宋体" w:hAnsi="宋体"/>
          <w:bCs/>
          <w:szCs w:val="21"/>
        </w:rPr>
        <w:t>单位名称（单位公章）：</w:t>
      </w:r>
    </w:p>
    <w:p>
      <w:pPr>
        <w:spacing w:line="360" w:lineRule="auto"/>
        <w:ind w:firstLine="4410" w:firstLineChars="2100"/>
        <w:rPr>
          <w:szCs w:val="21"/>
        </w:rPr>
      </w:pPr>
      <w:r>
        <w:rPr>
          <w:rFonts w:hint="eastAsia" w:ascii="宋体" w:hAnsi="宋体"/>
          <w:bCs/>
          <w:szCs w:val="21"/>
        </w:rPr>
        <w:t>日期：年月日</w:t>
      </w:r>
    </w:p>
    <w:p>
      <w:pPr>
        <w:spacing w:line="360" w:lineRule="auto"/>
        <w:rPr>
          <w:rFonts w:ascii="宋体" w:hAnsi="宋体" w:cs="宋体"/>
          <w:b/>
          <w:bCs/>
          <w:szCs w:val="21"/>
        </w:rPr>
      </w:pPr>
      <w:r>
        <w:rPr>
          <w:rFonts w:hint="eastAsia" w:ascii="宋体" w:hAnsi="宋体" w:cs="宋体"/>
          <w:b/>
          <w:bCs/>
          <w:szCs w:val="21"/>
        </w:rPr>
        <w:t>填表说明：</w:t>
      </w:r>
    </w:p>
    <w:p>
      <w:pPr>
        <w:spacing w:line="360" w:lineRule="auto"/>
        <w:rPr>
          <w:rFonts w:ascii="宋体" w:hAnsi="宋体" w:cs="宋体"/>
          <w:b/>
          <w:bCs/>
          <w:szCs w:val="21"/>
        </w:rPr>
      </w:pPr>
      <w:r>
        <w:rPr>
          <w:rFonts w:hint="eastAsia" w:ascii="宋体" w:hAnsi="宋体" w:cs="宋体"/>
          <w:b/>
          <w:bCs/>
          <w:szCs w:val="21"/>
        </w:rPr>
        <w:t>1、从业人员、营业收入、资产总额填报上一年度数据，无上一年度数据的新成立企业可不填报。</w:t>
      </w:r>
    </w:p>
    <w:p>
      <w:pPr>
        <w:spacing w:line="360" w:lineRule="auto"/>
        <w:rPr>
          <w:rFonts w:ascii="宋体" w:hAnsi="宋体" w:cs="宋体"/>
          <w:b/>
          <w:bCs/>
          <w:szCs w:val="21"/>
        </w:rPr>
      </w:pPr>
      <w:r>
        <w:rPr>
          <w:rFonts w:hint="eastAsia" w:ascii="宋体" w:hAnsi="宋体" w:cs="宋体"/>
          <w:b/>
          <w:bCs/>
          <w:szCs w:val="21"/>
        </w:rPr>
        <w:t>2、为了更加准确判定投标人是否为小微企业，请供应商根据工业和信息化部官方网站---中小企业规模类型自测小程序来辨别制造商企业规模类型，中小企业规模类型自测小程序链接网址为</w:t>
      </w:r>
    </w:p>
    <w:p>
      <w:pPr>
        <w:spacing w:line="360" w:lineRule="auto"/>
        <w:rPr>
          <w:rFonts w:ascii="宋体" w:hAnsi="宋体" w:cs="宋体"/>
          <w:b/>
          <w:bCs/>
          <w:szCs w:val="21"/>
        </w:rPr>
      </w:pPr>
      <w:r>
        <w:rPr>
          <w:rFonts w:hint="eastAsia" w:ascii="宋体" w:hAnsi="宋体" w:cs="宋体"/>
          <w:b/>
          <w:bCs/>
          <w:szCs w:val="21"/>
        </w:rPr>
        <w:t>http://202.106.120.146/baosong/appweb/orgScale.html</w:t>
      </w:r>
    </w:p>
    <w:p>
      <w:pPr>
        <w:spacing w:line="360" w:lineRule="auto"/>
        <w:rPr>
          <w:rFonts w:ascii="宋体" w:hAnsi="宋体" w:cs="宋体"/>
          <w:b/>
          <w:bCs/>
          <w:szCs w:val="21"/>
        </w:rPr>
      </w:pPr>
      <w:r>
        <w:rPr>
          <w:rFonts w:hint="eastAsia" w:ascii="宋体" w:hAnsi="宋体" w:cs="宋体"/>
          <w:b/>
          <w:bCs/>
          <w:szCs w:val="21"/>
        </w:rPr>
        <w:t>3、供应商未提供《中小企业声明函》的、《中小企业声明函》中内容应填写而未进行填写或未如实填写的，自行承担相应责任。</w:t>
      </w:r>
    </w:p>
    <w:p>
      <w:pPr>
        <w:numPr>
          <w:ilvl w:val="0"/>
          <w:numId w:val="9"/>
        </w:numPr>
        <w:spacing w:line="360" w:lineRule="auto"/>
        <w:rPr>
          <w:rFonts w:ascii="宋体" w:hAnsi="宋体" w:cs="宋体"/>
          <w:b/>
          <w:bCs/>
          <w:szCs w:val="21"/>
        </w:rPr>
      </w:pPr>
      <w:r>
        <w:rPr>
          <w:rFonts w:hint="eastAsia" w:ascii="宋体" w:hAnsi="宋体" w:cs="宋体"/>
          <w:b/>
          <w:bCs/>
          <w:szCs w:val="21"/>
        </w:rPr>
        <w:t>如国家对中小企业划型标准有新的规定的，从其规定。 </w:t>
      </w:r>
    </w:p>
    <w:p>
      <w:pPr>
        <w:spacing w:line="360" w:lineRule="auto"/>
        <w:rPr>
          <w:szCs w:val="21"/>
        </w:rPr>
      </w:pPr>
      <w:r>
        <w:rPr>
          <w:rFonts w:hint="eastAsia" w:ascii="宋体" w:hAnsi="宋体" w:cs="宋体"/>
          <w:b/>
          <w:bCs/>
          <w:szCs w:val="21"/>
        </w:rPr>
        <w:t> </w:t>
      </w:r>
    </w:p>
    <w:p>
      <w:pPr>
        <w:spacing w:line="360" w:lineRule="auto"/>
        <w:ind w:firstLine="420" w:firstLineChars="200"/>
        <w:rPr>
          <w:rFonts w:ascii="宋体" w:hAnsi="宋体" w:cs="宋体"/>
          <w:szCs w:val="21"/>
          <w:lang w:val="zh-CN"/>
        </w:rPr>
      </w:pPr>
    </w:p>
    <w:p>
      <w:pPr>
        <w:pStyle w:val="4"/>
        <w:rPr>
          <w:rFonts w:ascii="宋体" w:hAnsi="宋体" w:cs="宋体"/>
          <w:szCs w:val="32"/>
          <w:lang w:val="zh-CN"/>
        </w:rPr>
      </w:pPr>
    </w:p>
    <w:p>
      <w:pPr>
        <w:spacing w:line="360" w:lineRule="auto"/>
        <w:ind w:firstLine="480" w:firstLineChars="200"/>
        <w:rPr>
          <w:rFonts w:ascii="宋体" w:hAnsi="宋体" w:cs="宋体"/>
          <w:sz w:val="24"/>
          <w:szCs w:val="32"/>
          <w:lang w:val="zh-CN"/>
        </w:rPr>
      </w:pPr>
    </w:p>
    <w:p>
      <w:pPr>
        <w:spacing w:line="360" w:lineRule="auto"/>
        <w:ind w:firstLine="480" w:firstLineChars="200"/>
        <w:rPr>
          <w:rFonts w:ascii="宋体" w:hAnsi="宋体" w:cs="宋体"/>
          <w:sz w:val="24"/>
          <w:szCs w:val="32"/>
          <w:lang w:val="zh-CN"/>
        </w:rPr>
      </w:pPr>
    </w:p>
    <w:p>
      <w:pPr>
        <w:spacing w:line="360" w:lineRule="auto"/>
        <w:ind w:firstLine="480" w:firstLineChars="200"/>
        <w:rPr>
          <w:rFonts w:ascii="宋体" w:hAnsi="宋体" w:cs="宋体"/>
          <w:sz w:val="24"/>
          <w:szCs w:val="32"/>
          <w:lang w:val="zh-CN"/>
        </w:rPr>
      </w:pPr>
    </w:p>
    <w:p>
      <w:pPr>
        <w:pStyle w:val="4"/>
        <w:rPr>
          <w:lang w:val="zh-CN"/>
        </w:rPr>
      </w:pPr>
    </w:p>
    <w:p>
      <w:pPr>
        <w:spacing w:line="360" w:lineRule="auto"/>
        <w:ind w:firstLine="480" w:firstLineChars="200"/>
        <w:rPr>
          <w:rFonts w:ascii="宋体" w:hAnsi="宋体" w:cs="宋体"/>
          <w:sz w:val="24"/>
          <w:szCs w:val="32"/>
          <w:lang w:val="zh-CN"/>
        </w:rPr>
      </w:pPr>
    </w:p>
    <w:p>
      <w:pPr>
        <w:pStyle w:val="4"/>
        <w:rPr>
          <w:lang w:val="zh-CN"/>
        </w:rPr>
      </w:pPr>
    </w:p>
    <w:p>
      <w:pPr>
        <w:pStyle w:val="78"/>
        <w:snapToGrid w:val="0"/>
        <w:spacing w:line="360" w:lineRule="auto"/>
        <w:rPr>
          <w:rFonts w:ascii="宋体" w:hAnsi="宋体" w:cs="宋体"/>
          <w:b/>
          <w:sz w:val="28"/>
          <w:szCs w:val="28"/>
        </w:rPr>
      </w:pPr>
      <w:r>
        <w:rPr>
          <w:rFonts w:hint="eastAsia" w:ascii="宋体" w:hAnsi="宋体" w:cs="宋体"/>
          <w:b/>
          <w:sz w:val="28"/>
          <w:szCs w:val="28"/>
        </w:rPr>
        <w:t>附件6</w:t>
      </w:r>
    </w:p>
    <w:p>
      <w:pPr>
        <w:pStyle w:val="103"/>
        <w:snapToGrid w:val="0"/>
        <w:spacing w:line="360" w:lineRule="auto"/>
        <w:ind w:firstLine="482" w:firstLineChars="200"/>
        <w:rPr>
          <w:rFonts w:hAnsi="宋体" w:eastAsia="宋体" w:cs="宋体"/>
          <w:b/>
          <w:sz w:val="24"/>
          <w:szCs w:val="24"/>
          <w:lang w:val="en-GB"/>
        </w:rPr>
      </w:pPr>
      <w:r>
        <w:rPr>
          <w:rFonts w:hint="eastAsia" w:hAnsi="宋体" w:eastAsia="宋体" w:cs="宋体"/>
          <w:b/>
          <w:sz w:val="24"/>
          <w:szCs w:val="24"/>
        </w:rPr>
        <w:t>(参加本项目采购活动的供应商须填写“政府采购活动现场确认声明书”，并在开标后30分钟内将扫描件发送至代理机构邮箱752306200@qq.com)</w:t>
      </w:r>
    </w:p>
    <w:p>
      <w:pPr>
        <w:snapToGrid w:val="0"/>
        <w:spacing w:line="360" w:lineRule="auto"/>
        <w:jc w:val="center"/>
        <w:rPr>
          <w:rFonts w:ascii="宋体" w:hAnsi="宋体" w:cs="宋体"/>
          <w:b/>
          <w:sz w:val="24"/>
        </w:rPr>
      </w:pPr>
      <w:r>
        <w:rPr>
          <w:rFonts w:hint="eastAsia" w:ascii="宋体" w:hAnsi="宋体" w:cs="宋体"/>
          <w:b/>
          <w:sz w:val="24"/>
        </w:rPr>
        <w:t>政府采购活动现场确认声明书</w:t>
      </w:r>
    </w:p>
    <w:p>
      <w:pPr>
        <w:pStyle w:val="103"/>
        <w:tabs>
          <w:tab w:val="left" w:pos="8231"/>
        </w:tabs>
        <w:snapToGrid w:val="0"/>
        <w:spacing w:line="360" w:lineRule="auto"/>
        <w:rPr>
          <w:rFonts w:hAnsi="宋体" w:eastAsia="宋体" w:cs="宋体"/>
          <w:b/>
          <w:sz w:val="21"/>
          <w:szCs w:val="21"/>
        </w:rPr>
      </w:pPr>
      <w:r>
        <w:rPr>
          <w:rFonts w:hint="eastAsia" w:hAnsi="宋体" w:eastAsia="宋体" w:cs="宋体"/>
          <w:kern w:val="0"/>
          <w:sz w:val="21"/>
          <w:szCs w:val="21"/>
          <w:u w:val="single"/>
        </w:rPr>
        <w:t>浙江建通工程建设管理有限公司</w:t>
      </w:r>
      <w:r>
        <w:rPr>
          <w:rFonts w:hint="eastAsia" w:hAnsi="宋体" w:eastAsia="宋体" w:cs="宋体"/>
          <w:kern w:val="0"/>
          <w:sz w:val="21"/>
          <w:szCs w:val="21"/>
        </w:rPr>
        <w:t>（采购组织机构名称）：</w:t>
      </w:r>
      <w:r>
        <w:rPr>
          <w:rFonts w:hint="eastAsia" w:hAnsi="宋体" w:eastAsia="宋体" w:cs="宋体"/>
          <w:kern w:val="0"/>
          <w:sz w:val="21"/>
          <w:szCs w:val="21"/>
        </w:rPr>
        <w:tab/>
      </w:r>
    </w:p>
    <w:p>
      <w:pPr>
        <w:pStyle w:val="103"/>
        <w:snapToGrid w:val="0"/>
        <w:spacing w:line="360" w:lineRule="auto"/>
        <w:ind w:firstLine="444" w:firstLineChars="200"/>
        <w:rPr>
          <w:rFonts w:hAnsi="宋体" w:eastAsia="宋体" w:cs="宋体"/>
          <w:spacing w:val="6"/>
          <w:sz w:val="21"/>
          <w:szCs w:val="21"/>
        </w:rPr>
      </w:pPr>
      <w:r>
        <w:rPr>
          <w:rFonts w:hint="eastAsia" w:hAnsi="宋体" w:eastAsia="宋体" w:cs="宋体"/>
          <w:spacing w:val="6"/>
          <w:sz w:val="21"/>
          <w:szCs w:val="21"/>
        </w:rPr>
        <w:t>本人经由</w:t>
      </w:r>
      <w:r>
        <w:rPr>
          <w:rFonts w:hint="eastAsia" w:hAnsi="宋体" w:eastAsia="宋体" w:cs="宋体"/>
          <w:spacing w:val="6"/>
          <w:sz w:val="21"/>
          <w:szCs w:val="21"/>
          <w:u w:val="single"/>
        </w:rPr>
        <w:t>（单位）</w:t>
      </w:r>
      <w:r>
        <w:rPr>
          <w:rFonts w:hint="eastAsia" w:hAnsi="宋体" w:eastAsia="宋体" w:cs="宋体"/>
          <w:spacing w:val="6"/>
          <w:sz w:val="21"/>
          <w:szCs w:val="21"/>
        </w:rPr>
        <w:t>负责人</w:t>
      </w:r>
      <w:r>
        <w:rPr>
          <w:rFonts w:hint="eastAsia" w:hAnsi="宋体" w:eastAsia="宋体" w:cs="宋体"/>
          <w:spacing w:val="6"/>
          <w:sz w:val="21"/>
          <w:szCs w:val="21"/>
          <w:u w:val="single"/>
        </w:rPr>
        <w:t>（姓名）</w:t>
      </w:r>
      <w:r>
        <w:rPr>
          <w:rFonts w:hint="eastAsia" w:hAnsi="宋体" w:eastAsia="宋体" w:cs="宋体"/>
          <w:spacing w:val="6"/>
          <w:sz w:val="21"/>
          <w:szCs w:val="21"/>
        </w:rPr>
        <w:t>合法授权参加（编号：）政府采购活动，经与本单位法人代表（负责人）联系确认，现就有关公平竞争事项郑重声明如下：</w:t>
      </w:r>
    </w:p>
    <w:p>
      <w:pPr>
        <w:pStyle w:val="104"/>
        <w:widowControl/>
        <w:numPr>
          <w:ilvl w:val="0"/>
          <w:numId w:val="10"/>
        </w:numPr>
        <w:snapToGrid w:val="0"/>
        <w:spacing w:line="360" w:lineRule="auto"/>
        <w:ind w:firstLine="396" w:firstLineChars="189"/>
        <w:rPr>
          <w:rFonts w:hint="default" w:ascii="宋体" w:hAnsi="宋体" w:cs="宋体"/>
          <w:kern w:val="0"/>
          <w:szCs w:val="21"/>
        </w:rPr>
      </w:pPr>
      <w:r>
        <w:rPr>
          <w:rFonts w:ascii="宋体" w:hAnsi="宋体" w:cs="宋体"/>
          <w:kern w:val="0"/>
          <w:szCs w:val="21"/>
        </w:rPr>
        <w:t>本单位与采购人之间□不存在利害关系□存在下列利害关系：</w:t>
      </w:r>
    </w:p>
    <w:p>
      <w:pPr>
        <w:pStyle w:val="104"/>
        <w:widowControl/>
        <w:snapToGrid w:val="0"/>
        <w:spacing w:line="360" w:lineRule="auto"/>
        <w:rPr>
          <w:rFonts w:hint="default" w:ascii="宋体" w:hAnsi="宋体" w:cs="宋体"/>
          <w:kern w:val="0"/>
          <w:szCs w:val="21"/>
        </w:rPr>
      </w:pPr>
      <w:r>
        <w:rPr>
          <w:rFonts w:ascii="宋体" w:hAnsi="宋体" w:cs="宋体"/>
          <w:kern w:val="0"/>
          <w:szCs w:val="21"/>
        </w:rPr>
        <w:t xml:space="preserve">  A.投资关系    B.行政隶属关系    C.业务指导关系</w:t>
      </w:r>
    </w:p>
    <w:p>
      <w:pPr>
        <w:pStyle w:val="104"/>
        <w:widowControl/>
        <w:snapToGrid w:val="0"/>
        <w:spacing w:line="360" w:lineRule="auto"/>
        <w:rPr>
          <w:rFonts w:hint="default"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（如有，请如实说明）</w:t>
      </w:r>
      <w:r>
        <w:rPr>
          <w:rFonts w:ascii="宋体" w:hAnsi="宋体" w:cs="宋体"/>
          <w:kern w:val="0"/>
          <w:szCs w:val="21"/>
        </w:rPr>
        <w:t>。</w:t>
      </w:r>
    </w:p>
    <w:p>
      <w:pPr>
        <w:pStyle w:val="104"/>
        <w:widowControl/>
        <w:snapToGrid w:val="0"/>
        <w:spacing w:line="360" w:lineRule="auto"/>
        <w:rPr>
          <w:rFonts w:hint="default" w:ascii="宋体" w:hAnsi="宋体" w:cs="宋体"/>
          <w:kern w:val="0"/>
          <w:szCs w:val="21"/>
        </w:rPr>
      </w:pPr>
      <w:r>
        <w:rPr>
          <w:rFonts w:ascii="宋体" w:hAnsi="宋体" w:cs="宋体"/>
          <w:spacing w:val="6"/>
          <w:szCs w:val="21"/>
        </w:rPr>
        <w:t>二、</w:t>
      </w:r>
      <w:r>
        <w:rPr>
          <w:rFonts w:ascii="宋体" w:hAnsi="宋体" w:cs="宋体"/>
          <w:kern w:val="0"/>
          <w:szCs w:val="21"/>
        </w:rPr>
        <w:t>现已清楚知道参加本项目采购活动的其他所有供应商名称，本单位□与其他所有供应商之间均不存在利害关系□与</w:t>
      </w:r>
      <w:r>
        <w:rPr>
          <w:rFonts w:ascii="宋体" w:hAnsi="宋体" w:cs="宋体"/>
          <w:kern w:val="0"/>
          <w:szCs w:val="21"/>
          <w:u w:val="single"/>
        </w:rPr>
        <w:t>（供应商名称）</w:t>
      </w:r>
      <w:r>
        <w:rPr>
          <w:rFonts w:ascii="宋体" w:hAnsi="宋体" w:cs="宋体"/>
          <w:kern w:val="0"/>
          <w:szCs w:val="21"/>
        </w:rPr>
        <w:t>之间存在下列利害关系：</w:t>
      </w:r>
    </w:p>
    <w:p>
      <w:pPr>
        <w:pStyle w:val="103"/>
        <w:snapToGrid w:val="0"/>
        <w:spacing w:line="360" w:lineRule="auto"/>
        <w:rPr>
          <w:rFonts w:hAnsi="宋体" w:eastAsia="宋体" w:cs="宋体"/>
          <w:kern w:val="0"/>
          <w:sz w:val="21"/>
          <w:szCs w:val="21"/>
        </w:rPr>
      </w:pPr>
      <w:r>
        <w:rPr>
          <w:rFonts w:hint="eastAsia" w:hAnsi="宋体" w:eastAsia="宋体" w:cs="宋体"/>
          <w:kern w:val="0"/>
          <w:sz w:val="21"/>
          <w:szCs w:val="21"/>
        </w:rPr>
        <w:t xml:space="preserve">  A.法定代表人或负责人或实际控制人是同一人</w:t>
      </w:r>
    </w:p>
    <w:p>
      <w:pPr>
        <w:pStyle w:val="103"/>
        <w:snapToGrid w:val="0"/>
        <w:spacing w:line="360" w:lineRule="auto"/>
        <w:rPr>
          <w:rFonts w:hAnsi="宋体" w:eastAsia="宋体" w:cs="宋体"/>
          <w:spacing w:val="6"/>
          <w:sz w:val="21"/>
          <w:szCs w:val="21"/>
        </w:rPr>
      </w:pPr>
      <w:r>
        <w:rPr>
          <w:rFonts w:hint="eastAsia" w:hAnsi="宋体" w:eastAsia="宋体" w:cs="宋体"/>
          <w:kern w:val="0"/>
          <w:sz w:val="21"/>
          <w:szCs w:val="21"/>
        </w:rPr>
        <w:t xml:space="preserve">  B.法定代表人或负责人或实际控制人是夫妻关系</w:t>
      </w:r>
    </w:p>
    <w:p>
      <w:pPr>
        <w:pStyle w:val="103"/>
        <w:snapToGrid w:val="0"/>
        <w:spacing w:line="360" w:lineRule="auto"/>
        <w:rPr>
          <w:rFonts w:hAnsi="宋体" w:eastAsia="宋体" w:cs="宋体"/>
          <w:spacing w:val="6"/>
          <w:sz w:val="21"/>
          <w:szCs w:val="21"/>
        </w:rPr>
      </w:pPr>
      <w:r>
        <w:rPr>
          <w:rFonts w:hint="eastAsia" w:hAnsi="宋体" w:eastAsia="宋体" w:cs="宋体"/>
          <w:kern w:val="0"/>
          <w:sz w:val="21"/>
          <w:szCs w:val="21"/>
        </w:rPr>
        <w:t xml:space="preserve">  C.法定代表人或负责人或实际控制人是直系血亲关系</w:t>
      </w:r>
    </w:p>
    <w:p>
      <w:pPr>
        <w:pStyle w:val="103"/>
        <w:snapToGrid w:val="0"/>
        <w:spacing w:line="360" w:lineRule="auto"/>
        <w:rPr>
          <w:rFonts w:hAnsi="宋体" w:eastAsia="宋体" w:cs="宋体"/>
          <w:spacing w:val="6"/>
          <w:sz w:val="21"/>
          <w:szCs w:val="21"/>
        </w:rPr>
      </w:pPr>
      <w:r>
        <w:rPr>
          <w:rFonts w:hint="eastAsia" w:hAnsi="宋体" w:eastAsia="宋体" w:cs="宋体"/>
          <w:kern w:val="0"/>
          <w:sz w:val="21"/>
          <w:szCs w:val="21"/>
        </w:rPr>
        <w:t xml:space="preserve">  D.法定代表人或负责人或实际控制人存在三代以内旁系血亲关系</w:t>
      </w:r>
    </w:p>
    <w:p>
      <w:pPr>
        <w:pStyle w:val="103"/>
        <w:snapToGrid w:val="0"/>
        <w:spacing w:line="360" w:lineRule="auto"/>
        <w:rPr>
          <w:rFonts w:hAnsi="宋体" w:eastAsia="宋体" w:cs="宋体"/>
          <w:kern w:val="0"/>
          <w:sz w:val="21"/>
          <w:szCs w:val="21"/>
        </w:rPr>
      </w:pPr>
      <w:r>
        <w:rPr>
          <w:rFonts w:hint="eastAsia" w:hAnsi="宋体" w:eastAsia="宋体" w:cs="宋体"/>
          <w:kern w:val="0"/>
          <w:sz w:val="21"/>
          <w:szCs w:val="21"/>
        </w:rPr>
        <w:t xml:space="preserve">  E.法定代表人或负责人或实际控制人存在近姻亲关系</w:t>
      </w:r>
    </w:p>
    <w:p>
      <w:pPr>
        <w:pStyle w:val="103"/>
        <w:snapToGrid w:val="0"/>
        <w:spacing w:line="360" w:lineRule="auto"/>
        <w:rPr>
          <w:rFonts w:hAnsi="宋体" w:eastAsia="宋体" w:cs="宋体"/>
          <w:kern w:val="0"/>
          <w:sz w:val="21"/>
          <w:szCs w:val="21"/>
        </w:rPr>
      </w:pPr>
      <w:r>
        <w:rPr>
          <w:rFonts w:hint="eastAsia" w:hAnsi="宋体" w:eastAsia="宋体" w:cs="宋体"/>
          <w:kern w:val="0"/>
          <w:sz w:val="21"/>
          <w:szCs w:val="21"/>
        </w:rPr>
        <w:t xml:space="preserve">  F.法定代表人或负责人或实际控制人存在股份控制或实际控制关系</w:t>
      </w:r>
    </w:p>
    <w:p>
      <w:pPr>
        <w:pStyle w:val="103"/>
        <w:snapToGrid w:val="0"/>
        <w:spacing w:line="360" w:lineRule="auto"/>
        <w:rPr>
          <w:rFonts w:hAnsi="宋体" w:eastAsia="宋体" w:cs="宋体"/>
          <w:kern w:val="0"/>
          <w:sz w:val="21"/>
          <w:szCs w:val="21"/>
        </w:rPr>
      </w:pPr>
      <w:bookmarkStart w:id="92" w:name="_Toc20814"/>
      <w:r>
        <w:rPr>
          <w:rFonts w:hint="eastAsia" w:hAnsi="宋体" w:eastAsia="宋体" w:cs="宋体"/>
          <w:kern w:val="0"/>
          <w:sz w:val="21"/>
          <w:szCs w:val="21"/>
        </w:rPr>
        <w:t>G.存在共同直接或间接投资设立子公司、联营企业和合营企业情况</w:t>
      </w:r>
      <w:bookmarkEnd w:id="92"/>
    </w:p>
    <w:p>
      <w:pPr>
        <w:pStyle w:val="103"/>
        <w:snapToGrid w:val="0"/>
        <w:spacing w:line="360" w:lineRule="auto"/>
        <w:rPr>
          <w:rFonts w:hAnsi="宋体" w:eastAsia="宋体" w:cs="宋体"/>
          <w:sz w:val="21"/>
          <w:szCs w:val="21"/>
        </w:rPr>
      </w:pPr>
      <w:r>
        <w:rPr>
          <w:rFonts w:hint="eastAsia" w:hAnsi="宋体" w:eastAsia="宋体" w:cs="宋体"/>
          <w:kern w:val="0"/>
          <w:sz w:val="21"/>
          <w:szCs w:val="21"/>
        </w:rPr>
        <w:t xml:space="preserve">  H.存在分级代理或代销关系、同一生产制造商关系、</w:t>
      </w:r>
      <w:r>
        <w:rPr>
          <w:rFonts w:hint="eastAsia" w:hAnsi="宋体" w:eastAsia="宋体" w:cs="宋体"/>
          <w:sz w:val="21"/>
          <w:szCs w:val="21"/>
        </w:rPr>
        <w:t>管理关系、重要业务（占主营业务收入50%以上）或重要财务往来关系（如融资）等其他实质性控制关系</w:t>
      </w:r>
    </w:p>
    <w:p>
      <w:pPr>
        <w:pStyle w:val="103"/>
        <w:snapToGrid w:val="0"/>
        <w:spacing w:line="360" w:lineRule="auto"/>
        <w:rPr>
          <w:rFonts w:hAnsi="宋体" w:eastAsia="宋体" w:cs="宋体"/>
          <w:spacing w:val="6"/>
          <w:sz w:val="21"/>
          <w:szCs w:val="21"/>
        </w:rPr>
      </w:pPr>
      <w:r>
        <w:rPr>
          <w:rFonts w:hint="eastAsia" w:hAnsi="宋体" w:eastAsia="宋体" w:cs="宋体"/>
          <w:sz w:val="21"/>
          <w:szCs w:val="21"/>
        </w:rPr>
        <w:t xml:space="preserve">    I</w:t>
      </w:r>
      <w:r>
        <w:rPr>
          <w:rFonts w:hint="eastAsia" w:hAnsi="宋体" w:eastAsia="宋体" w:cs="宋体"/>
          <w:kern w:val="0"/>
          <w:sz w:val="21"/>
          <w:szCs w:val="21"/>
        </w:rPr>
        <w:t>.</w:t>
      </w:r>
      <w:r>
        <w:rPr>
          <w:rFonts w:hint="eastAsia" w:hAnsi="宋体" w:eastAsia="宋体" w:cs="宋体"/>
          <w:sz w:val="21"/>
          <w:szCs w:val="21"/>
        </w:rPr>
        <w:t>其他利害关系情况</w:t>
      </w:r>
      <w:r>
        <w:rPr>
          <w:rFonts w:hint="eastAsia" w:hAnsi="宋体" w:eastAsia="宋体" w:cs="宋体"/>
          <w:kern w:val="0"/>
          <w:sz w:val="21"/>
          <w:szCs w:val="21"/>
        </w:rPr>
        <w:t>。</w:t>
      </w:r>
    </w:p>
    <w:p>
      <w:pPr>
        <w:pStyle w:val="104"/>
        <w:widowControl/>
        <w:numPr>
          <w:ilvl w:val="0"/>
          <w:numId w:val="11"/>
        </w:numPr>
        <w:snapToGrid w:val="0"/>
        <w:spacing w:line="360" w:lineRule="auto"/>
        <w:ind w:firstLine="396" w:firstLineChars="189"/>
        <w:rPr>
          <w:rFonts w:hint="default" w:ascii="宋体" w:hAnsi="宋体" w:cs="宋体"/>
          <w:kern w:val="0"/>
          <w:szCs w:val="21"/>
        </w:rPr>
      </w:pPr>
      <w:r>
        <w:rPr>
          <w:rFonts w:ascii="宋体" w:hAnsi="宋体" w:cs="宋体"/>
          <w:szCs w:val="21"/>
        </w:rPr>
        <w:t>现已清楚知道并</w:t>
      </w:r>
      <w:r>
        <w:rPr>
          <w:rFonts w:ascii="宋体" w:hAnsi="宋体" w:cs="宋体"/>
          <w:kern w:val="0"/>
          <w:szCs w:val="21"/>
        </w:rPr>
        <w:t>严格遵守政府采购法律法规和现场纪律。</w:t>
      </w:r>
    </w:p>
    <w:p>
      <w:pPr>
        <w:pStyle w:val="104"/>
        <w:widowControl/>
        <w:numPr>
          <w:ilvl w:val="0"/>
          <w:numId w:val="11"/>
        </w:numPr>
        <w:snapToGrid w:val="0"/>
        <w:spacing w:line="360" w:lineRule="auto"/>
        <w:ind w:firstLine="396" w:firstLineChars="189"/>
        <w:rPr>
          <w:rFonts w:hint="default" w:ascii="宋体" w:hAnsi="宋体" w:cs="宋体"/>
          <w:kern w:val="0"/>
          <w:szCs w:val="21"/>
        </w:rPr>
      </w:pPr>
      <w:r>
        <w:rPr>
          <w:rFonts w:ascii="宋体" w:hAnsi="宋体" w:cs="宋体"/>
          <w:kern w:val="0"/>
          <w:szCs w:val="21"/>
        </w:rPr>
        <w:t>我发现供应商之间存在或可能存在上述第二条第项利害关系。</w:t>
      </w:r>
    </w:p>
    <w:p>
      <w:pPr>
        <w:pStyle w:val="103"/>
        <w:snapToGrid w:val="0"/>
        <w:spacing w:line="360" w:lineRule="auto"/>
        <w:ind w:firstLine="3990" w:firstLineChars="1900"/>
        <w:rPr>
          <w:rFonts w:hAnsi="宋体" w:eastAsia="宋体" w:cs="宋体"/>
          <w:sz w:val="21"/>
          <w:szCs w:val="21"/>
        </w:rPr>
      </w:pPr>
      <w:r>
        <w:rPr>
          <w:rFonts w:hint="eastAsia" w:hAnsi="宋体" w:eastAsia="宋体" w:cs="宋体"/>
          <w:sz w:val="21"/>
          <w:szCs w:val="21"/>
        </w:rPr>
        <w:t>（供应商代表签名）</w:t>
      </w:r>
    </w:p>
    <w:p>
      <w:pPr>
        <w:ind w:firstLine="4410" w:firstLineChars="2100"/>
        <w:rPr>
          <w:rFonts w:ascii="宋体" w:hAnsi="宋体" w:cs="宋体"/>
          <w:szCs w:val="21"/>
        </w:rPr>
      </w:pPr>
      <w:r>
        <w:rPr>
          <w:rFonts w:hint="eastAsia" w:ascii="宋体" w:hAnsi="宋体" w:cs="宋体"/>
          <w:szCs w:val="21"/>
        </w:rPr>
        <w:t>年月日</w:t>
      </w:r>
    </w:p>
    <w:p>
      <w:pPr>
        <w:pStyle w:val="50"/>
        <w:ind w:firstLine="480"/>
        <w:rPr>
          <w:rFonts w:ascii="宋体" w:hAnsi="宋体" w:cs="宋体"/>
          <w:sz w:val="24"/>
        </w:rPr>
      </w:pPr>
    </w:p>
    <w:p>
      <w:pPr>
        <w:pStyle w:val="50"/>
        <w:ind w:firstLine="480"/>
        <w:rPr>
          <w:rFonts w:ascii="宋体" w:hAnsi="宋体" w:cs="宋体"/>
          <w:sz w:val="24"/>
        </w:rPr>
      </w:pPr>
    </w:p>
    <w:p>
      <w:pPr>
        <w:pStyle w:val="50"/>
        <w:ind w:firstLine="480"/>
        <w:rPr>
          <w:rFonts w:ascii="宋体" w:hAnsi="宋体" w:cs="宋体"/>
          <w:sz w:val="24"/>
        </w:rPr>
      </w:pPr>
    </w:p>
    <w:p>
      <w:pPr>
        <w:widowControl/>
        <w:jc w:val="left"/>
        <w:rPr>
          <w:rFonts w:ascii="宋体" w:hAnsi="宋体" w:cs="宋体"/>
          <w:b/>
          <w:bCs/>
          <w:sz w:val="28"/>
          <w:szCs w:val="36"/>
          <w:lang w:val="zh-CN"/>
        </w:rPr>
      </w:pPr>
      <w:r>
        <w:rPr>
          <w:rFonts w:ascii="宋体" w:hAnsi="宋体" w:cs="宋体"/>
          <w:b/>
          <w:bCs/>
          <w:sz w:val="28"/>
          <w:szCs w:val="36"/>
          <w:lang w:val="zh-CN"/>
        </w:rPr>
        <w:br w:type="page"/>
      </w:r>
    </w:p>
    <w:p>
      <w:pPr>
        <w:spacing w:line="360" w:lineRule="auto"/>
        <w:jc w:val="center"/>
        <w:rPr>
          <w:rFonts w:ascii="宋体" w:hAnsi="宋体" w:cs="宋体"/>
          <w:b/>
          <w:bCs/>
          <w:sz w:val="28"/>
          <w:szCs w:val="36"/>
        </w:rPr>
      </w:pPr>
      <w:r>
        <w:rPr>
          <w:rFonts w:hint="eastAsia" w:ascii="宋体" w:hAnsi="宋体" w:cs="宋体"/>
          <w:b/>
          <w:bCs/>
          <w:sz w:val="28"/>
          <w:szCs w:val="36"/>
          <w:lang w:val="zh-CN"/>
        </w:rPr>
        <w:t>第二部分商务与技术文件</w:t>
      </w:r>
      <w:r>
        <w:rPr>
          <w:rFonts w:hint="eastAsia" w:ascii="宋体" w:hAnsi="宋体" w:cs="宋体"/>
          <w:b/>
          <w:bCs/>
          <w:sz w:val="28"/>
          <w:szCs w:val="36"/>
        </w:rPr>
        <w:t>目录</w:t>
      </w:r>
    </w:p>
    <w:p>
      <w:pPr>
        <w:spacing w:line="360" w:lineRule="auto"/>
        <w:ind w:firstLine="420" w:firstLineChars="200"/>
        <w:rPr>
          <w:rFonts w:ascii="宋体" w:hAnsi="宋体" w:cs="宋体"/>
          <w:szCs w:val="21"/>
        </w:rPr>
      </w:pPr>
      <w:r>
        <w:rPr>
          <w:rFonts w:hint="eastAsia" w:ascii="宋体" w:hAnsi="宋体" w:cs="宋体"/>
          <w:szCs w:val="21"/>
        </w:rPr>
        <w:t>1、投标人情况介绍（附件7）；</w:t>
      </w:r>
    </w:p>
    <w:p>
      <w:pPr>
        <w:spacing w:line="360" w:lineRule="auto"/>
        <w:ind w:firstLine="420" w:firstLineChars="200"/>
        <w:rPr>
          <w:rFonts w:ascii="宋体" w:hAnsi="宋体" w:cs="宋体"/>
          <w:szCs w:val="21"/>
        </w:rPr>
      </w:pPr>
      <w:r>
        <w:rPr>
          <w:rFonts w:hint="eastAsia" w:ascii="宋体" w:hAnsi="宋体" w:cs="宋体"/>
          <w:szCs w:val="21"/>
        </w:rPr>
        <w:t>2、投标方案描述；</w:t>
      </w:r>
    </w:p>
    <w:p>
      <w:pPr>
        <w:spacing w:line="360" w:lineRule="auto"/>
        <w:ind w:firstLine="420" w:firstLineChars="200"/>
        <w:rPr>
          <w:rFonts w:ascii="宋体" w:hAnsi="宋体" w:cs="宋体"/>
          <w:szCs w:val="21"/>
        </w:rPr>
      </w:pPr>
      <w:r>
        <w:rPr>
          <w:rFonts w:hint="eastAsia" w:ascii="宋体" w:hAnsi="宋体" w:cs="宋体"/>
          <w:szCs w:val="21"/>
        </w:rPr>
        <w:t>4、项目实施人员一览表（附件8）；</w:t>
      </w:r>
    </w:p>
    <w:p>
      <w:pPr>
        <w:spacing w:line="360" w:lineRule="auto"/>
        <w:ind w:firstLine="420" w:firstLineChars="200"/>
        <w:rPr>
          <w:rFonts w:ascii="宋体" w:hAnsi="宋体" w:cs="宋体"/>
          <w:szCs w:val="21"/>
        </w:rPr>
      </w:pPr>
      <w:r>
        <w:rPr>
          <w:rFonts w:hint="eastAsia" w:ascii="宋体" w:hAnsi="宋体" w:cs="宋体"/>
          <w:szCs w:val="21"/>
        </w:rPr>
        <w:t>5、项目负责人资格情况表(附件9)；</w:t>
      </w:r>
    </w:p>
    <w:p>
      <w:pPr>
        <w:spacing w:line="360" w:lineRule="auto"/>
        <w:ind w:firstLine="420" w:firstLineChars="200"/>
        <w:rPr>
          <w:rFonts w:ascii="宋体" w:hAnsi="宋体" w:cs="宋体"/>
          <w:szCs w:val="21"/>
        </w:rPr>
      </w:pPr>
      <w:r>
        <w:rPr>
          <w:rFonts w:hint="eastAsia" w:ascii="宋体" w:hAnsi="宋体" w:cs="宋体"/>
          <w:szCs w:val="21"/>
        </w:rPr>
        <w:t>6、投标产品描述及相关资料；</w:t>
      </w:r>
    </w:p>
    <w:p>
      <w:pPr>
        <w:spacing w:line="360" w:lineRule="auto"/>
        <w:ind w:firstLine="420" w:firstLineChars="200"/>
        <w:rPr>
          <w:rFonts w:ascii="宋体" w:hAnsi="宋体" w:cs="宋体"/>
          <w:szCs w:val="21"/>
        </w:rPr>
      </w:pPr>
      <w:r>
        <w:rPr>
          <w:rFonts w:hint="eastAsia" w:ascii="宋体" w:hAnsi="宋体" w:cs="宋体"/>
          <w:szCs w:val="21"/>
        </w:rPr>
        <w:t>7、拟投入产品清单（附件10）；</w:t>
      </w:r>
    </w:p>
    <w:p>
      <w:pPr>
        <w:spacing w:line="360" w:lineRule="auto"/>
        <w:ind w:firstLine="420" w:firstLineChars="200"/>
        <w:rPr>
          <w:rFonts w:ascii="宋体" w:hAnsi="宋体" w:cs="宋体"/>
          <w:szCs w:val="21"/>
        </w:rPr>
      </w:pPr>
      <w:r>
        <w:rPr>
          <w:rFonts w:hint="eastAsia" w:ascii="宋体" w:hAnsi="宋体" w:cs="宋体"/>
          <w:szCs w:val="21"/>
        </w:rPr>
        <w:t>8、技术需求响应表（附件11）；</w:t>
      </w:r>
    </w:p>
    <w:p>
      <w:pPr>
        <w:spacing w:line="360" w:lineRule="auto"/>
        <w:ind w:firstLine="420" w:firstLineChars="200"/>
        <w:rPr>
          <w:rFonts w:ascii="宋体" w:hAnsi="宋体" w:cs="宋体"/>
          <w:szCs w:val="21"/>
        </w:rPr>
      </w:pPr>
      <w:r>
        <w:rPr>
          <w:rFonts w:hint="eastAsia" w:ascii="宋体" w:hAnsi="宋体" w:cs="宋体"/>
          <w:szCs w:val="21"/>
        </w:rPr>
        <w:t>9、证书一览表（附件12）；</w:t>
      </w:r>
    </w:p>
    <w:p>
      <w:pPr>
        <w:spacing w:line="360" w:lineRule="auto"/>
        <w:ind w:firstLine="420" w:firstLineChars="200"/>
        <w:rPr>
          <w:rFonts w:ascii="宋体" w:hAnsi="宋体" w:cs="宋体"/>
          <w:szCs w:val="21"/>
        </w:rPr>
      </w:pPr>
      <w:r>
        <w:rPr>
          <w:rFonts w:hint="eastAsia" w:ascii="宋体" w:hAnsi="宋体" w:cs="宋体"/>
          <w:szCs w:val="21"/>
        </w:rPr>
        <w:t>10、类似项目的成功案例（附件13）；</w:t>
      </w:r>
    </w:p>
    <w:p>
      <w:pPr>
        <w:spacing w:line="360" w:lineRule="auto"/>
        <w:ind w:firstLine="420" w:firstLineChars="200"/>
        <w:rPr>
          <w:rFonts w:ascii="宋体" w:hAnsi="宋体" w:cs="宋体"/>
          <w:szCs w:val="21"/>
        </w:rPr>
      </w:pPr>
      <w:r>
        <w:rPr>
          <w:rFonts w:hint="eastAsia" w:ascii="宋体" w:hAnsi="宋体" w:cs="宋体"/>
          <w:szCs w:val="21"/>
        </w:rPr>
        <w:t>11、资信及商务需求响应表（附件14）；</w:t>
      </w:r>
    </w:p>
    <w:p>
      <w:pPr>
        <w:spacing w:line="360" w:lineRule="auto"/>
        <w:ind w:firstLine="420" w:firstLineChars="200"/>
        <w:rPr>
          <w:rFonts w:ascii="宋体" w:hAnsi="宋体" w:cs="宋体"/>
          <w:szCs w:val="21"/>
        </w:rPr>
      </w:pPr>
      <w:r>
        <w:rPr>
          <w:rFonts w:hint="eastAsia" w:ascii="宋体" w:hAnsi="宋体" w:cs="宋体"/>
          <w:szCs w:val="21"/>
        </w:rPr>
        <w:t>12、售后服务情况表（附件15）；</w:t>
      </w:r>
    </w:p>
    <w:p>
      <w:pPr>
        <w:spacing w:line="360" w:lineRule="auto"/>
        <w:ind w:firstLine="420" w:firstLineChars="200"/>
        <w:rPr>
          <w:rFonts w:ascii="宋体" w:hAnsi="宋体" w:cs="宋体"/>
          <w:szCs w:val="21"/>
        </w:rPr>
      </w:pPr>
      <w:r>
        <w:rPr>
          <w:rFonts w:hint="eastAsia" w:ascii="宋体" w:hAnsi="宋体" w:cs="宋体"/>
          <w:szCs w:val="21"/>
        </w:rPr>
        <w:t>13、投标人需要说明的其他内容；（包括可能影响投标人技术资信评分项的各类证明材料）</w:t>
      </w:r>
    </w:p>
    <w:p>
      <w:pPr>
        <w:pStyle w:val="68"/>
        <w:shd w:val="clear" w:color="auto" w:fill="FFFFFF"/>
        <w:spacing w:before="0" w:beforeAutospacing="0" w:after="0" w:afterAutospacing="0" w:line="360" w:lineRule="auto"/>
        <w:ind w:firstLine="420" w:firstLineChars="200"/>
        <w:rPr>
          <w:b/>
          <w:sz w:val="21"/>
          <w:szCs w:val="21"/>
        </w:rPr>
      </w:pPr>
      <w:r>
        <w:rPr>
          <w:rFonts w:hint="eastAsia"/>
          <w:sz w:val="21"/>
          <w:szCs w:val="21"/>
        </w:rPr>
        <w:t>14、自评表（附件16）。</w:t>
      </w:r>
    </w:p>
    <w:p>
      <w:pPr>
        <w:pStyle w:val="68"/>
        <w:shd w:val="clear" w:color="auto" w:fill="FFFFFF"/>
        <w:spacing w:before="0" w:beforeAutospacing="0" w:after="0" w:afterAutospacing="0" w:line="360" w:lineRule="auto"/>
        <w:ind w:firstLine="420" w:firstLineChars="200"/>
        <w:rPr>
          <w:rFonts w:hint="eastAsia"/>
          <w:sz w:val="21"/>
          <w:szCs w:val="21"/>
        </w:rPr>
      </w:pPr>
    </w:p>
    <w:p>
      <w:pPr>
        <w:pStyle w:val="68"/>
        <w:shd w:val="clear" w:color="auto" w:fill="FFFFFF"/>
        <w:spacing w:before="0" w:beforeAutospacing="0" w:after="0" w:afterAutospacing="0" w:line="360" w:lineRule="auto"/>
        <w:ind w:firstLine="420" w:firstLineChars="200"/>
        <w:rPr>
          <w:sz w:val="21"/>
          <w:szCs w:val="21"/>
        </w:rPr>
      </w:pPr>
      <w:r>
        <w:rPr>
          <w:rFonts w:hint="eastAsia"/>
          <w:sz w:val="21"/>
          <w:szCs w:val="21"/>
        </w:rPr>
        <w:t>注：投标人可根据招标文件评审内容自行排序。</w:t>
      </w:r>
    </w:p>
    <w:p>
      <w:pPr>
        <w:widowControl/>
        <w:jc w:val="left"/>
        <w:rPr>
          <w:rFonts w:ascii="宋体" w:hAnsi="宋体" w:cs="宋体"/>
          <w:b/>
          <w:bCs/>
          <w:sz w:val="28"/>
          <w:szCs w:val="36"/>
          <w:lang w:val="zh-CN"/>
        </w:rPr>
      </w:pPr>
      <w:r>
        <w:rPr>
          <w:rFonts w:ascii="宋体" w:hAnsi="宋体" w:cs="宋体"/>
          <w:b/>
          <w:bCs/>
          <w:sz w:val="28"/>
          <w:szCs w:val="36"/>
          <w:lang w:val="zh-CN"/>
        </w:rPr>
        <w:br w:type="page"/>
      </w:r>
    </w:p>
    <w:p>
      <w:pPr>
        <w:rPr>
          <w:rFonts w:ascii="宋体" w:hAnsi="宋体" w:cs="宋体"/>
          <w:b/>
          <w:bCs/>
          <w:sz w:val="28"/>
          <w:szCs w:val="36"/>
          <w:lang w:val="zh-CN"/>
        </w:rPr>
      </w:pPr>
      <w:r>
        <w:rPr>
          <w:rFonts w:hint="eastAsia" w:ascii="宋体" w:hAnsi="宋体" w:cs="宋体"/>
          <w:b/>
          <w:bCs/>
          <w:sz w:val="28"/>
          <w:szCs w:val="36"/>
          <w:lang w:val="zh-CN"/>
        </w:rPr>
        <w:t>附件</w:t>
      </w:r>
      <w:r>
        <w:rPr>
          <w:rFonts w:hint="eastAsia" w:ascii="宋体" w:hAnsi="宋体" w:cs="宋体"/>
          <w:b/>
          <w:bCs/>
          <w:sz w:val="28"/>
          <w:szCs w:val="36"/>
        </w:rPr>
        <w:t>7</w:t>
      </w: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投标人基本情况表</w:t>
      </w:r>
    </w:p>
    <w:tbl>
      <w:tblPr>
        <w:tblStyle w:val="40"/>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0" w:type="dxa"/>
            <w:shd w:val="clear" w:color="auto" w:fill="auto"/>
            <w:vAlign w:val="center"/>
          </w:tcPr>
          <w:p>
            <w:pPr>
              <w:jc w:val="center"/>
              <w:rPr>
                <w:rFonts w:ascii="宋体" w:hAnsi="宋体" w:cs="宋体"/>
                <w:sz w:val="24"/>
              </w:rPr>
            </w:pPr>
            <w:r>
              <w:rPr>
                <w:rFonts w:hint="eastAsia" w:ascii="宋体" w:hAnsi="宋体" w:cs="宋体"/>
                <w:sz w:val="24"/>
              </w:rPr>
              <w:t>企业名称</w:t>
            </w:r>
          </w:p>
        </w:tc>
        <w:tc>
          <w:tcPr>
            <w:tcW w:w="3765" w:type="dxa"/>
            <w:gridSpan w:val="6"/>
            <w:shd w:val="clear" w:color="auto" w:fill="auto"/>
            <w:vAlign w:val="center"/>
          </w:tcPr>
          <w:p>
            <w:pPr>
              <w:jc w:val="center"/>
              <w:rPr>
                <w:rFonts w:ascii="宋体" w:hAnsi="宋体" w:cs="宋体"/>
                <w:sz w:val="24"/>
              </w:rPr>
            </w:pPr>
          </w:p>
        </w:tc>
        <w:tc>
          <w:tcPr>
            <w:tcW w:w="1560" w:type="dxa"/>
            <w:shd w:val="clear" w:color="auto" w:fill="auto"/>
            <w:vAlign w:val="center"/>
          </w:tcPr>
          <w:p>
            <w:pPr>
              <w:jc w:val="center"/>
              <w:rPr>
                <w:rFonts w:ascii="宋体" w:hAnsi="宋体" w:cs="宋体"/>
                <w:sz w:val="24"/>
              </w:rPr>
            </w:pPr>
            <w:r>
              <w:rPr>
                <w:rFonts w:hint="eastAsia" w:ascii="宋体" w:hAnsi="宋体" w:cs="宋体"/>
                <w:sz w:val="24"/>
              </w:rPr>
              <w:t>法人代表</w:t>
            </w:r>
          </w:p>
        </w:tc>
        <w:tc>
          <w:tcPr>
            <w:tcW w:w="2608" w:type="dxa"/>
            <w:gridSpan w:val="3"/>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0" w:type="dxa"/>
            <w:shd w:val="clear" w:color="auto" w:fill="auto"/>
            <w:vAlign w:val="center"/>
          </w:tcPr>
          <w:p>
            <w:pPr>
              <w:jc w:val="center"/>
              <w:rPr>
                <w:rFonts w:ascii="宋体" w:hAnsi="宋体" w:cs="宋体"/>
                <w:sz w:val="24"/>
              </w:rPr>
            </w:pPr>
            <w:r>
              <w:rPr>
                <w:rFonts w:hint="eastAsia" w:ascii="宋体" w:hAnsi="宋体" w:cs="宋体"/>
                <w:sz w:val="24"/>
              </w:rPr>
              <w:t>地址</w:t>
            </w:r>
          </w:p>
        </w:tc>
        <w:tc>
          <w:tcPr>
            <w:tcW w:w="3765" w:type="dxa"/>
            <w:gridSpan w:val="6"/>
            <w:tcBorders>
              <w:bottom w:val="single" w:color="auto" w:sz="4" w:space="0"/>
            </w:tcBorders>
            <w:shd w:val="clear" w:color="auto" w:fill="auto"/>
            <w:vAlign w:val="center"/>
          </w:tcPr>
          <w:p>
            <w:pPr>
              <w:jc w:val="center"/>
              <w:rPr>
                <w:rFonts w:ascii="宋体" w:hAnsi="宋体" w:cs="宋体"/>
                <w:sz w:val="24"/>
              </w:rPr>
            </w:pPr>
          </w:p>
        </w:tc>
        <w:tc>
          <w:tcPr>
            <w:tcW w:w="1560" w:type="dxa"/>
            <w:shd w:val="clear" w:color="auto" w:fill="auto"/>
            <w:vAlign w:val="center"/>
          </w:tcPr>
          <w:p>
            <w:pPr>
              <w:jc w:val="center"/>
              <w:rPr>
                <w:rFonts w:ascii="宋体" w:hAnsi="宋体" w:cs="宋体"/>
                <w:sz w:val="24"/>
              </w:rPr>
            </w:pPr>
            <w:r>
              <w:rPr>
                <w:rFonts w:hint="eastAsia" w:ascii="宋体" w:hAnsi="宋体" w:cs="宋体"/>
                <w:sz w:val="24"/>
              </w:rPr>
              <w:t>企业性质</w:t>
            </w:r>
          </w:p>
        </w:tc>
        <w:tc>
          <w:tcPr>
            <w:tcW w:w="2608" w:type="dxa"/>
            <w:gridSpan w:val="3"/>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880" w:type="dxa"/>
            <w:tcBorders>
              <w:bottom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股东姓名</w:t>
            </w:r>
          </w:p>
        </w:tc>
        <w:tc>
          <w:tcPr>
            <w:tcW w:w="690" w:type="dxa"/>
            <w:tcBorders>
              <w:bottom w:val="single" w:color="auto" w:sz="4" w:space="0"/>
            </w:tcBorders>
            <w:shd w:val="clear" w:color="auto" w:fill="auto"/>
            <w:vAlign w:val="center"/>
          </w:tcPr>
          <w:p>
            <w:pPr>
              <w:jc w:val="center"/>
              <w:rPr>
                <w:rFonts w:ascii="宋体" w:hAnsi="宋体" w:cs="宋体"/>
                <w:sz w:val="24"/>
              </w:rPr>
            </w:pPr>
          </w:p>
        </w:tc>
        <w:tc>
          <w:tcPr>
            <w:tcW w:w="960" w:type="dxa"/>
            <w:gridSpan w:val="2"/>
            <w:tcBorders>
              <w:bottom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股权结构（%）</w:t>
            </w:r>
          </w:p>
        </w:tc>
        <w:tc>
          <w:tcPr>
            <w:tcW w:w="2115" w:type="dxa"/>
            <w:gridSpan w:val="3"/>
            <w:tcBorders>
              <w:bottom w:val="single" w:color="auto" w:sz="4" w:space="0"/>
            </w:tcBorders>
            <w:shd w:val="clear" w:color="auto" w:fill="auto"/>
            <w:vAlign w:val="center"/>
          </w:tcPr>
          <w:p>
            <w:pPr>
              <w:jc w:val="center"/>
              <w:rPr>
                <w:rFonts w:ascii="宋体" w:hAnsi="宋体" w:cs="宋体"/>
                <w:sz w:val="24"/>
              </w:rPr>
            </w:pPr>
          </w:p>
          <w:p>
            <w:pPr>
              <w:jc w:val="center"/>
              <w:rPr>
                <w:rFonts w:ascii="宋体" w:hAnsi="宋体" w:cs="宋体"/>
                <w:sz w:val="24"/>
              </w:rPr>
            </w:pPr>
          </w:p>
        </w:tc>
        <w:tc>
          <w:tcPr>
            <w:tcW w:w="1560" w:type="dxa"/>
            <w:shd w:val="clear" w:color="auto" w:fill="auto"/>
            <w:vAlign w:val="center"/>
          </w:tcPr>
          <w:p>
            <w:pPr>
              <w:jc w:val="center"/>
              <w:rPr>
                <w:rFonts w:ascii="宋体" w:hAnsi="宋体" w:cs="宋体"/>
                <w:sz w:val="24"/>
              </w:rPr>
            </w:pPr>
            <w:r>
              <w:rPr>
                <w:rFonts w:hint="eastAsia" w:ascii="宋体" w:hAnsi="宋体" w:cs="宋体"/>
                <w:sz w:val="24"/>
              </w:rPr>
              <w:t>股东关系</w:t>
            </w:r>
          </w:p>
        </w:tc>
        <w:tc>
          <w:tcPr>
            <w:tcW w:w="2608" w:type="dxa"/>
            <w:gridSpan w:val="3"/>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restart"/>
            <w:shd w:val="clear" w:color="auto" w:fill="auto"/>
            <w:vAlign w:val="center"/>
          </w:tcPr>
          <w:p>
            <w:pPr>
              <w:jc w:val="center"/>
              <w:rPr>
                <w:rFonts w:ascii="宋体" w:hAnsi="宋体" w:cs="宋体"/>
                <w:sz w:val="24"/>
              </w:rPr>
            </w:pPr>
            <w:r>
              <w:rPr>
                <w:rFonts w:hint="eastAsia" w:ascii="宋体" w:hAnsi="宋体" w:cs="宋体"/>
                <w:sz w:val="24"/>
              </w:rPr>
              <w:t>联系人姓名</w:t>
            </w:r>
          </w:p>
        </w:tc>
        <w:tc>
          <w:tcPr>
            <w:tcW w:w="690" w:type="dxa"/>
            <w:vMerge w:val="restart"/>
            <w:tcBorders>
              <w:top w:val="nil"/>
            </w:tcBorders>
            <w:shd w:val="clear" w:color="auto" w:fill="auto"/>
            <w:vAlign w:val="center"/>
          </w:tcPr>
          <w:p>
            <w:pPr>
              <w:jc w:val="center"/>
              <w:rPr>
                <w:rFonts w:ascii="宋体" w:hAnsi="宋体" w:cs="宋体"/>
                <w:sz w:val="24"/>
              </w:rPr>
            </w:pPr>
          </w:p>
        </w:tc>
        <w:tc>
          <w:tcPr>
            <w:tcW w:w="960" w:type="dxa"/>
            <w:gridSpan w:val="2"/>
            <w:tcBorders>
              <w:top w:val="nil"/>
              <w:bottom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固定电话</w:t>
            </w:r>
          </w:p>
        </w:tc>
        <w:tc>
          <w:tcPr>
            <w:tcW w:w="2115" w:type="dxa"/>
            <w:gridSpan w:val="3"/>
            <w:tcBorders>
              <w:top w:val="nil"/>
              <w:bottom w:val="single" w:color="auto" w:sz="4" w:space="0"/>
            </w:tcBorders>
            <w:shd w:val="clear" w:color="auto" w:fill="auto"/>
            <w:vAlign w:val="center"/>
          </w:tcPr>
          <w:p>
            <w:pPr>
              <w:jc w:val="center"/>
              <w:rPr>
                <w:rFonts w:ascii="宋体" w:hAnsi="宋体" w:cs="宋体"/>
                <w:sz w:val="24"/>
              </w:rPr>
            </w:pPr>
          </w:p>
          <w:p>
            <w:pPr>
              <w:jc w:val="center"/>
              <w:rPr>
                <w:rFonts w:ascii="宋体" w:hAnsi="宋体" w:cs="宋体"/>
                <w:sz w:val="24"/>
              </w:rPr>
            </w:pPr>
          </w:p>
        </w:tc>
        <w:tc>
          <w:tcPr>
            <w:tcW w:w="1560" w:type="dxa"/>
            <w:vMerge w:val="restart"/>
            <w:shd w:val="clear" w:color="auto" w:fill="auto"/>
            <w:vAlign w:val="center"/>
          </w:tcPr>
          <w:p>
            <w:pPr>
              <w:jc w:val="center"/>
              <w:rPr>
                <w:rFonts w:ascii="宋体" w:hAnsi="宋体" w:cs="宋体"/>
                <w:sz w:val="24"/>
              </w:rPr>
            </w:pPr>
            <w:r>
              <w:rPr>
                <w:rFonts w:hint="eastAsia" w:ascii="宋体" w:hAnsi="宋体" w:cs="宋体"/>
                <w:sz w:val="24"/>
              </w:rPr>
              <w:t>传真</w:t>
            </w:r>
          </w:p>
        </w:tc>
        <w:tc>
          <w:tcPr>
            <w:tcW w:w="2608" w:type="dxa"/>
            <w:gridSpan w:val="3"/>
            <w:vMerge w:val="restart"/>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80" w:type="dxa"/>
            <w:vMerge w:val="continue"/>
            <w:tcBorders>
              <w:bottom w:val="single" w:color="auto" w:sz="4" w:space="0"/>
            </w:tcBorders>
            <w:shd w:val="clear" w:color="auto" w:fill="auto"/>
            <w:vAlign w:val="center"/>
          </w:tcPr>
          <w:p>
            <w:pPr>
              <w:jc w:val="center"/>
              <w:rPr>
                <w:rFonts w:ascii="宋体" w:hAnsi="宋体" w:cs="宋体"/>
                <w:sz w:val="24"/>
              </w:rPr>
            </w:pPr>
          </w:p>
        </w:tc>
        <w:tc>
          <w:tcPr>
            <w:tcW w:w="690" w:type="dxa"/>
            <w:vMerge w:val="continue"/>
            <w:tcBorders>
              <w:bottom w:val="single" w:color="auto" w:sz="4" w:space="0"/>
            </w:tcBorders>
            <w:shd w:val="clear" w:color="auto" w:fill="auto"/>
            <w:vAlign w:val="center"/>
          </w:tcPr>
          <w:p>
            <w:pPr>
              <w:jc w:val="center"/>
              <w:rPr>
                <w:rFonts w:ascii="宋体" w:hAnsi="宋体" w:cs="宋体"/>
                <w:sz w:val="24"/>
              </w:rPr>
            </w:pPr>
          </w:p>
        </w:tc>
        <w:tc>
          <w:tcPr>
            <w:tcW w:w="960" w:type="dxa"/>
            <w:gridSpan w:val="2"/>
            <w:tcBorders>
              <w:bottom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手机</w:t>
            </w:r>
          </w:p>
        </w:tc>
        <w:tc>
          <w:tcPr>
            <w:tcW w:w="2115" w:type="dxa"/>
            <w:gridSpan w:val="3"/>
            <w:tcBorders>
              <w:bottom w:val="single" w:color="auto" w:sz="4" w:space="0"/>
            </w:tcBorders>
            <w:shd w:val="clear" w:color="auto" w:fill="auto"/>
            <w:vAlign w:val="center"/>
          </w:tcPr>
          <w:p>
            <w:pPr>
              <w:jc w:val="center"/>
              <w:rPr>
                <w:rFonts w:ascii="宋体" w:hAnsi="宋体" w:cs="宋体"/>
                <w:sz w:val="24"/>
              </w:rPr>
            </w:pPr>
          </w:p>
        </w:tc>
        <w:tc>
          <w:tcPr>
            <w:tcW w:w="1560" w:type="dxa"/>
            <w:vMerge w:val="continue"/>
            <w:shd w:val="clear" w:color="auto" w:fill="auto"/>
            <w:vAlign w:val="center"/>
          </w:tcPr>
          <w:p>
            <w:pPr>
              <w:jc w:val="center"/>
              <w:rPr>
                <w:rFonts w:ascii="宋体" w:hAnsi="宋体" w:cs="宋体"/>
                <w:sz w:val="24"/>
              </w:rPr>
            </w:pPr>
          </w:p>
        </w:tc>
        <w:tc>
          <w:tcPr>
            <w:tcW w:w="2608" w:type="dxa"/>
            <w:gridSpan w:val="3"/>
            <w:vMerge w:val="continue"/>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80" w:type="dxa"/>
            <w:vMerge w:val="restart"/>
            <w:shd w:val="clear" w:color="auto" w:fill="auto"/>
            <w:vAlign w:val="center"/>
          </w:tcPr>
          <w:p>
            <w:pPr>
              <w:jc w:val="center"/>
              <w:rPr>
                <w:rFonts w:ascii="宋体" w:hAnsi="宋体" w:cs="宋体"/>
                <w:sz w:val="24"/>
              </w:rPr>
            </w:pPr>
            <w:r>
              <w:rPr>
                <w:rFonts w:hint="eastAsia" w:ascii="宋体" w:hAnsi="宋体" w:cs="宋体"/>
                <w:sz w:val="24"/>
              </w:rPr>
              <w:t>1.</w:t>
            </w:r>
          </w:p>
          <w:p>
            <w:pPr>
              <w:jc w:val="center"/>
              <w:rPr>
                <w:rFonts w:ascii="宋体" w:hAnsi="宋体" w:cs="宋体"/>
                <w:sz w:val="24"/>
              </w:rPr>
            </w:pPr>
            <w:r>
              <w:rPr>
                <w:rFonts w:hint="eastAsia" w:ascii="宋体" w:hAnsi="宋体" w:cs="宋体"/>
                <w:sz w:val="24"/>
              </w:rPr>
              <w:t>企</w:t>
            </w:r>
          </w:p>
          <w:p>
            <w:pPr>
              <w:jc w:val="center"/>
              <w:rPr>
                <w:rFonts w:ascii="宋体" w:hAnsi="宋体" w:cs="宋体"/>
                <w:sz w:val="24"/>
              </w:rPr>
            </w:pPr>
            <w:r>
              <w:rPr>
                <w:rFonts w:hint="eastAsia" w:ascii="宋体" w:hAnsi="宋体" w:cs="宋体"/>
                <w:sz w:val="24"/>
              </w:rPr>
              <w:t>业</w:t>
            </w:r>
          </w:p>
          <w:p>
            <w:pPr>
              <w:jc w:val="center"/>
              <w:rPr>
                <w:rFonts w:ascii="宋体" w:hAnsi="宋体" w:cs="宋体"/>
                <w:sz w:val="24"/>
              </w:rPr>
            </w:pPr>
            <w:r>
              <w:rPr>
                <w:rFonts w:hint="eastAsia" w:ascii="宋体" w:hAnsi="宋体" w:cs="宋体"/>
                <w:sz w:val="24"/>
              </w:rPr>
              <w:t>概</w:t>
            </w:r>
          </w:p>
          <w:p>
            <w:pPr>
              <w:jc w:val="center"/>
              <w:rPr>
                <w:rFonts w:ascii="宋体" w:hAnsi="宋体" w:cs="宋体"/>
                <w:sz w:val="24"/>
              </w:rPr>
            </w:pPr>
            <w:r>
              <w:rPr>
                <w:rFonts w:hint="eastAsia" w:ascii="宋体" w:hAnsi="宋体" w:cs="宋体"/>
                <w:sz w:val="24"/>
              </w:rPr>
              <w:t>况</w:t>
            </w:r>
          </w:p>
        </w:tc>
        <w:tc>
          <w:tcPr>
            <w:tcW w:w="690" w:type="dxa"/>
            <w:tcBorders>
              <w:top w:val="nil"/>
            </w:tcBorders>
            <w:shd w:val="clear" w:color="auto" w:fill="auto"/>
            <w:vAlign w:val="center"/>
          </w:tcPr>
          <w:p>
            <w:pPr>
              <w:jc w:val="center"/>
              <w:rPr>
                <w:rFonts w:ascii="宋体" w:hAnsi="宋体" w:cs="宋体"/>
                <w:sz w:val="24"/>
              </w:rPr>
            </w:pPr>
            <w:r>
              <w:rPr>
                <w:rFonts w:hint="eastAsia" w:ascii="宋体" w:hAnsi="宋体" w:cs="宋体"/>
                <w:sz w:val="24"/>
              </w:rPr>
              <w:t>职工人数</w:t>
            </w:r>
          </w:p>
        </w:tc>
        <w:tc>
          <w:tcPr>
            <w:tcW w:w="960" w:type="dxa"/>
            <w:gridSpan w:val="2"/>
            <w:tcBorders>
              <w:top w:val="nil"/>
            </w:tcBorders>
            <w:shd w:val="clear" w:color="auto" w:fill="auto"/>
            <w:vAlign w:val="center"/>
          </w:tcPr>
          <w:p>
            <w:pPr>
              <w:jc w:val="center"/>
              <w:rPr>
                <w:rFonts w:ascii="宋体" w:hAnsi="宋体" w:cs="宋体"/>
                <w:sz w:val="24"/>
              </w:rPr>
            </w:pPr>
          </w:p>
        </w:tc>
        <w:tc>
          <w:tcPr>
            <w:tcW w:w="926" w:type="dxa"/>
            <w:tcBorders>
              <w:top w:val="nil"/>
            </w:tcBorders>
            <w:shd w:val="clear" w:color="auto" w:fill="auto"/>
            <w:vAlign w:val="center"/>
          </w:tcPr>
          <w:p>
            <w:pPr>
              <w:jc w:val="center"/>
              <w:rPr>
                <w:rFonts w:ascii="宋体" w:hAnsi="宋体" w:cs="宋体"/>
                <w:sz w:val="24"/>
              </w:rPr>
            </w:pPr>
            <w:r>
              <w:rPr>
                <w:rFonts w:hint="eastAsia" w:ascii="宋体" w:hAnsi="宋体" w:cs="宋体"/>
                <w:sz w:val="24"/>
              </w:rPr>
              <w:t>具备大专以上学历人数</w:t>
            </w:r>
          </w:p>
        </w:tc>
        <w:tc>
          <w:tcPr>
            <w:tcW w:w="1189" w:type="dxa"/>
            <w:gridSpan w:val="2"/>
            <w:tcBorders>
              <w:top w:val="nil"/>
            </w:tcBorders>
            <w:shd w:val="clear" w:color="auto" w:fill="auto"/>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tc>
        <w:tc>
          <w:tcPr>
            <w:tcW w:w="1560" w:type="dxa"/>
            <w:shd w:val="clear" w:color="auto" w:fill="auto"/>
            <w:vAlign w:val="center"/>
          </w:tcPr>
          <w:p>
            <w:pPr>
              <w:jc w:val="center"/>
              <w:rPr>
                <w:rFonts w:ascii="宋体" w:hAnsi="宋体" w:cs="宋体"/>
                <w:sz w:val="24"/>
              </w:rPr>
            </w:pPr>
            <w:r>
              <w:rPr>
                <w:rFonts w:hint="eastAsia" w:ascii="宋体" w:hAnsi="宋体" w:cs="宋体"/>
                <w:sz w:val="24"/>
              </w:rPr>
              <w:t>国家授予技术职称人数</w:t>
            </w:r>
          </w:p>
        </w:tc>
        <w:tc>
          <w:tcPr>
            <w:tcW w:w="2608" w:type="dxa"/>
            <w:gridSpan w:val="3"/>
            <w:shd w:val="clear" w:color="auto" w:fill="auto"/>
            <w:vAlign w:val="center"/>
          </w:tcPr>
          <w:p>
            <w:pPr>
              <w:jc w:val="center"/>
              <w:rPr>
                <w:rFonts w:ascii="宋体" w:hAnsi="宋体" w:cs="宋体"/>
                <w:sz w:val="24"/>
              </w:rPr>
            </w:pPr>
          </w:p>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80" w:type="dxa"/>
            <w:vMerge w:val="continue"/>
            <w:shd w:val="clear" w:color="auto" w:fill="auto"/>
            <w:vAlign w:val="center"/>
          </w:tcPr>
          <w:p>
            <w:pPr>
              <w:jc w:val="center"/>
              <w:rPr>
                <w:rFonts w:ascii="宋体" w:hAnsi="宋体" w:cs="宋体"/>
                <w:sz w:val="24"/>
              </w:rPr>
            </w:pPr>
          </w:p>
        </w:tc>
        <w:tc>
          <w:tcPr>
            <w:tcW w:w="690" w:type="dxa"/>
            <w:shd w:val="clear" w:color="auto" w:fill="auto"/>
            <w:vAlign w:val="center"/>
          </w:tcPr>
          <w:p>
            <w:pPr>
              <w:jc w:val="center"/>
              <w:rPr>
                <w:rFonts w:ascii="宋体" w:hAnsi="宋体" w:cs="宋体"/>
                <w:sz w:val="24"/>
              </w:rPr>
            </w:pPr>
            <w:r>
              <w:rPr>
                <w:rFonts w:hint="eastAsia" w:ascii="宋体" w:hAnsi="宋体" w:cs="宋体"/>
                <w:sz w:val="24"/>
              </w:rPr>
              <w:t>占地面积</w:t>
            </w:r>
          </w:p>
        </w:tc>
        <w:tc>
          <w:tcPr>
            <w:tcW w:w="960" w:type="dxa"/>
            <w:gridSpan w:val="2"/>
            <w:shd w:val="clear" w:color="auto" w:fill="auto"/>
            <w:vAlign w:val="center"/>
          </w:tcPr>
          <w:p>
            <w:pPr>
              <w:jc w:val="center"/>
              <w:rPr>
                <w:rFonts w:ascii="宋体" w:hAnsi="宋体" w:cs="宋体"/>
                <w:sz w:val="24"/>
              </w:rPr>
            </w:pPr>
          </w:p>
        </w:tc>
        <w:tc>
          <w:tcPr>
            <w:tcW w:w="926" w:type="dxa"/>
            <w:shd w:val="clear" w:color="auto" w:fill="auto"/>
            <w:vAlign w:val="center"/>
          </w:tcPr>
          <w:p>
            <w:pPr>
              <w:jc w:val="center"/>
              <w:rPr>
                <w:rFonts w:ascii="宋体" w:hAnsi="宋体" w:cs="宋体"/>
                <w:sz w:val="24"/>
              </w:rPr>
            </w:pPr>
            <w:r>
              <w:rPr>
                <w:rFonts w:hint="eastAsia" w:ascii="宋体" w:hAnsi="宋体" w:cs="宋体"/>
                <w:sz w:val="24"/>
              </w:rPr>
              <w:t>建筑面积</w:t>
            </w:r>
          </w:p>
        </w:tc>
        <w:tc>
          <w:tcPr>
            <w:tcW w:w="1189" w:type="dxa"/>
            <w:gridSpan w:val="2"/>
            <w:shd w:val="clear" w:color="auto" w:fill="auto"/>
            <w:vAlign w:val="center"/>
          </w:tcPr>
          <w:p>
            <w:pPr>
              <w:jc w:val="center"/>
              <w:rPr>
                <w:rFonts w:ascii="宋体" w:hAnsi="宋体" w:cs="宋体"/>
                <w:sz w:val="24"/>
              </w:rPr>
            </w:pPr>
            <w:r>
              <w:rPr>
                <w:rFonts w:hint="eastAsia" w:ascii="宋体" w:hAnsi="宋体" w:cs="宋体"/>
                <w:sz w:val="24"/>
              </w:rPr>
              <w:t>平方米</w:t>
            </w:r>
          </w:p>
          <w:p>
            <w:pPr>
              <w:jc w:val="center"/>
              <w:rPr>
                <w:rFonts w:ascii="宋体" w:hAnsi="宋体" w:cs="宋体"/>
                <w:sz w:val="24"/>
              </w:rPr>
            </w:pPr>
            <w:r>
              <w:rPr>
                <w:rFonts w:hint="eastAsia" w:ascii="宋体" w:hAnsi="宋体" w:cs="宋体"/>
                <w:sz w:val="24"/>
              </w:rPr>
              <w:t>□自有</w:t>
            </w:r>
          </w:p>
          <w:p>
            <w:pPr>
              <w:jc w:val="center"/>
              <w:rPr>
                <w:rFonts w:ascii="宋体" w:hAnsi="宋体" w:cs="宋体"/>
                <w:sz w:val="24"/>
              </w:rPr>
            </w:pPr>
            <w:r>
              <w:rPr>
                <w:rFonts w:hint="eastAsia" w:ascii="宋体" w:hAnsi="宋体" w:cs="宋体"/>
                <w:sz w:val="24"/>
              </w:rPr>
              <w:t>□租赁</w:t>
            </w:r>
          </w:p>
        </w:tc>
        <w:tc>
          <w:tcPr>
            <w:tcW w:w="1560" w:type="dxa"/>
            <w:shd w:val="clear" w:color="auto" w:fill="auto"/>
            <w:vAlign w:val="center"/>
          </w:tcPr>
          <w:p>
            <w:pPr>
              <w:jc w:val="center"/>
              <w:rPr>
                <w:rFonts w:ascii="宋体" w:hAnsi="宋体" w:cs="宋体"/>
                <w:sz w:val="24"/>
              </w:rPr>
            </w:pPr>
            <w:r>
              <w:rPr>
                <w:rFonts w:hint="eastAsia" w:ascii="宋体" w:hAnsi="宋体" w:cs="宋体"/>
                <w:sz w:val="24"/>
              </w:rPr>
              <w:t>生产经营场所及场所的设施与设备</w:t>
            </w:r>
          </w:p>
        </w:tc>
        <w:tc>
          <w:tcPr>
            <w:tcW w:w="2608" w:type="dxa"/>
            <w:gridSpan w:val="3"/>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0" w:type="dxa"/>
            <w:vMerge w:val="continue"/>
            <w:shd w:val="clear" w:color="auto" w:fill="auto"/>
            <w:vAlign w:val="center"/>
          </w:tcPr>
          <w:p>
            <w:pPr>
              <w:jc w:val="center"/>
              <w:rPr>
                <w:rFonts w:ascii="宋体" w:hAnsi="宋体" w:cs="宋体"/>
                <w:sz w:val="24"/>
              </w:rPr>
            </w:pPr>
          </w:p>
        </w:tc>
        <w:tc>
          <w:tcPr>
            <w:tcW w:w="690" w:type="dxa"/>
            <w:shd w:val="clear" w:color="auto" w:fill="auto"/>
            <w:vAlign w:val="center"/>
          </w:tcPr>
          <w:p>
            <w:pPr>
              <w:jc w:val="center"/>
              <w:rPr>
                <w:rFonts w:ascii="宋体" w:hAnsi="宋体" w:cs="宋体"/>
                <w:sz w:val="24"/>
              </w:rPr>
            </w:pPr>
            <w:r>
              <w:rPr>
                <w:rFonts w:hint="eastAsia" w:ascii="宋体" w:hAnsi="宋体" w:cs="宋体"/>
                <w:sz w:val="24"/>
              </w:rPr>
              <w:t>注册资金</w:t>
            </w:r>
          </w:p>
        </w:tc>
        <w:tc>
          <w:tcPr>
            <w:tcW w:w="960" w:type="dxa"/>
            <w:gridSpan w:val="2"/>
            <w:shd w:val="clear" w:color="auto" w:fill="auto"/>
            <w:vAlign w:val="center"/>
          </w:tcPr>
          <w:p>
            <w:pPr>
              <w:jc w:val="center"/>
              <w:rPr>
                <w:rFonts w:ascii="宋体" w:hAnsi="宋体" w:cs="宋体"/>
                <w:sz w:val="24"/>
              </w:rPr>
            </w:pPr>
          </w:p>
        </w:tc>
        <w:tc>
          <w:tcPr>
            <w:tcW w:w="926" w:type="dxa"/>
            <w:shd w:val="clear" w:color="auto" w:fill="auto"/>
            <w:vAlign w:val="center"/>
          </w:tcPr>
          <w:p>
            <w:pPr>
              <w:jc w:val="center"/>
              <w:rPr>
                <w:rFonts w:ascii="宋体" w:hAnsi="宋体" w:cs="宋体"/>
                <w:sz w:val="24"/>
              </w:rPr>
            </w:pPr>
            <w:r>
              <w:rPr>
                <w:rFonts w:hint="eastAsia" w:ascii="宋体" w:hAnsi="宋体" w:cs="宋体"/>
                <w:sz w:val="24"/>
              </w:rPr>
              <w:t>注册发证机关</w:t>
            </w:r>
          </w:p>
        </w:tc>
        <w:tc>
          <w:tcPr>
            <w:tcW w:w="2749" w:type="dxa"/>
            <w:gridSpan w:val="3"/>
            <w:shd w:val="clear" w:color="auto" w:fill="auto"/>
            <w:vAlign w:val="center"/>
          </w:tcPr>
          <w:p>
            <w:pPr>
              <w:jc w:val="center"/>
              <w:rPr>
                <w:rFonts w:ascii="宋体" w:hAnsi="宋体" w:cs="宋体"/>
                <w:sz w:val="24"/>
              </w:rPr>
            </w:pPr>
          </w:p>
          <w:p>
            <w:pPr>
              <w:jc w:val="center"/>
              <w:rPr>
                <w:rFonts w:ascii="宋体" w:hAnsi="宋体" w:cs="宋体"/>
                <w:sz w:val="24"/>
              </w:rPr>
            </w:pPr>
          </w:p>
        </w:tc>
        <w:tc>
          <w:tcPr>
            <w:tcW w:w="1675" w:type="dxa"/>
            <w:gridSpan w:val="2"/>
            <w:shd w:val="clear" w:color="auto" w:fill="auto"/>
            <w:vAlign w:val="center"/>
          </w:tcPr>
          <w:p>
            <w:pPr>
              <w:jc w:val="center"/>
              <w:rPr>
                <w:rFonts w:ascii="宋体" w:hAnsi="宋体" w:cs="宋体"/>
                <w:sz w:val="24"/>
              </w:rPr>
            </w:pPr>
            <w:r>
              <w:rPr>
                <w:rFonts w:hint="eastAsia" w:ascii="宋体" w:hAnsi="宋体" w:cs="宋体"/>
                <w:sz w:val="24"/>
              </w:rPr>
              <w:t>公司成立时间</w:t>
            </w:r>
          </w:p>
        </w:tc>
        <w:tc>
          <w:tcPr>
            <w:tcW w:w="933" w:type="dxa"/>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880" w:type="dxa"/>
            <w:vMerge w:val="continue"/>
            <w:shd w:val="clear" w:color="auto" w:fill="auto"/>
            <w:vAlign w:val="center"/>
          </w:tcPr>
          <w:p>
            <w:pPr>
              <w:jc w:val="center"/>
              <w:rPr>
                <w:rFonts w:ascii="宋体" w:hAnsi="宋体" w:cs="宋体"/>
                <w:sz w:val="24"/>
              </w:rPr>
            </w:pPr>
          </w:p>
        </w:tc>
        <w:tc>
          <w:tcPr>
            <w:tcW w:w="690" w:type="dxa"/>
            <w:shd w:val="clear" w:color="auto" w:fill="auto"/>
            <w:vAlign w:val="center"/>
          </w:tcPr>
          <w:p>
            <w:pPr>
              <w:jc w:val="center"/>
              <w:rPr>
                <w:rFonts w:ascii="宋体" w:hAnsi="宋体" w:cs="宋体"/>
                <w:sz w:val="24"/>
              </w:rPr>
            </w:pPr>
            <w:r>
              <w:rPr>
                <w:rFonts w:hint="eastAsia" w:ascii="宋体" w:hAnsi="宋体" w:cs="宋体"/>
                <w:sz w:val="24"/>
              </w:rPr>
              <w:t>核准经营范围</w:t>
            </w:r>
          </w:p>
        </w:tc>
        <w:tc>
          <w:tcPr>
            <w:tcW w:w="7243" w:type="dxa"/>
            <w:gridSpan w:val="9"/>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continue"/>
            <w:shd w:val="clear" w:color="auto" w:fill="auto"/>
            <w:vAlign w:val="center"/>
          </w:tcPr>
          <w:p>
            <w:pPr>
              <w:jc w:val="center"/>
              <w:rPr>
                <w:rFonts w:ascii="宋体" w:hAnsi="宋体" w:cs="宋体"/>
                <w:sz w:val="24"/>
              </w:rPr>
            </w:pPr>
          </w:p>
        </w:tc>
        <w:tc>
          <w:tcPr>
            <w:tcW w:w="7933" w:type="dxa"/>
            <w:gridSpan w:val="10"/>
            <w:shd w:val="clear" w:color="auto" w:fill="auto"/>
            <w:vAlign w:val="center"/>
          </w:tcPr>
          <w:p>
            <w:pPr>
              <w:jc w:val="center"/>
              <w:rPr>
                <w:rFonts w:ascii="宋体" w:hAnsi="宋体" w:cs="宋体"/>
                <w:sz w:val="24"/>
              </w:rPr>
            </w:pPr>
            <w:r>
              <w:rPr>
                <w:rFonts w:hint="eastAsia" w:ascii="宋体" w:hAnsi="宋体" w:cs="宋体"/>
                <w:sz w:val="24"/>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0" w:type="dxa"/>
            <w:vMerge w:val="restart"/>
            <w:shd w:val="clear" w:color="auto" w:fill="auto"/>
            <w:vAlign w:val="center"/>
          </w:tcPr>
          <w:p>
            <w:pPr>
              <w:jc w:val="center"/>
              <w:rPr>
                <w:rFonts w:ascii="宋体" w:hAnsi="宋体" w:cs="宋体"/>
                <w:sz w:val="24"/>
              </w:rPr>
            </w:pPr>
            <w:r>
              <w:rPr>
                <w:rFonts w:hint="eastAsia" w:ascii="宋体" w:hAnsi="宋体" w:cs="宋体"/>
                <w:sz w:val="24"/>
              </w:rPr>
              <w:t>2．</w:t>
            </w:r>
          </w:p>
          <w:p>
            <w:pPr>
              <w:jc w:val="center"/>
              <w:rPr>
                <w:rFonts w:ascii="宋体" w:hAnsi="宋体" w:cs="宋体"/>
                <w:sz w:val="24"/>
              </w:rPr>
            </w:pPr>
            <w:r>
              <w:rPr>
                <w:rFonts w:hint="eastAsia" w:ascii="宋体" w:hAnsi="宋体" w:cs="宋体"/>
                <w:sz w:val="24"/>
              </w:rPr>
              <w:t>企业有关资质获证情况</w:t>
            </w:r>
          </w:p>
        </w:tc>
        <w:tc>
          <w:tcPr>
            <w:tcW w:w="1355" w:type="dxa"/>
            <w:gridSpan w:val="2"/>
            <w:vMerge w:val="restart"/>
            <w:shd w:val="clear" w:color="auto" w:fill="auto"/>
            <w:vAlign w:val="center"/>
          </w:tcPr>
          <w:p>
            <w:pPr>
              <w:jc w:val="center"/>
              <w:rPr>
                <w:rFonts w:ascii="宋体" w:hAnsi="宋体" w:cs="宋体"/>
                <w:sz w:val="24"/>
              </w:rPr>
            </w:pPr>
            <w:r>
              <w:rPr>
                <w:rFonts w:hint="eastAsia" w:ascii="宋体" w:hAnsi="宋体" w:cs="宋体"/>
                <w:sz w:val="24"/>
              </w:rPr>
              <w:t>产品生产许可证情况（对需获得生产许可证的产品要填写此栏）</w:t>
            </w:r>
          </w:p>
        </w:tc>
        <w:tc>
          <w:tcPr>
            <w:tcW w:w="1333" w:type="dxa"/>
            <w:gridSpan w:val="3"/>
            <w:shd w:val="clear" w:color="auto" w:fill="auto"/>
            <w:vAlign w:val="center"/>
          </w:tcPr>
          <w:p>
            <w:pPr>
              <w:jc w:val="center"/>
              <w:rPr>
                <w:rFonts w:ascii="宋体" w:hAnsi="宋体" w:cs="宋体"/>
                <w:sz w:val="24"/>
              </w:rPr>
            </w:pPr>
            <w:r>
              <w:rPr>
                <w:rFonts w:hint="eastAsia" w:ascii="宋体" w:hAnsi="宋体" w:cs="宋体"/>
                <w:sz w:val="24"/>
              </w:rPr>
              <w:t>产品名称</w:t>
            </w:r>
          </w:p>
        </w:tc>
        <w:tc>
          <w:tcPr>
            <w:tcW w:w="1077" w:type="dxa"/>
            <w:shd w:val="clear" w:color="auto" w:fill="auto"/>
            <w:vAlign w:val="center"/>
          </w:tcPr>
          <w:p>
            <w:pPr>
              <w:jc w:val="center"/>
              <w:rPr>
                <w:rFonts w:ascii="宋体" w:hAnsi="宋体" w:cs="宋体"/>
                <w:sz w:val="24"/>
              </w:rPr>
            </w:pPr>
            <w:r>
              <w:rPr>
                <w:rFonts w:hint="eastAsia" w:ascii="宋体" w:hAnsi="宋体" w:cs="宋体"/>
                <w:sz w:val="24"/>
              </w:rPr>
              <w:t>发证机关</w:t>
            </w:r>
          </w:p>
        </w:tc>
        <w:tc>
          <w:tcPr>
            <w:tcW w:w="1617" w:type="dxa"/>
            <w:gridSpan w:val="2"/>
            <w:shd w:val="clear" w:color="auto" w:fill="auto"/>
            <w:vAlign w:val="center"/>
          </w:tcPr>
          <w:p>
            <w:pPr>
              <w:jc w:val="center"/>
              <w:rPr>
                <w:rFonts w:ascii="宋体" w:hAnsi="宋体" w:cs="宋体"/>
                <w:sz w:val="24"/>
              </w:rPr>
            </w:pPr>
            <w:r>
              <w:rPr>
                <w:rFonts w:hint="eastAsia" w:ascii="宋体" w:hAnsi="宋体" w:cs="宋体"/>
                <w:sz w:val="24"/>
              </w:rPr>
              <w:t>编号</w:t>
            </w:r>
          </w:p>
        </w:tc>
        <w:tc>
          <w:tcPr>
            <w:tcW w:w="1618" w:type="dxa"/>
            <w:shd w:val="clear" w:color="auto" w:fill="auto"/>
            <w:vAlign w:val="center"/>
          </w:tcPr>
          <w:p>
            <w:pPr>
              <w:jc w:val="center"/>
              <w:rPr>
                <w:rFonts w:ascii="宋体" w:hAnsi="宋体" w:cs="宋体"/>
                <w:sz w:val="24"/>
              </w:rPr>
            </w:pPr>
            <w:r>
              <w:rPr>
                <w:rFonts w:hint="eastAsia" w:ascii="宋体" w:hAnsi="宋体" w:cs="宋体"/>
                <w:sz w:val="24"/>
              </w:rPr>
              <w:t>发证时间</w:t>
            </w:r>
          </w:p>
        </w:tc>
        <w:tc>
          <w:tcPr>
            <w:tcW w:w="933" w:type="dxa"/>
            <w:shd w:val="clear" w:color="auto" w:fill="auto"/>
            <w:vAlign w:val="center"/>
          </w:tcPr>
          <w:p>
            <w:pPr>
              <w:jc w:val="center"/>
              <w:rPr>
                <w:rFonts w:ascii="宋体" w:hAnsi="宋体" w:cs="宋体"/>
                <w:sz w:val="24"/>
              </w:rPr>
            </w:pPr>
            <w:r>
              <w:rPr>
                <w:rFonts w:hint="eastAsia" w:ascii="宋体" w:hAnsi="宋体" w:cs="宋体"/>
                <w:sz w:val="24"/>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880" w:type="dxa"/>
            <w:vMerge w:val="continue"/>
            <w:shd w:val="clear" w:color="auto" w:fill="auto"/>
            <w:vAlign w:val="center"/>
          </w:tcPr>
          <w:p>
            <w:pPr>
              <w:jc w:val="center"/>
              <w:rPr>
                <w:rFonts w:ascii="宋体" w:hAnsi="宋体" w:cs="宋体"/>
                <w:sz w:val="24"/>
              </w:rPr>
            </w:pPr>
          </w:p>
        </w:tc>
        <w:tc>
          <w:tcPr>
            <w:tcW w:w="1355" w:type="dxa"/>
            <w:gridSpan w:val="2"/>
            <w:vMerge w:val="continue"/>
            <w:shd w:val="clear" w:color="auto" w:fill="auto"/>
            <w:vAlign w:val="center"/>
          </w:tcPr>
          <w:p>
            <w:pPr>
              <w:jc w:val="center"/>
              <w:rPr>
                <w:rFonts w:ascii="宋体" w:hAnsi="宋体" w:cs="宋体"/>
                <w:sz w:val="24"/>
              </w:rPr>
            </w:pPr>
          </w:p>
        </w:tc>
        <w:tc>
          <w:tcPr>
            <w:tcW w:w="1333" w:type="dxa"/>
            <w:gridSpan w:val="3"/>
            <w:shd w:val="clear" w:color="auto" w:fill="auto"/>
            <w:vAlign w:val="center"/>
          </w:tcPr>
          <w:p>
            <w:pPr>
              <w:jc w:val="center"/>
              <w:rPr>
                <w:rFonts w:ascii="宋体" w:hAnsi="宋体" w:cs="宋体"/>
                <w:sz w:val="24"/>
              </w:rPr>
            </w:pPr>
          </w:p>
        </w:tc>
        <w:tc>
          <w:tcPr>
            <w:tcW w:w="1077" w:type="dxa"/>
            <w:shd w:val="clear" w:color="auto" w:fill="auto"/>
            <w:vAlign w:val="center"/>
          </w:tcPr>
          <w:p>
            <w:pPr>
              <w:jc w:val="center"/>
              <w:rPr>
                <w:rFonts w:ascii="宋体" w:hAnsi="宋体" w:cs="宋体"/>
                <w:sz w:val="24"/>
              </w:rPr>
            </w:pPr>
          </w:p>
        </w:tc>
        <w:tc>
          <w:tcPr>
            <w:tcW w:w="1617" w:type="dxa"/>
            <w:gridSpan w:val="2"/>
            <w:shd w:val="clear" w:color="auto" w:fill="auto"/>
            <w:vAlign w:val="center"/>
          </w:tcPr>
          <w:p>
            <w:pPr>
              <w:jc w:val="center"/>
              <w:rPr>
                <w:rFonts w:ascii="宋体" w:hAnsi="宋体" w:cs="宋体"/>
                <w:sz w:val="24"/>
              </w:rPr>
            </w:pPr>
          </w:p>
        </w:tc>
        <w:tc>
          <w:tcPr>
            <w:tcW w:w="2551" w:type="dxa"/>
            <w:gridSpan w:val="2"/>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80" w:type="dxa"/>
            <w:vMerge w:val="continue"/>
            <w:shd w:val="clear" w:color="auto" w:fill="auto"/>
            <w:vAlign w:val="center"/>
          </w:tcPr>
          <w:p>
            <w:pPr>
              <w:jc w:val="center"/>
              <w:rPr>
                <w:rFonts w:ascii="宋体" w:hAnsi="宋体" w:cs="宋体"/>
                <w:sz w:val="24"/>
              </w:rPr>
            </w:pPr>
          </w:p>
        </w:tc>
        <w:tc>
          <w:tcPr>
            <w:tcW w:w="1355" w:type="dxa"/>
            <w:gridSpan w:val="2"/>
            <w:shd w:val="clear" w:color="auto" w:fill="auto"/>
            <w:vAlign w:val="center"/>
          </w:tcPr>
          <w:p>
            <w:pPr>
              <w:jc w:val="center"/>
              <w:rPr>
                <w:rFonts w:ascii="宋体" w:hAnsi="宋体" w:cs="宋体"/>
                <w:sz w:val="24"/>
              </w:rPr>
            </w:pPr>
            <w:r>
              <w:rPr>
                <w:rFonts w:hint="eastAsia" w:ascii="宋体" w:hAnsi="宋体" w:cs="宋体"/>
                <w:sz w:val="24"/>
              </w:rPr>
              <w:t>企业通过质量体系、环保体系、计量等认证情况</w:t>
            </w:r>
          </w:p>
        </w:tc>
        <w:tc>
          <w:tcPr>
            <w:tcW w:w="6578" w:type="dxa"/>
            <w:gridSpan w:val="8"/>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80" w:type="dxa"/>
            <w:vMerge w:val="continue"/>
            <w:shd w:val="clear" w:color="auto" w:fill="auto"/>
            <w:vAlign w:val="center"/>
          </w:tcPr>
          <w:p>
            <w:pPr>
              <w:jc w:val="center"/>
              <w:rPr>
                <w:rFonts w:ascii="宋体" w:hAnsi="宋体" w:cs="宋体"/>
                <w:sz w:val="24"/>
              </w:rPr>
            </w:pPr>
          </w:p>
        </w:tc>
        <w:tc>
          <w:tcPr>
            <w:tcW w:w="1355" w:type="dxa"/>
            <w:gridSpan w:val="2"/>
            <w:shd w:val="clear" w:color="auto" w:fill="auto"/>
            <w:vAlign w:val="center"/>
          </w:tcPr>
          <w:p>
            <w:pPr>
              <w:jc w:val="center"/>
              <w:rPr>
                <w:rFonts w:ascii="宋体" w:hAnsi="宋体" w:cs="宋体"/>
                <w:sz w:val="24"/>
              </w:rPr>
            </w:pPr>
            <w:r>
              <w:rPr>
                <w:rFonts w:hint="eastAsia" w:ascii="宋体" w:hAnsi="宋体" w:cs="宋体"/>
                <w:sz w:val="24"/>
              </w:rPr>
              <w:t>企业获得专利情况</w:t>
            </w:r>
          </w:p>
        </w:tc>
        <w:tc>
          <w:tcPr>
            <w:tcW w:w="6578" w:type="dxa"/>
            <w:gridSpan w:val="8"/>
            <w:shd w:val="clear" w:color="auto" w:fill="auto"/>
            <w:vAlign w:val="center"/>
          </w:tcPr>
          <w:p>
            <w:pPr>
              <w:jc w:val="center"/>
              <w:rPr>
                <w:rFonts w:ascii="宋体" w:hAnsi="宋体" w:cs="宋体"/>
                <w:sz w:val="24"/>
              </w:rPr>
            </w:pPr>
          </w:p>
        </w:tc>
      </w:tr>
    </w:tbl>
    <w:p>
      <w:pPr>
        <w:spacing w:line="360" w:lineRule="auto"/>
        <w:rPr>
          <w:rFonts w:ascii="宋体" w:hAnsi="宋体" w:cs="宋体"/>
          <w:sz w:val="24"/>
          <w:szCs w:val="32"/>
        </w:rPr>
      </w:pPr>
    </w:p>
    <w:p>
      <w:pPr>
        <w:spacing w:line="360" w:lineRule="auto"/>
        <w:rPr>
          <w:rFonts w:ascii="宋体" w:hAnsi="宋体" w:cs="宋体"/>
          <w:sz w:val="24"/>
          <w:szCs w:val="32"/>
        </w:rPr>
      </w:pPr>
      <w:r>
        <w:rPr>
          <w:rFonts w:hint="eastAsia"/>
          <w:b/>
          <w:bCs/>
          <w:sz w:val="24"/>
          <w:szCs w:val="32"/>
        </w:rPr>
        <w:t>要求：</w:t>
      </w:r>
      <w:r>
        <w:rPr>
          <w:rFonts w:hint="eastAsia" w:ascii="宋体" w:hAnsi="宋体" w:cs="宋体"/>
          <w:sz w:val="24"/>
          <w:szCs w:val="32"/>
        </w:rPr>
        <w:t>1.姓名栏必须将所有股东都统计在内，若非股份公司此行（第三行）无需填写；</w:t>
      </w:r>
    </w:p>
    <w:p>
      <w:pPr>
        <w:spacing w:line="360" w:lineRule="auto"/>
        <w:rPr>
          <w:rFonts w:ascii="宋体" w:hAnsi="宋体" w:cs="宋体"/>
          <w:sz w:val="24"/>
          <w:szCs w:val="32"/>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授权委托代理人签字或盖章：</w:t>
      </w:r>
    </w:p>
    <w:p>
      <w:pPr>
        <w:spacing w:line="480" w:lineRule="auto"/>
        <w:rPr>
          <w:rFonts w:ascii="宋体" w:hAnsi="宋体"/>
          <w:sz w:val="24"/>
        </w:rPr>
      </w:pPr>
      <w:r>
        <w:rPr>
          <w:rFonts w:hint="eastAsia" w:ascii="宋体" w:hAnsi="宋体"/>
          <w:sz w:val="24"/>
        </w:rPr>
        <w:t>日期：</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sz w:val="24"/>
        </w:rPr>
      </w:pPr>
      <w:r>
        <w:rPr>
          <w:rFonts w:hint="eastAsia" w:ascii="宋体" w:hAnsi="宋体"/>
          <w:b/>
          <w:sz w:val="28"/>
        </w:rPr>
        <w:t>附件8</w:t>
      </w: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项目实施人员一览表</w:t>
      </w:r>
    </w:p>
    <w:p>
      <w:pPr>
        <w:spacing w:line="360" w:lineRule="auto"/>
        <w:jc w:val="center"/>
        <w:rPr>
          <w:sz w:val="24"/>
          <w:szCs w:val="32"/>
        </w:rPr>
      </w:pPr>
      <w:r>
        <w:rPr>
          <w:rFonts w:hint="eastAsia"/>
          <w:sz w:val="24"/>
          <w:szCs w:val="32"/>
        </w:rPr>
        <w:t>（主要从业人员及其技术资格）</w:t>
      </w:r>
    </w:p>
    <w:tbl>
      <w:tblPr>
        <w:tblStyle w:val="40"/>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sz w:val="24"/>
                <w:szCs w:val="20"/>
              </w:rPr>
            </w:pPr>
            <w:r>
              <w:rPr>
                <w:rFonts w:hint="eastAsia" w:ascii="宋体" w:hAnsi="宋体"/>
                <w:b/>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sz w:val="24"/>
                <w:szCs w:val="20"/>
              </w:rPr>
            </w:pPr>
            <w:r>
              <w:rPr>
                <w:rFonts w:hint="eastAsia" w:ascii="宋体" w:hAnsi="宋体"/>
                <w:b/>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sz w:val="24"/>
                <w:szCs w:val="20"/>
              </w:rPr>
            </w:pPr>
            <w:r>
              <w:rPr>
                <w:rFonts w:hint="eastAsia" w:ascii="宋体" w:hAnsi="宋体"/>
                <w:b/>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sz w:val="24"/>
                <w:szCs w:val="20"/>
              </w:rPr>
            </w:pPr>
            <w:r>
              <w:rPr>
                <w:rFonts w:hint="eastAsia" w:ascii="宋体" w:hAnsi="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sz w:val="24"/>
                <w:szCs w:val="20"/>
              </w:rPr>
            </w:pPr>
            <w:r>
              <w:rPr>
                <w:rFonts w:hint="eastAsia" w:ascii="宋体" w:hAnsi="宋体"/>
                <w:b/>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sz w:val="24"/>
                <w:szCs w:val="20"/>
              </w:rPr>
            </w:pPr>
            <w:r>
              <w:rPr>
                <w:rFonts w:hint="eastAsia" w:ascii="宋体" w:hAnsi="宋体"/>
                <w:b/>
                <w:sz w:val="24"/>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sz w:val="24"/>
                <w:szCs w:val="20"/>
              </w:rPr>
            </w:pPr>
            <w:r>
              <w:rPr>
                <w:rFonts w:hint="eastAsia" w:ascii="宋体" w:hAnsi="宋体"/>
                <w:b/>
                <w:bCs/>
                <w:sz w:val="24"/>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sz w:val="24"/>
                <w:szCs w:val="20"/>
              </w:rPr>
            </w:pPr>
            <w:r>
              <w:rPr>
                <w:rFonts w:hint="eastAsia" w:ascii="宋体" w:hAnsi="宋体"/>
                <w:b/>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24"/>
              <w:snapToGrid w:val="0"/>
              <w:spacing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24"/>
              <w:snapToGrid w:val="0"/>
              <w:spacing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24"/>
              <w:spacing w:line="360" w:lineRule="auto"/>
              <w:ind w:left="5250"/>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r>
    </w:tbl>
    <w:p>
      <w:pPr>
        <w:spacing w:line="360" w:lineRule="auto"/>
        <w:jc w:val="left"/>
        <w:rPr>
          <w:b/>
          <w:bCs/>
          <w:sz w:val="24"/>
          <w:szCs w:val="32"/>
        </w:rPr>
      </w:pPr>
      <w:r>
        <w:rPr>
          <w:rFonts w:hint="eastAsia"/>
          <w:b/>
          <w:bCs/>
          <w:sz w:val="24"/>
          <w:szCs w:val="32"/>
        </w:rPr>
        <w:t>要求：</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1.在填写时，如本表格不适合投标单位的实际情况，可根据本表格式自行划表填写。</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2.附人员证书复印件；</w:t>
      </w:r>
    </w:p>
    <w:p>
      <w:pPr>
        <w:spacing w:line="360" w:lineRule="auto"/>
        <w:jc w:val="left"/>
        <w:rPr>
          <w:rFonts w:ascii="宋体" w:hAnsi="宋体" w:cs="宋体"/>
          <w:sz w:val="24"/>
          <w:szCs w:val="32"/>
        </w:rPr>
      </w:pPr>
      <w:r>
        <w:rPr>
          <w:rFonts w:hint="eastAsia" w:ascii="宋体" w:hAnsi="宋体" w:cs="宋体"/>
          <w:sz w:val="24"/>
          <w:szCs w:val="32"/>
        </w:rPr>
        <w:t>　　3.出具上述人员在本单位服务的外部证明，如：投标截止日之前三个月参加社会保险的《投保单》或《社会保险参保人员证明》等。</w:t>
      </w:r>
    </w:p>
    <w:p>
      <w:pPr>
        <w:spacing w:line="360" w:lineRule="auto"/>
        <w:rPr>
          <w:rFonts w:ascii="宋体" w:hAnsi="宋体" w:cs="宋体"/>
          <w:sz w:val="24"/>
          <w:szCs w:val="32"/>
        </w:rPr>
      </w:pPr>
    </w:p>
    <w:p>
      <w:pPr>
        <w:spacing w:line="360" w:lineRule="auto"/>
        <w:rPr>
          <w:rFonts w:ascii="宋体" w:hAnsi="宋体"/>
          <w:sz w:val="24"/>
        </w:rPr>
      </w:pPr>
      <w:r>
        <w:rPr>
          <w:rFonts w:hint="eastAsia" w:ascii="宋体" w:hAnsi="宋体"/>
          <w:sz w:val="24"/>
        </w:rPr>
        <w:t>投标人名称（盖章）：</w:t>
      </w:r>
    </w:p>
    <w:p>
      <w:pPr>
        <w:spacing w:line="360" w:lineRule="auto"/>
        <w:rPr>
          <w:rFonts w:ascii="宋体" w:hAnsi="宋体"/>
          <w:sz w:val="24"/>
        </w:rPr>
      </w:pPr>
      <w:r>
        <w:rPr>
          <w:rFonts w:hint="eastAsia" w:ascii="宋体" w:hAnsi="宋体"/>
          <w:sz w:val="24"/>
        </w:rPr>
        <w:t>授权委托代理人签字或盖章：</w:t>
      </w:r>
    </w:p>
    <w:p>
      <w:pPr>
        <w:spacing w:line="360" w:lineRule="auto"/>
        <w:rPr>
          <w:rFonts w:ascii="宋体" w:hAnsi="宋体"/>
          <w:sz w:val="24"/>
        </w:rPr>
      </w:pPr>
      <w:r>
        <w:rPr>
          <w:rFonts w:hint="eastAsia" w:ascii="宋体" w:hAnsi="宋体"/>
          <w:sz w:val="24"/>
        </w:rPr>
        <w:t>日期：</w:t>
      </w:r>
    </w:p>
    <w:p>
      <w:pPr>
        <w:spacing w:line="360" w:lineRule="auto"/>
        <w:rPr>
          <w:rFonts w:ascii="宋体" w:hAnsi="宋体"/>
          <w:b/>
          <w:sz w:val="28"/>
        </w:rPr>
      </w:pPr>
      <w:r>
        <w:rPr>
          <w:rFonts w:hint="eastAsia" w:ascii="宋体" w:hAnsi="宋体"/>
          <w:b/>
          <w:sz w:val="28"/>
        </w:rPr>
        <w:t>附件9</w:t>
      </w:r>
    </w:p>
    <w:p>
      <w:pPr>
        <w:spacing w:beforeLines="50"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p>
      <w:pPr>
        <w:spacing w:line="360" w:lineRule="auto"/>
        <w:rPr>
          <w:rFonts w:ascii="宋体" w:hAnsi="宋体"/>
          <w:sz w:val="24"/>
          <w:szCs w:val="32"/>
        </w:rPr>
      </w:pPr>
      <w:r>
        <w:rPr>
          <w:rFonts w:hint="eastAsia" w:ascii="宋体" w:hAnsi="宋体"/>
          <w:sz w:val="24"/>
          <w:szCs w:val="32"/>
        </w:rPr>
        <w:t>采购项目：采购编号：</w:t>
      </w:r>
    </w:p>
    <w:tbl>
      <w:tblPr>
        <w:tblStyle w:val="40"/>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jc w:val="center"/>
              <w:rPr>
                <w:b/>
                <w:bCs/>
                <w:sz w:val="24"/>
                <w:lang w:val="zh-CN"/>
              </w:rPr>
            </w:pPr>
            <w:r>
              <w:rPr>
                <w:rFonts w:hint="eastAsia"/>
                <w:b/>
                <w:bCs/>
                <w:sz w:val="24"/>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jc w:val="center"/>
              <w:rPr>
                <w:b/>
                <w:bCs/>
                <w:sz w:val="24"/>
              </w:rPr>
            </w:pPr>
            <w:r>
              <w:rPr>
                <w:rFonts w:hint="eastAsia"/>
                <w:b/>
                <w:bCs/>
                <w:sz w:val="24"/>
              </w:rPr>
              <w:t>注：业绩证明应提供旁证材料</w:t>
            </w:r>
          </w:p>
          <w:p>
            <w:pPr>
              <w:jc w:val="center"/>
              <w:rPr>
                <w:b/>
                <w:bCs/>
                <w:sz w:val="24"/>
                <w:lang w:val="zh-CN"/>
              </w:rPr>
            </w:pPr>
            <w:r>
              <w:rPr>
                <w:rFonts w:hint="eastAsia"/>
                <w:b/>
                <w:bCs/>
                <w:sz w:val="24"/>
              </w:rPr>
              <w:t>（合同或中标通知书）。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jc w:val="center"/>
              <w:rPr>
                <w:b/>
                <w:bCs/>
                <w:sz w:val="24"/>
                <w:lang w:val="zh-CN"/>
              </w:rPr>
            </w:pPr>
            <w:r>
              <w:rPr>
                <w:rFonts w:hint="eastAsia"/>
                <w:b/>
                <w:bCs/>
                <w:sz w:val="24"/>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jc w:val="center"/>
              <w:rPr>
                <w:b/>
                <w:bCs/>
                <w:sz w:val="24"/>
                <w:lang w:val="zh-CN"/>
              </w:rPr>
            </w:pPr>
          </w:p>
        </w:tc>
      </w:tr>
    </w:tbl>
    <w:p>
      <w:pPr>
        <w:spacing w:line="360" w:lineRule="auto"/>
        <w:rPr>
          <w:rFonts w:ascii="宋体" w:hAnsi="宋体"/>
          <w:sz w:val="24"/>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授权委托代理人签字或盖章：</w:t>
      </w:r>
    </w:p>
    <w:p>
      <w:pPr>
        <w:spacing w:line="480" w:lineRule="auto"/>
        <w:rPr>
          <w:rFonts w:ascii="宋体" w:hAnsi="宋体"/>
          <w:sz w:val="24"/>
        </w:rPr>
      </w:pPr>
      <w:r>
        <w:rPr>
          <w:rFonts w:hint="eastAsia" w:ascii="宋体" w:hAnsi="宋体"/>
          <w:sz w:val="24"/>
        </w:rPr>
        <w:t>日期：</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480" w:lineRule="exact"/>
        <w:jc w:val="left"/>
        <w:rPr>
          <w:rFonts w:ascii="宋体" w:hAnsi="宋体" w:cs="宋体"/>
          <w:b/>
          <w:bCs/>
          <w:sz w:val="28"/>
          <w:szCs w:val="36"/>
        </w:rPr>
      </w:pPr>
      <w:r>
        <w:rPr>
          <w:rFonts w:hint="eastAsia" w:ascii="宋体" w:hAnsi="宋体" w:cs="宋体"/>
          <w:b/>
          <w:bCs/>
          <w:sz w:val="28"/>
          <w:szCs w:val="36"/>
          <w:lang w:val="zh-CN"/>
        </w:rPr>
        <w:t>附件</w:t>
      </w:r>
      <w:r>
        <w:rPr>
          <w:rFonts w:hint="eastAsia" w:ascii="宋体" w:hAnsi="宋体" w:cs="宋体"/>
          <w:b/>
          <w:bCs/>
          <w:sz w:val="28"/>
          <w:szCs w:val="36"/>
        </w:rPr>
        <w:t>10</w:t>
      </w:r>
    </w:p>
    <w:p>
      <w:pPr>
        <w:spacing w:line="480" w:lineRule="exact"/>
        <w:jc w:val="center"/>
        <w:rPr>
          <w:rFonts w:ascii="宋体" w:hAnsi="宋体" w:cs="宋体"/>
          <w:b/>
          <w:bCs/>
          <w:sz w:val="32"/>
          <w:szCs w:val="40"/>
          <w:lang w:val="zh-CN"/>
        </w:rPr>
      </w:pPr>
      <w:r>
        <w:rPr>
          <w:rFonts w:hint="eastAsia" w:ascii="宋体" w:hAnsi="宋体" w:cs="宋体"/>
          <w:b/>
          <w:bCs/>
          <w:sz w:val="32"/>
          <w:szCs w:val="40"/>
          <w:lang w:val="zh-CN"/>
        </w:rPr>
        <w:t>投标人提供的产品供货清单及原产地</w:t>
      </w:r>
    </w:p>
    <w:p>
      <w:pPr>
        <w:spacing w:line="480" w:lineRule="auto"/>
        <w:rPr>
          <w:rFonts w:ascii="宋体" w:hAnsi="宋体" w:cs="宋体"/>
          <w:b/>
          <w:szCs w:val="21"/>
        </w:rPr>
      </w:pPr>
      <w:r>
        <w:rPr>
          <w:rFonts w:hint="eastAsia" w:ascii="宋体" w:hAnsi="宋体"/>
          <w:sz w:val="24"/>
        </w:rPr>
        <w:t>项目编号：</w:t>
      </w:r>
    </w:p>
    <w:tbl>
      <w:tblPr>
        <w:tblStyle w:val="40"/>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16"/>
        <w:gridCol w:w="1138"/>
        <w:gridCol w:w="1139"/>
        <w:gridCol w:w="1139"/>
        <w:gridCol w:w="1139"/>
        <w:gridCol w:w="1139"/>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59" w:type="dxa"/>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1316" w:type="dxa"/>
            <w:vAlign w:val="center"/>
          </w:tcPr>
          <w:p>
            <w:pPr>
              <w:spacing w:line="360" w:lineRule="auto"/>
              <w:jc w:val="center"/>
              <w:rPr>
                <w:rFonts w:ascii="宋体" w:hAnsi="宋体" w:cs="宋体"/>
                <w:b/>
                <w:szCs w:val="21"/>
              </w:rPr>
            </w:pPr>
            <w:r>
              <w:rPr>
                <w:rFonts w:hint="eastAsia" w:ascii="宋体" w:hAnsi="宋体" w:cs="宋体"/>
                <w:b/>
                <w:szCs w:val="21"/>
              </w:rPr>
              <w:t>名称</w:t>
            </w:r>
          </w:p>
        </w:tc>
        <w:tc>
          <w:tcPr>
            <w:tcW w:w="1138" w:type="dxa"/>
            <w:vAlign w:val="center"/>
          </w:tcPr>
          <w:p>
            <w:pPr>
              <w:spacing w:line="360" w:lineRule="auto"/>
              <w:jc w:val="center"/>
              <w:rPr>
                <w:rFonts w:ascii="宋体" w:hAnsi="宋体" w:cs="宋体"/>
                <w:b/>
                <w:szCs w:val="21"/>
              </w:rPr>
            </w:pPr>
            <w:r>
              <w:rPr>
                <w:rFonts w:hint="eastAsia" w:ascii="宋体" w:hAnsi="宋体" w:cs="宋体"/>
                <w:b/>
                <w:szCs w:val="21"/>
              </w:rPr>
              <w:t>型号</w:t>
            </w:r>
          </w:p>
        </w:tc>
        <w:tc>
          <w:tcPr>
            <w:tcW w:w="1139" w:type="dxa"/>
            <w:vAlign w:val="center"/>
          </w:tcPr>
          <w:p>
            <w:pPr>
              <w:spacing w:line="360" w:lineRule="auto"/>
              <w:jc w:val="center"/>
              <w:rPr>
                <w:rFonts w:ascii="宋体" w:hAnsi="宋体" w:cs="宋体"/>
                <w:b/>
                <w:szCs w:val="21"/>
              </w:rPr>
            </w:pPr>
            <w:r>
              <w:rPr>
                <w:rFonts w:hint="eastAsia" w:ascii="宋体" w:hAnsi="宋体" w:cs="宋体"/>
                <w:b/>
                <w:szCs w:val="21"/>
              </w:rPr>
              <w:t>制造商/原产地</w:t>
            </w:r>
          </w:p>
        </w:tc>
        <w:tc>
          <w:tcPr>
            <w:tcW w:w="1139" w:type="dxa"/>
            <w:vAlign w:val="center"/>
          </w:tcPr>
          <w:p>
            <w:pPr>
              <w:spacing w:line="360" w:lineRule="auto"/>
              <w:jc w:val="center"/>
              <w:rPr>
                <w:rFonts w:ascii="宋体" w:hAnsi="宋体" w:cs="宋体"/>
                <w:b/>
                <w:szCs w:val="21"/>
              </w:rPr>
            </w:pPr>
            <w:r>
              <w:rPr>
                <w:rFonts w:hint="eastAsia" w:ascii="宋体" w:hAnsi="宋体" w:cs="宋体"/>
                <w:b/>
                <w:szCs w:val="21"/>
              </w:rPr>
              <w:t>品牌</w:t>
            </w:r>
          </w:p>
        </w:tc>
        <w:tc>
          <w:tcPr>
            <w:tcW w:w="1139" w:type="dxa"/>
            <w:vAlign w:val="center"/>
          </w:tcPr>
          <w:p>
            <w:pPr>
              <w:spacing w:line="360" w:lineRule="auto"/>
              <w:jc w:val="center"/>
              <w:rPr>
                <w:rFonts w:ascii="宋体" w:hAnsi="宋体" w:cs="宋体"/>
                <w:b/>
                <w:szCs w:val="21"/>
              </w:rPr>
            </w:pPr>
            <w:r>
              <w:rPr>
                <w:rFonts w:hint="eastAsia" w:ascii="宋体" w:hAnsi="宋体" w:cs="宋体"/>
                <w:b/>
                <w:szCs w:val="21"/>
              </w:rPr>
              <w:t>单位</w:t>
            </w:r>
          </w:p>
        </w:tc>
        <w:tc>
          <w:tcPr>
            <w:tcW w:w="1139" w:type="dxa"/>
            <w:vAlign w:val="center"/>
          </w:tcPr>
          <w:p>
            <w:pPr>
              <w:spacing w:line="360" w:lineRule="auto"/>
              <w:jc w:val="center"/>
              <w:rPr>
                <w:rFonts w:ascii="宋体" w:hAnsi="宋体" w:cs="宋体"/>
                <w:b/>
                <w:szCs w:val="21"/>
              </w:rPr>
            </w:pPr>
            <w:r>
              <w:rPr>
                <w:rFonts w:hint="eastAsia" w:ascii="宋体" w:hAnsi="宋体" w:cs="宋体"/>
                <w:b/>
                <w:szCs w:val="21"/>
              </w:rPr>
              <w:t>数量</w:t>
            </w:r>
          </w:p>
        </w:tc>
        <w:tc>
          <w:tcPr>
            <w:tcW w:w="1139" w:type="dxa"/>
            <w:vAlign w:val="center"/>
          </w:tcPr>
          <w:p>
            <w:pPr>
              <w:spacing w:line="360" w:lineRule="auto"/>
              <w:jc w:val="center"/>
              <w:rPr>
                <w:rFonts w:ascii="宋体" w:hAnsi="宋体" w:cs="宋体"/>
                <w:b/>
                <w:szCs w:val="21"/>
              </w:rPr>
            </w:pPr>
            <w:r>
              <w:rPr>
                <w:rFonts w:hint="eastAsia" w:ascii="宋体" w:hAnsi="宋体" w:cs="宋体"/>
                <w:b/>
                <w:szCs w:val="21"/>
              </w:rPr>
              <w:t>备注</w:t>
            </w:r>
          </w:p>
          <w:p>
            <w:pPr>
              <w:spacing w:line="360" w:lineRule="auto"/>
              <w:jc w:val="center"/>
              <w:rPr>
                <w:rFonts w:ascii="宋体" w:hAnsi="宋体" w:cs="宋体"/>
                <w:b/>
                <w:szCs w:val="21"/>
              </w:rPr>
            </w:pPr>
            <w:r>
              <w:rPr>
                <w:rFonts w:hint="eastAsia" w:ascii="宋体" w:hAnsi="宋体" w:cs="宋体"/>
                <w:b/>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316" w:type="dxa"/>
            <w:vAlign w:val="center"/>
          </w:tcPr>
          <w:p>
            <w:pPr>
              <w:spacing w:line="360" w:lineRule="auto"/>
              <w:jc w:val="center"/>
              <w:rPr>
                <w:rFonts w:ascii="宋体" w:hAnsi="宋体" w:cs="宋体"/>
                <w:szCs w:val="21"/>
              </w:rPr>
            </w:pPr>
          </w:p>
        </w:tc>
        <w:tc>
          <w:tcPr>
            <w:tcW w:w="1138" w:type="dxa"/>
            <w:vAlign w:val="center"/>
          </w:tcPr>
          <w:p>
            <w:pPr>
              <w:spacing w:line="360" w:lineRule="auto"/>
              <w:jc w:val="center"/>
              <w:rPr>
                <w:rFonts w:ascii="宋体" w:hAnsi="宋体" w:cs="宋体"/>
                <w:szCs w:val="21"/>
              </w:rPr>
            </w:pPr>
          </w:p>
        </w:tc>
        <w:tc>
          <w:tcPr>
            <w:tcW w:w="1139" w:type="dxa"/>
            <w:vAlign w:val="center"/>
          </w:tcPr>
          <w:p>
            <w:pPr>
              <w:spacing w:line="360" w:lineRule="auto"/>
              <w:jc w:val="center"/>
              <w:rPr>
                <w:rFonts w:ascii="宋体" w:hAnsi="宋体" w:cs="宋体"/>
                <w:szCs w:val="21"/>
              </w:rPr>
            </w:pPr>
          </w:p>
        </w:tc>
        <w:tc>
          <w:tcPr>
            <w:tcW w:w="1139" w:type="dxa"/>
            <w:vAlign w:val="center"/>
          </w:tcPr>
          <w:p>
            <w:pPr>
              <w:spacing w:line="360" w:lineRule="auto"/>
              <w:jc w:val="center"/>
              <w:rPr>
                <w:rFonts w:ascii="宋体" w:hAnsi="宋体" w:cs="宋体"/>
                <w:szCs w:val="21"/>
              </w:rPr>
            </w:pPr>
          </w:p>
        </w:tc>
        <w:tc>
          <w:tcPr>
            <w:tcW w:w="1139" w:type="dxa"/>
            <w:vAlign w:val="center"/>
          </w:tcPr>
          <w:p>
            <w:pPr>
              <w:spacing w:line="360" w:lineRule="auto"/>
              <w:jc w:val="center"/>
              <w:rPr>
                <w:rFonts w:ascii="宋体" w:hAnsi="宋体" w:cs="宋体"/>
                <w:szCs w:val="21"/>
              </w:rPr>
            </w:pPr>
          </w:p>
        </w:tc>
        <w:tc>
          <w:tcPr>
            <w:tcW w:w="1139" w:type="dxa"/>
            <w:vAlign w:val="center"/>
          </w:tcPr>
          <w:p>
            <w:pPr>
              <w:spacing w:line="360" w:lineRule="auto"/>
              <w:jc w:val="center"/>
              <w:rPr>
                <w:rFonts w:ascii="宋体" w:hAnsi="宋体" w:cs="宋体"/>
                <w:szCs w:val="21"/>
              </w:rPr>
            </w:pPr>
          </w:p>
        </w:tc>
        <w:tc>
          <w:tcPr>
            <w:tcW w:w="1139"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tcPr>
          <w:p>
            <w:pPr>
              <w:spacing w:line="360" w:lineRule="auto"/>
              <w:jc w:val="center"/>
              <w:rPr>
                <w:rFonts w:ascii="宋体" w:hAnsi="宋体" w:cs="宋体"/>
                <w:szCs w:val="21"/>
              </w:rPr>
            </w:pPr>
            <w:r>
              <w:rPr>
                <w:rFonts w:hint="eastAsia" w:ascii="宋体" w:hAnsi="宋体" w:cs="宋体"/>
                <w:szCs w:val="21"/>
              </w:rPr>
              <w:t>2</w:t>
            </w:r>
          </w:p>
        </w:tc>
        <w:tc>
          <w:tcPr>
            <w:tcW w:w="1316" w:type="dxa"/>
          </w:tcPr>
          <w:p>
            <w:pPr>
              <w:spacing w:line="360" w:lineRule="auto"/>
              <w:jc w:val="center"/>
              <w:rPr>
                <w:rFonts w:ascii="宋体" w:hAnsi="宋体" w:cs="宋体"/>
                <w:szCs w:val="21"/>
              </w:rPr>
            </w:pP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59" w:type="dxa"/>
          </w:tcPr>
          <w:p>
            <w:pPr>
              <w:spacing w:line="360" w:lineRule="auto"/>
              <w:jc w:val="center"/>
              <w:rPr>
                <w:rFonts w:ascii="宋体" w:hAnsi="宋体" w:cs="宋体"/>
                <w:szCs w:val="21"/>
              </w:rPr>
            </w:pPr>
            <w:r>
              <w:rPr>
                <w:rFonts w:hint="eastAsia" w:ascii="宋体" w:hAnsi="宋体" w:cs="宋体"/>
                <w:szCs w:val="21"/>
              </w:rPr>
              <w:t>3</w:t>
            </w:r>
          </w:p>
        </w:tc>
        <w:tc>
          <w:tcPr>
            <w:tcW w:w="1316" w:type="dxa"/>
          </w:tcPr>
          <w:p>
            <w:pPr>
              <w:spacing w:line="360" w:lineRule="auto"/>
              <w:jc w:val="center"/>
              <w:rPr>
                <w:rFonts w:ascii="宋体" w:hAnsi="宋体" w:cs="宋体"/>
                <w:szCs w:val="21"/>
              </w:rPr>
            </w:pP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tcPr>
          <w:p>
            <w:pPr>
              <w:spacing w:line="360" w:lineRule="auto"/>
              <w:jc w:val="center"/>
              <w:rPr>
                <w:rFonts w:ascii="宋体" w:hAnsi="宋体" w:cs="宋体"/>
                <w:szCs w:val="21"/>
              </w:rPr>
            </w:pPr>
            <w:r>
              <w:rPr>
                <w:rFonts w:hint="eastAsia" w:ascii="宋体" w:hAnsi="宋体" w:cs="宋体"/>
                <w:szCs w:val="21"/>
              </w:rPr>
              <w:t>4</w:t>
            </w:r>
          </w:p>
        </w:tc>
        <w:tc>
          <w:tcPr>
            <w:tcW w:w="1316" w:type="dxa"/>
          </w:tcPr>
          <w:p>
            <w:pPr>
              <w:spacing w:line="360" w:lineRule="auto"/>
              <w:jc w:val="center"/>
              <w:rPr>
                <w:rFonts w:ascii="宋体" w:hAnsi="宋体" w:cs="宋体"/>
                <w:szCs w:val="21"/>
              </w:rPr>
            </w:pP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59" w:type="dxa"/>
          </w:tcPr>
          <w:p>
            <w:pPr>
              <w:spacing w:line="360" w:lineRule="auto"/>
              <w:jc w:val="center"/>
              <w:rPr>
                <w:rFonts w:ascii="宋体" w:hAnsi="宋体" w:cs="宋体"/>
                <w:szCs w:val="21"/>
              </w:rPr>
            </w:pPr>
            <w:r>
              <w:rPr>
                <w:rFonts w:hint="eastAsia" w:ascii="宋体" w:hAnsi="宋体" w:cs="宋体"/>
                <w:szCs w:val="21"/>
              </w:rPr>
              <w:t>5</w:t>
            </w:r>
          </w:p>
        </w:tc>
        <w:tc>
          <w:tcPr>
            <w:tcW w:w="1316" w:type="dxa"/>
          </w:tcPr>
          <w:p>
            <w:pPr>
              <w:spacing w:line="360" w:lineRule="auto"/>
              <w:jc w:val="center"/>
              <w:rPr>
                <w:rFonts w:ascii="宋体" w:hAnsi="宋体" w:cs="宋体"/>
                <w:szCs w:val="21"/>
              </w:rPr>
            </w:pP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szCs w:val="21"/>
              </w:rPr>
            </w:pPr>
            <w:r>
              <w:rPr>
                <w:rFonts w:hint="eastAsia" w:ascii="宋体" w:hAnsi="宋体" w:cs="宋体"/>
                <w:szCs w:val="21"/>
              </w:rPr>
              <w:t>6</w:t>
            </w:r>
          </w:p>
        </w:tc>
        <w:tc>
          <w:tcPr>
            <w:tcW w:w="1316" w:type="dxa"/>
          </w:tcPr>
          <w:p>
            <w:pPr>
              <w:spacing w:line="360" w:lineRule="auto"/>
              <w:jc w:val="center"/>
              <w:rPr>
                <w:rFonts w:ascii="宋体" w:hAnsi="宋体" w:cs="宋体"/>
                <w:szCs w:val="21"/>
              </w:rPr>
            </w:pP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szCs w:val="21"/>
              </w:rPr>
            </w:pPr>
            <w:r>
              <w:rPr>
                <w:rFonts w:hint="eastAsia" w:ascii="宋体" w:hAnsi="宋体" w:cs="宋体"/>
                <w:szCs w:val="21"/>
              </w:rPr>
              <w:t>…</w:t>
            </w:r>
          </w:p>
        </w:tc>
        <w:tc>
          <w:tcPr>
            <w:tcW w:w="1316" w:type="dxa"/>
          </w:tcPr>
          <w:p>
            <w:pPr>
              <w:spacing w:line="360" w:lineRule="auto"/>
              <w:jc w:val="center"/>
              <w:rPr>
                <w:rFonts w:ascii="宋体" w:hAnsi="宋体" w:cs="宋体"/>
                <w:szCs w:val="21"/>
              </w:rPr>
            </w:pP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szCs w:val="21"/>
              </w:rPr>
            </w:pPr>
          </w:p>
        </w:tc>
        <w:tc>
          <w:tcPr>
            <w:tcW w:w="1316" w:type="dxa"/>
          </w:tcPr>
          <w:p>
            <w:pPr>
              <w:spacing w:line="360" w:lineRule="auto"/>
              <w:jc w:val="center"/>
              <w:rPr>
                <w:rFonts w:ascii="宋体" w:hAnsi="宋体" w:cs="宋体"/>
                <w:szCs w:val="21"/>
              </w:rPr>
            </w:pPr>
            <w:r>
              <w:rPr>
                <w:rFonts w:hint="eastAsia" w:ascii="宋体" w:hAnsi="宋体" w:cs="宋体"/>
                <w:szCs w:val="21"/>
              </w:rPr>
              <w:t>随产品备品备件</w:t>
            </w: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szCs w:val="21"/>
              </w:rPr>
            </w:pPr>
          </w:p>
        </w:tc>
        <w:tc>
          <w:tcPr>
            <w:tcW w:w="1316" w:type="dxa"/>
          </w:tcPr>
          <w:p>
            <w:pPr>
              <w:spacing w:line="360" w:lineRule="auto"/>
              <w:jc w:val="center"/>
              <w:rPr>
                <w:rFonts w:ascii="宋体" w:hAnsi="宋体" w:cs="宋体"/>
                <w:szCs w:val="21"/>
              </w:rPr>
            </w:pP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bl>
    <w:p>
      <w:pPr>
        <w:spacing w:line="360" w:lineRule="auto"/>
        <w:rPr>
          <w:rFonts w:ascii="宋体" w:hAnsi="宋体"/>
          <w:sz w:val="24"/>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授权委托代理人签字或盖章：</w:t>
      </w:r>
    </w:p>
    <w:p>
      <w:pPr>
        <w:spacing w:line="480" w:lineRule="auto"/>
        <w:rPr>
          <w:rFonts w:ascii="宋体" w:hAnsi="宋体"/>
          <w:sz w:val="24"/>
        </w:rPr>
      </w:pPr>
      <w:r>
        <w:rPr>
          <w:rFonts w:hint="eastAsia" w:ascii="宋体" w:hAnsi="宋体"/>
          <w:sz w:val="24"/>
        </w:rPr>
        <w:t>日期：</w:t>
      </w:r>
    </w:p>
    <w:p>
      <w:pPr>
        <w:pStyle w:val="4"/>
        <w:rPr>
          <w:rFonts w:ascii="宋体" w:hAnsi="宋体"/>
        </w:rPr>
      </w:pPr>
    </w:p>
    <w:p>
      <w:pPr>
        <w:pStyle w:val="5"/>
        <w:rPr>
          <w:rFonts w:ascii="宋体" w:hAnsi="宋体"/>
          <w:sz w:val="24"/>
        </w:rPr>
      </w:pPr>
    </w:p>
    <w:p>
      <w:pPr>
        <w:pStyle w:val="6"/>
        <w:rPr>
          <w:rFonts w:ascii="宋体" w:hAnsi="宋体"/>
          <w:sz w:val="24"/>
        </w:rPr>
      </w:pPr>
    </w:p>
    <w:p>
      <w:pPr>
        <w:rPr>
          <w:rFonts w:ascii="宋体" w:hAnsi="宋体"/>
          <w:sz w:val="24"/>
        </w:rPr>
      </w:pPr>
    </w:p>
    <w:p>
      <w:pPr>
        <w:pStyle w:val="4"/>
        <w:rPr>
          <w:rFonts w:ascii="宋体" w:hAnsi="宋体"/>
        </w:rPr>
      </w:pPr>
    </w:p>
    <w:p>
      <w:pPr>
        <w:pStyle w:val="5"/>
        <w:rPr>
          <w:rFonts w:ascii="宋体" w:hAnsi="宋体"/>
          <w:sz w:val="24"/>
        </w:rPr>
      </w:pPr>
    </w:p>
    <w:p>
      <w:pPr>
        <w:pStyle w:val="6"/>
      </w:pPr>
    </w:p>
    <w:p>
      <w:pPr>
        <w:spacing w:line="360" w:lineRule="auto"/>
        <w:rPr>
          <w:rFonts w:ascii="宋体" w:hAnsi="宋体"/>
          <w:sz w:val="24"/>
        </w:rPr>
      </w:pPr>
    </w:p>
    <w:p>
      <w:pPr>
        <w:pStyle w:val="4"/>
        <w:rPr>
          <w:rFonts w:ascii="宋体" w:hAnsi="宋体"/>
        </w:rPr>
      </w:pPr>
    </w:p>
    <w:p>
      <w:pPr>
        <w:pStyle w:val="5"/>
      </w:pPr>
    </w:p>
    <w:p>
      <w:pPr>
        <w:spacing w:line="480" w:lineRule="exact"/>
        <w:jc w:val="left"/>
        <w:rPr>
          <w:rFonts w:ascii="宋体" w:hAnsi="宋体" w:cs="宋体"/>
          <w:b/>
          <w:bCs/>
          <w:sz w:val="28"/>
          <w:szCs w:val="36"/>
        </w:rPr>
      </w:pPr>
      <w:r>
        <w:rPr>
          <w:rFonts w:hint="eastAsia" w:ascii="宋体" w:hAnsi="宋体" w:cs="宋体"/>
          <w:b/>
          <w:bCs/>
          <w:sz w:val="28"/>
          <w:szCs w:val="36"/>
          <w:lang w:val="zh-CN"/>
        </w:rPr>
        <w:t>附件</w:t>
      </w:r>
      <w:r>
        <w:rPr>
          <w:rFonts w:hint="eastAsia" w:ascii="宋体" w:hAnsi="宋体" w:cs="宋体"/>
          <w:b/>
          <w:bCs/>
          <w:sz w:val="28"/>
          <w:szCs w:val="36"/>
        </w:rPr>
        <w:t>11</w:t>
      </w:r>
    </w:p>
    <w:p>
      <w:pPr>
        <w:spacing w:line="360" w:lineRule="auto"/>
        <w:jc w:val="center"/>
        <w:rPr>
          <w:rFonts w:ascii="宋体"/>
          <w:b/>
          <w:bCs/>
          <w:sz w:val="32"/>
          <w:szCs w:val="32"/>
        </w:rPr>
      </w:pPr>
      <w:r>
        <w:rPr>
          <w:rFonts w:hint="eastAsia" w:ascii="宋体" w:hAnsi="宋体"/>
          <w:b/>
          <w:bCs/>
          <w:kern w:val="0"/>
          <w:sz w:val="32"/>
          <w:szCs w:val="32"/>
        </w:rPr>
        <w:t>技术需求响应表</w:t>
      </w:r>
    </w:p>
    <w:p>
      <w:pPr>
        <w:spacing w:line="360" w:lineRule="auto"/>
        <w:rPr>
          <w:rFonts w:ascii="宋体"/>
          <w:sz w:val="24"/>
        </w:rPr>
      </w:pPr>
    </w:p>
    <w:tbl>
      <w:tblPr>
        <w:tblStyle w:val="40"/>
        <w:tblW w:w="8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752"/>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23" w:type="dxa"/>
            <w:vAlign w:val="center"/>
          </w:tcPr>
          <w:p>
            <w:pPr>
              <w:jc w:val="center"/>
              <w:rPr>
                <w:b/>
                <w:bCs/>
                <w:sz w:val="24"/>
              </w:rPr>
            </w:pPr>
            <w:r>
              <w:rPr>
                <w:rFonts w:hint="eastAsia"/>
                <w:b/>
                <w:bCs/>
                <w:sz w:val="24"/>
              </w:rPr>
              <w:t>序号</w:t>
            </w:r>
          </w:p>
        </w:tc>
        <w:tc>
          <w:tcPr>
            <w:tcW w:w="2752" w:type="dxa"/>
            <w:vAlign w:val="center"/>
          </w:tcPr>
          <w:p>
            <w:pPr>
              <w:jc w:val="center"/>
              <w:rPr>
                <w:b/>
                <w:bCs/>
                <w:sz w:val="24"/>
              </w:rPr>
            </w:pPr>
            <w:r>
              <w:rPr>
                <w:rFonts w:hint="eastAsia"/>
                <w:b/>
                <w:bCs/>
                <w:sz w:val="24"/>
              </w:rPr>
              <w:t>名称</w:t>
            </w:r>
          </w:p>
        </w:tc>
        <w:tc>
          <w:tcPr>
            <w:tcW w:w="1560" w:type="dxa"/>
            <w:vAlign w:val="center"/>
          </w:tcPr>
          <w:p>
            <w:pPr>
              <w:jc w:val="center"/>
              <w:rPr>
                <w:b/>
                <w:bCs/>
                <w:sz w:val="24"/>
              </w:rPr>
            </w:pPr>
            <w:r>
              <w:rPr>
                <w:rFonts w:hint="eastAsia"/>
                <w:b/>
                <w:bCs/>
                <w:sz w:val="24"/>
              </w:rPr>
              <w:t>招标参数</w:t>
            </w:r>
          </w:p>
        </w:tc>
        <w:tc>
          <w:tcPr>
            <w:tcW w:w="1401" w:type="dxa"/>
            <w:vAlign w:val="center"/>
          </w:tcPr>
          <w:p>
            <w:pPr>
              <w:jc w:val="center"/>
              <w:rPr>
                <w:b/>
                <w:bCs/>
                <w:sz w:val="24"/>
              </w:rPr>
            </w:pPr>
            <w:r>
              <w:rPr>
                <w:rFonts w:hint="eastAsia"/>
                <w:b/>
                <w:bCs/>
                <w:sz w:val="24"/>
              </w:rPr>
              <w:t>投标参数</w:t>
            </w:r>
          </w:p>
        </w:tc>
        <w:tc>
          <w:tcPr>
            <w:tcW w:w="1365" w:type="dxa"/>
            <w:vAlign w:val="center"/>
          </w:tcPr>
          <w:p>
            <w:pPr>
              <w:jc w:val="center"/>
              <w:rPr>
                <w:b/>
                <w:bCs/>
                <w:sz w:val="24"/>
              </w:rPr>
            </w:pPr>
            <w:r>
              <w:rPr>
                <w:rFonts w:hint="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023" w:type="dxa"/>
            <w:vAlign w:val="center"/>
          </w:tcPr>
          <w:p>
            <w:pPr>
              <w:jc w:val="center"/>
              <w:rPr>
                <w:b/>
                <w:bCs/>
                <w:sz w:val="24"/>
              </w:rPr>
            </w:pPr>
          </w:p>
        </w:tc>
        <w:tc>
          <w:tcPr>
            <w:tcW w:w="2752" w:type="dxa"/>
            <w:vAlign w:val="center"/>
          </w:tcPr>
          <w:p>
            <w:pPr>
              <w:jc w:val="center"/>
              <w:rPr>
                <w:b/>
                <w:bCs/>
                <w:sz w:val="24"/>
              </w:rPr>
            </w:pPr>
          </w:p>
        </w:tc>
        <w:tc>
          <w:tcPr>
            <w:tcW w:w="1560" w:type="dxa"/>
            <w:vAlign w:val="center"/>
          </w:tcPr>
          <w:p>
            <w:pPr>
              <w:jc w:val="center"/>
              <w:rPr>
                <w:b/>
                <w:bCs/>
                <w:sz w:val="24"/>
              </w:rPr>
            </w:pPr>
          </w:p>
        </w:tc>
        <w:tc>
          <w:tcPr>
            <w:tcW w:w="1401" w:type="dxa"/>
            <w:vAlign w:val="center"/>
          </w:tcPr>
          <w:p>
            <w:pPr>
              <w:jc w:val="center"/>
              <w:rPr>
                <w:b/>
                <w:bCs/>
                <w:sz w:val="24"/>
              </w:rPr>
            </w:pPr>
          </w:p>
        </w:tc>
        <w:tc>
          <w:tcPr>
            <w:tcW w:w="1365"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23" w:type="dxa"/>
            <w:vAlign w:val="center"/>
          </w:tcPr>
          <w:p>
            <w:pPr>
              <w:jc w:val="center"/>
              <w:rPr>
                <w:b/>
                <w:bCs/>
                <w:sz w:val="24"/>
              </w:rPr>
            </w:pPr>
          </w:p>
        </w:tc>
        <w:tc>
          <w:tcPr>
            <w:tcW w:w="2752" w:type="dxa"/>
            <w:vAlign w:val="center"/>
          </w:tcPr>
          <w:p>
            <w:pPr>
              <w:jc w:val="center"/>
              <w:rPr>
                <w:b/>
                <w:bCs/>
                <w:sz w:val="24"/>
              </w:rPr>
            </w:pPr>
          </w:p>
        </w:tc>
        <w:tc>
          <w:tcPr>
            <w:tcW w:w="1560" w:type="dxa"/>
            <w:vAlign w:val="center"/>
          </w:tcPr>
          <w:p>
            <w:pPr>
              <w:jc w:val="center"/>
              <w:rPr>
                <w:b/>
                <w:bCs/>
                <w:sz w:val="24"/>
              </w:rPr>
            </w:pPr>
          </w:p>
        </w:tc>
        <w:tc>
          <w:tcPr>
            <w:tcW w:w="1401" w:type="dxa"/>
            <w:vAlign w:val="center"/>
          </w:tcPr>
          <w:p>
            <w:pPr>
              <w:jc w:val="center"/>
              <w:rPr>
                <w:b/>
                <w:bCs/>
                <w:sz w:val="24"/>
              </w:rPr>
            </w:pPr>
          </w:p>
        </w:tc>
        <w:tc>
          <w:tcPr>
            <w:tcW w:w="1365"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23" w:type="dxa"/>
            <w:vAlign w:val="center"/>
          </w:tcPr>
          <w:p>
            <w:pPr>
              <w:jc w:val="center"/>
              <w:rPr>
                <w:b/>
                <w:bCs/>
                <w:sz w:val="24"/>
              </w:rPr>
            </w:pPr>
          </w:p>
        </w:tc>
        <w:tc>
          <w:tcPr>
            <w:tcW w:w="2752" w:type="dxa"/>
            <w:vAlign w:val="center"/>
          </w:tcPr>
          <w:p>
            <w:pPr>
              <w:jc w:val="center"/>
              <w:rPr>
                <w:b/>
                <w:bCs/>
                <w:sz w:val="24"/>
              </w:rPr>
            </w:pPr>
          </w:p>
        </w:tc>
        <w:tc>
          <w:tcPr>
            <w:tcW w:w="1560" w:type="dxa"/>
            <w:vAlign w:val="center"/>
          </w:tcPr>
          <w:p>
            <w:pPr>
              <w:jc w:val="center"/>
              <w:rPr>
                <w:b/>
                <w:bCs/>
                <w:sz w:val="24"/>
              </w:rPr>
            </w:pPr>
          </w:p>
        </w:tc>
        <w:tc>
          <w:tcPr>
            <w:tcW w:w="1401" w:type="dxa"/>
            <w:vAlign w:val="center"/>
          </w:tcPr>
          <w:p>
            <w:pPr>
              <w:jc w:val="center"/>
              <w:rPr>
                <w:b/>
                <w:bCs/>
                <w:sz w:val="24"/>
              </w:rPr>
            </w:pPr>
          </w:p>
        </w:tc>
        <w:tc>
          <w:tcPr>
            <w:tcW w:w="1365"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23" w:type="dxa"/>
            <w:vAlign w:val="center"/>
          </w:tcPr>
          <w:p>
            <w:pPr>
              <w:jc w:val="center"/>
              <w:rPr>
                <w:b/>
                <w:bCs/>
                <w:sz w:val="24"/>
              </w:rPr>
            </w:pPr>
          </w:p>
        </w:tc>
        <w:tc>
          <w:tcPr>
            <w:tcW w:w="2752" w:type="dxa"/>
            <w:vAlign w:val="center"/>
          </w:tcPr>
          <w:p>
            <w:pPr>
              <w:jc w:val="center"/>
              <w:rPr>
                <w:b/>
                <w:bCs/>
                <w:sz w:val="24"/>
              </w:rPr>
            </w:pPr>
          </w:p>
        </w:tc>
        <w:tc>
          <w:tcPr>
            <w:tcW w:w="1560" w:type="dxa"/>
            <w:vAlign w:val="center"/>
          </w:tcPr>
          <w:p>
            <w:pPr>
              <w:jc w:val="center"/>
              <w:rPr>
                <w:b/>
                <w:bCs/>
                <w:sz w:val="24"/>
              </w:rPr>
            </w:pPr>
          </w:p>
        </w:tc>
        <w:tc>
          <w:tcPr>
            <w:tcW w:w="1401" w:type="dxa"/>
            <w:vAlign w:val="center"/>
          </w:tcPr>
          <w:p>
            <w:pPr>
              <w:jc w:val="center"/>
              <w:rPr>
                <w:b/>
                <w:bCs/>
                <w:sz w:val="24"/>
              </w:rPr>
            </w:pPr>
          </w:p>
        </w:tc>
        <w:tc>
          <w:tcPr>
            <w:tcW w:w="1365"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23" w:type="dxa"/>
            <w:vAlign w:val="center"/>
          </w:tcPr>
          <w:p>
            <w:pPr>
              <w:jc w:val="center"/>
              <w:rPr>
                <w:b/>
                <w:bCs/>
                <w:sz w:val="24"/>
              </w:rPr>
            </w:pPr>
          </w:p>
        </w:tc>
        <w:tc>
          <w:tcPr>
            <w:tcW w:w="2752" w:type="dxa"/>
            <w:vAlign w:val="center"/>
          </w:tcPr>
          <w:p>
            <w:pPr>
              <w:jc w:val="center"/>
              <w:rPr>
                <w:b/>
                <w:bCs/>
                <w:sz w:val="24"/>
              </w:rPr>
            </w:pPr>
          </w:p>
        </w:tc>
        <w:tc>
          <w:tcPr>
            <w:tcW w:w="1560" w:type="dxa"/>
            <w:vAlign w:val="center"/>
          </w:tcPr>
          <w:p>
            <w:pPr>
              <w:jc w:val="center"/>
              <w:rPr>
                <w:b/>
                <w:bCs/>
                <w:sz w:val="24"/>
              </w:rPr>
            </w:pPr>
          </w:p>
        </w:tc>
        <w:tc>
          <w:tcPr>
            <w:tcW w:w="1401" w:type="dxa"/>
            <w:vAlign w:val="center"/>
          </w:tcPr>
          <w:p>
            <w:pPr>
              <w:jc w:val="center"/>
              <w:rPr>
                <w:b/>
                <w:bCs/>
                <w:sz w:val="24"/>
              </w:rPr>
            </w:pPr>
          </w:p>
        </w:tc>
        <w:tc>
          <w:tcPr>
            <w:tcW w:w="1365"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23" w:type="dxa"/>
            <w:vAlign w:val="center"/>
          </w:tcPr>
          <w:p>
            <w:pPr>
              <w:jc w:val="center"/>
              <w:rPr>
                <w:b/>
                <w:bCs/>
                <w:sz w:val="24"/>
              </w:rPr>
            </w:pPr>
          </w:p>
        </w:tc>
        <w:tc>
          <w:tcPr>
            <w:tcW w:w="2752" w:type="dxa"/>
            <w:vAlign w:val="center"/>
          </w:tcPr>
          <w:p>
            <w:pPr>
              <w:jc w:val="center"/>
              <w:rPr>
                <w:b/>
                <w:bCs/>
                <w:sz w:val="24"/>
              </w:rPr>
            </w:pPr>
          </w:p>
        </w:tc>
        <w:tc>
          <w:tcPr>
            <w:tcW w:w="1560" w:type="dxa"/>
            <w:vAlign w:val="center"/>
          </w:tcPr>
          <w:p>
            <w:pPr>
              <w:jc w:val="center"/>
              <w:rPr>
                <w:b/>
                <w:bCs/>
                <w:sz w:val="24"/>
              </w:rPr>
            </w:pPr>
          </w:p>
        </w:tc>
        <w:tc>
          <w:tcPr>
            <w:tcW w:w="1401" w:type="dxa"/>
            <w:vAlign w:val="center"/>
          </w:tcPr>
          <w:p>
            <w:pPr>
              <w:jc w:val="center"/>
              <w:rPr>
                <w:b/>
                <w:bCs/>
                <w:sz w:val="24"/>
              </w:rPr>
            </w:pPr>
          </w:p>
        </w:tc>
        <w:tc>
          <w:tcPr>
            <w:tcW w:w="1365"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23" w:type="dxa"/>
            <w:vAlign w:val="center"/>
          </w:tcPr>
          <w:p>
            <w:pPr>
              <w:jc w:val="center"/>
              <w:rPr>
                <w:b/>
                <w:bCs/>
                <w:sz w:val="24"/>
              </w:rPr>
            </w:pPr>
          </w:p>
        </w:tc>
        <w:tc>
          <w:tcPr>
            <w:tcW w:w="2752" w:type="dxa"/>
            <w:vAlign w:val="center"/>
          </w:tcPr>
          <w:p>
            <w:pPr>
              <w:jc w:val="center"/>
              <w:rPr>
                <w:b/>
                <w:bCs/>
                <w:sz w:val="24"/>
              </w:rPr>
            </w:pPr>
          </w:p>
        </w:tc>
        <w:tc>
          <w:tcPr>
            <w:tcW w:w="1560" w:type="dxa"/>
            <w:vAlign w:val="center"/>
          </w:tcPr>
          <w:p>
            <w:pPr>
              <w:jc w:val="center"/>
              <w:rPr>
                <w:b/>
                <w:bCs/>
                <w:sz w:val="24"/>
              </w:rPr>
            </w:pPr>
          </w:p>
        </w:tc>
        <w:tc>
          <w:tcPr>
            <w:tcW w:w="1401" w:type="dxa"/>
            <w:vAlign w:val="center"/>
          </w:tcPr>
          <w:p>
            <w:pPr>
              <w:jc w:val="center"/>
              <w:rPr>
                <w:b/>
                <w:bCs/>
                <w:sz w:val="24"/>
              </w:rPr>
            </w:pPr>
          </w:p>
        </w:tc>
        <w:tc>
          <w:tcPr>
            <w:tcW w:w="1365" w:type="dxa"/>
            <w:vAlign w:val="center"/>
          </w:tcPr>
          <w:p>
            <w:pPr>
              <w:jc w:val="center"/>
              <w:rPr>
                <w:b/>
                <w:bCs/>
                <w:sz w:val="24"/>
              </w:rPr>
            </w:pPr>
          </w:p>
        </w:tc>
      </w:tr>
    </w:tbl>
    <w:p>
      <w:pPr>
        <w:spacing w:line="360" w:lineRule="auto"/>
        <w:rPr>
          <w:rFonts w:ascii="宋体" w:hAnsi="宋体"/>
          <w:b/>
          <w:bCs/>
          <w:sz w:val="24"/>
        </w:rPr>
      </w:pPr>
      <w:r>
        <w:rPr>
          <w:rFonts w:hint="eastAsia" w:ascii="宋体" w:hAnsi="宋体"/>
          <w:b/>
          <w:bCs/>
          <w:sz w:val="24"/>
        </w:rPr>
        <w:t>要求：</w:t>
      </w:r>
    </w:p>
    <w:p>
      <w:pPr>
        <w:spacing w:line="360" w:lineRule="auto"/>
        <w:ind w:firstLine="480" w:firstLineChars="200"/>
        <w:rPr>
          <w:rFonts w:ascii="宋体" w:hAnsi="宋体"/>
          <w:sz w:val="24"/>
        </w:rPr>
      </w:pPr>
      <w:r>
        <w:rPr>
          <w:rFonts w:hint="eastAsia" w:ascii="宋体" w:hAnsi="宋体"/>
          <w:sz w:val="24"/>
        </w:rPr>
        <w:t>1.本表参照本招标文件“第四章公开招标需求”内容填制，对照招标文件要求在“偏离情况”栏注明“正偏离”、“负偏离”或“无偏离”。</w:t>
      </w:r>
    </w:p>
    <w:p>
      <w:pPr>
        <w:spacing w:line="360" w:lineRule="auto"/>
        <w:ind w:firstLine="480" w:firstLineChars="200"/>
        <w:rPr>
          <w:rFonts w:ascii="宋体" w:hAnsi="宋体"/>
          <w:sz w:val="24"/>
        </w:rPr>
      </w:pPr>
      <w:r>
        <w:rPr>
          <w:rFonts w:hint="eastAsia" w:ascii="宋体" w:hAnsi="宋体"/>
          <w:sz w:val="24"/>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sz w:val="24"/>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授权委托代理人签字或盖章：</w:t>
      </w:r>
    </w:p>
    <w:p>
      <w:pPr>
        <w:spacing w:line="480" w:lineRule="auto"/>
        <w:rPr>
          <w:rFonts w:ascii="宋体" w:hAnsi="宋体"/>
          <w:sz w:val="24"/>
        </w:rPr>
      </w:pPr>
      <w:r>
        <w:rPr>
          <w:rFonts w:hint="eastAsia" w:ascii="宋体" w:hAnsi="宋体"/>
          <w:sz w:val="24"/>
        </w:rPr>
        <w:t>日期：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4"/>
      </w:pPr>
    </w:p>
    <w:p>
      <w:pPr>
        <w:spacing w:line="360" w:lineRule="auto"/>
        <w:jc w:val="left"/>
        <w:rPr>
          <w:rFonts w:ascii="宋体" w:hAnsi="宋体" w:cs="宋体"/>
          <w:b/>
          <w:bCs/>
          <w:sz w:val="28"/>
          <w:szCs w:val="36"/>
        </w:rPr>
      </w:pPr>
      <w:r>
        <w:rPr>
          <w:rFonts w:hint="eastAsia" w:ascii="宋体" w:hAnsi="宋体" w:cs="宋体"/>
          <w:b/>
          <w:bCs/>
          <w:sz w:val="28"/>
          <w:szCs w:val="36"/>
          <w:lang w:val="zh-CN"/>
        </w:rPr>
        <w:t>附件</w:t>
      </w:r>
      <w:r>
        <w:rPr>
          <w:rFonts w:hint="eastAsia" w:ascii="宋体" w:hAnsi="宋体" w:cs="宋体"/>
          <w:b/>
          <w:bCs/>
          <w:sz w:val="28"/>
          <w:szCs w:val="36"/>
        </w:rPr>
        <w:t>12</w:t>
      </w: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证书一览表</w:t>
      </w:r>
    </w:p>
    <w:p>
      <w:pPr>
        <w:spacing w:line="360" w:lineRule="auto"/>
        <w:jc w:val="left"/>
        <w:rPr>
          <w:rFonts w:ascii="宋体" w:hAnsi="宋体" w:cs="宋体"/>
          <w:b/>
          <w:bCs/>
          <w:sz w:val="24"/>
          <w:szCs w:val="32"/>
          <w:lang w:val="zh-CN"/>
        </w:rPr>
      </w:pPr>
    </w:p>
    <w:tbl>
      <w:tblPr>
        <w:tblStyle w:val="40"/>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72"/>
              <w:spacing w:line="360" w:lineRule="auto"/>
              <w:jc w:val="center"/>
              <w:rPr>
                <w:rFonts w:ascii="宋体" w:cs="Arial"/>
                <w:b/>
                <w:bCs/>
                <w:sz w:val="24"/>
              </w:rPr>
            </w:pPr>
            <w:r>
              <w:rPr>
                <w:rFonts w:hint="eastAsia" w:ascii="宋体" w:hAnsi="宋体" w:cs="Arial"/>
                <w:b/>
                <w:bCs/>
                <w:sz w:val="24"/>
              </w:rPr>
              <w:t>证书名称</w:t>
            </w:r>
          </w:p>
        </w:tc>
        <w:tc>
          <w:tcPr>
            <w:tcW w:w="2258" w:type="dxa"/>
            <w:tcBorders>
              <w:top w:val="double" w:color="auto" w:sz="4" w:space="0"/>
            </w:tcBorders>
          </w:tcPr>
          <w:p>
            <w:pPr>
              <w:pStyle w:val="72"/>
              <w:spacing w:line="360" w:lineRule="auto"/>
              <w:jc w:val="center"/>
              <w:rPr>
                <w:rFonts w:ascii="宋体" w:cs="Arial"/>
                <w:b/>
                <w:bCs/>
                <w:sz w:val="24"/>
              </w:rPr>
            </w:pPr>
            <w:r>
              <w:rPr>
                <w:rFonts w:hint="eastAsia" w:ascii="宋体" w:hAnsi="宋体" w:cs="Arial"/>
                <w:b/>
                <w:bCs/>
                <w:sz w:val="24"/>
              </w:rPr>
              <w:t>发证单位</w:t>
            </w:r>
          </w:p>
        </w:tc>
        <w:tc>
          <w:tcPr>
            <w:tcW w:w="2260" w:type="dxa"/>
            <w:tcBorders>
              <w:top w:val="double" w:color="auto" w:sz="4" w:space="0"/>
            </w:tcBorders>
          </w:tcPr>
          <w:p>
            <w:pPr>
              <w:pStyle w:val="72"/>
              <w:spacing w:line="360" w:lineRule="auto"/>
              <w:jc w:val="center"/>
              <w:rPr>
                <w:rFonts w:ascii="宋体" w:cs="Arial"/>
                <w:b/>
                <w:bCs/>
                <w:sz w:val="24"/>
              </w:rPr>
            </w:pPr>
            <w:r>
              <w:rPr>
                <w:rFonts w:hint="eastAsia" w:ascii="宋体" w:hAnsi="宋体" w:cs="Arial"/>
                <w:b/>
                <w:bCs/>
                <w:sz w:val="24"/>
              </w:rPr>
              <w:t>证书等级</w:t>
            </w:r>
          </w:p>
        </w:tc>
        <w:tc>
          <w:tcPr>
            <w:tcW w:w="2047" w:type="dxa"/>
            <w:tcBorders>
              <w:top w:val="double" w:color="auto" w:sz="4" w:space="0"/>
              <w:right w:val="single" w:color="auto" w:sz="4" w:space="0"/>
            </w:tcBorders>
          </w:tcPr>
          <w:p>
            <w:pPr>
              <w:pStyle w:val="72"/>
              <w:spacing w:line="360" w:lineRule="auto"/>
              <w:jc w:val="center"/>
              <w:rPr>
                <w:rFonts w:ascii="宋体" w:cs="Arial"/>
                <w:b/>
                <w:bCs/>
                <w:sz w:val="24"/>
              </w:rPr>
            </w:pPr>
            <w:r>
              <w:rPr>
                <w:rFonts w:hint="eastAsia" w:ascii="宋体" w:hAnsi="宋体" w:cs="Arial"/>
                <w:b/>
                <w:bCs/>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867" w:type="dxa"/>
            <w:tcBorders>
              <w:left w:val="single" w:color="auto" w:sz="4" w:space="0"/>
            </w:tcBorders>
          </w:tcPr>
          <w:p>
            <w:pPr>
              <w:pStyle w:val="72"/>
              <w:spacing w:line="360" w:lineRule="auto"/>
              <w:jc w:val="center"/>
              <w:rPr>
                <w:rFonts w:ascii="宋体" w:cs="Arial"/>
                <w:szCs w:val="21"/>
              </w:rPr>
            </w:pPr>
          </w:p>
        </w:tc>
        <w:tc>
          <w:tcPr>
            <w:tcW w:w="2258" w:type="dxa"/>
          </w:tcPr>
          <w:p>
            <w:pPr>
              <w:pStyle w:val="72"/>
              <w:spacing w:line="360" w:lineRule="auto"/>
              <w:jc w:val="center"/>
              <w:rPr>
                <w:rFonts w:ascii="宋体" w:cs="Arial"/>
                <w:szCs w:val="21"/>
              </w:rPr>
            </w:pPr>
          </w:p>
        </w:tc>
        <w:tc>
          <w:tcPr>
            <w:tcW w:w="2260" w:type="dxa"/>
          </w:tcPr>
          <w:p>
            <w:pPr>
              <w:pStyle w:val="72"/>
              <w:spacing w:line="360" w:lineRule="auto"/>
              <w:jc w:val="center"/>
              <w:rPr>
                <w:rFonts w:ascii="宋体" w:cs="Arial"/>
                <w:szCs w:val="21"/>
              </w:rPr>
            </w:pPr>
          </w:p>
        </w:tc>
        <w:tc>
          <w:tcPr>
            <w:tcW w:w="2047" w:type="dxa"/>
            <w:tcBorders>
              <w:right w:val="single" w:color="auto" w:sz="4" w:space="0"/>
            </w:tcBorders>
          </w:tcPr>
          <w:p>
            <w:pPr>
              <w:pStyle w:val="72"/>
              <w:spacing w:line="360" w:lineRule="auto"/>
              <w:jc w:val="center"/>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72"/>
              <w:spacing w:line="360" w:lineRule="auto"/>
              <w:jc w:val="center"/>
              <w:rPr>
                <w:rFonts w:ascii="宋体" w:cs="Arial"/>
                <w:szCs w:val="21"/>
              </w:rPr>
            </w:pPr>
          </w:p>
        </w:tc>
        <w:tc>
          <w:tcPr>
            <w:tcW w:w="2258" w:type="dxa"/>
          </w:tcPr>
          <w:p>
            <w:pPr>
              <w:pStyle w:val="72"/>
              <w:spacing w:line="360" w:lineRule="auto"/>
              <w:jc w:val="center"/>
              <w:rPr>
                <w:rFonts w:ascii="宋体" w:cs="Arial"/>
                <w:szCs w:val="21"/>
              </w:rPr>
            </w:pPr>
          </w:p>
        </w:tc>
        <w:tc>
          <w:tcPr>
            <w:tcW w:w="2260" w:type="dxa"/>
          </w:tcPr>
          <w:p>
            <w:pPr>
              <w:pStyle w:val="72"/>
              <w:spacing w:line="360" w:lineRule="auto"/>
              <w:jc w:val="center"/>
              <w:rPr>
                <w:rFonts w:ascii="宋体" w:cs="Arial"/>
                <w:szCs w:val="21"/>
              </w:rPr>
            </w:pPr>
          </w:p>
        </w:tc>
        <w:tc>
          <w:tcPr>
            <w:tcW w:w="2047" w:type="dxa"/>
            <w:tcBorders>
              <w:right w:val="single" w:color="auto" w:sz="4" w:space="0"/>
            </w:tcBorders>
          </w:tcPr>
          <w:p>
            <w:pPr>
              <w:pStyle w:val="72"/>
              <w:spacing w:line="360" w:lineRule="auto"/>
              <w:jc w:val="center"/>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72"/>
              <w:spacing w:line="360" w:lineRule="auto"/>
              <w:jc w:val="center"/>
              <w:rPr>
                <w:rFonts w:ascii="宋体" w:cs="Arial"/>
                <w:szCs w:val="21"/>
              </w:rPr>
            </w:pPr>
          </w:p>
        </w:tc>
        <w:tc>
          <w:tcPr>
            <w:tcW w:w="2258" w:type="dxa"/>
          </w:tcPr>
          <w:p>
            <w:pPr>
              <w:pStyle w:val="72"/>
              <w:spacing w:line="360" w:lineRule="auto"/>
              <w:jc w:val="center"/>
              <w:rPr>
                <w:rFonts w:ascii="宋体" w:cs="Arial"/>
                <w:szCs w:val="21"/>
              </w:rPr>
            </w:pPr>
          </w:p>
        </w:tc>
        <w:tc>
          <w:tcPr>
            <w:tcW w:w="2260" w:type="dxa"/>
          </w:tcPr>
          <w:p>
            <w:pPr>
              <w:pStyle w:val="72"/>
              <w:spacing w:line="360" w:lineRule="auto"/>
              <w:jc w:val="center"/>
              <w:rPr>
                <w:rFonts w:ascii="宋体" w:cs="Arial"/>
                <w:szCs w:val="21"/>
              </w:rPr>
            </w:pPr>
          </w:p>
        </w:tc>
        <w:tc>
          <w:tcPr>
            <w:tcW w:w="2047" w:type="dxa"/>
            <w:tcBorders>
              <w:right w:val="single" w:color="auto" w:sz="4" w:space="0"/>
            </w:tcBorders>
          </w:tcPr>
          <w:p>
            <w:pPr>
              <w:pStyle w:val="72"/>
              <w:spacing w:line="360" w:lineRule="auto"/>
              <w:jc w:val="center"/>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72"/>
              <w:spacing w:line="360" w:lineRule="auto"/>
              <w:jc w:val="center"/>
              <w:rPr>
                <w:rFonts w:ascii="宋体" w:cs="Arial"/>
                <w:szCs w:val="21"/>
              </w:rPr>
            </w:pPr>
          </w:p>
        </w:tc>
        <w:tc>
          <w:tcPr>
            <w:tcW w:w="2258" w:type="dxa"/>
          </w:tcPr>
          <w:p>
            <w:pPr>
              <w:pStyle w:val="72"/>
              <w:spacing w:line="360" w:lineRule="auto"/>
              <w:jc w:val="center"/>
              <w:rPr>
                <w:rFonts w:ascii="宋体" w:cs="Arial"/>
                <w:szCs w:val="21"/>
              </w:rPr>
            </w:pPr>
          </w:p>
        </w:tc>
        <w:tc>
          <w:tcPr>
            <w:tcW w:w="2260" w:type="dxa"/>
          </w:tcPr>
          <w:p>
            <w:pPr>
              <w:pStyle w:val="72"/>
              <w:spacing w:line="360" w:lineRule="auto"/>
              <w:jc w:val="center"/>
              <w:rPr>
                <w:rFonts w:ascii="宋体" w:cs="Arial"/>
                <w:szCs w:val="21"/>
              </w:rPr>
            </w:pPr>
          </w:p>
        </w:tc>
        <w:tc>
          <w:tcPr>
            <w:tcW w:w="2047" w:type="dxa"/>
            <w:tcBorders>
              <w:right w:val="single" w:color="auto" w:sz="4" w:space="0"/>
            </w:tcBorders>
          </w:tcPr>
          <w:p>
            <w:pPr>
              <w:pStyle w:val="72"/>
              <w:spacing w:line="360" w:lineRule="auto"/>
              <w:jc w:val="center"/>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867" w:type="dxa"/>
            <w:tcBorders>
              <w:left w:val="single" w:color="auto" w:sz="4" w:space="0"/>
            </w:tcBorders>
          </w:tcPr>
          <w:p>
            <w:pPr>
              <w:pStyle w:val="72"/>
              <w:spacing w:line="360" w:lineRule="auto"/>
              <w:jc w:val="center"/>
              <w:rPr>
                <w:rFonts w:ascii="宋体" w:cs="Arial"/>
                <w:szCs w:val="21"/>
              </w:rPr>
            </w:pPr>
          </w:p>
        </w:tc>
        <w:tc>
          <w:tcPr>
            <w:tcW w:w="2258" w:type="dxa"/>
          </w:tcPr>
          <w:p>
            <w:pPr>
              <w:pStyle w:val="72"/>
              <w:spacing w:line="360" w:lineRule="auto"/>
              <w:jc w:val="center"/>
              <w:rPr>
                <w:rFonts w:ascii="宋体" w:cs="Arial"/>
                <w:szCs w:val="21"/>
              </w:rPr>
            </w:pPr>
          </w:p>
        </w:tc>
        <w:tc>
          <w:tcPr>
            <w:tcW w:w="2260" w:type="dxa"/>
          </w:tcPr>
          <w:p>
            <w:pPr>
              <w:pStyle w:val="72"/>
              <w:spacing w:line="360" w:lineRule="auto"/>
              <w:jc w:val="center"/>
              <w:rPr>
                <w:rFonts w:ascii="宋体" w:cs="Arial"/>
                <w:szCs w:val="21"/>
              </w:rPr>
            </w:pPr>
          </w:p>
        </w:tc>
        <w:tc>
          <w:tcPr>
            <w:tcW w:w="2047" w:type="dxa"/>
            <w:tcBorders>
              <w:right w:val="single" w:color="auto" w:sz="4" w:space="0"/>
            </w:tcBorders>
          </w:tcPr>
          <w:p>
            <w:pPr>
              <w:pStyle w:val="72"/>
              <w:spacing w:line="360" w:lineRule="auto"/>
              <w:jc w:val="center"/>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72"/>
              <w:spacing w:line="360" w:lineRule="auto"/>
              <w:jc w:val="center"/>
              <w:rPr>
                <w:rFonts w:ascii="宋体" w:cs="Arial"/>
                <w:szCs w:val="21"/>
              </w:rPr>
            </w:pPr>
          </w:p>
        </w:tc>
        <w:tc>
          <w:tcPr>
            <w:tcW w:w="2258" w:type="dxa"/>
          </w:tcPr>
          <w:p>
            <w:pPr>
              <w:pStyle w:val="72"/>
              <w:spacing w:line="360" w:lineRule="auto"/>
              <w:jc w:val="center"/>
              <w:rPr>
                <w:rFonts w:ascii="宋体" w:cs="Arial"/>
                <w:szCs w:val="21"/>
              </w:rPr>
            </w:pPr>
          </w:p>
        </w:tc>
        <w:tc>
          <w:tcPr>
            <w:tcW w:w="2260" w:type="dxa"/>
          </w:tcPr>
          <w:p>
            <w:pPr>
              <w:pStyle w:val="72"/>
              <w:spacing w:line="360" w:lineRule="auto"/>
              <w:jc w:val="center"/>
              <w:rPr>
                <w:rFonts w:ascii="宋体" w:cs="Arial"/>
                <w:szCs w:val="21"/>
              </w:rPr>
            </w:pPr>
          </w:p>
        </w:tc>
        <w:tc>
          <w:tcPr>
            <w:tcW w:w="2047" w:type="dxa"/>
            <w:tcBorders>
              <w:right w:val="single" w:color="auto" w:sz="4" w:space="0"/>
            </w:tcBorders>
          </w:tcPr>
          <w:p>
            <w:pPr>
              <w:pStyle w:val="72"/>
              <w:spacing w:line="360" w:lineRule="auto"/>
              <w:jc w:val="center"/>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72"/>
              <w:spacing w:line="360" w:lineRule="auto"/>
              <w:jc w:val="center"/>
              <w:rPr>
                <w:rFonts w:ascii="宋体" w:cs="Arial"/>
                <w:szCs w:val="21"/>
              </w:rPr>
            </w:pPr>
          </w:p>
        </w:tc>
        <w:tc>
          <w:tcPr>
            <w:tcW w:w="2258" w:type="dxa"/>
            <w:tcBorders>
              <w:bottom w:val="double" w:color="auto" w:sz="4" w:space="0"/>
            </w:tcBorders>
          </w:tcPr>
          <w:p>
            <w:pPr>
              <w:pStyle w:val="72"/>
              <w:spacing w:line="360" w:lineRule="auto"/>
              <w:jc w:val="center"/>
              <w:rPr>
                <w:rFonts w:ascii="宋体" w:cs="Arial"/>
                <w:szCs w:val="21"/>
              </w:rPr>
            </w:pPr>
          </w:p>
        </w:tc>
        <w:tc>
          <w:tcPr>
            <w:tcW w:w="2260" w:type="dxa"/>
            <w:tcBorders>
              <w:bottom w:val="double" w:color="auto" w:sz="4" w:space="0"/>
            </w:tcBorders>
          </w:tcPr>
          <w:p>
            <w:pPr>
              <w:pStyle w:val="72"/>
              <w:spacing w:line="360" w:lineRule="auto"/>
              <w:jc w:val="center"/>
              <w:rPr>
                <w:rFonts w:ascii="宋体" w:cs="Arial"/>
                <w:szCs w:val="21"/>
              </w:rPr>
            </w:pPr>
          </w:p>
        </w:tc>
        <w:tc>
          <w:tcPr>
            <w:tcW w:w="2047" w:type="dxa"/>
            <w:tcBorders>
              <w:bottom w:val="double" w:color="auto" w:sz="4" w:space="0"/>
              <w:right w:val="single" w:color="auto" w:sz="4" w:space="0"/>
            </w:tcBorders>
          </w:tcPr>
          <w:p>
            <w:pPr>
              <w:pStyle w:val="72"/>
              <w:spacing w:line="360" w:lineRule="auto"/>
              <w:jc w:val="center"/>
              <w:rPr>
                <w:rFonts w:ascii="宋体" w:cs="Arial"/>
                <w:szCs w:val="21"/>
              </w:rPr>
            </w:pPr>
          </w:p>
        </w:tc>
      </w:tr>
    </w:tbl>
    <w:p>
      <w:pPr>
        <w:spacing w:line="360" w:lineRule="auto"/>
        <w:jc w:val="left"/>
        <w:rPr>
          <w:rFonts w:ascii="宋体" w:hAnsi="宋体" w:cs="宋体"/>
          <w:b/>
          <w:bCs/>
          <w:sz w:val="24"/>
          <w:szCs w:val="32"/>
          <w:lang w:val="zh-CN"/>
        </w:rPr>
      </w:pPr>
    </w:p>
    <w:p>
      <w:pPr>
        <w:spacing w:line="360" w:lineRule="auto"/>
        <w:rPr>
          <w:rFonts w:ascii="宋体" w:hAnsi="宋体"/>
          <w:b/>
          <w:bCs/>
          <w:sz w:val="24"/>
        </w:rPr>
      </w:pPr>
      <w:r>
        <w:rPr>
          <w:rFonts w:hint="eastAsia" w:ascii="宋体" w:hAnsi="宋体"/>
          <w:b/>
          <w:bCs/>
          <w:sz w:val="24"/>
        </w:rPr>
        <w:t>要求：</w:t>
      </w:r>
    </w:p>
    <w:p>
      <w:pPr>
        <w:spacing w:line="360" w:lineRule="auto"/>
        <w:ind w:firstLine="480" w:firstLineChars="200"/>
        <w:rPr>
          <w:rFonts w:ascii="宋体" w:hAnsi="宋体"/>
          <w:sz w:val="24"/>
        </w:rPr>
      </w:pPr>
      <w:r>
        <w:rPr>
          <w:rFonts w:hint="eastAsia" w:ascii="宋体" w:hAnsi="宋体"/>
          <w:sz w:val="24"/>
        </w:rPr>
        <w:t>1.填写投标人获得资质、认证或企业信誉证书；</w:t>
      </w:r>
    </w:p>
    <w:p>
      <w:pPr>
        <w:spacing w:line="360" w:lineRule="auto"/>
        <w:ind w:firstLine="480" w:firstLineChars="200"/>
        <w:rPr>
          <w:rFonts w:ascii="宋体" w:hAnsi="宋体"/>
          <w:sz w:val="24"/>
        </w:rPr>
      </w:pPr>
      <w:r>
        <w:rPr>
          <w:rFonts w:hint="eastAsia" w:ascii="宋体" w:hAnsi="宋体"/>
          <w:sz w:val="24"/>
        </w:rPr>
        <w:t>2.附所列证书复印件或其他证明材料。</w:t>
      </w:r>
    </w:p>
    <w:p>
      <w:pPr>
        <w:spacing w:line="360" w:lineRule="auto"/>
        <w:jc w:val="left"/>
        <w:rPr>
          <w:rFonts w:ascii="宋体" w:hAnsi="宋体" w:cs="宋体"/>
          <w:b/>
          <w:bCs/>
          <w:sz w:val="24"/>
          <w:szCs w:val="32"/>
          <w:lang w:val="zh-CN"/>
        </w:rPr>
      </w:pPr>
    </w:p>
    <w:p>
      <w:pPr>
        <w:spacing w:line="360" w:lineRule="auto"/>
        <w:jc w:val="left"/>
        <w:rPr>
          <w:rFonts w:ascii="宋体" w:hAnsi="宋体" w:cs="宋体"/>
          <w:b/>
          <w:bCs/>
          <w:sz w:val="24"/>
          <w:szCs w:val="32"/>
          <w:lang w:val="zh-CN"/>
        </w:rPr>
      </w:pPr>
    </w:p>
    <w:p>
      <w:pPr>
        <w:spacing w:line="360" w:lineRule="auto"/>
        <w:jc w:val="left"/>
        <w:rPr>
          <w:rFonts w:ascii="宋体" w:hAnsi="宋体" w:cs="宋体"/>
          <w:b/>
          <w:bCs/>
          <w:sz w:val="24"/>
          <w:szCs w:val="32"/>
          <w:lang w:val="zh-CN"/>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授权委托代理人签字或盖章：</w:t>
      </w:r>
    </w:p>
    <w:p>
      <w:pPr>
        <w:spacing w:line="480" w:lineRule="auto"/>
        <w:rPr>
          <w:rFonts w:ascii="宋体" w:hAnsi="宋体"/>
          <w:sz w:val="24"/>
        </w:rPr>
      </w:pPr>
      <w:r>
        <w:rPr>
          <w:rFonts w:hint="eastAsia" w:ascii="宋体" w:hAnsi="宋体"/>
          <w:sz w:val="24"/>
        </w:rPr>
        <w:t>日期：</w:t>
      </w: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jc w:val="left"/>
        <w:rPr>
          <w:rFonts w:ascii="宋体" w:hAnsi="宋体" w:cs="宋体"/>
          <w:b/>
          <w:bCs/>
          <w:sz w:val="28"/>
          <w:szCs w:val="36"/>
        </w:rPr>
      </w:pPr>
      <w:r>
        <w:rPr>
          <w:rFonts w:hint="eastAsia" w:ascii="宋体" w:hAnsi="宋体" w:cs="宋体"/>
          <w:b/>
          <w:bCs/>
          <w:sz w:val="28"/>
          <w:szCs w:val="36"/>
          <w:lang w:val="zh-CN"/>
        </w:rPr>
        <w:t>附件1</w:t>
      </w:r>
      <w:r>
        <w:rPr>
          <w:rFonts w:hint="eastAsia" w:ascii="宋体" w:hAnsi="宋体" w:cs="宋体"/>
          <w:b/>
          <w:bCs/>
          <w:sz w:val="28"/>
          <w:szCs w:val="36"/>
        </w:rPr>
        <w:t>3</w:t>
      </w: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投标人类似项目实施情况一览表</w:t>
      </w:r>
    </w:p>
    <w:p>
      <w:pPr>
        <w:spacing w:line="360" w:lineRule="auto"/>
        <w:rPr>
          <w:rFonts w:ascii="宋体" w:hAnsi="宋体"/>
          <w:b/>
          <w:bCs/>
          <w:sz w:val="24"/>
        </w:rPr>
      </w:pPr>
    </w:p>
    <w:tbl>
      <w:tblPr>
        <w:tblStyle w:val="40"/>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71"/>
              <w:spacing w:line="360" w:lineRule="auto"/>
              <w:jc w:val="center"/>
              <w:rPr>
                <w:rFonts w:asci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71"/>
              <w:spacing w:line="360" w:lineRule="auto"/>
              <w:jc w:val="center"/>
              <w:rPr>
                <w:rFonts w:asci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71"/>
              <w:spacing w:line="360" w:lineRule="auto"/>
              <w:jc w:val="center"/>
              <w:rPr>
                <w:rFonts w:asci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71"/>
              <w:spacing w:line="360" w:lineRule="auto"/>
              <w:jc w:val="center"/>
              <w:rPr>
                <w:rFonts w:asci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71"/>
              <w:spacing w:line="360" w:lineRule="auto"/>
              <w:jc w:val="center"/>
              <w:rPr>
                <w:rFonts w:asci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71"/>
              <w:spacing w:line="360" w:lineRule="auto"/>
              <w:jc w:val="center"/>
              <w:rPr>
                <w:rFonts w:asci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71"/>
              <w:spacing w:line="360" w:lineRule="auto"/>
              <w:jc w:val="center"/>
              <w:rPr>
                <w:rFonts w:ascii="宋体" w:cs="Arial"/>
                <w:b/>
                <w:bCs/>
                <w:sz w:val="24"/>
              </w:rPr>
            </w:pPr>
            <w:r>
              <w:rPr>
                <w:rFonts w:hint="eastAsia" w:ascii="宋体" w:hAns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1"/>
              <w:spacing w:line="360" w:lineRule="auto"/>
              <w:jc w:val="center"/>
              <w:rPr>
                <w:rFonts w:ascii="宋体" w:cs="Arial"/>
                <w:sz w:val="24"/>
              </w:rPr>
            </w:pPr>
            <w:r>
              <w:rPr>
                <w:rFonts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1"/>
              <w:spacing w:line="360" w:lineRule="auto"/>
              <w:jc w:val="center"/>
              <w:rPr>
                <w:rFonts w:ascii="宋体" w:cs="Arial"/>
                <w:sz w:val="24"/>
              </w:rPr>
            </w:pPr>
            <w:r>
              <w:rPr>
                <w:rFonts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1"/>
              <w:spacing w:line="360" w:lineRule="auto"/>
              <w:jc w:val="center"/>
              <w:rPr>
                <w:rFonts w:ascii="宋体" w:cs="Arial"/>
                <w:sz w:val="24"/>
              </w:rPr>
            </w:pPr>
            <w:r>
              <w:rPr>
                <w:rFonts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r>
    </w:tbl>
    <w:p>
      <w:pPr>
        <w:spacing w:line="360" w:lineRule="auto"/>
        <w:rPr>
          <w:rFonts w:ascii="宋体" w:hAnsi="宋体"/>
          <w:b/>
          <w:bCs/>
          <w:sz w:val="24"/>
        </w:rPr>
      </w:pPr>
      <w:r>
        <w:rPr>
          <w:rFonts w:hint="eastAsia" w:ascii="宋体" w:hAnsi="宋体"/>
          <w:b/>
          <w:bCs/>
          <w:sz w:val="24"/>
        </w:rPr>
        <w:t>要求：</w:t>
      </w:r>
    </w:p>
    <w:p>
      <w:pPr>
        <w:spacing w:line="360" w:lineRule="auto"/>
        <w:ind w:firstLine="480" w:firstLineChars="200"/>
        <w:rPr>
          <w:rFonts w:ascii="宋体" w:hAnsi="宋体"/>
          <w:sz w:val="24"/>
        </w:rPr>
      </w:pPr>
      <w:r>
        <w:rPr>
          <w:rFonts w:hint="eastAsia" w:ascii="宋体" w:hAnsi="宋体"/>
          <w:sz w:val="24"/>
        </w:rPr>
        <w:t>1.业绩证明应提供证明材料（合同复印件可只提供首页、含金额页、盖章页并加盖投标人公章）；</w:t>
      </w:r>
    </w:p>
    <w:p>
      <w:pPr>
        <w:spacing w:line="360" w:lineRule="auto"/>
        <w:ind w:firstLine="480" w:firstLineChars="200"/>
        <w:rPr>
          <w:rFonts w:ascii="宋体" w:hAnsi="宋体"/>
          <w:sz w:val="24"/>
        </w:rPr>
      </w:pPr>
      <w:r>
        <w:rPr>
          <w:rFonts w:hint="eastAsia" w:ascii="宋体" w:hAnsi="宋体"/>
          <w:sz w:val="24"/>
        </w:rPr>
        <w:t>2.报价供应商可按此表格式复制。</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授权委托代理人签字或盖章：</w:t>
      </w:r>
    </w:p>
    <w:p>
      <w:pPr>
        <w:spacing w:line="480" w:lineRule="auto"/>
        <w:rPr>
          <w:rFonts w:ascii="宋体" w:hAnsi="宋体"/>
          <w:sz w:val="24"/>
        </w:rPr>
      </w:pPr>
      <w:r>
        <w:rPr>
          <w:rFonts w:hint="eastAsia" w:ascii="宋体" w:hAnsi="宋体"/>
          <w:sz w:val="24"/>
        </w:rPr>
        <w:t>日期：</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jc w:val="left"/>
        <w:rPr>
          <w:rFonts w:ascii="宋体" w:hAnsi="宋体" w:cs="宋体"/>
          <w:b/>
          <w:bCs/>
          <w:sz w:val="28"/>
          <w:szCs w:val="36"/>
        </w:rPr>
      </w:pPr>
      <w:r>
        <w:rPr>
          <w:rFonts w:hint="eastAsia" w:ascii="宋体" w:hAnsi="宋体" w:cs="宋体"/>
          <w:b/>
          <w:bCs/>
          <w:sz w:val="28"/>
          <w:szCs w:val="36"/>
          <w:lang w:val="zh-CN"/>
        </w:rPr>
        <w:t>附件1</w:t>
      </w:r>
      <w:r>
        <w:rPr>
          <w:rFonts w:hint="eastAsia" w:ascii="宋体" w:hAnsi="宋体" w:cs="宋体"/>
          <w:b/>
          <w:bCs/>
          <w:sz w:val="28"/>
          <w:szCs w:val="36"/>
        </w:rPr>
        <w:t>4</w:t>
      </w: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资信及商务需求响应表</w:t>
      </w:r>
    </w:p>
    <w:p>
      <w:pPr>
        <w:spacing w:line="360" w:lineRule="auto"/>
        <w:rPr>
          <w:rFonts w:ascii="宋体"/>
          <w:b/>
          <w:sz w:val="24"/>
        </w:rPr>
      </w:pPr>
    </w:p>
    <w:tbl>
      <w:tblPr>
        <w:tblStyle w:val="4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66" w:hRule="atLeast"/>
        </w:trPr>
        <w:tc>
          <w:tcPr>
            <w:tcW w:w="735" w:type="dxa"/>
            <w:vAlign w:val="center"/>
          </w:tcPr>
          <w:p>
            <w:pPr>
              <w:rPr>
                <w:rFonts w:ascii="宋体"/>
                <w:b/>
                <w:sz w:val="24"/>
              </w:rPr>
            </w:pPr>
            <w:r>
              <w:rPr>
                <w:rFonts w:hint="eastAsia" w:ascii="宋体" w:hAnsi="宋体"/>
                <w:b/>
                <w:sz w:val="24"/>
              </w:rPr>
              <w:t>序号</w:t>
            </w:r>
          </w:p>
        </w:tc>
        <w:tc>
          <w:tcPr>
            <w:tcW w:w="1785" w:type="dxa"/>
            <w:vAlign w:val="center"/>
          </w:tcPr>
          <w:p>
            <w:pPr>
              <w:rPr>
                <w:rFonts w:ascii="宋体"/>
                <w:b/>
                <w:sz w:val="24"/>
              </w:rPr>
            </w:pPr>
            <w:r>
              <w:rPr>
                <w:rFonts w:hint="eastAsia" w:ascii="宋体" w:hAnsi="宋体"/>
                <w:b/>
                <w:sz w:val="24"/>
              </w:rPr>
              <w:t>内容</w:t>
            </w:r>
          </w:p>
        </w:tc>
        <w:tc>
          <w:tcPr>
            <w:tcW w:w="1785" w:type="dxa"/>
            <w:vAlign w:val="center"/>
          </w:tcPr>
          <w:p>
            <w:pPr>
              <w:ind w:left="53" w:leftChars="25" w:firstLine="241" w:firstLineChars="100"/>
              <w:rPr>
                <w:rFonts w:ascii="宋体"/>
                <w:b/>
                <w:sz w:val="24"/>
              </w:rPr>
            </w:pPr>
            <w:r>
              <w:rPr>
                <w:rFonts w:hint="eastAsia" w:ascii="宋体" w:hAnsi="宋体"/>
                <w:b/>
                <w:sz w:val="24"/>
              </w:rPr>
              <w:t>招标需求</w:t>
            </w:r>
          </w:p>
        </w:tc>
        <w:tc>
          <w:tcPr>
            <w:tcW w:w="1365" w:type="dxa"/>
            <w:vAlign w:val="center"/>
          </w:tcPr>
          <w:p>
            <w:pPr>
              <w:ind w:left="152"/>
              <w:rPr>
                <w:rFonts w:ascii="宋体"/>
                <w:b/>
                <w:sz w:val="24"/>
              </w:rPr>
            </w:pPr>
            <w:r>
              <w:rPr>
                <w:rFonts w:hint="eastAsia" w:ascii="宋体" w:hAnsi="宋体"/>
                <w:b/>
                <w:sz w:val="24"/>
              </w:rPr>
              <w:t>是否响应</w:t>
            </w:r>
          </w:p>
        </w:tc>
        <w:tc>
          <w:tcPr>
            <w:tcW w:w="2625" w:type="dxa"/>
            <w:vAlign w:val="center"/>
          </w:tcPr>
          <w:p>
            <w:pPr>
              <w:jc w:val="center"/>
              <w:rPr>
                <w:rFonts w:asci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sz w:val="24"/>
              </w:rPr>
            </w:pPr>
          </w:p>
        </w:tc>
        <w:tc>
          <w:tcPr>
            <w:tcW w:w="1785" w:type="dxa"/>
            <w:vAlign w:val="center"/>
          </w:tcPr>
          <w:p>
            <w:pPr>
              <w:snapToGrid w:val="0"/>
              <w:rPr>
                <w:rFonts w:ascii="宋体"/>
                <w:sz w:val="24"/>
              </w:rPr>
            </w:pPr>
            <w:r>
              <w:rPr>
                <w:rFonts w:hint="eastAsia" w:ascii="宋体" w:hAnsi="宋体"/>
                <w:sz w:val="24"/>
              </w:rPr>
              <w:t>售后服务保障要求</w:t>
            </w: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sz w:val="24"/>
              </w:rPr>
            </w:pPr>
          </w:p>
        </w:tc>
        <w:tc>
          <w:tcPr>
            <w:tcW w:w="1785" w:type="dxa"/>
            <w:vAlign w:val="center"/>
          </w:tcPr>
          <w:p>
            <w:pPr>
              <w:snapToGrid w:val="0"/>
              <w:rPr>
                <w:rFonts w:ascii="宋体"/>
                <w:sz w:val="24"/>
              </w:rPr>
            </w:pPr>
            <w:r>
              <w:rPr>
                <w:rFonts w:hint="eastAsia" w:ascii="宋体" w:hAnsi="宋体"/>
                <w:sz w:val="24"/>
              </w:rPr>
              <w:t>质保期</w:t>
            </w: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sz w:val="24"/>
              </w:rPr>
            </w:pPr>
          </w:p>
        </w:tc>
        <w:tc>
          <w:tcPr>
            <w:tcW w:w="1785" w:type="dxa"/>
            <w:vAlign w:val="center"/>
          </w:tcPr>
          <w:p>
            <w:pPr>
              <w:snapToGrid w:val="0"/>
              <w:rPr>
                <w:rFonts w:ascii="宋体"/>
                <w:sz w:val="24"/>
              </w:rPr>
            </w:pPr>
            <w:r>
              <w:rPr>
                <w:rFonts w:hint="eastAsia" w:ascii="宋体" w:hAnsi="宋体"/>
                <w:sz w:val="24"/>
              </w:rPr>
              <w:t>交货和服务</w:t>
            </w:r>
          </w:p>
          <w:p>
            <w:pPr>
              <w:snapToGrid w:val="0"/>
              <w:rPr>
                <w:rFonts w:ascii="宋体"/>
                <w:sz w:val="24"/>
              </w:rPr>
            </w:pPr>
            <w:r>
              <w:rPr>
                <w:rFonts w:hint="eastAsia" w:ascii="宋体" w:hAnsi="宋体"/>
                <w:sz w:val="24"/>
              </w:rPr>
              <w:t>时间及地点</w:t>
            </w: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735" w:type="dxa"/>
            <w:vAlign w:val="center"/>
          </w:tcPr>
          <w:p>
            <w:pPr>
              <w:rPr>
                <w:rFonts w:ascii="宋体"/>
                <w:sz w:val="24"/>
              </w:rPr>
            </w:pPr>
          </w:p>
        </w:tc>
        <w:tc>
          <w:tcPr>
            <w:tcW w:w="1785" w:type="dxa"/>
            <w:vAlign w:val="center"/>
          </w:tcPr>
          <w:p>
            <w:pPr>
              <w:snapToGrid w:val="0"/>
              <w:rPr>
                <w:rFonts w:ascii="宋体"/>
                <w:sz w:val="24"/>
              </w:rPr>
            </w:pPr>
            <w:r>
              <w:rPr>
                <w:rFonts w:hint="eastAsia" w:ascii="宋体" w:hAnsi="宋体"/>
                <w:sz w:val="24"/>
              </w:rPr>
              <w:t>付款条件</w:t>
            </w: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735" w:type="dxa"/>
            <w:vAlign w:val="center"/>
          </w:tcPr>
          <w:p>
            <w:pPr>
              <w:rPr>
                <w:rFonts w:ascii="宋体"/>
                <w:sz w:val="24"/>
              </w:rPr>
            </w:pPr>
          </w:p>
        </w:tc>
        <w:tc>
          <w:tcPr>
            <w:tcW w:w="1785" w:type="dxa"/>
            <w:vAlign w:val="center"/>
          </w:tcPr>
          <w:p>
            <w:pPr>
              <w:snapToGrid w:val="0"/>
              <w:rPr>
                <w:rFonts w:ascii="宋体"/>
                <w:sz w:val="24"/>
              </w:rPr>
            </w:pPr>
            <w:r>
              <w:rPr>
                <w:rFonts w:hint="eastAsia" w:ascii="宋体" w:hAnsi="宋体"/>
                <w:sz w:val="24"/>
              </w:rPr>
              <w:t>……</w:t>
            </w: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3" w:hRule="atLeast"/>
        </w:trPr>
        <w:tc>
          <w:tcPr>
            <w:tcW w:w="735" w:type="dxa"/>
            <w:vAlign w:val="center"/>
          </w:tcPr>
          <w:p>
            <w:pPr>
              <w:rPr>
                <w:rFonts w:ascii="宋体"/>
                <w:sz w:val="24"/>
              </w:rPr>
            </w:pPr>
          </w:p>
        </w:tc>
        <w:tc>
          <w:tcPr>
            <w:tcW w:w="1785" w:type="dxa"/>
          </w:tcPr>
          <w:p>
            <w:pPr>
              <w:snapToGrid w:val="0"/>
              <w:rPr>
                <w:rFonts w:ascii="宋体"/>
                <w:sz w:val="24"/>
              </w:rPr>
            </w:pP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0" w:hRule="atLeast"/>
        </w:trPr>
        <w:tc>
          <w:tcPr>
            <w:tcW w:w="735" w:type="dxa"/>
            <w:vAlign w:val="center"/>
          </w:tcPr>
          <w:p>
            <w:pPr>
              <w:rPr>
                <w:rFonts w:ascii="宋体"/>
                <w:sz w:val="24"/>
              </w:rPr>
            </w:pPr>
          </w:p>
        </w:tc>
        <w:tc>
          <w:tcPr>
            <w:tcW w:w="1785" w:type="dxa"/>
          </w:tcPr>
          <w:p>
            <w:pPr>
              <w:snapToGrid w:val="0"/>
              <w:rPr>
                <w:rFonts w:ascii="宋体"/>
                <w:sz w:val="24"/>
              </w:rPr>
            </w:pP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bl>
    <w:p>
      <w:pPr>
        <w:spacing w:line="360" w:lineRule="auto"/>
        <w:rPr>
          <w:rFonts w:ascii="宋体"/>
          <w:b/>
          <w:sz w:val="24"/>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授权委托代理人签字或盖章：</w:t>
      </w:r>
    </w:p>
    <w:p>
      <w:pPr>
        <w:spacing w:line="480" w:lineRule="auto"/>
        <w:rPr>
          <w:rFonts w:ascii="宋体" w:hAnsi="宋体"/>
          <w:sz w:val="24"/>
        </w:rPr>
      </w:pPr>
      <w:r>
        <w:rPr>
          <w:rFonts w:hint="eastAsia" w:ascii="宋体" w:hAnsi="宋体"/>
          <w:sz w:val="24"/>
        </w:rPr>
        <w:t>日期：</w:t>
      </w: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widowControl/>
        <w:jc w:val="left"/>
        <w:rPr>
          <w:rFonts w:ascii="宋体" w:hAnsi="宋体"/>
          <w:b/>
          <w:sz w:val="28"/>
        </w:rPr>
      </w:pPr>
      <w:r>
        <w:rPr>
          <w:rFonts w:ascii="宋体" w:hAnsi="宋体"/>
          <w:b/>
          <w:sz w:val="28"/>
        </w:rPr>
        <w:br w:type="page"/>
      </w:r>
    </w:p>
    <w:p>
      <w:pPr>
        <w:tabs>
          <w:tab w:val="left" w:pos="2460"/>
        </w:tabs>
        <w:spacing w:line="360" w:lineRule="auto"/>
        <w:rPr>
          <w:rFonts w:ascii="宋体" w:hAnsi="宋体"/>
          <w:b/>
          <w:sz w:val="28"/>
        </w:rPr>
      </w:pPr>
      <w:r>
        <w:rPr>
          <w:rFonts w:hint="eastAsia" w:ascii="宋体" w:hAnsi="宋体"/>
          <w:b/>
          <w:sz w:val="28"/>
        </w:rPr>
        <w:t>附件15</w:t>
      </w:r>
    </w:p>
    <w:p>
      <w:pPr>
        <w:spacing w:line="480" w:lineRule="exact"/>
        <w:jc w:val="center"/>
        <w:rPr>
          <w:rFonts w:ascii="宋体"/>
          <w:b/>
          <w:sz w:val="32"/>
          <w:szCs w:val="32"/>
        </w:rPr>
      </w:pPr>
      <w:r>
        <w:rPr>
          <w:rFonts w:hint="eastAsia" w:ascii="宋体" w:hAnsi="宋体"/>
          <w:b/>
          <w:sz w:val="32"/>
          <w:szCs w:val="32"/>
        </w:rPr>
        <w:t>售后服务情况表</w:t>
      </w:r>
    </w:p>
    <w:p>
      <w:pPr>
        <w:spacing w:line="360" w:lineRule="auto"/>
        <w:rPr>
          <w:rFonts w:ascii="宋体"/>
          <w:b/>
          <w:sz w:val="24"/>
        </w:rPr>
      </w:pPr>
    </w:p>
    <w:tbl>
      <w:tblPr>
        <w:tblStyle w:val="40"/>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73"/>
              <w:spacing w:line="360" w:lineRule="auto"/>
              <w:jc w:val="center"/>
              <w:rPr>
                <w:rFonts w:ascii="宋体" w:cs="Arial"/>
                <w:b/>
                <w:sz w:val="24"/>
              </w:rPr>
            </w:pPr>
            <w:r>
              <w:rPr>
                <w:rFonts w:hint="eastAsia" w:ascii="宋体" w:hAnsi="宋体" w:cs="Arial"/>
                <w:b/>
                <w:sz w:val="24"/>
              </w:rPr>
              <w:t>序号</w:t>
            </w:r>
          </w:p>
        </w:tc>
        <w:tc>
          <w:tcPr>
            <w:tcW w:w="2355" w:type="dxa"/>
            <w:tcBorders>
              <w:top w:val="single" w:color="auto" w:sz="4" w:space="0"/>
            </w:tcBorders>
            <w:vAlign w:val="center"/>
          </w:tcPr>
          <w:p>
            <w:pPr>
              <w:pStyle w:val="73"/>
              <w:spacing w:line="360" w:lineRule="auto"/>
              <w:jc w:val="center"/>
              <w:rPr>
                <w:rFonts w:ascii="宋体" w:cs="Arial"/>
                <w:b/>
                <w:sz w:val="24"/>
              </w:rPr>
            </w:pPr>
            <w:r>
              <w:rPr>
                <w:rFonts w:hint="eastAsia" w:ascii="宋体" w:hAnsi="宋体" w:cs="Arial"/>
                <w:b/>
                <w:sz w:val="24"/>
              </w:rPr>
              <w:t>项目</w:t>
            </w:r>
          </w:p>
        </w:tc>
        <w:tc>
          <w:tcPr>
            <w:tcW w:w="4061" w:type="dxa"/>
            <w:tcBorders>
              <w:top w:val="single" w:color="auto" w:sz="4" w:space="0"/>
            </w:tcBorders>
            <w:vAlign w:val="center"/>
          </w:tcPr>
          <w:p>
            <w:pPr>
              <w:pStyle w:val="73"/>
              <w:spacing w:line="360" w:lineRule="auto"/>
              <w:jc w:val="center"/>
              <w:rPr>
                <w:rFonts w:ascii="宋体" w:cs="Arial"/>
                <w:b/>
                <w:sz w:val="24"/>
              </w:rPr>
            </w:pPr>
            <w:r>
              <w:rPr>
                <w:rFonts w:hint="eastAsia" w:ascii="宋体" w:hAnsi="宋体" w:cs="Arial"/>
                <w:b/>
                <w:sz w:val="24"/>
              </w:rPr>
              <w:t>投标人情况</w:t>
            </w:r>
          </w:p>
        </w:tc>
        <w:tc>
          <w:tcPr>
            <w:tcW w:w="1373" w:type="dxa"/>
            <w:tcBorders>
              <w:top w:val="single" w:color="auto" w:sz="4" w:space="0"/>
            </w:tcBorders>
            <w:vAlign w:val="center"/>
          </w:tcPr>
          <w:p>
            <w:pPr>
              <w:pStyle w:val="73"/>
              <w:spacing w:line="360" w:lineRule="auto"/>
              <w:jc w:val="center"/>
              <w:rPr>
                <w:rFonts w:ascii="宋体" w:cs="Arial"/>
                <w:b/>
                <w:sz w:val="24"/>
              </w:rPr>
            </w:pPr>
            <w:r>
              <w:rPr>
                <w:rFonts w:hint="eastAsia" w:ascii="宋体" w:hAnsi="宋体" w:cs="Arial"/>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73"/>
              <w:spacing w:line="360" w:lineRule="auto"/>
              <w:jc w:val="center"/>
              <w:rPr>
                <w:rFonts w:ascii="宋体" w:cs="Arial"/>
                <w:bCs/>
                <w:sz w:val="24"/>
              </w:rPr>
            </w:pPr>
            <w:r>
              <w:rPr>
                <w:rFonts w:ascii="宋体" w:hAnsi="宋体" w:cs="Arial"/>
                <w:bCs/>
                <w:sz w:val="24"/>
              </w:rPr>
              <w:t>1</w:t>
            </w:r>
          </w:p>
        </w:tc>
        <w:tc>
          <w:tcPr>
            <w:tcW w:w="2355" w:type="dxa"/>
            <w:vMerge w:val="restart"/>
            <w:vAlign w:val="center"/>
          </w:tcPr>
          <w:p>
            <w:pPr>
              <w:pStyle w:val="73"/>
              <w:widowControl/>
              <w:spacing w:line="360" w:lineRule="auto"/>
              <w:jc w:val="left"/>
              <w:rPr>
                <w:rFonts w:ascii="宋体" w:cs="Arial"/>
                <w:bCs/>
                <w:sz w:val="24"/>
              </w:rPr>
            </w:pPr>
            <w:r>
              <w:rPr>
                <w:rFonts w:hint="eastAsia" w:ascii="宋体" w:hAnsi="宋体" w:cs="Arial"/>
                <w:bCs/>
                <w:sz w:val="24"/>
              </w:rPr>
              <w:t>保修期内售后服务情况</w:t>
            </w:r>
            <w:r>
              <w:rPr>
                <w:rFonts w:ascii="宋体" w:hAnsi="宋体" w:cs="Arial"/>
                <w:bCs/>
                <w:sz w:val="24"/>
              </w:rPr>
              <w:t>(</w:t>
            </w:r>
            <w:r>
              <w:rPr>
                <w:rFonts w:hint="eastAsia" w:ascii="宋体" w:hAnsi="宋体" w:cs="Arial"/>
                <w:bCs/>
                <w:sz w:val="24"/>
              </w:rPr>
              <w:t>服务方式、服务网点、售后服务的内容和措施等等，可用附页和宣传材料</w:t>
            </w:r>
            <w:r>
              <w:rPr>
                <w:rFonts w:ascii="宋体" w:hAnsi="宋体" w:cs="Arial"/>
                <w:bCs/>
                <w:sz w:val="24"/>
              </w:rPr>
              <w:t>)</w:t>
            </w:r>
          </w:p>
        </w:tc>
        <w:tc>
          <w:tcPr>
            <w:tcW w:w="4061" w:type="dxa"/>
          </w:tcPr>
          <w:p>
            <w:pPr>
              <w:pStyle w:val="73"/>
              <w:spacing w:line="360" w:lineRule="auto"/>
              <w:rPr>
                <w:rFonts w:ascii="宋体" w:cs="Arial"/>
                <w:bCs/>
                <w:sz w:val="24"/>
              </w:rPr>
            </w:pPr>
            <w:r>
              <w:rPr>
                <w:rFonts w:hint="eastAsia" w:ascii="宋体" w:hAnsi="宋体" w:cs="Arial"/>
                <w:bCs/>
                <w:sz w:val="24"/>
              </w:rPr>
              <w:t>生产厂商售后服务情况：</w:t>
            </w:r>
          </w:p>
        </w:tc>
        <w:tc>
          <w:tcPr>
            <w:tcW w:w="1373" w:type="dxa"/>
          </w:tcPr>
          <w:p>
            <w:pPr>
              <w:pStyle w:val="73"/>
              <w:spacing w:line="360" w:lineRule="auto"/>
              <w:rPr>
                <w:rFonts w:asci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73"/>
              <w:widowControl/>
              <w:spacing w:line="360" w:lineRule="auto"/>
              <w:jc w:val="left"/>
              <w:rPr>
                <w:rFonts w:ascii="宋体" w:cs="Arial"/>
                <w:bCs/>
                <w:sz w:val="24"/>
              </w:rPr>
            </w:pPr>
          </w:p>
        </w:tc>
        <w:tc>
          <w:tcPr>
            <w:tcW w:w="2355" w:type="dxa"/>
            <w:vMerge w:val="continue"/>
            <w:vAlign w:val="center"/>
          </w:tcPr>
          <w:p>
            <w:pPr>
              <w:pStyle w:val="73"/>
              <w:widowControl/>
              <w:spacing w:line="360" w:lineRule="auto"/>
              <w:jc w:val="left"/>
              <w:rPr>
                <w:rFonts w:ascii="宋体" w:cs="Arial"/>
                <w:bCs/>
                <w:sz w:val="24"/>
              </w:rPr>
            </w:pPr>
          </w:p>
        </w:tc>
        <w:tc>
          <w:tcPr>
            <w:tcW w:w="4061" w:type="dxa"/>
          </w:tcPr>
          <w:p>
            <w:pPr>
              <w:pStyle w:val="73"/>
              <w:spacing w:line="360" w:lineRule="auto"/>
              <w:rPr>
                <w:rFonts w:ascii="宋体" w:cs="Arial"/>
                <w:bCs/>
                <w:sz w:val="24"/>
              </w:rPr>
            </w:pPr>
            <w:r>
              <w:rPr>
                <w:rFonts w:hint="eastAsia" w:ascii="宋体" w:hAnsi="宋体" w:cs="Arial"/>
                <w:bCs/>
                <w:sz w:val="24"/>
              </w:rPr>
              <w:t>投标人售后服务情况：</w:t>
            </w:r>
          </w:p>
        </w:tc>
        <w:tc>
          <w:tcPr>
            <w:tcW w:w="1373" w:type="dxa"/>
          </w:tcPr>
          <w:p>
            <w:pPr>
              <w:pStyle w:val="73"/>
              <w:spacing w:line="360" w:lineRule="auto"/>
              <w:jc w:val="left"/>
              <w:rPr>
                <w:rFonts w:asci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73"/>
              <w:spacing w:line="360" w:lineRule="auto"/>
              <w:jc w:val="center"/>
              <w:rPr>
                <w:rFonts w:ascii="宋体" w:cs="Arial"/>
                <w:bCs/>
                <w:sz w:val="24"/>
              </w:rPr>
            </w:pPr>
            <w:r>
              <w:rPr>
                <w:rFonts w:ascii="宋体" w:hAnsi="宋体" w:cs="Arial"/>
                <w:bCs/>
                <w:sz w:val="24"/>
              </w:rPr>
              <w:t>2</w:t>
            </w:r>
          </w:p>
        </w:tc>
        <w:tc>
          <w:tcPr>
            <w:tcW w:w="2355" w:type="dxa"/>
            <w:vAlign w:val="center"/>
          </w:tcPr>
          <w:p>
            <w:pPr>
              <w:pStyle w:val="73"/>
              <w:spacing w:line="360" w:lineRule="auto"/>
              <w:rPr>
                <w:rFonts w:ascii="宋体" w:cs="Arial"/>
                <w:bCs/>
                <w:sz w:val="24"/>
              </w:rPr>
            </w:pPr>
            <w:r>
              <w:rPr>
                <w:rFonts w:hint="eastAsia" w:ascii="宋体" w:hAnsi="宋体" w:cs="Arial"/>
                <w:bCs/>
                <w:sz w:val="24"/>
              </w:rPr>
              <w:t>保修期后售后服务</w:t>
            </w:r>
          </w:p>
        </w:tc>
        <w:tc>
          <w:tcPr>
            <w:tcW w:w="4061" w:type="dxa"/>
          </w:tcPr>
          <w:p>
            <w:pPr>
              <w:pStyle w:val="73"/>
              <w:widowControl/>
              <w:spacing w:line="360" w:lineRule="auto"/>
              <w:jc w:val="left"/>
              <w:rPr>
                <w:rFonts w:ascii="宋体" w:cs="Arial"/>
                <w:bCs/>
                <w:sz w:val="24"/>
              </w:rPr>
            </w:pPr>
          </w:p>
          <w:p>
            <w:pPr>
              <w:pStyle w:val="73"/>
              <w:widowControl/>
              <w:spacing w:line="360" w:lineRule="auto"/>
              <w:jc w:val="left"/>
              <w:rPr>
                <w:rFonts w:ascii="宋体" w:cs="Arial"/>
                <w:bCs/>
                <w:sz w:val="24"/>
              </w:rPr>
            </w:pPr>
          </w:p>
          <w:p>
            <w:pPr>
              <w:pStyle w:val="73"/>
              <w:spacing w:line="360" w:lineRule="auto"/>
              <w:rPr>
                <w:rFonts w:ascii="宋体" w:cs="Arial"/>
                <w:bCs/>
                <w:sz w:val="24"/>
              </w:rPr>
            </w:pPr>
          </w:p>
        </w:tc>
        <w:tc>
          <w:tcPr>
            <w:tcW w:w="1373" w:type="dxa"/>
          </w:tcPr>
          <w:p>
            <w:pPr>
              <w:pStyle w:val="73"/>
              <w:widowControl/>
              <w:spacing w:line="360" w:lineRule="auto"/>
              <w:jc w:val="left"/>
              <w:rPr>
                <w:rFonts w:ascii="宋体" w:cs="Arial"/>
                <w:bCs/>
                <w:sz w:val="24"/>
              </w:rPr>
            </w:pPr>
          </w:p>
          <w:p>
            <w:pPr>
              <w:pStyle w:val="73"/>
              <w:widowControl/>
              <w:spacing w:line="360" w:lineRule="auto"/>
              <w:jc w:val="left"/>
              <w:rPr>
                <w:rFonts w:ascii="宋体" w:cs="Arial"/>
                <w:bCs/>
                <w:sz w:val="24"/>
              </w:rPr>
            </w:pPr>
          </w:p>
          <w:p>
            <w:pPr>
              <w:pStyle w:val="73"/>
              <w:spacing w:line="360" w:lineRule="auto"/>
              <w:rPr>
                <w:rFonts w:asci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73"/>
              <w:widowControl/>
              <w:spacing w:line="360" w:lineRule="auto"/>
              <w:jc w:val="left"/>
              <w:rPr>
                <w:rFonts w:ascii="宋体" w:cs="Arial"/>
                <w:bCs/>
                <w:sz w:val="24"/>
              </w:rPr>
            </w:pPr>
            <w:r>
              <w:rPr>
                <w:rFonts w:ascii="宋体" w:hAnsi="宋体" w:cs="Arial"/>
                <w:bCs/>
                <w:sz w:val="24"/>
              </w:rPr>
              <w:t xml:space="preserve"> 3</w:t>
            </w:r>
          </w:p>
        </w:tc>
        <w:tc>
          <w:tcPr>
            <w:tcW w:w="2355" w:type="dxa"/>
            <w:vAlign w:val="center"/>
          </w:tcPr>
          <w:p>
            <w:pPr>
              <w:pStyle w:val="73"/>
              <w:widowControl/>
              <w:spacing w:line="360" w:lineRule="auto"/>
              <w:jc w:val="left"/>
              <w:rPr>
                <w:rFonts w:ascii="宋体" w:cs="Arial"/>
                <w:bCs/>
                <w:sz w:val="24"/>
              </w:rPr>
            </w:pPr>
            <w:r>
              <w:rPr>
                <w:rFonts w:hint="eastAsia" w:ascii="宋体" w:hAnsi="宋体" w:cs="Arial"/>
                <w:bCs/>
                <w:sz w:val="24"/>
              </w:rPr>
              <w:t>培训方案（可用附页）</w:t>
            </w:r>
          </w:p>
        </w:tc>
        <w:tc>
          <w:tcPr>
            <w:tcW w:w="4061" w:type="dxa"/>
          </w:tcPr>
          <w:p>
            <w:pPr>
              <w:pStyle w:val="73"/>
              <w:widowControl/>
              <w:spacing w:line="360" w:lineRule="auto"/>
              <w:jc w:val="left"/>
              <w:rPr>
                <w:rFonts w:ascii="宋体" w:cs="Arial"/>
                <w:bCs/>
                <w:i/>
                <w:sz w:val="24"/>
              </w:rPr>
            </w:pPr>
          </w:p>
          <w:p>
            <w:pPr>
              <w:pStyle w:val="73"/>
              <w:widowControl/>
              <w:spacing w:line="360" w:lineRule="auto"/>
              <w:jc w:val="left"/>
              <w:rPr>
                <w:rFonts w:ascii="宋体" w:cs="Arial"/>
                <w:bCs/>
                <w:i/>
                <w:sz w:val="24"/>
              </w:rPr>
            </w:pPr>
          </w:p>
        </w:tc>
        <w:tc>
          <w:tcPr>
            <w:tcW w:w="1373" w:type="dxa"/>
          </w:tcPr>
          <w:p>
            <w:pPr>
              <w:pStyle w:val="73"/>
              <w:widowControl/>
              <w:spacing w:line="360" w:lineRule="auto"/>
              <w:jc w:val="left"/>
              <w:rPr>
                <w:rFonts w:ascii="宋体" w:cs="Arial"/>
                <w:bCs/>
                <w:i/>
                <w:sz w:val="24"/>
              </w:rPr>
            </w:pPr>
          </w:p>
          <w:p>
            <w:pPr>
              <w:pStyle w:val="73"/>
              <w:widowControl/>
              <w:spacing w:line="360" w:lineRule="auto"/>
              <w:jc w:val="left"/>
              <w:rPr>
                <w:rFonts w:ascii="宋体" w:cs="Arial"/>
                <w:bCs/>
                <w:i/>
                <w:sz w:val="24"/>
              </w:rPr>
            </w:pPr>
          </w:p>
          <w:p>
            <w:pPr>
              <w:pStyle w:val="73"/>
              <w:widowControl/>
              <w:spacing w:line="360" w:lineRule="auto"/>
              <w:jc w:val="left"/>
              <w:rPr>
                <w:rFonts w:ascii="宋体" w:cs="Arial"/>
                <w:bCs/>
                <w:i/>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73"/>
              <w:widowControl/>
              <w:spacing w:line="360" w:lineRule="auto"/>
              <w:jc w:val="left"/>
              <w:rPr>
                <w:rFonts w:ascii="宋体" w:cs="Arial"/>
                <w:bCs/>
                <w:sz w:val="24"/>
              </w:rPr>
            </w:pPr>
            <w:r>
              <w:rPr>
                <w:rFonts w:hint="eastAsia" w:ascii="宋体" w:cs="Arial"/>
                <w:bCs/>
                <w:sz w:val="24"/>
              </w:rPr>
              <w:t>……</w:t>
            </w:r>
          </w:p>
        </w:tc>
        <w:tc>
          <w:tcPr>
            <w:tcW w:w="2355" w:type="dxa"/>
            <w:tcBorders>
              <w:bottom w:val="single" w:color="auto" w:sz="4" w:space="0"/>
            </w:tcBorders>
            <w:vAlign w:val="center"/>
          </w:tcPr>
          <w:p>
            <w:pPr>
              <w:pStyle w:val="73"/>
              <w:widowControl/>
              <w:spacing w:line="360" w:lineRule="auto"/>
              <w:jc w:val="left"/>
              <w:rPr>
                <w:rFonts w:ascii="宋体" w:cs="Arial"/>
                <w:bCs/>
                <w:sz w:val="24"/>
              </w:rPr>
            </w:pPr>
            <w:r>
              <w:rPr>
                <w:rFonts w:hint="eastAsia" w:ascii="宋体" w:cs="Arial"/>
                <w:bCs/>
                <w:sz w:val="24"/>
              </w:rPr>
              <w:t>……</w:t>
            </w:r>
          </w:p>
        </w:tc>
        <w:tc>
          <w:tcPr>
            <w:tcW w:w="4061" w:type="dxa"/>
            <w:tcBorders>
              <w:bottom w:val="single" w:color="auto" w:sz="4" w:space="0"/>
            </w:tcBorders>
          </w:tcPr>
          <w:p>
            <w:pPr>
              <w:pStyle w:val="73"/>
              <w:widowControl/>
              <w:spacing w:line="360" w:lineRule="auto"/>
              <w:jc w:val="left"/>
              <w:rPr>
                <w:rFonts w:ascii="宋体" w:cs="Arial"/>
                <w:bCs/>
                <w:sz w:val="24"/>
              </w:rPr>
            </w:pPr>
          </w:p>
        </w:tc>
        <w:tc>
          <w:tcPr>
            <w:tcW w:w="1373" w:type="dxa"/>
            <w:tcBorders>
              <w:bottom w:val="single" w:color="auto" w:sz="4" w:space="0"/>
            </w:tcBorders>
          </w:tcPr>
          <w:p>
            <w:pPr>
              <w:pStyle w:val="73"/>
              <w:widowControl/>
              <w:spacing w:line="360" w:lineRule="auto"/>
              <w:jc w:val="left"/>
              <w:rPr>
                <w:rFonts w:ascii="宋体" w:cs="Arial"/>
                <w:bCs/>
                <w:sz w:val="24"/>
              </w:rPr>
            </w:pPr>
          </w:p>
        </w:tc>
      </w:tr>
    </w:tbl>
    <w:p>
      <w:pPr>
        <w:spacing w:line="360" w:lineRule="auto"/>
        <w:ind w:left="549" w:hanging="549" w:hangingChars="171"/>
        <w:jc w:val="center"/>
        <w:rPr>
          <w:rFonts w:ascii="宋体" w:hAnsi="宋体"/>
          <w:b/>
          <w:sz w:val="32"/>
          <w:szCs w:val="32"/>
        </w:rPr>
      </w:pPr>
    </w:p>
    <w:p>
      <w:pPr>
        <w:spacing w:line="360" w:lineRule="auto"/>
        <w:rPr>
          <w:rFonts w:ascii="宋体" w:hAnsi="宋体"/>
          <w:sz w:val="24"/>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授权委托代理人签字或盖章：</w:t>
      </w:r>
    </w:p>
    <w:p>
      <w:pPr>
        <w:spacing w:line="480" w:lineRule="auto"/>
        <w:rPr>
          <w:rFonts w:ascii="宋体" w:hAnsi="宋体"/>
          <w:sz w:val="24"/>
        </w:rPr>
      </w:pPr>
      <w:r>
        <w:rPr>
          <w:rFonts w:hint="eastAsia" w:ascii="宋体" w:hAnsi="宋体"/>
          <w:sz w:val="24"/>
        </w:rPr>
        <w:t>日期：</w:t>
      </w:r>
    </w:p>
    <w:p>
      <w:pPr>
        <w:spacing w:line="360" w:lineRule="auto"/>
        <w:rPr>
          <w:rFonts w:ascii="宋体" w:hAnsi="宋体" w:cs="宋体"/>
          <w:sz w:val="24"/>
          <w:szCs w:val="32"/>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pStyle w:val="4"/>
        <w:rPr>
          <w:rFonts w:ascii="宋体"/>
          <w:b/>
        </w:rPr>
      </w:pPr>
    </w:p>
    <w:p>
      <w:pPr>
        <w:pStyle w:val="5"/>
        <w:rPr>
          <w:rFonts w:ascii="宋体"/>
          <w:b/>
          <w:sz w:val="24"/>
        </w:rPr>
      </w:pPr>
    </w:p>
    <w:p>
      <w:pPr>
        <w:pStyle w:val="6"/>
        <w:rPr>
          <w:rFonts w:ascii="宋体"/>
          <w:b/>
          <w:sz w:val="24"/>
        </w:rPr>
      </w:pPr>
    </w:p>
    <w:p/>
    <w:p>
      <w:pPr>
        <w:tabs>
          <w:tab w:val="left" w:pos="2460"/>
        </w:tabs>
        <w:spacing w:line="360" w:lineRule="auto"/>
        <w:rPr>
          <w:rFonts w:ascii="宋体" w:hAnsi="宋体"/>
          <w:b/>
          <w:sz w:val="28"/>
        </w:rPr>
      </w:pPr>
      <w:r>
        <w:rPr>
          <w:rFonts w:hint="eastAsia" w:ascii="宋体" w:hAnsi="宋体"/>
          <w:b/>
          <w:sz w:val="28"/>
        </w:rPr>
        <w:t>附件16</w:t>
      </w:r>
    </w:p>
    <w:p>
      <w:pPr>
        <w:tabs>
          <w:tab w:val="left" w:pos="2460"/>
        </w:tabs>
        <w:jc w:val="center"/>
        <w:rPr>
          <w:rFonts w:ascii="宋体" w:hAnsi="宋体"/>
          <w:b/>
          <w:sz w:val="28"/>
        </w:rPr>
      </w:pPr>
      <w:r>
        <w:rPr>
          <w:rFonts w:hint="eastAsia" w:ascii="宋体" w:hAnsi="宋体"/>
          <w:b/>
          <w:sz w:val="28"/>
        </w:rPr>
        <w:t>自评表</w:t>
      </w:r>
    </w:p>
    <w:tbl>
      <w:tblPr>
        <w:tblStyle w:val="40"/>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1281"/>
        <w:gridCol w:w="6095"/>
        <w:gridCol w:w="656"/>
        <w:gridCol w:w="656"/>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jc w:val="center"/>
        </w:trPr>
        <w:tc>
          <w:tcPr>
            <w:tcW w:w="431" w:type="dxa"/>
            <w:noWrap/>
            <w:vAlign w:val="center"/>
          </w:tcPr>
          <w:p>
            <w:pPr>
              <w:jc w:val="center"/>
              <w:rPr>
                <w:b/>
                <w:bCs/>
                <w:szCs w:val="21"/>
              </w:rPr>
            </w:pPr>
            <w:r>
              <w:rPr>
                <w:b/>
                <w:bCs/>
                <w:szCs w:val="21"/>
              </w:rPr>
              <w:t>序号</w:t>
            </w:r>
          </w:p>
        </w:tc>
        <w:tc>
          <w:tcPr>
            <w:tcW w:w="1281" w:type="dxa"/>
            <w:noWrap/>
            <w:vAlign w:val="center"/>
          </w:tcPr>
          <w:p>
            <w:pPr>
              <w:jc w:val="center"/>
              <w:rPr>
                <w:b/>
                <w:bCs/>
                <w:szCs w:val="21"/>
              </w:rPr>
            </w:pPr>
            <w:r>
              <w:rPr>
                <w:b/>
                <w:bCs/>
                <w:szCs w:val="21"/>
              </w:rPr>
              <w:t>评标项目</w:t>
            </w:r>
          </w:p>
        </w:tc>
        <w:tc>
          <w:tcPr>
            <w:tcW w:w="6095" w:type="dxa"/>
            <w:noWrap/>
            <w:vAlign w:val="center"/>
          </w:tcPr>
          <w:p>
            <w:pPr>
              <w:jc w:val="center"/>
              <w:rPr>
                <w:b/>
                <w:bCs/>
                <w:szCs w:val="21"/>
              </w:rPr>
            </w:pPr>
            <w:r>
              <w:rPr>
                <w:b/>
                <w:bCs/>
                <w:szCs w:val="21"/>
              </w:rPr>
              <w:t>评标内容</w:t>
            </w:r>
          </w:p>
        </w:tc>
        <w:tc>
          <w:tcPr>
            <w:tcW w:w="656" w:type="dxa"/>
            <w:noWrap/>
            <w:vAlign w:val="center"/>
          </w:tcPr>
          <w:p>
            <w:pPr>
              <w:jc w:val="center"/>
              <w:rPr>
                <w:b/>
                <w:bCs/>
                <w:szCs w:val="21"/>
              </w:rPr>
            </w:pPr>
            <w:r>
              <w:rPr>
                <w:b/>
                <w:bCs/>
                <w:szCs w:val="21"/>
              </w:rPr>
              <w:t>分值</w:t>
            </w:r>
          </w:p>
        </w:tc>
        <w:tc>
          <w:tcPr>
            <w:tcW w:w="656" w:type="dxa"/>
          </w:tcPr>
          <w:p>
            <w:pPr>
              <w:jc w:val="center"/>
              <w:rPr>
                <w:b/>
                <w:bCs/>
                <w:szCs w:val="21"/>
              </w:rPr>
            </w:pPr>
            <w:r>
              <w:rPr>
                <w:rFonts w:hint="eastAsia"/>
                <w:b/>
                <w:bCs/>
                <w:szCs w:val="21"/>
              </w:rPr>
              <w:t>对应页码</w:t>
            </w:r>
          </w:p>
        </w:tc>
        <w:tc>
          <w:tcPr>
            <w:tcW w:w="656" w:type="dxa"/>
          </w:tcPr>
          <w:p>
            <w:pPr>
              <w:jc w:val="center"/>
              <w:rPr>
                <w:b/>
                <w:bCs/>
                <w:szCs w:val="21"/>
              </w:rPr>
            </w:pPr>
            <w:r>
              <w:rPr>
                <w:rFonts w:hint="eastAsia"/>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31" w:type="dxa"/>
            <w:noWrap/>
            <w:vAlign w:val="center"/>
          </w:tcPr>
          <w:p>
            <w:pPr>
              <w:jc w:val="center"/>
              <w:rPr>
                <w:szCs w:val="21"/>
              </w:rPr>
            </w:pPr>
            <w:r>
              <w:rPr>
                <w:rFonts w:hint="eastAsia"/>
                <w:szCs w:val="21"/>
              </w:rPr>
              <w:t>1</w:t>
            </w:r>
          </w:p>
        </w:tc>
        <w:tc>
          <w:tcPr>
            <w:tcW w:w="1281" w:type="dxa"/>
            <w:noWrap/>
            <w:vAlign w:val="center"/>
          </w:tcPr>
          <w:p>
            <w:pPr>
              <w:jc w:val="center"/>
              <w:rPr>
                <w:szCs w:val="21"/>
              </w:rPr>
            </w:pPr>
            <w:r>
              <w:rPr>
                <w:bCs/>
                <w:szCs w:val="21"/>
              </w:rPr>
              <w:t>企业综合能力</w:t>
            </w:r>
          </w:p>
        </w:tc>
        <w:tc>
          <w:tcPr>
            <w:tcW w:w="6095" w:type="dxa"/>
            <w:noWrap/>
            <w:vAlign w:val="center"/>
          </w:tcPr>
          <w:p>
            <w:pPr>
              <w:adjustRightInd w:val="0"/>
              <w:snapToGrid w:val="0"/>
              <w:spacing w:line="300" w:lineRule="exact"/>
              <w:rPr>
                <w:szCs w:val="21"/>
              </w:rPr>
            </w:pPr>
            <w:r>
              <w:rPr>
                <w:rFonts w:hint="eastAsia"/>
                <w:szCs w:val="21"/>
              </w:rPr>
              <w:t>根据投标人企业情况、履约能力、财务状况、企业信誉、工程勘察实施能力、专业服务能力等综合打分。企业综合实力强，信誉好，专业服务能力强的得5-3.6分；企业综合实力相对一般，服务能力一般的得3.5-1.6分；企业综合实力相对较弱，服务能力差的得</w:t>
            </w:r>
            <w:r>
              <w:rPr>
                <w:szCs w:val="21"/>
              </w:rPr>
              <w:t>1</w:t>
            </w:r>
            <w:r>
              <w:rPr>
                <w:rFonts w:hint="eastAsia"/>
                <w:szCs w:val="21"/>
              </w:rPr>
              <w:t>.6-0分。</w:t>
            </w:r>
          </w:p>
          <w:p>
            <w:pPr>
              <w:adjustRightInd w:val="0"/>
              <w:snapToGrid w:val="0"/>
              <w:spacing w:line="288" w:lineRule="auto"/>
              <w:rPr>
                <w:szCs w:val="21"/>
              </w:rPr>
            </w:pPr>
            <w:r>
              <w:rPr>
                <w:szCs w:val="21"/>
              </w:rPr>
              <w:t>注：提供</w:t>
            </w:r>
            <w:r>
              <w:rPr>
                <w:rFonts w:hint="eastAsia"/>
                <w:szCs w:val="21"/>
              </w:rPr>
              <w:t>相关证明材料扫描件</w:t>
            </w:r>
            <w:r>
              <w:rPr>
                <w:szCs w:val="21"/>
              </w:rPr>
              <w:t>，并加盖公章</w:t>
            </w:r>
            <w:r>
              <w:rPr>
                <w:rFonts w:hint="eastAsia"/>
                <w:szCs w:val="21"/>
              </w:rPr>
              <w:t>，否则不得分。</w:t>
            </w:r>
          </w:p>
        </w:tc>
        <w:tc>
          <w:tcPr>
            <w:tcW w:w="656" w:type="dxa"/>
            <w:noWrap/>
            <w:vAlign w:val="center"/>
          </w:tcPr>
          <w:p>
            <w:pPr>
              <w:jc w:val="center"/>
              <w:rPr>
                <w:szCs w:val="21"/>
              </w:rPr>
            </w:pPr>
            <w:r>
              <w:rPr>
                <w:rFonts w:hint="eastAsia"/>
                <w:szCs w:val="21"/>
              </w:rPr>
              <w:t>5</w:t>
            </w:r>
          </w:p>
        </w:tc>
        <w:tc>
          <w:tcPr>
            <w:tcW w:w="656" w:type="dxa"/>
          </w:tcPr>
          <w:p>
            <w:pPr>
              <w:jc w:val="center"/>
              <w:rPr>
                <w:szCs w:val="21"/>
              </w:rPr>
            </w:pPr>
          </w:p>
        </w:tc>
        <w:tc>
          <w:tcPr>
            <w:tcW w:w="656" w:type="dxa"/>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31" w:type="dxa"/>
            <w:noWrap/>
            <w:vAlign w:val="center"/>
          </w:tcPr>
          <w:p>
            <w:pPr>
              <w:jc w:val="center"/>
              <w:rPr>
                <w:szCs w:val="21"/>
              </w:rPr>
            </w:pPr>
            <w:r>
              <w:rPr>
                <w:rFonts w:hint="eastAsia"/>
                <w:szCs w:val="21"/>
              </w:rPr>
              <w:t>2</w:t>
            </w:r>
          </w:p>
        </w:tc>
        <w:tc>
          <w:tcPr>
            <w:tcW w:w="1281" w:type="dxa"/>
            <w:noWrap/>
            <w:vAlign w:val="center"/>
          </w:tcPr>
          <w:p>
            <w:pPr>
              <w:jc w:val="center"/>
              <w:rPr>
                <w:szCs w:val="21"/>
              </w:rPr>
            </w:pPr>
            <w:r>
              <w:rPr>
                <w:rFonts w:hint="eastAsia"/>
                <w:bCs/>
                <w:szCs w:val="21"/>
              </w:rPr>
              <w:t>技术能力支撑</w:t>
            </w:r>
          </w:p>
        </w:tc>
        <w:tc>
          <w:tcPr>
            <w:tcW w:w="6095" w:type="dxa"/>
            <w:noWrap/>
            <w:vAlign w:val="center"/>
          </w:tcPr>
          <w:p>
            <w:pPr>
              <w:pStyle w:val="66"/>
              <w:numPr>
                <w:ilvl w:val="0"/>
                <w:numId w:val="3"/>
              </w:numPr>
              <w:adjustRightInd w:val="0"/>
              <w:snapToGrid w:val="0"/>
              <w:spacing w:line="288" w:lineRule="auto"/>
              <w:ind w:left="0" w:firstLine="0" w:firstLineChars="0"/>
              <w:jc w:val="left"/>
              <w:rPr>
                <w:szCs w:val="21"/>
              </w:rPr>
            </w:pPr>
            <w:r>
              <w:rPr>
                <w:szCs w:val="21"/>
              </w:rPr>
              <w:t>投标人具有有效期内的电子与智能化工程专业承包贰级及以上</w:t>
            </w:r>
            <w:r>
              <w:rPr>
                <w:rFonts w:hint="eastAsia"/>
                <w:szCs w:val="21"/>
              </w:rPr>
              <w:t>资质的得1分。</w:t>
            </w:r>
            <w:r>
              <w:rPr>
                <w:szCs w:val="21"/>
              </w:rPr>
              <w:t>（0-</w:t>
            </w:r>
            <w:r>
              <w:rPr>
                <w:rFonts w:hint="eastAsia"/>
                <w:szCs w:val="21"/>
              </w:rPr>
              <w:t>1</w:t>
            </w:r>
            <w:r>
              <w:rPr>
                <w:szCs w:val="21"/>
              </w:rPr>
              <w:t>分）</w:t>
            </w:r>
          </w:p>
          <w:p>
            <w:pPr>
              <w:pStyle w:val="2"/>
              <w:ind w:left="0" w:leftChars="0"/>
            </w:pPr>
            <w:r>
              <w:rPr>
                <w:rFonts w:hint="eastAsia"/>
              </w:rPr>
              <w:t>2、投标单位具有工程勘察综合甲级资质或具有工程勘察专业（岩土工程）乙级及以上资质的得</w:t>
            </w:r>
            <w:r>
              <w:t>1</w:t>
            </w:r>
            <w:r>
              <w:rPr>
                <w:rFonts w:hint="eastAsia"/>
              </w:rPr>
              <w:t>分。</w:t>
            </w:r>
            <w:r>
              <w:t>（0-</w:t>
            </w:r>
            <w:r>
              <w:rPr>
                <w:rFonts w:hint="eastAsia"/>
              </w:rPr>
              <w:t>1</w:t>
            </w:r>
            <w:r>
              <w:t>）</w:t>
            </w:r>
          </w:p>
          <w:p>
            <w:pPr>
              <w:adjustRightInd w:val="0"/>
              <w:snapToGrid w:val="0"/>
              <w:spacing w:line="288" w:lineRule="auto"/>
              <w:rPr>
                <w:szCs w:val="21"/>
              </w:rPr>
            </w:pPr>
            <w:r>
              <w:rPr>
                <w:rFonts w:hint="eastAsia"/>
                <w:szCs w:val="21"/>
              </w:rPr>
              <w:t>3、投标人具有信息安全管理体系认证证书或信息技术服务管理体系认证证书的得1分。（0-1分）</w:t>
            </w:r>
          </w:p>
          <w:p>
            <w:pPr>
              <w:pStyle w:val="5"/>
              <w:adjustRightInd w:val="0"/>
              <w:snapToGrid w:val="0"/>
              <w:spacing w:line="288" w:lineRule="auto"/>
              <w:ind w:firstLine="0"/>
              <w:jc w:val="left"/>
              <w:rPr>
                <w:szCs w:val="21"/>
              </w:rPr>
            </w:pPr>
            <w:r>
              <w:rPr>
                <w:szCs w:val="21"/>
              </w:rPr>
              <w:t>注：提供</w:t>
            </w:r>
            <w:r>
              <w:rPr>
                <w:rFonts w:hint="eastAsia"/>
                <w:szCs w:val="21"/>
              </w:rPr>
              <w:t>相关证书扫描件</w:t>
            </w:r>
            <w:r>
              <w:rPr>
                <w:szCs w:val="21"/>
              </w:rPr>
              <w:t>，并加盖公章</w:t>
            </w:r>
            <w:r>
              <w:rPr>
                <w:rFonts w:hint="eastAsia"/>
                <w:szCs w:val="21"/>
              </w:rPr>
              <w:t>，否则不得分。</w:t>
            </w:r>
          </w:p>
        </w:tc>
        <w:tc>
          <w:tcPr>
            <w:tcW w:w="656" w:type="dxa"/>
            <w:noWrap/>
            <w:vAlign w:val="center"/>
          </w:tcPr>
          <w:p>
            <w:pPr>
              <w:jc w:val="center"/>
              <w:rPr>
                <w:szCs w:val="21"/>
              </w:rPr>
            </w:pPr>
            <w:r>
              <w:rPr>
                <w:rFonts w:hint="eastAsia"/>
                <w:szCs w:val="21"/>
              </w:rPr>
              <w:t>3</w:t>
            </w:r>
          </w:p>
        </w:tc>
        <w:tc>
          <w:tcPr>
            <w:tcW w:w="656" w:type="dxa"/>
          </w:tcPr>
          <w:p>
            <w:pPr>
              <w:jc w:val="center"/>
              <w:rPr>
                <w:szCs w:val="21"/>
              </w:rPr>
            </w:pPr>
          </w:p>
        </w:tc>
        <w:tc>
          <w:tcPr>
            <w:tcW w:w="656" w:type="dxa"/>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31" w:type="dxa"/>
            <w:noWrap/>
            <w:vAlign w:val="center"/>
          </w:tcPr>
          <w:p>
            <w:pPr>
              <w:jc w:val="center"/>
              <w:rPr>
                <w:szCs w:val="21"/>
              </w:rPr>
            </w:pPr>
            <w:r>
              <w:rPr>
                <w:rFonts w:hint="eastAsia"/>
                <w:szCs w:val="21"/>
              </w:rPr>
              <w:t>3</w:t>
            </w:r>
          </w:p>
        </w:tc>
        <w:tc>
          <w:tcPr>
            <w:tcW w:w="1281" w:type="dxa"/>
            <w:noWrap/>
            <w:vAlign w:val="center"/>
          </w:tcPr>
          <w:p>
            <w:pPr>
              <w:jc w:val="center"/>
              <w:rPr>
                <w:szCs w:val="21"/>
              </w:rPr>
            </w:pPr>
            <w:r>
              <w:rPr>
                <w:rFonts w:hint="eastAsia"/>
                <w:szCs w:val="21"/>
              </w:rPr>
              <w:t>同类项目</w:t>
            </w:r>
            <w:r>
              <w:rPr>
                <w:szCs w:val="21"/>
              </w:rPr>
              <w:t>业绩</w:t>
            </w:r>
          </w:p>
        </w:tc>
        <w:tc>
          <w:tcPr>
            <w:tcW w:w="6095" w:type="dxa"/>
            <w:noWrap/>
            <w:vAlign w:val="center"/>
          </w:tcPr>
          <w:p>
            <w:pPr>
              <w:adjustRightInd w:val="0"/>
              <w:snapToGrid w:val="0"/>
              <w:spacing w:line="288" w:lineRule="auto"/>
              <w:rPr>
                <w:szCs w:val="21"/>
              </w:rPr>
            </w:pPr>
            <w:r>
              <w:rPr>
                <w:szCs w:val="21"/>
              </w:rPr>
              <w:t>投标人自201</w:t>
            </w:r>
            <w:r>
              <w:rPr>
                <w:rFonts w:hint="eastAsia"/>
                <w:szCs w:val="21"/>
              </w:rPr>
              <w:t>8</w:t>
            </w:r>
            <w:r>
              <w:rPr>
                <w:szCs w:val="21"/>
              </w:rPr>
              <w:t>年1月1日以来（以合同签订时间为准）完成过</w:t>
            </w:r>
            <w:r>
              <w:rPr>
                <w:rFonts w:hint="eastAsia"/>
                <w:szCs w:val="21"/>
              </w:rPr>
              <w:t>水库大坝监测类似</w:t>
            </w:r>
            <w:r>
              <w:rPr>
                <w:szCs w:val="21"/>
              </w:rPr>
              <w:t>业绩的，每个得</w:t>
            </w:r>
            <w:r>
              <w:rPr>
                <w:rFonts w:hint="eastAsia"/>
                <w:szCs w:val="21"/>
              </w:rPr>
              <w:t>1</w:t>
            </w:r>
            <w:r>
              <w:rPr>
                <w:szCs w:val="21"/>
              </w:rPr>
              <w:t>分，本项最高得</w:t>
            </w:r>
            <w:r>
              <w:rPr>
                <w:rFonts w:hint="eastAsia"/>
                <w:szCs w:val="21"/>
              </w:rPr>
              <w:t>3</w:t>
            </w:r>
            <w:r>
              <w:rPr>
                <w:szCs w:val="21"/>
              </w:rPr>
              <w:t>分。（0-</w:t>
            </w:r>
            <w:r>
              <w:rPr>
                <w:rFonts w:hint="eastAsia"/>
                <w:szCs w:val="21"/>
              </w:rPr>
              <w:t>3</w:t>
            </w:r>
            <w:r>
              <w:rPr>
                <w:szCs w:val="21"/>
              </w:rPr>
              <w:t>分）</w:t>
            </w:r>
          </w:p>
          <w:p>
            <w:pPr>
              <w:adjustRightInd w:val="0"/>
              <w:snapToGrid w:val="0"/>
              <w:spacing w:line="288" w:lineRule="auto"/>
              <w:rPr>
                <w:szCs w:val="21"/>
              </w:rPr>
            </w:pPr>
            <w:r>
              <w:rPr>
                <w:szCs w:val="21"/>
              </w:rPr>
              <w:t>注：需</w:t>
            </w:r>
            <w:r>
              <w:rPr>
                <w:rFonts w:hint="eastAsia"/>
                <w:szCs w:val="21"/>
              </w:rPr>
              <w:t>提供合同扫描件并加盖公章，否则不得分。</w:t>
            </w:r>
          </w:p>
        </w:tc>
        <w:tc>
          <w:tcPr>
            <w:tcW w:w="656" w:type="dxa"/>
            <w:noWrap/>
            <w:vAlign w:val="center"/>
          </w:tcPr>
          <w:p>
            <w:pPr>
              <w:jc w:val="center"/>
              <w:rPr>
                <w:szCs w:val="21"/>
              </w:rPr>
            </w:pPr>
            <w:r>
              <w:rPr>
                <w:rFonts w:hint="eastAsia"/>
                <w:szCs w:val="21"/>
              </w:rPr>
              <w:t>3</w:t>
            </w:r>
          </w:p>
        </w:tc>
        <w:tc>
          <w:tcPr>
            <w:tcW w:w="656" w:type="dxa"/>
          </w:tcPr>
          <w:p>
            <w:pPr>
              <w:jc w:val="center"/>
              <w:rPr>
                <w:szCs w:val="21"/>
              </w:rPr>
            </w:pPr>
          </w:p>
        </w:tc>
        <w:tc>
          <w:tcPr>
            <w:tcW w:w="656" w:type="dxa"/>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31" w:type="dxa"/>
            <w:noWrap/>
            <w:vAlign w:val="center"/>
          </w:tcPr>
          <w:p>
            <w:pPr>
              <w:jc w:val="center"/>
              <w:rPr>
                <w:szCs w:val="21"/>
              </w:rPr>
            </w:pPr>
            <w:r>
              <w:rPr>
                <w:rFonts w:hint="eastAsia"/>
                <w:szCs w:val="21"/>
              </w:rPr>
              <w:t>4</w:t>
            </w:r>
          </w:p>
        </w:tc>
        <w:tc>
          <w:tcPr>
            <w:tcW w:w="1281" w:type="dxa"/>
            <w:vMerge w:val="restart"/>
            <w:noWrap/>
            <w:vAlign w:val="center"/>
          </w:tcPr>
          <w:p>
            <w:pPr>
              <w:jc w:val="center"/>
              <w:rPr>
                <w:szCs w:val="21"/>
              </w:rPr>
            </w:pPr>
            <w:r>
              <w:rPr>
                <w:rFonts w:hint="eastAsia"/>
                <w:szCs w:val="21"/>
              </w:rPr>
              <w:t>项目负责人</w:t>
            </w:r>
          </w:p>
          <w:p>
            <w:pPr>
              <w:jc w:val="center"/>
              <w:rPr>
                <w:szCs w:val="21"/>
              </w:rPr>
            </w:pPr>
            <w:r>
              <w:rPr>
                <w:rFonts w:hint="eastAsia"/>
                <w:szCs w:val="21"/>
              </w:rPr>
              <w:t>及技术负责人</w:t>
            </w:r>
          </w:p>
        </w:tc>
        <w:tc>
          <w:tcPr>
            <w:tcW w:w="6095" w:type="dxa"/>
            <w:noWrap/>
            <w:vAlign w:val="center"/>
          </w:tcPr>
          <w:p>
            <w:pPr>
              <w:pStyle w:val="99"/>
              <w:autoSpaceDE w:val="0"/>
              <w:autoSpaceDN w:val="0"/>
              <w:adjustRightInd w:val="0"/>
              <w:snapToGrid w:val="0"/>
              <w:spacing w:line="288" w:lineRule="auto"/>
              <w:jc w:val="left"/>
              <w:rPr>
                <w:rFonts w:cs="Times New Roman"/>
                <w:szCs w:val="21"/>
                <w:lang w:val="en-US" w:bidi="ar-SA"/>
              </w:rPr>
            </w:pPr>
            <w:r>
              <w:rPr>
                <w:rFonts w:hint="eastAsia" w:cs="Times New Roman"/>
                <w:szCs w:val="21"/>
                <w:lang w:val="en-US" w:bidi="ar-SA"/>
              </w:rPr>
              <w:t>项目</w:t>
            </w:r>
            <w:r>
              <w:rPr>
                <w:rFonts w:ascii="Times New Roman" w:hAnsi="Times New Roman" w:cs="Times New Roman"/>
                <w:szCs w:val="21"/>
                <w:lang w:val="en-US" w:bidi="ar-SA"/>
              </w:rPr>
              <w:t>负责人（1名）</w:t>
            </w:r>
            <w:r>
              <w:rPr>
                <w:rFonts w:hint="eastAsia" w:cs="Times New Roman"/>
                <w:szCs w:val="21"/>
                <w:lang w:val="en-US" w:bidi="ar-SA"/>
              </w:rPr>
              <w:t>具有</w:t>
            </w:r>
            <w:r>
              <w:rPr>
                <w:rFonts w:ascii="Times New Roman" w:hAnsi="Times New Roman" w:cs="Times New Roman"/>
                <w:szCs w:val="21"/>
                <w:lang w:val="en-US" w:bidi="ar-SA"/>
              </w:rPr>
              <w:t>水利</w:t>
            </w:r>
            <w:r>
              <w:rPr>
                <w:rFonts w:hint="eastAsia" w:cs="Times New Roman"/>
                <w:szCs w:val="21"/>
                <w:lang w:val="en-US" w:bidi="ar-SA"/>
              </w:rPr>
              <w:t>工程</w:t>
            </w:r>
            <w:r>
              <w:rPr>
                <w:rFonts w:ascii="Times New Roman" w:hAnsi="Times New Roman" w:cs="Times New Roman"/>
                <w:szCs w:val="21"/>
                <w:lang w:val="en-US" w:bidi="ar-SA"/>
              </w:rPr>
              <w:t>类或岩土</w:t>
            </w:r>
            <w:r>
              <w:rPr>
                <w:rFonts w:hint="eastAsia" w:cs="Times New Roman"/>
                <w:szCs w:val="21"/>
                <w:lang w:val="en-US" w:bidi="ar-SA"/>
              </w:rPr>
              <w:t>工程</w:t>
            </w:r>
            <w:r>
              <w:rPr>
                <w:rFonts w:ascii="Times New Roman" w:hAnsi="Times New Roman" w:cs="Times New Roman"/>
                <w:szCs w:val="21"/>
                <w:lang w:val="en-US" w:bidi="ar-SA"/>
              </w:rPr>
              <w:t>类或</w:t>
            </w:r>
            <w:r>
              <w:rPr>
                <w:rFonts w:hint="eastAsia" w:ascii="Times New Roman" w:hAnsi="Times New Roman" w:cs="Times New Roman"/>
                <w:szCs w:val="21"/>
                <w:lang w:val="en-US" w:bidi="ar-SA"/>
              </w:rPr>
              <w:t>地质</w:t>
            </w:r>
            <w:r>
              <w:rPr>
                <w:rFonts w:hint="eastAsia" w:cs="Times New Roman"/>
                <w:szCs w:val="21"/>
                <w:lang w:val="en-US" w:bidi="ar-SA"/>
              </w:rPr>
              <w:t>工程</w:t>
            </w:r>
            <w:r>
              <w:rPr>
                <w:rFonts w:ascii="Times New Roman" w:hAnsi="Times New Roman" w:cs="Times New Roman"/>
                <w:szCs w:val="21"/>
                <w:lang w:val="en-US" w:bidi="ar-SA"/>
              </w:rPr>
              <w:t>类相关专业高级工程师</w:t>
            </w:r>
            <w:r>
              <w:rPr>
                <w:rFonts w:hint="eastAsia" w:ascii="Times New Roman" w:hAnsi="Times New Roman" w:cs="Times New Roman"/>
                <w:szCs w:val="21"/>
                <w:lang w:val="en-US" w:bidi="ar-SA"/>
              </w:rPr>
              <w:t>及以上</w:t>
            </w:r>
            <w:r>
              <w:rPr>
                <w:rFonts w:hint="eastAsia" w:cs="Times New Roman"/>
                <w:szCs w:val="21"/>
                <w:lang w:val="en-US" w:bidi="ar-SA"/>
              </w:rPr>
              <w:t>职称</w:t>
            </w:r>
            <w:r>
              <w:rPr>
                <w:rFonts w:ascii="Times New Roman" w:hAnsi="Times New Roman" w:cs="Times New Roman"/>
                <w:szCs w:val="21"/>
                <w:lang w:val="en-US" w:bidi="ar-SA"/>
              </w:rPr>
              <w:t>的得</w:t>
            </w:r>
            <w:r>
              <w:rPr>
                <w:rFonts w:hint="eastAsia" w:cs="Times New Roman"/>
                <w:szCs w:val="21"/>
                <w:lang w:val="en-US" w:bidi="ar-SA"/>
              </w:rPr>
              <w:t>3</w:t>
            </w:r>
            <w:r>
              <w:rPr>
                <w:rFonts w:ascii="Times New Roman" w:hAnsi="Times New Roman" w:cs="Times New Roman"/>
                <w:szCs w:val="21"/>
                <w:lang w:val="en-US" w:bidi="ar-SA"/>
              </w:rPr>
              <w:t>分；</w:t>
            </w:r>
            <w:r>
              <w:rPr>
                <w:rFonts w:hint="eastAsia" w:ascii="Times New Roman" w:hAnsi="Times New Roman" w:cs="Times New Roman"/>
                <w:szCs w:val="21"/>
                <w:lang w:val="en-US" w:bidi="ar-SA"/>
              </w:rPr>
              <w:t>具有</w:t>
            </w:r>
            <w:r>
              <w:rPr>
                <w:rFonts w:ascii="Times New Roman" w:hAnsi="Times New Roman" w:cs="Times New Roman"/>
                <w:szCs w:val="21"/>
                <w:lang w:val="en-US" w:bidi="ar-SA"/>
              </w:rPr>
              <w:t>水利</w:t>
            </w:r>
            <w:r>
              <w:rPr>
                <w:rFonts w:hint="eastAsia" w:cs="Times New Roman"/>
                <w:szCs w:val="21"/>
                <w:lang w:val="en-US" w:bidi="ar-SA"/>
              </w:rPr>
              <w:t>工程</w:t>
            </w:r>
            <w:r>
              <w:rPr>
                <w:rFonts w:ascii="Times New Roman" w:hAnsi="Times New Roman" w:cs="Times New Roman"/>
                <w:szCs w:val="21"/>
                <w:lang w:val="en-US" w:bidi="ar-SA"/>
              </w:rPr>
              <w:t>类或岩土</w:t>
            </w:r>
            <w:r>
              <w:rPr>
                <w:rFonts w:hint="eastAsia" w:cs="Times New Roman"/>
                <w:szCs w:val="21"/>
                <w:lang w:val="en-US" w:bidi="ar-SA"/>
              </w:rPr>
              <w:t>工程</w:t>
            </w:r>
            <w:r>
              <w:rPr>
                <w:rFonts w:ascii="Times New Roman" w:hAnsi="Times New Roman" w:cs="Times New Roman"/>
                <w:szCs w:val="21"/>
                <w:lang w:val="en-US" w:bidi="ar-SA"/>
              </w:rPr>
              <w:t>类或</w:t>
            </w:r>
            <w:r>
              <w:rPr>
                <w:rFonts w:hint="eastAsia" w:ascii="Times New Roman" w:hAnsi="Times New Roman" w:cs="Times New Roman"/>
                <w:szCs w:val="21"/>
                <w:lang w:val="en-US" w:bidi="ar-SA"/>
              </w:rPr>
              <w:t>地质</w:t>
            </w:r>
            <w:r>
              <w:rPr>
                <w:rFonts w:hint="eastAsia" w:cs="Times New Roman"/>
                <w:szCs w:val="21"/>
                <w:lang w:val="en-US" w:bidi="ar-SA"/>
              </w:rPr>
              <w:t>工程</w:t>
            </w:r>
            <w:r>
              <w:rPr>
                <w:rFonts w:ascii="Times New Roman" w:hAnsi="Times New Roman" w:cs="Times New Roman"/>
                <w:szCs w:val="21"/>
                <w:lang w:val="en-US" w:bidi="ar-SA"/>
              </w:rPr>
              <w:t>类相关专业工程师</w:t>
            </w:r>
            <w:r>
              <w:rPr>
                <w:rFonts w:hint="eastAsia" w:cs="Times New Roman"/>
                <w:szCs w:val="21"/>
                <w:lang w:val="en-US" w:bidi="ar-SA"/>
              </w:rPr>
              <w:t>职称</w:t>
            </w:r>
            <w:r>
              <w:rPr>
                <w:rFonts w:ascii="Times New Roman" w:hAnsi="Times New Roman" w:cs="Times New Roman"/>
                <w:szCs w:val="21"/>
                <w:lang w:val="en-US" w:bidi="ar-SA"/>
              </w:rPr>
              <w:t>的得</w:t>
            </w:r>
            <w:r>
              <w:rPr>
                <w:rFonts w:hint="eastAsia" w:cs="Times New Roman"/>
                <w:szCs w:val="21"/>
                <w:lang w:val="en-US" w:bidi="ar-SA"/>
              </w:rPr>
              <w:t>1</w:t>
            </w:r>
            <w:r>
              <w:rPr>
                <w:rFonts w:ascii="Times New Roman" w:hAnsi="Times New Roman" w:cs="Times New Roman"/>
                <w:szCs w:val="21"/>
                <w:lang w:val="en-US" w:bidi="ar-SA"/>
              </w:rPr>
              <w:t>分</w:t>
            </w:r>
            <w:r>
              <w:rPr>
                <w:rFonts w:hint="eastAsia" w:cs="Times New Roman"/>
                <w:szCs w:val="21"/>
                <w:lang w:val="en-US" w:bidi="ar-SA"/>
              </w:rPr>
              <w:t>。</w:t>
            </w:r>
            <w:r>
              <w:rPr>
                <w:szCs w:val="21"/>
              </w:rPr>
              <w:t>（0-</w:t>
            </w:r>
            <w:r>
              <w:rPr>
                <w:rFonts w:hint="eastAsia"/>
                <w:szCs w:val="21"/>
              </w:rPr>
              <w:t>3</w:t>
            </w:r>
            <w:r>
              <w:rPr>
                <w:szCs w:val="21"/>
              </w:rPr>
              <w:t>分）</w:t>
            </w:r>
          </w:p>
          <w:p>
            <w:pPr>
              <w:pStyle w:val="99"/>
              <w:autoSpaceDE w:val="0"/>
              <w:autoSpaceDN w:val="0"/>
              <w:adjustRightInd w:val="0"/>
              <w:snapToGrid w:val="0"/>
              <w:spacing w:line="288" w:lineRule="auto"/>
              <w:jc w:val="left"/>
              <w:rPr>
                <w:szCs w:val="21"/>
              </w:rPr>
            </w:pPr>
            <w:r>
              <w:rPr>
                <w:szCs w:val="21"/>
              </w:rPr>
              <w:t>注：提供证书扫描件或影印件</w:t>
            </w:r>
            <w:r>
              <w:rPr>
                <w:rFonts w:hint="eastAsia"/>
                <w:szCs w:val="21"/>
              </w:rPr>
              <w:t>加盖投标人公章，</w:t>
            </w:r>
            <w:r>
              <w:rPr>
                <w:rFonts w:hint="eastAsia" w:hAnsi="Times New Roman" w:cs="Times New Roman"/>
                <w:szCs w:val="21"/>
              </w:rPr>
              <w:t>并提供</w:t>
            </w:r>
            <w:r>
              <w:rPr>
                <w:szCs w:val="21"/>
              </w:rPr>
              <w:t>投标人为其缴纳的近3个月的社保证明</w:t>
            </w:r>
            <w:r>
              <w:rPr>
                <w:rFonts w:hint="eastAsia" w:hAnsi="Times New Roman" w:cs="Times New Roman"/>
                <w:szCs w:val="21"/>
              </w:rPr>
              <w:t>，未提供不得分。</w:t>
            </w:r>
          </w:p>
        </w:tc>
        <w:tc>
          <w:tcPr>
            <w:tcW w:w="656" w:type="dxa"/>
            <w:noWrap/>
            <w:vAlign w:val="center"/>
          </w:tcPr>
          <w:p>
            <w:pPr>
              <w:jc w:val="center"/>
              <w:rPr>
                <w:szCs w:val="21"/>
              </w:rPr>
            </w:pPr>
            <w:r>
              <w:rPr>
                <w:rFonts w:hint="eastAsia"/>
                <w:szCs w:val="21"/>
              </w:rPr>
              <w:t>3</w:t>
            </w:r>
          </w:p>
        </w:tc>
        <w:tc>
          <w:tcPr>
            <w:tcW w:w="656" w:type="dxa"/>
          </w:tcPr>
          <w:p>
            <w:pPr>
              <w:jc w:val="center"/>
              <w:rPr>
                <w:szCs w:val="21"/>
              </w:rPr>
            </w:pPr>
          </w:p>
        </w:tc>
        <w:tc>
          <w:tcPr>
            <w:tcW w:w="656" w:type="dxa"/>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431" w:type="dxa"/>
            <w:noWrap/>
            <w:vAlign w:val="center"/>
          </w:tcPr>
          <w:p>
            <w:pPr>
              <w:jc w:val="center"/>
              <w:rPr>
                <w:szCs w:val="21"/>
              </w:rPr>
            </w:pPr>
            <w:r>
              <w:rPr>
                <w:rFonts w:hint="eastAsia"/>
                <w:szCs w:val="21"/>
              </w:rPr>
              <w:t>5</w:t>
            </w:r>
          </w:p>
        </w:tc>
        <w:tc>
          <w:tcPr>
            <w:tcW w:w="1281" w:type="dxa"/>
            <w:vMerge w:val="continue"/>
            <w:noWrap/>
            <w:vAlign w:val="center"/>
          </w:tcPr>
          <w:p>
            <w:pPr>
              <w:jc w:val="center"/>
              <w:rPr>
                <w:szCs w:val="21"/>
              </w:rPr>
            </w:pPr>
          </w:p>
        </w:tc>
        <w:tc>
          <w:tcPr>
            <w:tcW w:w="6095" w:type="dxa"/>
            <w:noWrap/>
            <w:vAlign w:val="center"/>
          </w:tcPr>
          <w:p>
            <w:pPr>
              <w:pStyle w:val="99"/>
              <w:adjustRightInd w:val="0"/>
              <w:snapToGrid w:val="0"/>
              <w:spacing w:line="288" w:lineRule="auto"/>
              <w:rPr>
                <w:szCs w:val="21"/>
              </w:rPr>
            </w:pPr>
            <w:r>
              <w:rPr>
                <w:rFonts w:hint="eastAsia" w:cs="Times New Roman"/>
                <w:szCs w:val="21"/>
                <w:lang w:val="en-US" w:bidi="ar-SA"/>
              </w:rPr>
              <w:t>技术</w:t>
            </w:r>
            <w:r>
              <w:rPr>
                <w:rFonts w:ascii="Times New Roman" w:hAnsi="Times New Roman" w:cs="Times New Roman"/>
                <w:szCs w:val="21"/>
                <w:lang w:val="en-US" w:bidi="ar-SA"/>
              </w:rPr>
              <w:t>负责人（1名）</w:t>
            </w:r>
            <w:r>
              <w:rPr>
                <w:rFonts w:hint="eastAsia" w:cs="Times New Roman"/>
                <w:szCs w:val="21"/>
                <w:lang w:val="en-US" w:bidi="ar-SA"/>
              </w:rPr>
              <w:t>具有</w:t>
            </w:r>
            <w:r>
              <w:rPr>
                <w:rFonts w:ascii="Times New Roman" w:hAnsi="Times New Roman" w:cs="Times New Roman"/>
                <w:szCs w:val="21"/>
                <w:lang w:val="en-US" w:bidi="ar-SA"/>
              </w:rPr>
              <w:t>水利</w:t>
            </w:r>
            <w:r>
              <w:rPr>
                <w:rFonts w:hint="eastAsia" w:cs="Times New Roman"/>
                <w:szCs w:val="21"/>
                <w:lang w:val="en-US" w:bidi="ar-SA"/>
              </w:rPr>
              <w:t>工程</w:t>
            </w:r>
            <w:r>
              <w:rPr>
                <w:rFonts w:ascii="Times New Roman" w:hAnsi="Times New Roman" w:cs="Times New Roman"/>
                <w:szCs w:val="21"/>
                <w:lang w:val="en-US" w:bidi="ar-SA"/>
              </w:rPr>
              <w:t>类或岩土</w:t>
            </w:r>
            <w:r>
              <w:rPr>
                <w:rFonts w:hint="eastAsia" w:cs="Times New Roman"/>
                <w:szCs w:val="21"/>
                <w:lang w:val="en-US" w:bidi="ar-SA"/>
              </w:rPr>
              <w:t>工程</w:t>
            </w:r>
            <w:r>
              <w:rPr>
                <w:rFonts w:ascii="Times New Roman" w:hAnsi="Times New Roman" w:cs="Times New Roman"/>
                <w:szCs w:val="21"/>
                <w:lang w:val="en-US" w:bidi="ar-SA"/>
              </w:rPr>
              <w:t>类或</w:t>
            </w:r>
            <w:r>
              <w:rPr>
                <w:rFonts w:hint="eastAsia" w:ascii="Times New Roman" w:hAnsi="Times New Roman" w:cs="Times New Roman"/>
                <w:szCs w:val="21"/>
                <w:lang w:val="en-US" w:bidi="ar-SA"/>
              </w:rPr>
              <w:t>地质</w:t>
            </w:r>
            <w:r>
              <w:rPr>
                <w:rFonts w:hint="eastAsia" w:cs="Times New Roman"/>
                <w:szCs w:val="21"/>
                <w:lang w:val="en-US" w:bidi="ar-SA"/>
              </w:rPr>
              <w:t>工程</w:t>
            </w:r>
            <w:r>
              <w:rPr>
                <w:rFonts w:ascii="Times New Roman" w:hAnsi="Times New Roman" w:cs="Times New Roman"/>
                <w:szCs w:val="21"/>
                <w:lang w:val="en-US" w:bidi="ar-SA"/>
              </w:rPr>
              <w:t>类相关专业高级工程师</w:t>
            </w:r>
            <w:r>
              <w:rPr>
                <w:rFonts w:hint="eastAsia" w:ascii="Times New Roman" w:hAnsi="Times New Roman" w:cs="Times New Roman"/>
                <w:szCs w:val="21"/>
                <w:lang w:val="en-US" w:bidi="ar-SA"/>
              </w:rPr>
              <w:t>及以上</w:t>
            </w:r>
            <w:r>
              <w:rPr>
                <w:rFonts w:hint="eastAsia" w:cs="Times New Roman"/>
                <w:szCs w:val="21"/>
                <w:lang w:val="en-US" w:bidi="ar-SA"/>
              </w:rPr>
              <w:t>职称</w:t>
            </w:r>
            <w:r>
              <w:rPr>
                <w:rFonts w:ascii="Times New Roman" w:hAnsi="Times New Roman" w:cs="Times New Roman"/>
                <w:szCs w:val="21"/>
                <w:lang w:val="en-US" w:bidi="ar-SA"/>
              </w:rPr>
              <w:t>的得</w:t>
            </w:r>
            <w:r>
              <w:rPr>
                <w:rFonts w:hint="eastAsia" w:cs="Times New Roman"/>
                <w:szCs w:val="21"/>
                <w:lang w:val="en-US" w:bidi="ar-SA"/>
              </w:rPr>
              <w:t>2</w:t>
            </w:r>
            <w:r>
              <w:rPr>
                <w:rFonts w:ascii="Times New Roman" w:hAnsi="Times New Roman" w:cs="Times New Roman"/>
                <w:szCs w:val="21"/>
                <w:lang w:val="en-US" w:bidi="ar-SA"/>
              </w:rPr>
              <w:t>分；</w:t>
            </w:r>
            <w:r>
              <w:rPr>
                <w:rFonts w:hint="eastAsia" w:ascii="Times New Roman" w:hAnsi="Times New Roman" w:cs="Times New Roman"/>
                <w:szCs w:val="21"/>
                <w:lang w:val="en-US" w:bidi="ar-SA"/>
              </w:rPr>
              <w:t>具有</w:t>
            </w:r>
            <w:r>
              <w:rPr>
                <w:rFonts w:ascii="Times New Roman" w:hAnsi="Times New Roman" w:cs="Times New Roman"/>
                <w:szCs w:val="21"/>
                <w:lang w:val="en-US" w:bidi="ar-SA"/>
              </w:rPr>
              <w:t>水利</w:t>
            </w:r>
            <w:r>
              <w:rPr>
                <w:rFonts w:hint="eastAsia" w:cs="Times New Roman"/>
                <w:szCs w:val="21"/>
                <w:lang w:val="en-US" w:bidi="ar-SA"/>
              </w:rPr>
              <w:t>工程</w:t>
            </w:r>
            <w:r>
              <w:rPr>
                <w:rFonts w:ascii="Times New Roman" w:hAnsi="Times New Roman" w:cs="Times New Roman"/>
                <w:szCs w:val="21"/>
                <w:lang w:val="en-US" w:bidi="ar-SA"/>
              </w:rPr>
              <w:t>类或岩土</w:t>
            </w:r>
            <w:r>
              <w:rPr>
                <w:rFonts w:hint="eastAsia" w:cs="Times New Roman"/>
                <w:szCs w:val="21"/>
                <w:lang w:val="en-US" w:bidi="ar-SA"/>
              </w:rPr>
              <w:t>工程</w:t>
            </w:r>
            <w:r>
              <w:rPr>
                <w:rFonts w:ascii="Times New Roman" w:hAnsi="Times New Roman" w:cs="Times New Roman"/>
                <w:szCs w:val="21"/>
                <w:lang w:val="en-US" w:bidi="ar-SA"/>
              </w:rPr>
              <w:t>类或</w:t>
            </w:r>
            <w:r>
              <w:rPr>
                <w:rFonts w:hint="eastAsia" w:ascii="Times New Roman" w:hAnsi="Times New Roman" w:cs="Times New Roman"/>
                <w:szCs w:val="21"/>
                <w:lang w:val="en-US" w:bidi="ar-SA"/>
              </w:rPr>
              <w:t>地质</w:t>
            </w:r>
            <w:r>
              <w:rPr>
                <w:rFonts w:hint="eastAsia" w:cs="Times New Roman"/>
                <w:szCs w:val="21"/>
                <w:lang w:val="en-US" w:bidi="ar-SA"/>
              </w:rPr>
              <w:t>工程</w:t>
            </w:r>
            <w:r>
              <w:rPr>
                <w:rFonts w:ascii="Times New Roman" w:hAnsi="Times New Roman" w:cs="Times New Roman"/>
                <w:szCs w:val="21"/>
                <w:lang w:val="en-US" w:bidi="ar-SA"/>
              </w:rPr>
              <w:t>类相关专业工程师</w:t>
            </w:r>
            <w:r>
              <w:rPr>
                <w:rFonts w:hint="eastAsia" w:cs="Times New Roman"/>
                <w:szCs w:val="21"/>
                <w:lang w:val="en-US" w:bidi="ar-SA"/>
              </w:rPr>
              <w:t>职称</w:t>
            </w:r>
            <w:r>
              <w:rPr>
                <w:rFonts w:ascii="Times New Roman" w:hAnsi="Times New Roman" w:cs="Times New Roman"/>
                <w:szCs w:val="21"/>
                <w:lang w:val="en-US" w:bidi="ar-SA"/>
              </w:rPr>
              <w:t>的得</w:t>
            </w:r>
            <w:r>
              <w:rPr>
                <w:rFonts w:hint="eastAsia" w:cs="Times New Roman"/>
                <w:szCs w:val="21"/>
                <w:lang w:val="en-US" w:bidi="ar-SA"/>
              </w:rPr>
              <w:t>1</w:t>
            </w:r>
            <w:r>
              <w:rPr>
                <w:rFonts w:ascii="Times New Roman" w:hAnsi="Times New Roman" w:cs="Times New Roman"/>
                <w:szCs w:val="21"/>
                <w:lang w:val="en-US" w:bidi="ar-SA"/>
              </w:rPr>
              <w:t>分</w:t>
            </w:r>
            <w:r>
              <w:rPr>
                <w:rFonts w:hint="eastAsia" w:cs="Times New Roman"/>
                <w:szCs w:val="21"/>
                <w:lang w:val="en-US" w:bidi="ar-SA"/>
              </w:rPr>
              <w:t>。</w:t>
            </w:r>
            <w:r>
              <w:rPr>
                <w:szCs w:val="21"/>
              </w:rPr>
              <w:t>（0-</w:t>
            </w:r>
            <w:r>
              <w:rPr>
                <w:rFonts w:hint="eastAsia"/>
                <w:szCs w:val="21"/>
              </w:rPr>
              <w:t>2</w:t>
            </w:r>
            <w:r>
              <w:rPr>
                <w:szCs w:val="21"/>
              </w:rPr>
              <w:t>分）</w:t>
            </w:r>
          </w:p>
          <w:p>
            <w:pPr>
              <w:pStyle w:val="99"/>
              <w:tabs>
                <w:tab w:val="left" w:pos="636"/>
              </w:tabs>
              <w:adjustRightInd w:val="0"/>
              <w:snapToGrid w:val="0"/>
              <w:spacing w:line="288" w:lineRule="auto"/>
              <w:rPr>
                <w:rFonts w:cs="Times New Roman"/>
                <w:szCs w:val="21"/>
                <w:lang w:val="en-US" w:bidi="ar-SA"/>
              </w:rPr>
            </w:pPr>
            <w:r>
              <w:rPr>
                <w:szCs w:val="21"/>
              </w:rPr>
              <w:t>注：提供证书扫描件或影印件</w:t>
            </w:r>
            <w:r>
              <w:rPr>
                <w:rFonts w:hint="eastAsia"/>
                <w:szCs w:val="21"/>
              </w:rPr>
              <w:t>加盖投标人公章，</w:t>
            </w:r>
            <w:r>
              <w:rPr>
                <w:rFonts w:hint="eastAsia" w:hAnsi="Times New Roman" w:cs="Times New Roman"/>
                <w:szCs w:val="21"/>
              </w:rPr>
              <w:t>并提供</w:t>
            </w:r>
            <w:r>
              <w:rPr>
                <w:szCs w:val="21"/>
              </w:rPr>
              <w:t>投标人为其缴纳的近3个月的社保证明</w:t>
            </w:r>
            <w:r>
              <w:rPr>
                <w:rFonts w:hint="eastAsia" w:hAnsi="Times New Roman" w:cs="Times New Roman"/>
                <w:szCs w:val="21"/>
              </w:rPr>
              <w:t>，未提供不得分。</w:t>
            </w:r>
          </w:p>
        </w:tc>
        <w:tc>
          <w:tcPr>
            <w:tcW w:w="656" w:type="dxa"/>
            <w:noWrap/>
            <w:vAlign w:val="center"/>
          </w:tcPr>
          <w:p>
            <w:pPr>
              <w:jc w:val="center"/>
              <w:rPr>
                <w:szCs w:val="21"/>
              </w:rPr>
            </w:pPr>
            <w:r>
              <w:rPr>
                <w:rFonts w:hint="eastAsia"/>
                <w:szCs w:val="21"/>
              </w:rPr>
              <w:t>2</w:t>
            </w:r>
          </w:p>
        </w:tc>
        <w:tc>
          <w:tcPr>
            <w:tcW w:w="656" w:type="dxa"/>
          </w:tcPr>
          <w:p>
            <w:pPr>
              <w:jc w:val="center"/>
              <w:rPr>
                <w:szCs w:val="21"/>
              </w:rPr>
            </w:pPr>
          </w:p>
        </w:tc>
        <w:tc>
          <w:tcPr>
            <w:tcW w:w="656" w:type="dxa"/>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431" w:type="dxa"/>
            <w:noWrap/>
            <w:vAlign w:val="center"/>
          </w:tcPr>
          <w:p>
            <w:pPr>
              <w:jc w:val="center"/>
              <w:rPr>
                <w:szCs w:val="21"/>
              </w:rPr>
            </w:pPr>
            <w:r>
              <w:rPr>
                <w:rFonts w:hint="eastAsia"/>
                <w:szCs w:val="21"/>
              </w:rPr>
              <w:t>6</w:t>
            </w:r>
          </w:p>
        </w:tc>
        <w:tc>
          <w:tcPr>
            <w:tcW w:w="1281" w:type="dxa"/>
            <w:vMerge w:val="restart"/>
            <w:noWrap/>
            <w:vAlign w:val="center"/>
          </w:tcPr>
          <w:p>
            <w:pPr>
              <w:jc w:val="center"/>
              <w:rPr>
                <w:szCs w:val="21"/>
              </w:rPr>
            </w:pPr>
            <w:r>
              <w:rPr>
                <w:rFonts w:hint="eastAsia"/>
                <w:szCs w:val="21"/>
                <w:lang w:val="zh-CN"/>
              </w:rPr>
              <w:t>拟投入本项目专业技术团队（项目负责人及技术负责人除</w:t>
            </w:r>
          </w:p>
          <w:p>
            <w:pPr>
              <w:jc w:val="center"/>
              <w:rPr>
                <w:szCs w:val="21"/>
              </w:rPr>
            </w:pPr>
            <w:r>
              <w:rPr>
                <w:rFonts w:hint="eastAsia"/>
                <w:szCs w:val="21"/>
                <w:lang w:val="zh-CN"/>
              </w:rPr>
              <w:t>外）</w:t>
            </w:r>
          </w:p>
        </w:tc>
        <w:tc>
          <w:tcPr>
            <w:tcW w:w="6095" w:type="dxa"/>
            <w:noWrap/>
            <w:vAlign w:val="center"/>
          </w:tcPr>
          <w:p>
            <w:pPr>
              <w:adjustRightInd w:val="0"/>
              <w:snapToGrid w:val="0"/>
              <w:spacing w:line="288" w:lineRule="auto"/>
              <w:rPr>
                <w:szCs w:val="21"/>
              </w:rPr>
            </w:pPr>
            <w:r>
              <w:rPr>
                <w:rFonts w:hint="eastAsia"/>
                <w:szCs w:val="21"/>
              </w:rPr>
              <w:t>项目组其他人员配备齐全、专业结构合理，</w:t>
            </w:r>
            <w:r>
              <w:rPr>
                <w:szCs w:val="21"/>
              </w:rPr>
              <w:t>投标人为本项目提供的专业技术人员（</w:t>
            </w:r>
            <w:r>
              <w:rPr>
                <w:rFonts w:hint="eastAsia"/>
                <w:szCs w:val="21"/>
                <w:lang w:val="zh-CN"/>
              </w:rPr>
              <w:t>项目负责人及技术负责人除外</w:t>
            </w:r>
            <w:r>
              <w:rPr>
                <w:szCs w:val="21"/>
              </w:rPr>
              <w:t>）</w:t>
            </w:r>
            <w:r>
              <w:rPr>
                <w:rFonts w:hint="eastAsia"/>
                <w:szCs w:val="21"/>
              </w:rPr>
              <w:t>含有水利工程专业、测绘专业、工程地质专业、电气自动化专业相关中级及以上职称，以上四类专业人员每一类得1.5分，最高得分6分。</w:t>
            </w:r>
            <w:r>
              <w:rPr>
                <w:szCs w:val="21"/>
              </w:rPr>
              <w:t>（0-</w:t>
            </w:r>
            <w:r>
              <w:rPr>
                <w:rFonts w:hint="eastAsia"/>
                <w:szCs w:val="21"/>
              </w:rPr>
              <w:t>6</w:t>
            </w:r>
            <w:r>
              <w:rPr>
                <w:szCs w:val="21"/>
              </w:rPr>
              <w:t>分）</w:t>
            </w:r>
          </w:p>
          <w:p>
            <w:pPr>
              <w:pStyle w:val="2"/>
              <w:ind w:left="0" w:leftChars="0"/>
            </w:pPr>
            <w:r>
              <w:t>注：提供证书扫描件或影印件</w:t>
            </w:r>
            <w:r>
              <w:rPr>
                <w:rFonts w:hint="eastAsia"/>
              </w:rPr>
              <w:t>加盖投标人公章，</w:t>
            </w:r>
            <w:r>
              <w:rPr>
                <w:rFonts w:hint="eastAsia"/>
                <w:kern w:val="2"/>
              </w:rPr>
              <w:t>并提供</w:t>
            </w:r>
            <w:r>
              <w:t>投标人为其缴纳的近3个月的社保证明</w:t>
            </w:r>
            <w:r>
              <w:rPr>
                <w:rFonts w:hint="eastAsia"/>
                <w:kern w:val="2"/>
              </w:rPr>
              <w:t>，未提供不得分。6、7项</w:t>
            </w:r>
            <w:r>
              <w:t>一人多证只计一次分。</w:t>
            </w:r>
          </w:p>
        </w:tc>
        <w:tc>
          <w:tcPr>
            <w:tcW w:w="656" w:type="dxa"/>
            <w:noWrap/>
            <w:vAlign w:val="center"/>
          </w:tcPr>
          <w:p>
            <w:pPr>
              <w:jc w:val="center"/>
              <w:rPr>
                <w:szCs w:val="21"/>
              </w:rPr>
            </w:pPr>
            <w:r>
              <w:rPr>
                <w:rFonts w:hint="eastAsia"/>
                <w:szCs w:val="21"/>
              </w:rPr>
              <w:t>6</w:t>
            </w:r>
          </w:p>
        </w:tc>
        <w:tc>
          <w:tcPr>
            <w:tcW w:w="656" w:type="dxa"/>
          </w:tcPr>
          <w:p>
            <w:pPr>
              <w:jc w:val="center"/>
              <w:rPr>
                <w:szCs w:val="21"/>
              </w:rPr>
            </w:pPr>
          </w:p>
        </w:tc>
        <w:tc>
          <w:tcPr>
            <w:tcW w:w="656" w:type="dxa"/>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431" w:type="dxa"/>
            <w:noWrap/>
            <w:vAlign w:val="center"/>
          </w:tcPr>
          <w:p>
            <w:pPr>
              <w:jc w:val="center"/>
              <w:rPr>
                <w:szCs w:val="21"/>
              </w:rPr>
            </w:pPr>
            <w:r>
              <w:rPr>
                <w:rFonts w:hint="eastAsia"/>
                <w:szCs w:val="21"/>
              </w:rPr>
              <w:t>7</w:t>
            </w:r>
          </w:p>
        </w:tc>
        <w:tc>
          <w:tcPr>
            <w:tcW w:w="1281" w:type="dxa"/>
            <w:vMerge w:val="continue"/>
            <w:noWrap/>
            <w:vAlign w:val="center"/>
          </w:tcPr>
          <w:p>
            <w:pPr>
              <w:jc w:val="center"/>
              <w:rPr>
                <w:szCs w:val="21"/>
                <w:lang w:val="zh-CN"/>
              </w:rPr>
            </w:pPr>
          </w:p>
        </w:tc>
        <w:tc>
          <w:tcPr>
            <w:tcW w:w="6095" w:type="dxa"/>
            <w:noWrap/>
            <w:vAlign w:val="center"/>
          </w:tcPr>
          <w:p>
            <w:pPr>
              <w:adjustRightInd w:val="0"/>
              <w:snapToGrid w:val="0"/>
              <w:spacing w:line="288" w:lineRule="auto"/>
              <w:rPr>
                <w:szCs w:val="21"/>
              </w:rPr>
            </w:pPr>
            <w:r>
              <w:rPr>
                <w:szCs w:val="21"/>
              </w:rPr>
              <w:t>投标人为本项目配备的软件开发人员具有计算机技术与软件专业技术资格（水平）考试</w:t>
            </w:r>
            <w:r>
              <w:rPr>
                <w:rFonts w:hint="eastAsia"/>
                <w:szCs w:val="21"/>
              </w:rPr>
              <w:t>中</w:t>
            </w:r>
            <w:r>
              <w:rPr>
                <w:szCs w:val="21"/>
              </w:rPr>
              <w:t>级</w:t>
            </w:r>
            <w:r>
              <w:rPr>
                <w:rFonts w:hint="eastAsia"/>
                <w:szCs w:val="21"/>
              </w:rPr>
              <w:t>及以上</w:t>
            </w:r>
            <w:r>
              <w:rPr>
                <w:szCs w:val="21"/>
              </w:rPr>
              <w:t>资格证书的，每个得</w:t>
            </w:r>
            <w:r>
              <w:rPr>
                <w:rFonts w:hint="eastAsia"/>
                <w:szCs w:val="21"/>
              </w:rPr>
              <w:t>1</w:t>
            </w:r>
            <w:r>
              <w:rPr>
                <w:szCs w:val="21"/>
              </w:rPr>
              <w:t>分，满分</w:t>
            </w:r>
            <w:r>
              <w:rPr>
                <w:rFonts w:hint="eastAsia"/>
                <w:szCs w:val="21"/>
              </w:rPr>
              <w:t>2</w:t>
            </w:r>
            <w:r>
              <w:rPr>
                <w:szCs w:val="21"/>
              </w:rPr>
              <w:t>分。（0-</w:t>
            </w:r>
            <w:r>
              <w:rPr>
                <w:rFonts w:hint="eastAsia"/>
                <w:szCs w:val="21"/>
              </w:rPr>
              <w:t>2</w:t>
            </w:r>
            <w:r>
              <w:rPr>
                <w:szCs w:val="21"/>
              </w:rPr>
              <w:t>分）</w:t>
            </w:r>
          </w:p>
          <w:p>
            <w:pPr>
              <w:adjustRightInd w:val="0"/>
              <w:snapToGrid w:val="0"/>
              <w:spacing w:line="288" w:lineRule="auto"/>
              <w:rPr>
                <w:szCs w:val="21"/>
              </w:rPr>
            </w:pPr>
            <w:r>
              <w:rPr>
                <w:szCs w:val="21"/>
              </w:rPr>
              <w:t>注：提供证书扫描件或影印件</w:t>
            </w:r>
            <w:r>
              <w:rPr>
                <w:rFonts w:hint="eastAsia"/>
                <w:szCs w:val="21"/>
              </w:rPr>
              <w:t>加盖投标人公章，并提供</w:t>
            </w:r>
            <w:r>
              <w:rPr>
                <w:szCs w:val="21"/>
              </w:rPr>
              <w:t>投标人为其缴纳的近3个月的社保证明</w:t>
            </w:r>
            <w:r>
              <w:rPr>
                <w:rFonts w:hint="eastAsia"/>
                <w:szCs w:val="21"/>
              </w:rPr>
              <w:t>，未提供不得分。</w:t>
            </w:r>
            <w:r>
              <w:rPr>
                <w:rFonts w:hint="eastAsia"/>
              </w:rPr>
              <w:t>6、7项</w:t>
            </w:r>
            <w:r>
              <w:rPr>
                <w:szCs w:val="21"/>
              </w:rPr>
              <w:t>一人多证只计一次分。</w:t>
            </w:r>
          </w:p>
        </w:tc>
        <w:tc>
          <w:tcPr>
            <w:tcW w:w="656" w:type="dxa"/>
            <w:noWrap/>
            <w:vAlign w:val="center"/>
          </w:tcPr>
          <w:p>
            <w:pPr>
              <w:jc w:val="center"/>
              <w:rPr>
                <w:szCs w:val="21"/>
              </w:rPr>
            </w:pPr>
            <w:r>
              <w:rPr>
                <w:rFonts w:hint="eastAsia"/>
                <w:szCs w:val="21"/>
              </w:rPr>
              <w:t>2</w:t>
            </w:r>
          </w:p>
        </w:tc>
        <w:tc>
          <w:tcPr>
            <w:tcW w:w="656" w:type="dxa"/>
          </w:tcPr>
          <w:p>
            <w:pPr>
              <w:jc w:val="center"/>
              <w:rPr>
                <w:szCs w:val="21"/>
              </w:rPr>
            </w:pPr>
          </w:p>
        </w:tc>
        <w:tc>
          <w:tcPr>
            <w:tcW w:w="656" w:type="dxa"/>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31" w:type="dxa"/>
            <w:noWrap/>
            <w:vAlign w:val="center"/>
          </w:tcPr>
          <w:p>
            <w:pPr>
              <w:jc w:val="center"/>
              <w:rPr>
                <w:szCs w:val="21"/>
              </w:rPr>
            </w:pPr>
            <w:r>
              <w:rPr>
                <w:rFonts w:hint="eastAsia"/>
                <w:szCs w:val="21"/>
              </w:rPr>
              <w:t>8</w:t>
            </w:r>
          </w:p>
        </w:tc>
        <w:tc>
          <w:tcPr>
            <w:tcW w:w="1281" w:type="dxa"/>
            <w:noWrap/>
            <w:vAlign w:val="center"/>
          </w:tcPr>
          <w:p>
            <w:pPr>
              <w:jc w:val="center"/>
              <w:rPr>
                <w:szCs w:val="21"/>
              </w:rPr>
            </w:pPr>
            <w:r>
              <w:rPr>
                <w:rFonts w:hint="eastAsia"/>
                <w:szCs w:val="21"/>
              </w:rPr>
              <w:t>对本项目的理解</w:t>
            </w:r>
          </w:p>
        </w:tc>
        <w:tc>
          <w:tcPr>
            <w:tcW w:w="6095" w:type="dxa"/>
            <w:noWrap/>
            <w:vAlign w:val="center"/>
          </w:tcPr>
          <w:p>
            <w:pPr>
              <w:adjustRightInd w:val="0"/>
              <w:snapToGrid w:val="0"/>
              <w:spacing w:line="288" w:lineRule="auto"/>
              <w:rPr>
                <w:szCs w:val="21"/>
              </w:rPr>
            </w:pPr>
            <w:r>
              <w:rPr>
                <w:szCs w:val="21"/>
              </w:rPr>
              <w:t>投标人对项目的理解。根据投标人对本项目的背景、需求的理解</w:t>
            </w:r>
            <w:r>
              <w:rPr>
                <w:rFonts w:hint="eastAsia"/>
                <w:szCs w:val="21"/>
              </w:rPr>
              <w:t>情况、对项目现场的熟悉程度</w:t>
            </w:r>
            <w:r>
              <w:rPr>
                <w:szCs w:val="21"/>
              </w:rPr>
              <w:t>以及</w:t>
            </w:r>
            <w:r>
              <w:rPr>
                <w:rFonts w:hint="eastAsia"/>
                <w:szCs w:val="21"/>
              </w:rPr>
              <w:t>投标人现场自行踏勘情况</w:t>
            </w:r>
            <w:r>
              <w:rPr>
                <w:szCs w:val="21"/>
              </w:rPr>
              <w:t>进行打分。需求理解全面、建设思路清晰，对项目建设现场情况</w:t>
            </w:r>
            <w:r>
              <w:rPr>
                <w:rFonts w:hint="eastAsia"/>
                <w:szCs w:val="21"/>
              </w:rPr>
              <w:t>熟悉，提供详尽、准确的现场调研资料的，</w:t>
            </w:r>
            <w:r>
              <w:rPr>
                <w:szCs w:val="21"/>
              </w:rPr>
              <w:t>得</w:t>
            </w:r>
            <w:r>
              <w:rPr>
                <w:rFonts w:hint="eastAsia"/>
                <w:szCs w:val="21"/>
              </w:rPr>
              <w:t>5-3.6</w:t>
            </w:r>
            <w:r>
              <w:rPr>
                <w:szCs w:val="21"/>
              </w:rPr>
              <w:t>分；需求理解较全面、建设思路较清晰，对项目建设现场情况</w:t>
            </w:r>
            <w:r>
              <w:rPr>
                <w:rFonts w:hint="eastAsia"/>
                <w:szCs w:val="21"/>
              </w:rPr>
              <w:t>较为熟悉，提供较为详尽、准确的现场调研资料的，</w:t>
            </w:r>
            <w:r>
              <w:rPr>
                <w:szCs w:val="21"/>
              </w:rPr>
              <w:t>得</w:t>
            </w:r>
            <w:r>
              <w:rPr>
                <w:rFonts w:hint="eastAsia"/>
                <w:szCs w:val="21"/>
              </w:rPr>
              <w:t>3.5-1.6</w:t>
            </w:r>
            <w:r>
              <w:rPr>
                <w:szCs w:val="21"/>
              </w:rPr>
              <w:t>分；</w:t>
            </w:r>
            <w:r>
              <w:rPr>
                <w:rFonts w:hint="eastAsia"/>
                <w:szCs w:val="21"/>
              </w:rPr>
              <w:t>对</w:t>
            </w:r>
            <w:r>
              <w:rPr>
                <w:szCs w:val="21"/>
              </w:rPr>
              <w:t>本项目的背景、需求理解</w:t>
            </w:r>
            <w:r>
              <w:rPr>
                <w:rFonts w:hint="eastAsia"/>
                <w:szCs w:val="21"/>
              </w:rPr>
              <w:t>较差</w:t>
            </w:r>
            <w:r>
              <w:rPr>
                <w:szCs w:val="21"/>
              </w:rPr>
              <w:t>，对项目建设现场情况了解</w:t>
            </w:r>
            <w:r>
              <w:rPr>
                <w:rFonts w:hint="eastAsia"/>
                <w:szCs w:val="21"/>
              </w:rPr>
              <w:t>较差</w:t>
            </w:r>
            <w:r>
              <w:rPr>
                <w:szCs w:val="21"/>
              </w:rPr>
              <w:t>的，得1</w:t>
            </w:r>
            <w:r>
              <w:rPr>
                <w:rFonts w:hint="eastAsia"/>
                <w:szCs w:val="21"/>
              </w:rPr>
              <w:t>.6-0</w:t>
            </w:r>
            <w:r>
              <w:rPr>
                <w:szCs w:val="21"/>
              </w:rPr>
              <w:t>分。（0-</w:t>
            </w:r>
            <w:r>
              <w:rPr>
                <w:rFonts w:hint="eastAsia"/>
                <w:szCs w:val="21"/>
              </w:rPr>
              <w:t>5</w:t>
            </w:r>
            <w:r>
              <w:rPr>
                <w:szCs w:val="21"/>
              </w:rPr>
              <w:t>分）</w:t>
            </w:r>
          </w:p>
        </w:tc>
        <w:tc>
          <w:tcPr>
            <w:tcW w:w="656" w:type="dxa"/>
            <w:noWrap/>
            <w:vAlign w:val="center"/>
          </w:tcPr>
          <w:p>
            <w:pPr>
              <w:jc w:val="center"/>
              <w:rPr>
                <w:szCs w:val="21"/>
              </w:rPr>
            </w:pPr>
            <w:r>
              <w:rPr>
                <w:rFonts w:hint="eastAsia"/>
                <w:szCs w:val="21"/>
              </w:rPr>
              <w:t>5</w:t>
            </w:r>
          </w:p>
        </w:tc>
        <w:tc>
          <w:tcPr>
            <w:tcW w:w="656" w:type="dxa"/>
          </w:tcPr>
          <w:p>
            <w:pPr>
              <w:jc w:val="center"/>
              <w:rPr>
                <w:szCs w:val="21"/>
              </w:rPr>
            </w:pPr>
          </w:p>
        </w:tc>
        <w:tc>
          <w:tcPr>
            <w:tcW w:w="656" w:type="dxa"/>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431" w:type="dxa"/>
            <w:noWrap/>
            <w:vAlign w:val="center"/>
          </w:tcPr>
          <w:p>
            <w:pPr>
              <w:jc w:val="center"/>
              <w:rPr>
                <w:szCs w:val="21"/>
              </w:rPr>
            </w:pPr>
            <w:r>
              <w:rPr>
                <w:rFonts w:hint="eastAsia"/>
                <w:szCs w:val="21"/>
              </w:rPr>
              <w:t>9</w:t>
            </w:r>
          </w:p>
        </w:tc>
        <w:tc>
          <w:tcPr>
            <w:tcW w:w="1281" w:type="dxa"/>
            <w:noWrap/>
            <w:vAlign w:val="center"/>
          </w:tcPr>
          <w:p>
            <w:pPr>
              <w:jc w:val="center"/>
              <w:rPr>
                <w:szCs w:val="21"/>
              </w:rPr>
            </w:pPr>
            <w:r>
              <w:rPr>
                <w:szCs w:val="21"/>
              </w:rPr>
              <w:t>技术方案</w:t>
            </w:r>
          </w:p>
        </w:tc>
        <w:tc>
          <w:tcPr>
            <w:tcW w:w="6095" w:type="dxa"/>
            <w:noWrap/>
            <w:vAlign w:val="center"/>
          </w:tcPr>
          <w:p>
            <w:pPr>
              <w:adjustRightInd w:val="0"/>
              <w:snapToGrid w:val="0"/>
              <w:spacing w:line="288" w:lineRule="auto"/>
              <w:rPr>
                <w:szCs w:val="21"/>
              </w:rPr>
            </w:pPr>
            <w:r>
              <w:rPr>
                <w:szCs w:val="21"/>
              </w:rPr>
              <w:t>投标人提供详细技术方案。根据投标人对本项目的监测技术要求、安全要求、集成要求、软件功能要求等需求的响应程度以及技术方案的合理性进行打分。技术方案合理</w:t>
            </w:r>
            <w:r>
              <w:rPr>
                <w:rFonts w:hint="eastAsia"/>
                <w:szCs w:val="21"/>
              </w:rPr>
              <w:t>、详实，</w:t>
            </w:r>
            <w:r>
              <w:rPr>
                <w:szCs w:val="21"/>
              </w:rPr>
              <w:t>对项目需求具有</w:t>
            </w:r>
            <w:r>
              <w:rPr>
                <w:rFonts w:hint="eastAsia"/>
                <w:szCs w:val="21"/>
              </w:rPr>
              <w:t>良好</w:t>
            </w:r>
            <w:r>
              <w:rPr>
                <w:szCs w:val="21"/>
              </w:rPr>
              <w:t>的针对性和适用性的，得</w:t>
            </w:r>
            <w:r>
              <w:rPr>
                <w:rFonts w:hint="eastAsia"/>
                <w:szCs w:val="21"/>
              </w:rPr>
              <w:t>5-3.6</w:t>
            </w:r>
            <w:r>
              <w:rPr>
                <w:szCs w:val="21"/>
              </w:rPr>
              <w:t>分；技术方案较合理</w:t>
            </w:r>
            <w:r>
              <w:rPr>
                <w:rFonts w:hint="eastAsia"/>
                <w:szCs w:val="21"/>
              </w:rPr>
              <w:t>，较详实</w:t>
            </w:r>
            <w:r>
              <w:rPr>
                <w:szCs w:val="21"/>
              </w:rPr>
              <w:t>，对针对性和适用性</w:t>
            </w:r>
            <w:r>
              <w:rPr>
                <w:rFonts w:hint="eastAsia"/>
                <w:szCs w:val="21"/>
              </w:rPr>
              <w:t>较强</w:t>
            </w:r>
            <w:r>
              <w:rPr>
                <w:szCs w:val="21"/>
              </w:rPr>
              <w:t>的，得</w:t>
            </w:r>
            <w:r>
              <w:rPr>
                <w:rFonts w:hint="eastAsia"/>
                <w:szCs w:val="21"/>
              </w:rPr>
              <w:t>3.5-1.6</w:t>
            </w:r>
            <w:r>
              <w:rPr>
                <w:szCs w:val="21"/>
              </w:rPr>
              <w:t>分；技术方案</w:t>
            </w:r>
            <w:r>
              <w:rPr>
                <w:rFonts w:hint="eastAsia"/>
                <w:szCs w:val="21"/>
              </w:rPr>
              <w:t>较差</w:t>
            </w:r>
            <w:r>
              <w:rPr>
                <w:szCs w:val="21"/>
              </w:rPr>
              <w:t>，对本项目需求针对性和适用性</w:t>
            </w:r>
            <w:r>
              <w:rPr>
                <w:rFonts w:hint="eastAsia"/>
                <w:szCs w:val="21"/>
              </w:rPr>
              <w:t>不强</w:t>
            </w:r>
            <w:r>
              <w:rPr>
                <w:szCs w:val="21"/>
              </w:rPr>
              <w:t>的，得1</w:t>
            </w:r>
            <w:r>
              <w:rPr>
                <w:rFonts w:hint="eastAsia"/>
                <w:szCs w:val="21"/>
              </w:rPr>
              <w:t>.5-0</w:t>
            </w:r>
            <w:r>
              <w:rPr>
                <w:szCs w:val="21"/>
              </w:rPr>
              <w:t>分。（0-</w:t>
            </w:r>
            <w:r>
              <w:rPr>
                <w:rFonts w:hint="eastAsia"/>
                <w:szCs w:val="21"/>
              </w:rPr>
              <w:t>5</w:t>
            </w:r>
            <w:r>
              <w:rPr>
                <w:szCs w:val="21"/>
              </w:rPr>
              <w:t>分）</w:t>
            </w:r>
          </w:p>
        </w:tc>
        <w:tc>
          <w:tcPr>
            <w:tcW w:w="656" w:type="dxa"/>
            <w:noWrap/>
            <w:vAlign w:val="center"/>
          </w:tcPr>
          <w:p>
            <w:pPr>
              <w:jc w:val="center"/>
              <w:rPr>
                <w:szCs w:val="21"/>
              </w:rPr>
            </w:pPr>
            <w:r>
              <w:rPr>
                <w:rFonts w:hint="eastAsia"/>
                <w:szCs w:val="21"/>
              </w:rPr>
              <w:t>5</w:t>
            </w:r>
          </w:p>
        </w:tc>
        <w:tc>
          <w:tcPr>
            <w:tcW w:w="656" w:type="dxa"/>
          </w:tcPr>
          <w:p>
            <w:pPr>
              <w:jc w:val="center"/>
              <w:rPr>
                <w:szCs w:val="21"/>
              </w:rPr>
            </w:pPr>
          </w:p>
        </w:tc>
        <w:tc>
          <w:tcPr>
            <w:tcW w:w="656" w:type="dxa"/>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31" w:type="dxa"/>
            <w:noWrap/>
            <w:vAlign w:val="center"/>
          </w:tcPr>
          <w:p>
            <w:pPr>
              <w:jc w:val="center"/>
              <w:rPr>
                <w:szCs w:val="21"/>
              </w:rPr>
            </w:pPr>
            <w:r>
              <w:rPr>
                <w:rFonts w:hint="eastAsia"/>
                <w:szCs w:val="21"/>
              </w:rPr>
              <w:t>10</w:t>
            </w:r>
          </w:p>
        </w:tc>
        <w:tc>
          <w:tcPr>
            <w:tcW w:w="1281" w:type="dxa"/>
            <w:noWrap/>
            <w:vAlign w:val="center"/>
          </w:tcPr>
          <w:p>
            <w:pPr>
              <w:jc w:val="center"/>
              <w:rPr>
                <w:bCs/>
                <w:szCs w:val="21"/>
              </w:rPr>
            </w:pPr>
            <w:r>
              <w:rPr>
                <w:szCs w:val="21"/>
              </w:rPr>
              <w:t>组织实施方案</w:t>
            </w:r>
          </w:p>
        </w:tc>
        <w:tc>
          <w:tcPr>
            <w:tcW w:w="6095" w:type="dxa"/>
            <w:noWrap/>
            <w:vAlign w:val="center"/>
          </w:tcPr>
          <w:p>
            <w:pPr>
              <w:adjustRightInd w:val="0"/>
              <w:snapToGrid w:val="0"/>
              <w:spacing w:line="288" w:lineRule="auto"/>
              <w:rPr>
                <w:szCs w:val="21"/>
              </w:rPr>
            </w:pPr>
            <w:r>
              <w:rPr>
                <w:szCs w:val="21"/>
              </w:rPr>
              <w:t>投标人提供详细的组织实施方案，根据投标人拟投设备供货、安装调试方案、组织机构情况、时间进度安排、工作程序、管理和协调方法、工期保证措施的合理性、可行性、全面性等方面进行相应打分。方案阐述清楚全面，可行性强，能够充分保障项目的建设实施，</w:t>
            </w:r>
            <w:r>
              <w:rPr>
                <w:rFonts w:hint="eastAsia"/>
                <w:szCs w:val="21"/>
              </w:rPr>
              <w:t>得5-3.6</w:t>
            </w:r>
            <w:r>
              <w:rPr>
                <w:szCs w:val="21"/>
              </w:rPr>
              <w:t>分；方案阐述较清楚全面，可行性较强，能够保障项目的建设实施，</w:t>
            </w:r>
            <w:r>
              <w:rPr>
                <w:rFonts w:hint="eastAsia"/>
                <w:szCs w:val="21"/>
              </w:rPr>
              <w:t>得3.5-1.6</w:t>
            </w:r>
            <w:r>
              <w:rPr>
                <w:szCs w:val="21"/>
              </w:rPr>
              <w:t>分；方案阐述</w:t>
            </w:r>
            <w:r>
              <w:rPr>
                <w:rFonts w:hint="eastAsia"/>
                <w:szCs w:val="21"/>
              </w:rPr>
              <w:t>较差</w:t>
            </w:r>
            <w:r>
              <w:rPr>
                <w:szCs w:val="21"/>
              </w:rPr>
              <w:t>，可行性</w:t>
            </w:r>
            <w:r>
              <w:rPr>
                <w:rFonts w:hint="eastAsia"/>
                <w:szCs w:val="21"/>
              </w:rPr>
              <w:t>较差的</w:t>
            </w:r>
            <w:r>
              <w:rPr>
                <w:szCs w:val="21"/>
              </w:rPr>
              <w:t>，得1</w:t>
            </w:r>
            <w:r>
              <w:rPr>
                <w:rFonts w:hint="eastAsia"/>
                <w:szCs w:val="21"/>
              </w:rPr>
              <w:t>.5-0</w:t>
            </w:r>
            <w:r>
              <w:rPr>
                <w:szCs w:val="21"/>
              </w:rPr>
              <w:t>分。（0-</w:t>
            </w:r>
            <w:r>
              <w:rPr>
                <w:rFonts w:hint="eastAsia"/>
                <w:szCs w:val="21"/>
              </w:rPr>
              <w:t>5</w:t>
            </w:r>
            <w:r>
              <w:rPr>
                <w:szCs w:val="21"/>
              </w:rPr>
              <w:t>分）</w:t>
            </w:r>
          </w:p>
        </w:tc>
        <w:tc>
          <w:tcPr>
            <w:tcW w:w="656" w:type="dxa"/>
            <w:noWrap/>
            <w:vAlign w:val="center"/>
          </w:tcPr>
          <w:p>
            <w:pPr>
              <w:jc w:val="center"/>
              <w:rPr>
                <w:szCs w:val="21"/>
              </w:rPr>
            </w:pPr>
            <w:r>
              <w:rPr>
                <w:rFonts w:hint="eastAsia"/>
                <w:szCs w:val="21"/>
              </w:rPr>
              <w:t>5</w:t>
            </w:r>
          </w:p>
        </w:tc>
        <w:tc>
          <w:tcPr>
            <w:tcW w:w="656" w:type="dxa"/>
          </w:tcPr>
          <w:p>
            <w:pPr>
              <w:jc w:val="center"/>
              <w:rPr>
                <w:szCs w:val="21"/>
              </w:rPr>
            </w:pPr>
          </w:p>
        </w:tc>
        <w:tc>
          <w:tcPr>
            <w:tcW w:w="656" w:type="dxa"/>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31" w:type="dxa"/>
            <w:noWrap/>
            <w:vAlign w:val="center"/>
          </w:tcPr>
          <w:p>
            <w:pPr>
              <w:jc w:val="center"/>
              <w:rPr>
                <w:szCs w:val="21"/>
              </w:rPr>
            </w:pPr>
            <w:r>
              <w:rPr>
                <w:rFonts w:hint="eastAsia"/>
                <w:szCs w:val="21"/>
              </w:rPr>
              <w:t>11</w:t>
            </w:r>
          </w:p>
        </w:tc>
        <w:tc>
          <w:tcPr>
            <w:tcW w:w="1281" w:type="dxa"/>
            <w:noWrap/>
            <w:vAlign w:val="center"/>
          </w:tcPr>
          <w:p>
            <w:pPr>
              <w:jc w:val="center"/>
              <w:rPr>
                <w:szCs w:val="21"/>
              </w:rPr>
            </w:pPr>
            <w:r>
              <w:rPr>
                <w:rFonts w:hint="eastAsia"/>
                <w:szCs w:val="21"/>
              </w:rPr>
              <w:t>质量、安全保证措施</w:t>
            </w:r>
          </w:p>
        </w:tc>
        <w:tc>
          <w:tcPr>
            <w:tcW w:w="6095" w:type="dxa"/>
            <w:noWrap/>
            <w:vAlign w:val="center"/>
          </w:tcPr>
          <w:p>
            <w:pPr>
              <w:adjustRightInd w:val="0"/>
              <w:snapToGrid w:val="0"/>
              <w:spacing w:line="288" w:lineRule="auto"/>
              <w:rPr>
                <w:szCs w:val="21"/>
              </w:rPr>
            </w:pPr>
            <w:r>
              <w:rPr>
                <w:rFonts w:hint="eastAsia"/>
                <w:szCs w:val="21"/>
              </w:rPr>
              <w:t>根据投标人提供的质量安全保证措施进行打分。保证措施合理详实，</w:t>
            </w:r>
            <w:r>
              <w:rPr>
                <w:szCs w:val="21"/>
              </w:rPr>
              <w:t>具有</w:t>
            </w:r>
            <w:r>
              <w:rPr>
                <w:rFonts w:hint="eastAsia"/>
                <w:szCs w:val="21"/>
              </w:rPr>
              <w:t>良好</w:t>
            </w:r>
            <w:r>
              <w:rPr>
                <w:szCs w:val="21"/>
              </w:rPr>
              <w:t>的针对性和适用性的，得</w:t>
            </w:r>
            <w:r>
              <w:rPr>
                <w:rFonts w:hint="eastAsia"/>
                <w:szCs w:val="21"/>
              </w:rPr>
              <w:t>5-3.6</w:t>
            </w:r>
            <w:r>
              <w:rPr>
                <w:szCs w:val="21"/>
              </w:rPr>
              <w:t>分；</w:t>
            </w:r>
            <w:r>
              <w:rPr>
                <w:rFonts w:hint="eastAsia"/>
                <w:szCs w:val="21"/>
              </w:rPr>
              <w:t>保证措施</w:t>
            </w:r>
            <w:r>
              <w:rPr>
                <w:szCs w:val="21"/>
              </w:rPr>
              <w:t>较合理</w:t>
            </w:r>
            <w:r>
              <w:rPr>
                <w:rFonts w:hint="eastAsia"/>
                <w:szCs w:val="21"/>
              </w:rPr>
              <w:t>，较详实</w:t>
            </w:r>
            <w:r>
              <w:rPr>
                <w:szCs w:val="21"/>
              </w:rPr>
              <w:t>，对针对性和适用性</w:t>
            </w:r>
            <w:r>
              <w:rPr>
                <w:rFonts w:hint="eastAsia"/>
                <w:szCs w:val="21"/>
              </w:rPr>
              <w:t>较强</w:t>
            </w:r>
            <w:r>
              <w:rPr>
                <w:szCs w:val="21"/>
              </w:rPr>
              <w:t>的，得</w:t>
            </w:r>
            <w:r>
              <w:rPr>
                <w:rFonts w:hint="eastAsia"/>
                <w:szCs w:val="21"/>
              </w:rPr>
              <w:t>3.5-1.6</w:t>
            </w:r>
            <w:r>
              <w:rPr>
                <w:szCs w:val="21"/>
              </w:rPr>
              <w:t>分；</w:t>
            </w:r>
            <w:r>
              <w:rPr>
                <w:rFonts w:hint="eastAsia"/>
                <w:szCs w:val="21"/>
              </w:rPr>
              <w:t>保证措施较差</w:t>
            </w:r>
            <w:r>
              <w:rPr>
                <w:szCs w:val="21"/>
              </w:rPr>
              <w:t>，针对性和适用性</w:t>
            </w:r>
            <w:r>
              <w:rPr>
                <w:rFonts w:hint="eastAsia"/>
                <w:szCs w:val="21"/>
              </w:rPr>
              <w:t>不强</w:t>
            </w:r>
            <w:r>
              <w:rPr>
                <w:szCs w:val="21"/>
              </w:rPr>
              <w:t>的，得1</w:t>
            </w:r>
            <w:r>
              <w:rPr>
                <w:rFonts w:hint="eastAsia"/>
                <w:szCs w:val="21"/>
              </w:rPr>
              <w:t>.5-0</w:t>
            </w:r>
            <w:r>
              <w:rPr>
                <w:szCs w:val="21"/>
              </w:rPr>
              <w:t>分。（0-</w:t>
            </w:r>
            <w:r>
              <w:rPr>
                <w:rFonts w:hint="eastAsia"/>
                <w:szCs w:val="21"/>
              </w:rPr>
              <w:t>5</w:t>
            </w:r>
            <w:r>
              <w:rPr>
                <w:szCs w:val="21"/>
              </w:rPr>
              <w:t>分）</w:t>
            </w:r>
          </w:p>
        </w:tc>
        <w:tc>
          <w:tcPr>
            <w:tcW w:w="656" w:type="dxa"/>
            <w:noWrap/>
            <w:vAlign w:val="center"/>
          </w:tcPr>
          <w:p>
            <w:pPr>
              <w:jc w:val="center"/>
              <w:rPr>
                <w:szCs w:val="21"/>
              </w:rPr>
            </w:pPr>
            <w:r>
              <w:rPr>
                <w:rFonts w:hint="eastAsia"/>
                <w:szCs w:val="21"/>
              </w:rPr>
              <w:t>5</w:t>
            </w:r>
          </w:p>
        </w:tc>
        <w:tc>
          <w:tcPr>
            <w:tcW w:w="656" w:type="dxa"/>
          </w:tcPr>
          <w:p>
            <w:pPr>
              <w:jc w:val="center"/>
              <w:rPr>
                <w:szCs w:val="21"/>
              </w:rPr>
            </w:pPr>
          </w:p>
        </w:tc>
        <w:tc>
          <w:tcPr>
            <w:tcW w:w="656" w:type="dxa"/>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31" w:type="dxa"/>
            <w:noWrap/>
            <w:vAlign w:val="center"/>
          </w:tcPr>
          <w:p>
            <w:pPr>
              <w:jc w:val="center"/>
              <w:rPr>
                <w:szCs w:val="21"/>
              </w:rPr>
            </w:pPr>
            <w:r>
              <w:rPr>
                <w:rFonts w:hint="eastAsia"/>
                <w:szCs w:val="21"/>
              </w:rPr>
              <w:t>12</w:t>
            </w:r>
          </w:p>
        </w:tc>
        <w:tc>
          <w:tcPr>
            <w:tcW w:w="1281" w:type="dxa"/>
            <w:noWrap/>
            <w:vAlign w:val="center"/>
          </w:tcPr>
          <w:p>
            <w:pPr>
              <w:jc w:val="center"/>
              <w:rPr>
                <w:szCs w:val="21"/>
              </w:rPr>
            </w:pPr>
            <w:r>
              <w:rPr>
                <w:rFonts w:hint="eastAsia"/>
                <w:szCs w:val="21"/>
              </w:rPr>
              <w:t>系统平台研发能力</w:t>
            </w:r>
          </w:p>
        </w:tc>
        <w:tc>
          <w:tcPr>
            <w:tcW w:w="6095" w:type="dxa"/>
            <w:noWrap/>
            <w:vAlign w:val="center"/>
          </w:tcPr>
          <w:p>
            <w:pPr>
              <w:adjustRightInd w:val="0"/>
              <w:snapToGrid w:val="0"/>
              <w:spacing w:line="288" w:lineRule="auto"/>
              <w:rPr>
                <w:szCs w:val="21"/>
              </w:rPr>
            </w:pPr>
            <w:r>
              <w:rPr>
                <w:rFonts w:hint="eastAsia"/>
                <w:szCs w:val="21"/>
              </w:rPr>
              <w:t>根据投标人对本项目中水库安全监测系统平台的研发能力，通过投标人阐述的拟研发的系统平台具体内容的实用性、便捷性、功能完整性进行打分。本项最高得3分。</w:t>
            </w:r>
            <w:r>
              <w:rPr>
                <w:szCs w:val="21"/>
              </w:rPr>
              <w:t>（0-</w:t>
            </w:r>
            <w:r>
              <w:rPr>
                <w:rFonts w:hint="eastAsia"/>
                <w:szCs w:val="21"/>
              </w:rPr>
              <w:t>3</w:t>
            </w:r>
            <w:r>
              <w:rPr>
                <w:szCs w:val="21"/>
              </w:rPr>
              <w:t>分）</w:t>
            </w:r>
          </w:p>
        </w:tc>
        <w:tc>
          <w:tcPr>
            <w:tcW w:w="656" w:type="dxa"/>
            <w:noWrap/>
            <w:vAlign w:val="center"/>
          </w:tcPr>
          <w:p>
            <w:pPr>
              <w:jc w:val="center"/>
              <w:rPr>
                <w:szCs w:val="21"/>
              </w:rPr>
            </w:pPr>
            <w:r>
              <w:rPr>
                <w:rFonts w:hint="eastAsia"/>
                <w:szCs w:val="21"/>
              </w:rPr>
              <w:t>3</w:t>
            </w:r>
          </w:p>
        </w:tc>
        <w:tc>
          <w:tcPr>
            <w:tcW w:w="656" w:type="dxa"/>
          </w:tcPr>
          <w:p>
            <w:pPr>
              <w:jc w:val="center"/>
              <w:rPr>
                <w:szCs w:val="21"/>
              </w:rPr>
            </w:pPr>
          </w:p>
        </w:tc>
        <w:tc>
          <w:tcPr>
            <w:tcW w:w="656" w:type="dxa"/>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dxa"/>
            <w:noWrap/>
            <w:vAlign w:val="center"/>
          </w:tcPr>
          <w:p>
            <w:pPr>
              <w:jc w:val="center"/>
              <w:rPr>
                <w:szCs w:val="21"/>
              </w:rPr>
            </w:pPr>
            <w:r>
              <w:rPr>
                <w:rFonts w:hint="eastAsia"/>
                <w:szCs w:val="21"/>
              </w:rPr>
              <w:t>13</w:t>
            </w:r>
          </w:p>
        </w:tc>
        <w:tc>
          <w:tcPr>
            <w:tcW w:w="1281" w:type="dxa"/>
            <w:vMerge w:val="restart"/>
            <w:noWrap/>
            <w:vAlign w:val="center"/>
          </w:tcPr>
          <w:p>
            <w:pPr>
              <w:jc w:val="center"/>
              <w:rPr>
                <w:szCs w:val="21"/>
              </w:rPr>
            </w:pPr>
            <w:r>
              <w:rPr>
                <w:rFonts w:hint="eastAsia"/>
                <w:szCs w:val="21"/>
              </w:rPr>
              <w:t>设备选型情况</w:t>
            </w:r>
          </w:p>
        </w:tc>
        <w:tc>
          <w:tcPr>
            <w:tcW w:w="6095" w:type="dxa"/>
            <w:noWrap/>
            <w:vAlign w:val="center"/>
          </w:tcPr>
          <w:p>
            <w:pPr>
              <w:adjustRightInd w:val="0"/>
              <w:snapToGrid w:val="0"/>
              <w:spacing w:line="288" w:lineRule="auto"/>
              <w:rPr>
                <w:szCs w:val="21"/>
              </w:rPr>
            </w:pPr>
            <w:r>
              <w:rPr>
                <w:rFonts w:hint="eastAsia" w:ascii="宋体" w:hAnsi="宋体" w:cs="宋体"/>
                <w:szCs w:val="21"/>
                <w:lang w:val="zh-CN"/>
              </w:rPr>
              <w:t>1、带“</w:t>
            </w:r>
            <w:r>
              <w:rPr>
                <w:rFonts w:hint="eastAsia" w:ascii="宋体" w:hAnsi="宋体" w:cs="宋体"/>
                <w:szCs w:val="21"/>
              </w:rPr>
              <w:t>▲”的条款是实质性条款，投标文件须作出实质性响应，否则作无效投标处理。</w:t>
            </w:r>
          </w:p>
          <w:p>
            <w:pPr>
              <w:adjustRightInd w:val="0"/>
              <w:snapToGrid w:val="0"/>
              <w:spacing w:line="288" w:lineRule="auto"/>
            </w:pPr>
            <w:r>
              <w:rPr>
                <w:rFonts w:hint="eastAsia"/>
                <w:szCs w:val="21"/>
              </w:rPr>
              <w:t>2、</w:t>
            </w:r>
            <w:r>
              <w:rPr>
                <w:szCs w:val="21"/>
              </w:rPr>
              <w:t>投标人所投主要设备产品（详见主要设备清单及技术参数要求）带“</w:t>
            </w:r>
            <w:r>
              <w:rPr>
                <w:rFonts w:hint="eastAsia" w:ascii="宋体" w:hAnsi="宋体" w:cs="宋体"/>
                <w:szCs w:val="21"/>
              </w:rPr>
              <w:t>★</w:t>
            </w:r>
            <w:r>
              <w:rPr>
                <w:szCs w:val="21"/>
              </w:rPr>
              <w:t>”号关键指标负偏离或未响应的，每项扣</w:t>
            </w:r>
            <w:r>
              <w:rPr>
                <w:rFonts w:hint="eastAsia"/>
                <w:szCs w:val="21"/>
              </w:rPr>
              <w:t>1</w:t>
            </w:r>
            <w:r>
              <w:rPr>
                <w:szCs w:val="21"/>
              </w:rPr>
              <w:t>分；其它一般指标负偏离或未响应的，每项扣</w:t>
            </w:r>
            <w:r>
              <w:rPr>
                <w:rFonts w:hint="eastAsia"/>
                <w:szCs w:val="21"/>
              </w:rPr>
              <w:t>0.5</w:t>
            </w:r>
            <w:r>
              <w:rPr>
                <w:szCs w:val="21"/>
              </w:rPr>
              <w:t>分，总计</w:t>
            </w:r>
            <w:r>
              <w:rPr>
                <w:rFonts w:hint="eastAsia"/>
                <w:szCs w:val="21"/>
              </w:rPr>
              <w:t>10</w:t>
            </w:r>
            <w:r>
              <w:rPr>
                <w:szCs w:val="21"/>
              </w:rPr>
              <w:t>分，扣完本项得0分。</w:t>
            </w:r>
            <w:r>
              <w:rPr>
                <w:rFonts w:hint="eastAsia"/>
                <w:szCs w:val="21"/>
              </w:rPr>
              <w:t>本项最高得10分。</w:t>
            </w:r>
            <w:r>
              <w:rPr>
                <w:szCs w:val="21"/>
              </w:rPr>
              <w:t>（0-</w:t>
            </w:r>
            <w:r>
              <w:rPr>
                <w:rFonts w:hint="eastAsia"/>
                <w:szCs w:val="21"/>
              </w:rPr>
              <w:t>10</w:t>
            </w:r>
            <w:r>
              <w:rPr>
                <w:szCs w:val="21"/>
              </w:rPr>
              <w:t>分）</w:t>
            </w:r>
          </w:p>
        </w:tc>
        <w:tc>
          <w:tcPr>
            <w:tcW w:w="656" w:type="dxa"/>
            <w:noWrap/>
            <w:vAlign w:val="center"/>
          </w:tcPr>
          <w:p>
            <w:pPr>
              <w:jc w:val="center"/>
              <w:rPr>
                <w:szCs w:val="21"/>
              </w:rPr>
            </w:pPr>
            <w:r>
              <w:rPr>
                <w:rFonts w:hint="eastAsia"/>
                <w:szCs w:val="21"/>
              </w:rPr>
              <w:t>10</w:t>
            </w:r>
          </w:p>
        </w:tc>
        <w:tc>
          <w:tcPr>
            <w:tcW w:w="656" w:type="dxa"/>
          </w:tcPr>
          <w:p>
            <w:pPr>
              <w:jc w:val="center"/>
              <w:rPr>
                <w:szCs w:val="21"/>
              </w:rPr>
            </w:pPr>
          </w:p>
        </w:tc>
        <w:tc>
          <w:tcPr>
            <w:tcW w:w="656" w:type="dxa"/>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31" w:type="dxa"/>
            <w:noWrap/>
            <w:vAlign w:val="center"/>
          </w:tcPr>
          <w:p>
            <w:pPr>
              <w:jc w:val="center"/>
              <w:rPr>
                <w:szCs w:val="21"/>
              </w:rPr>
            </w:pPr>
            <w:r>
              <w:rPr>
                <w:rFonts w:hint="eastAsia"/>
                <w:szCs w:val="21"/>
              </w:rPr>
              <w:t>14</w:t>
            </w:r>
          </w:p>
        </w:tc>
        <w:tc>
          <w:tcPr>
            <w:tcW w:w="1281" w:type="dxa"/>
            <w:vMerge w:val="continue"/>
            <w:noWrap/>
            <w:vAlign w:val="center"/>
          </w:tcPr>
          <w:p>
            <w:pPr>
              <w:jc w:val="center"/>
              <w:rPr>
                <w:szCs w:val="21"/>
              </w:rPr>
            </w:pPr>
          </w:p>
        </w:tc>
        <w:tc>
          <w:tcPr>
            <w:tcW w:w="6095" w:type="dxa"/>
            <w:noWrap/>
            <w:vAlign w:val="center"/>
          </w:tcPr>
          <w:p>
            <w:pPr>
              <w:pStyle w:val="2"/>
              <w:ind w:left="0" w:leftChars="0"/>
            </w:pPr>
            <w:r>
              <w:rPr>
                <w:rFonts w:hint="eastAsia"/>
                <w:kern w:val="2"/>
              </w:rPr>
              <w:t>根据投标产品性能的先进性、稳定性、综合性能、用户使用评价和用户使用满意度等进行综合评分。最高得4分。</w:t>
            </w:r>
            <w:r>
              <w:rPr>
                <w:kern w:val="2"/>
              </w:rPr>
              <w:t>（0-</w:t>
            </w:r>
            <w:r>
              <w:rPr>
                <w:rFonts w:hint="eastAsia"/>
                <w:kern w:val="2"/>
              </w:rPr>
              <w:t>4</w:t>
            </w:r>
            <w:r>
              <w:rPr>
                <w:kern w:val="2"/>
              </w:rPr>
              <w:t>分）</w:t>
            </w:r>
          </w:p>
        </w:tc>
        <w:tc>
          <w:tcPr>
            <w:tcW w:w="656" w:type="dxa"/>
            <w:noWrap/>
            <w:vAlign w:val="center"/>
          </w:tcPr>
          <w:p>
            <w:pPr>
              <w:jc w:val="center"/>
              <w:rPr>
                <w:szCs w:val="21"/>
              </w:rPr>
            </w:pPr>
            <w:r>
              <w:rPr>
                <w:rFonts w:hint="eastAsia"/>
                <w:szCs w:val="21"/>
              </w:rPr>
              <w:t>4</w:t>
            </w:r>
          </w:p>
        </w:tc>
        <w:tc>
          <w:tcPr>
            <w:tcW w:w="656" w:type="dxa"/>
          </w:tcPr>
          <w:p>
            <w:pPr>
              <w:jc w:val="center"/>
              <w:rPr>
                <w:szCs w:val="21"/>
              </w:rPr>
            </w:pPr>
          </w:p>
        </w:tc>
        <w:tc>
          <w:tcPr>
            <w:tcW w:w="656" w:type="dxa"/>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431" w:type="dxa"/>
            <w:noWrap/>
            <w:vAlign w:val="center"/>
          </w:tcPr>
          <w:p>
            <w:pPr>
              <w:jc w:val="center"/>
              <w:rPr>
                <w:szCs w:val="21"/>
              </w:rPr>
            </w:pPr>
            <w:r>
              <w:rPr>
                <w:rFonts w:hint="eastAsia"/>
                <w:szCs w:val="21"/>
              </w:rPr>
              <w:t>15</w:t>
            </w:r>
          </w:p>
        </w:tc>
        <w:tc>
          <w:tcPr>
            <w:tcW w:w="1281" w:type="dxa"/>
            <w:noWrap/>
            <w:vAlign w:val="center"/>
          </w:tcPr>
          <w:p>
            <w:pPr>
              <w:jc w:val="center"/>
              <w:rPr>
                <w:szCs w:val="21"/>
              </w:rPr>
            </w:pPr>
            <w:r>
              <w:rPr>
                <w:szCs w:val="21"/>
              </w:rPr>
              <w:t>售后服务</w:t>
            </w:r>
            <w:r>
              <w:rPr>
                <w:rFonts w:hint="eastAsia"/>
                <w:szCs w:val="21"/>
              </w:rPr>
              <w:t>方案</w:t>
            </w:r>
          </w:p>
        </w:tc>
        <w:tc>
          <w:tcPr>
            <w:tcW w:w="6095" w:type="dxa"/>
            <w:noWrap/>
            <w:vAlign w:val="center"/>
          </w:tcPr>
          <w:p>
            <w:pPr>
              <w:adjustRightInd w:val="0"/>
              <w:snapToGrid w:val="0"/>
              <w:spacing w:line="288" w:lineRule="auto"/>
              <w:rPr>
                <w:szCs w:val="21"/>
              </w:rPr>
            </w:pPr>
            <w:r>
              <w:rPr>
                <w:szCs w:val="21"/>
              </w:rPr>
              <w:t>投标人为本项目提供完善的售后服务方案，包含但不限于售后服务承诺、售后服务响应、售后服务体系、售后服务组织架构、人员及车辆配备、售后服务内容与标准、售后保障措施及售后应急预案等内容。投标人提供的售后服务方案完整、售后服务承诺可行，</w:t>
            </w:r>
            <w:r>
              <w:rPr>
                <w:rFonts w:hint="eastAsia"/>
                <w:szCs w:val="21"/>
              </w:rPr>
              <w:t>售后技术支持强的得3-2.1分，售后服务方案较为可行的，得2-1分，售后服务方案可行性欠缺的，得0.9-0分</w:t>
            </w:r>
            <w:r>
              <w:rPr>
                <w:szCs w:val="21"/>
              </w:rPr>
              <w:t>。（0-</w:t>
            </w:r>
            <w:r>
              <w:rPr>
                <w:rFonts w:hint="eastAsia"/>
                <w:szCs w:val="21"/>
              </w:rPr>
              <w:t>3</w:t>
            </w:r>
            <w:r>
              <w:rPr>
                <w:szCs w:val="21"/>
              </w:rPr>
              <w:t>分）</w:t>
            </w:r>
          </w:p>
          <w:p>
            <w:pPr>
              <w:pStyle w:val="2"/>
              <w:ind w:left="0" w:leftChars="0"/>
            </w:pPr>
            <w:r>
              <w:rPr>
                <w:rFonts w:hint="eastAsia"/>
              </w:rPr>
              <w:t>投标人具有平台运维管理能力，能够对本项目设备进行线上统一运维管理并支持设备并发和上报数据，提供平台及设备连接性能第三方证明材料的，得2分，资料不全或不提供不得分。（0-2分）</w:t>
            </w:r>
          </w:p>
        </w:tc>
        <w:tc>
          <w:tcPr>
            <w:tcW w:w="656" w:type="dxa"/>
            <w:noWrap/>
            <w:vAlign w:val="center"/>
          </w:tcPr>
          <w:p>
            <w:pPr>
              <w:jc w:val="center"/>
              <w:rPr>
                <w:szCs w:val="21"/>
              </w:rPr>
            </w:pPr>
            <w:r>
              <w:rPr>
                <w:rFonts w:hint="eastAsia"/>
                <w:szCs w:val="21"/>
              </w:rPr>
              <w:t>5</w:t>
            </w:r>
          </w:p>
        </w:tc>
        <w:tc>
          <w:tcPr>
            <w:tcW w:w="656" w:type="dxa"/>
          </w:tcPr>
          <w:p>
            <w:pPr>
              <w:jc w:val="center"/>
              <w:rPr>
                <w:szCs w:val="21"/>
              </w:rPr>
            </w:pPr>
          </w:p>
        </w:tc>
        <w:tc>
          <w:tcPr>
            <w:tcW w:w="656" w:type="dxa"/>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31" w:type="dxa"/>
            <w:noWrap/>
            <w:vAlign w:val="center"/>
          </w:tcPr>
          <w:p>
            <w:pPr>
              <w:jc w:val="center"/>
              <w:rPr>
                <w:szCs w:val="21"/>
              </w:rPr>
            </w:pPr>
            <w:r>
              <w:rPr>
                <w:rFonts w:hint="eastAsia"/>
                <w:szCs w:val="21"/>
              </w:rPr>
              <w:t>16</w:t>
            </w:r>
          </w:p>
        </w:tc>
        <w:tc>
          <w:tcPr>
            <w:tcW w:w="1281" w:type="dxa"/>
            <w:noWrap/>
            <w:vAlign w:val="center"/>
          </w:tcPr>
          <w:p>
            <w:pPr>
              <w:jc w:val="center"/>
              <w:rPr>
                <w:szCs w:val="21"/>
              </w:rPr>
            </w:pPr>
            <w:r>
              <w:rPr>
                <w:rFonts w:hint="eastAsia"/>
                <w:szCs w:val="21"/>
              </w:rPr>
              <w:t>培训方案</w:t>
            </w:r>
          </w:p>
        </w:tc>
        <w:tc>
          <w:tcPr>
            <w:tcW w:w="6095" w:type="dxa"/>
            <w:noWrap/>
            <w:vAlign w:val="center"/>
          </w:tcPr>
          <w:p>
            <w:pPr>
              <w:adjustRightInd w:val="0"/>
              <w:snapToGrid w:val="0"/>
              <w:spacing w:line="288" w:lineRule="auto"/>
              <w:rPr>
                <w:szCs w:val="21"/>
              </w:rPr>
            </w:pPr>
            <w:r>
              <w:rPr>
                <w:rFonts w:hint="eastAsia"/>
                <w:szCs w:val="21"/>
              </w:rPr>
              <w:t>投标人提供详细的培训方案，培训方案详细、完整，针对性强，能较好地满足采购人需求的，得4-2.8分；培训方案基本完整，有一定的针对性，基本能满足采购人需求的，得2.7-1.4分；培训方案等完整性较差或未描述完整的，得1.3-0分。</w:t>
            </w:r>
            <w:r>
              <w:rPr>
                <w:szCs w:val="21"/>
              </w:rPr>
              <w:t>（0-</w:t>
            </w:r>
            <w:r>
              <w:rPr>
                <w:rFonts w:hint="eastAsia"/>
                <w:szCs w:val="21"/>
              </w:rPr>
              <w:t>4</w:t>
            </w:r>
            <w:r>
              <w:rPr>
                <w:szCs w:val="21"/>
              </w:rPr>
              <w:t>分）</w:t>
            </w:r>
          </w:p>
        </w:tc>
        <w:tc>
          <w:tcPr>
            <w:tcW w:w="656" w:type="dxa"/>
            <w:noWrap/>
            <w:vAlign w:val="center"/>
          </w:tcPr>
          <w:p>
            <w:pPr>
              <w:jc w:val="center"/>
              <w:rPr>
                <w:szCs w:val="21"/>
              </w:rPr>
            </w:pPr>
            <w:r>
              <w:rPr>
                <w:rFonts w:hint="eastAsia"/>
                <w:szCs w:val="21"/>
              </w:rPr>
              <w:t>4</w:t>
            </w:r>
          </w:p>
        </w:tc>
        <w:tc>
          <w:tcPr>
            <w:tcW w:w="656" w:type="dxa"/>
          </w:tcPr>
          <w:p>
            <w:pPr>
              <w:jc w:val="center"/>
              <w:rPr>
                <w:szCs w:val="21"/>
              </w:rPr>
            </w:pPr>
          </w:p>
        </w:tc>
        <w:tc>
          <w:tcPr>
            <w:tcW w:w="656" w:type="dxa"/>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31" w:type="dxa"/>
            <w:noWrap/>
            <w:vAlign w:val="center"/>
          </w:tcPr>
          <w:p>
            <w:pPr>
              <w:jc w:val="center"/>
              <w:rPr>
                <w:szCs w:val="21"/>
              </w:rPr>
            </w:pPr>
            <w:r>
              <w:rPr>
                <w:rFonts w:hint="eastAsia"/>
                <w:szCs w:val="21"/>
              </w:rPr>
              <w:t>17</w:t>
            </w:r>
          </w:p>
        </w:tc>
        <w:tc>
          <w:tcPr>
            <w:tcW w:w="1281" w:type="dxa"/>
            <w:noWrap/>
            <w:vAlign w:val="center"/>
          </w:tcPr>
          <w:p>
            <w:pPr>
              <w:jc w:val="center"/>
              <w:rPr>
                <w:szCs w:val="21"/>
              </w:rPr>
            </w:pPr>
            <w:r>
              <w:rPr>
                <w:rFonts w:hint="eastAsia"/>
                <w:szCs w:val="21"/>
              </w:rPr>
              <w:t>应急响应</w:t>
            </w:r>
          </w:p>
        </w:tc>
        <w:tc>
          <w:tcPr>
            <w:tcW w:w="6095" w:type="dxa"/>
            <w:noWrap/>
            <w:vAlign w:val="center"/>
          </w:tcPr>
          <w:p>
            <w:pPr>
              <w:adjustRightInd w:val="0"/>
              <w:snapToGrid w:val="0"/>
              <w:spacing w:line="288" w:lineRule="auto"/>
              <w:rPr>
                <w:szCs w:val="21"/>
              </w:rPr>
            </w:pPr>
            <w:r>
              <w:rPr>
                <w:rFonts w:hint="eastAsia"/>
                <w:szCs w:val="21"/>
              </w:rPr>
              <w:t>根据针对突发事件的应急预案及相应措施进行打分。应急预案及措施内容详实、合理、完整、切实可行，能完全满足招标需求的得4-2.8分；内容较简单基本满足招标需求的得2.7-1.4分；内容简略的得1.3-0分。</w:t>
            </w:r>
            <w:r>
              <w:rPr>
                <w:szCs w:val="21"/>
              </w:rPr>
              <w:t>（0-</w:t>
            </w:r>
            <w:r>
              <w:rPr>
                <w:rFonts w:hint="eastAsia"/>
                <w:szCs w:val="21"/>
              </w:rPr>
              <w:t>4</w:t>
            </w:r>
            <w:r>
              <w:rPr>
                <w:szCs w:val="21"/>
              </w:rPr>
              <w:t>分）</w:t>
            </w:r>
          </w:p>
          <w:p>
            <w:pPr>
              <w:pStyle w:val="2"/>
              <w:ind w:left="0" w:leftChars="0"/>
              <w:rPr>
                <w:kern w:val="2"/>
              </w:rPr>
            </w:pPr>
            <w:r>
              <w:rPr>
                <w:kern w:val="2"/>
              </w:rPr>
              <w:t>投标人承诺提供快速现场售后服务，及时排除故障，确保设施正常运行。能满足4小时内上门服务得</w:t>
            </w:r>
            <w:r>
              <w:rPr>
                <w:rFonts w:hint="eastAsia"/>
                <w:kern w:val="2"/>
              </w:rPr>
              <w:t>1</w:t>
            </w:r>
            <w:r>
              <w:rPr>
                <w:kern w:val="2"/>
              </w:rPr>
              <w:t>分</w:t>
            </w:r>
            <w:r>
              <w:rPr>
                <w:rFonts w:hint="eastAsia"/>
                <w:kern w:val="2"/>
              </w:rPr>
              <w:t>，不满足不得分</w:t>
            </w:r>
            <w:r>
              <w:rPr>
                <w:kern w:val="2"/>
              </w:rPr>
              <w:t>。（0-</w:t>
            </w:r>
            <w:r>
              <w:rPr>
                <w:rFonts w:hint="eastAsia"/>
                <w:kern w:val="2"/>
              </w:rPr>
              <w:t>1</w:t>
            </w:r>
            <w:r>
              <w:rPr>
                <w:kern w:val="2"/>
              </w:rPr>
              <w:t>分）</w:t>
            </w:r>
          </w:p>
        </w:tc>
        <w:tc>
          <w:tcPr>
            <w:tcW w:w="656" w:type="dxa"/>
            <w:noWrap/>
            <w:vAlign w:val="center"/>
          </w:tcPr>
          <w:p>
            <w:pPr>
              <w:jc w:val="center"/>
              <w:rPr>
                <w:szCs w:val="21"/>
              </w:rPr>
            </w:pPr>
            <w:r>
              <w:rPr>
                <w:rFonts w:hint="eastAsia"/>
                <w:szCs w:val="21"/>
              </w:rPr>
              <w:t>5</w:t>
            </w:r>
          </w:p>
        </w:tc>
        <w:tc>
          <w:tcPr>
            <w:tcW w:w="656" w:type="dxa"/>
          </w:tcPr>
          <w:p>
            <w:pPr>
              <w:jc w:val="center"/>
              <w:rPr>
                <w:szCs w:val="21"/>
              </w:rPr>
            </w:pPr>
          </w:p>
        </w:tc>
        <w:tc>
          <w:tcPr>
            <w:tcW w:w="656" w:type="dxa"/>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807" w:type="dxa"/>
            <w:gridSpan w:val="3"/>
            <w:noWrap/>
            <w:vAlign w:val="center"/>
          </w:tcPr>
          <w:p>
            <w:pPr>
              <w:adjustRightInd w:val="0"/>
              <w:snapToGrid w:val="0"/>
              <w:spacing w:line="288" w:lineRule="auto"/>
              <w:jc w:val="center"/>
              <w:rPr>
                <w:szCs w:val="21"/>
              </w:rPr>
            </w:pPr>
            <w:r>
              <w:rPr>
                <w:rFonts w:hint="eastAsia"/>
                <w:szCs w:val="21"/>
              </w:rPr>
              <w:t>资信技术总分</w:t>
            </w:r>
          </w:p>
        </w:tc>
        <w:tc>
          <w:tcPr>
            <w:tcW w:w="656" w:type="dxa"/>
            <w:noWrap/>
            <w:vAlign w:val="center"/>
          </w:tcPr>
          <w:p>
            <w:pPr>
              <w:jc w:val="center"/>
              <w:rPr>
                <w:szCs w:val="21"/>
              </w:rPr>
            </w:pPr>
            <w:r>
              <w:rPr>
                <w:rFonts w:hint="eastAsia"/>
                <w:szCs w:val="21"/>
              </w:rPr>
              <w:t>75</w:t>
            </w:r>
          </w:p>
        </w:tc>
        <w:tc>
          <w:tcPr>
            <w:tcW w:w="656" w:type="dxa"/>
          </w:tcPr>
          <w:p>
            <w:pPr>
              <w:jc w:val="center"/>
              <w:rPr>
                <w:szCs w:val="21"/>
              </w:rPr>
            </w:pPr>
          </w:p>
        </w:tc>
        <w:tc>
          <w:tcPr>
            <w:tcW w:w="656" w:type="dxa"/>
          </w:tcPr>
          <w:p>
            <w:pPr>
              <w:jc w:val="center"/>
              <w:rPr>
                <w:color w:val="FF0000"/>
                <w:szCs w:val="21"/>
              </w:rPr>
            </w:pPr>
          </w:p>
        </w:tc>
      </w:tr>
    </w:tbl>
    <w:p>
      <w:pPr>
        <w:pStyle w:val="2"/>
      </w:pPr>
    </w:p>
    <w:p>
      <w:pPr>
        <w:pStyle w:val="2"/>
      </w:pPr>
    </w:p>
    <w:p>
      <w:pPr>
        <w:pStyle w:val="4"/>
      </w:pPr>
    </w:p>
    <w:p>
      <w:pPr>
        <w:widowControl/>
        <w:jc w:val="left"/>
        <w:rPr>
          <w:rFonts w:ascii="宋体" w:hAnsi="宋体" w:cs="宋体"/>
          <w:b/>
          <w:bCs/>
          <w:sz w:val="28"/>
          <w:szCs w:val="36"/>
        </w:rPr>
      </w:pPr>
      <w:r>
        <w:rPr>
          <w:rFonts w:ascii="宋体" w:hAnsi="宋体" w:cs="宋体"/>
          <w:b/>
          <w:bCs/>
          <w:sz w:val="28"/>
          <w:szCs w:val="36"/>
        </w:rPr>
        <w:br w:type="page"/>
      </w:r>
    </w:p>
    <w:p>
      <w:pPr>
        <w:rPr>
          <w:rFonts w:ascii="宋体" w:hAnsi="宋体" w:cs="宋体"/>
          <w:b/>
          <w:bCs/>
          <w:sz w:val="28"/>
          <w:szCs w:val="36"/>
        </w:rPr>
      </w:pPr>
      <w:r>
        <w:rPr>
          <w:rFonts w:hint="eastAsia" w:ascii="宋体" w:hAnsi="宋体" w:cs="宋体"/>
          <w:b/>
          <w:bCs/>
          <w:sz w:val="28"/>
          <w:szCs w:val="36"/>
        </w:rPr>
        <w:t>附件17　</w:t>
      </w:r>
      <w:r>
        <w:rPr>
          <w:rFonts w:hint="eastAsia" w:ascii="宋体" w:hAnsi="宋体"/>
          <w:sz w:val="30"/>
          <w:szCs w:val="30"/>
        </w:rPr>
        <w:t xml:space="preserve">　                                        </w:t>
      </w:r>
      <w:r>
        <w:rPr>
          <w:rFonts w:hint="eastAsia" w:ascii="宋体" w:hAnsi="宋体"/>
          <w:bCs/>
          <w:sz w:val="24"/>
        </w:rPr>
        <w:t>本</w:t>
      </w:r>
    </w:p>
    <w:p>
      <w:pPr>
        <w:jc w:val="center"/>
        <w:rPr>
          <w:rFonts w:ascii="宋体" w:hAnsi="宋体"/>
          <w:spacing w:val="40"/>
          <w:sz w:val="52"/>
          <w:szCs w:val="52"/>
        </w:rPr>
      </w:pPr>
      <w:r>
        <w:rPr>
          <w:rFonts w:hint="eastAsia" w:ascii="宋体" w:hAnsi="宋体"/>
          <w:spacing w:val="40"/>
          <w:sz w:val="52"/>
          <w:szCs w:val="52"/>
        </w:rPr>
        <w:t>项目名称</w:t>
      </w:r>
    </w:p>
    <w:p>
      <w:pPr>
        <w:jc w:val="center"/>
        <w:rPr>
          <w:rFonts w:ascii="宋体" w:hAnsi="宋体"/>
          <w:sz w:val="36"/>
          <w:szCs w:val="36"/>
        </w:rPr>
      </w:pPr>
      <w:r>
        <w:rPr>
          <w:rFonts w:hint="eastAsia" w:ascii="宋体" w:hAnsi="宋体"/>
          <w:sz w:val="36"/>
          <w:szCs w:val="36"/>
        </w:rPr>
        <w:t>项目编号：</w:t>
      </w:r>
    </w:p>
    <w:p>
      <w:pPr>
        <w:jc w:val="center"/>
        <w:rPr>
          <w:rFonts w:ascii="宋体" w:hAnsi="宋体"/>
          <w:b/>
          <w:spacing w:val="40"/>
          <w:sz w:val="84"/>
          <w:szCs w:val="84"/>
        </w:rPr>
      </w:pPr>
    </w:p>
    <w:p>
      <w:pPr>
        <w:jc w:val="center"/>
        <w:rPr>
          <w:rFonts w:ascii="宋体" w:hAnsi="宋体"/>
          <w:b/>
          <w:spacing w:val="40"/>
          <w:sz w:val="84"/>
          <w:szCs w:val="84"/>
        </w:rPr>
      </w:pPr>
      <w:r>
        <w:rPr>
          <w:rFonts w:hint="eastAsia" w:ascii="宋体" w:hAnsi="宋体"/>
          <w:b/>
          <w:spacing w:val="40"/>
          <w:sz w:val="84"/>
          <w:szCs w:val="84"/>
        </w:rPr>
        <w:t>报</w:t>
      </w:r>
    </w:p>
    <w:p>
      <w:pPr>
        <w:jc w:val="center"/>
        <w:rPr>
          <w:rFonts w:ascii="宋体" w:hAnsi="宋体"/>
          <w:b/>
          <w:spacing w:val="40"/>
          <w:sz w:val="84"/>
          <w:szCs w:val="84"/>
        </w:rPr>
      </w:pPr>
      <w:r>
        <w:rPr>
          <w:rFonts w:hint="eastAsia" w:ascii="宋体" w:hAnsi="宋体"/>
          <w:b/>
          <w:spacing w:val="40"/>
          <w:sz w:val="84"/>
          <w:szCs w:val="84"/>
        </w:rPr>
        <w:t>价</w:t>
      </w:r>
    </w:p>
    <w:p>
      <w:pPr>
        <w:jc w:val="center"/>
        <w:rPr>
          <w:rFonts w:ascii="宋体" w:hAnsi="宋体"/>
          <w:b/>
          <w:spacing w:val="40"/>
          <w:sz w:val="84"/>
          <w:szCs w:val="84"/>
        </w:rPr>
      </w:pPr>
      <w:r>
        <w:rPr>
          <w:rFonts w:hint="eastAsia" w:ascii="宋体" w:hAnsi="宋体"/>
          <w:b/>
          <w:spacing w:val="40"/>
          <w:sz w:val="84"/>
          <w:szCs w:val="84"/>
        </w:rPr>
        <w:t>文</w:t>
      </w:r>
    </w:p>
    <w:p>
      <w:pPr>
        <w:jc w:val="center"/>
        <w:rPr>
          <w:rFonts w:ascii="宋体" w:hAnsi="宋体"/>
          <w:b/>
          <w:spacing w:val="40"/>
          <w:sz w:val="84"/>
          <w:szCs w:val="84"/>
        </w:rPr>
      </w:pPr>
      <w:r>
        <w:rPr>
          <w:rFonts w:hint="eastAsia" w:ascii="宋体" w:hAnsi="宋体"/>
          <w:b/>
          <w:spacing w:val="40"/>
          <w:sz w:val="84"/>
          <w:szCs w:val="84"/>
        </w:rPr>
        <w:t>件</w:t>
      </w:r>
    </w:p>
    <w:p>
      <w:pPr>
        <w:jc w:val="center"/>
        <w:rPr>
          <w:rFonts w:ascii="宋体" w:hAnsi="宋体"/>
          <w:sz w:val="36"/>
          <w:szCs w:val="36"/>
        </w:rPr>
      </w:pPr>
    </w:p>
    <w:p>
      <w:pPr>
        <w:jc w:val="center"/>
        <w:rPr>
          <w:rFonts w:ascii="宋体" w:hAnsi="宋体"/>
          <w:sz w:val="36"/>
          <w:szCs w:val="36"/>
        </w:rPr>
      </w:pPr>
    </w:p>
    <w:p>
      <w:pPr>
        <w:spacing w:line="360" w:lineRule="auto"/>
        <w:ind w:right="532"/>
        <w:jc w:val="center"/>
        <w:rPr>
          <w:rFonts w:ascii="宋体" w:hAnsi="宋体"/>
          <w:sz w:val="36"/>
          <w:szCs w:val="36"/>
        </w:rPr>
      </w:pPr>
    </w:p>
    <w:p>
      <w:pPr>
        <w:rPr>
          <w:rFonts w:ascii="宋体" w:hAnsi="宋体"/>
          <w:sz w:val="36"/>
          <w:szCs w:val="36"/>
        </w:rPr>
      </w:pPr>
      <w:r>
        <w:rPr>
          <w:rFonts w:hint="eastAsia" w:ascii="宋体" w:hAnsi="宋体"/>
          <w:sz w:val="36"/>
          <w:szCs w:val="36"/>
        </w:rPr>
        <w:t>供应商全称（公章）：</w:t>
      </w:r>
    </w:p>
    <w:p>
      <w:pPr>
        <w:rPr>
          <w:rFonts w:ascii="宋体" w:hAnsi="宋体"/>
          <w:sz w:val="36"/>
          <w:szCs w:val="36"/>
        </w:rPr>
      </w:pPr>
      <w:r>
        <w:rPr>
          <w:rFonts w:hint="eastAsia" w:ascii="宋体" w:hAnsi="宋体"/>
          <w:sz w:val="36"/>
          <w:szCs w:val="36"/>
        </w:rPr>
        <w:t>地址：</w:t>
      </w:r>
    </w:p>
    <w:p>
      <w:pPr>
        <w:rPr>
          <w:rFonts w:ascii="宋体" w:hAnsi="宋体"/>
          <w:sz w:val="36"/>
          <w:szCs w:val="36"/>
        </w:rPr>
      </w:pPr>
      <w:r>
        <w:rPr>
          <w:rFonts w:hint="eastAsia" w:ascii="宋体" w:hAnsi="宋体"/>
          <w:sz w:val="36"/>
          <w:szCs w:val="36"/>
        </w:rPr>
        <w:t>时间：</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报价文件目录</w:t>
      </w:r>
    </w:p>
    <w:p>
      <w:pPr>
        <w:spacing w:line="360" w:lineRule="auto"/>
        <w:rPr>
          <w:rFonts w:ascii="宋体" w:hAnsi="宋体"/>
          <w:sz w:val="24"/>
        </w:rPr>
      </w:pPr>
    </w:p>
    <w:p>
      <w:pPr>
        <w:spacing w:line="360" w:lineRule="auto"/>
        <w:jc w:val="left"/>
        <w:rPr>
          <w:rFonts w:ascii="宋体" w:hAnsi="宋体" w:cs="宋体"/>
          <w:sz w:val="28"/>
          <w:szCs w:val="36"/>
        </w:rPr>
      </w:pPr>
      <w:r>
        <w:rPr>
          <w:rFonts w:hint="eastAsia" w:ascii="宋体" w:hAnsi="宋体" w:cs="宋体"/>
          <w:sz w:val="28"/>
          <w:szCs w:val="36"/>
        </w:rPr>
        <w:t>1、开标一览表（附件18）；</w:t>
      </w:r>
    </w:p>
    <w:p>
      <w:pPr>
        <w:spacing w:line="360" w:lineRule="auto"/>
        <w:jc w:val="left"/>
        <w:rPr>
          <w:rFonts w:ascii="宋体" w:hAnsi="宋体" w:cs="宋体"/>
          <w:sz w:val="28"/>
          <w:szCs w:val="36"/>
        </w:rPr>
      </w:pPr>
      <w:r>
        <w:rPr>
          <w:rFonts w:hint="eastAsia" w:ascii="宋体" w:hAnsi="宋体" w:cs="宋体"/>
          <w:sz w:val="28"/>
          <w:szCs w:val="36"/>
        </w:rPr>
        <w:t>2、报价明细表（附件19）；</w:t>
      </w:r>
    </w:p>
    <w:p>
      <w:pPr>
        <w:spacing w:line="360" w:lineRule="auto"/>
        <w:jc w:val="left"/>
        <w:rPr>
          <w:rFonts w:ascii="宋体" w:hAnsi="宋体" w:cs="宋体"/>
          <w:sz w:val="28"/>
          <w:szCs w:val="36"/>
        </w:rPr>
      </w:pPr>
      <w:r>
        <w:rPr>
          <w:rFonts w:hint="eastAsia" w:ascii="宋体" w:hAnsi="宋体" w:cs="宋体"/>
          <w:sz w:val="28"/>
          <w:szCs w:val="36"/>
        </w:rPr>
        <w:t>3、针对报价投标人认为其他需要说明的；</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pStyle w:val="4"/>
        <w:rPr>
          <w:rFonts w:ascii="宋体" w:hAnsi="宋体" w:cs="宋体"/>
          <w:szCs w:val="32"/>
        </w:rPr>
      </w:pPr>
    </w:p>
    <w:p>
      <w:pPr>
        <w:pStyle w:val="5"/>
      </w:pPr>
    </w:p>
    <w:p>
      <w:pPr>
        <w:pStyle w:val="4"/>
      </w:pPr>
    </w:p>
    <w:p>
      <w:pPr>
        <w:spacing w:line="360" w:lineRule="auto"/>
        <w:rPr>
          <w:rFonts w:ascii="宋体" w:hAnsi="宋体" w:cs="宋体"/>
          <w:sz w:val="24"/>
          <w:szCs w:val="32"/>
        </w:rPr>
      </w:pPr>
    </w:p>
    <w:p>
      <w:pPr>
        <w:spacing w:line="360" w:lineRule="auto"/>
        <w:rPr>
          <w:rFonts w:ascii="宋体" w:hAnsi="宋体"/>
          <w:b/>
          <w:sz w:val="28"/>
        </w:rPr>
      </w:pPr>
      <w:r>
        <w:rPr>
          <w:rFonts w:hint="eastAsia" w:ascii="宋体" w:hAnsi="宋体"/>
          <w:b/>
          <w:sz w:val="28"/>
        </w:rPr>
        <w:t>附件18</w:t>
      </w:r>
    </w:p>
    <w:p>
      <w:pPr>
        <w:spacing w:line="360" w:lineRule="auto"/>
        <w:ind w:left="-2" w:hanging="2"/>
        <w:jc w:val="center"/>
        <w:rPr>
          <w:rFonts w:ascii="宋体" w:hAnsi="宋体"/>
          <w:b/>
          <w:sz w:val="32"/>
          <w:szCs w:val="32"/>
        </w:rPr>
      </w:pPr>
      <w:r>
        <w:rPr>
          <w:rFonts w:hint="eastAsia" w:ascii="宋体" w:hAnsi="宋体"/>
          <w:b/>
          <w:sz w:val="32"/>
          <w:szCs w:val="32"/>
        </w:rPr>
        <w:t>开标一览表</w:t>
      </w:r>
    </w:p>
    <w:p>
      <w:pPr>
        <w:spacing w:line="360" w:lineRule="auto"/>
        <w:ind w:left="-2" w:hanging="2"/>
        <w:jc w:val="center"/>
        <w:rPr>
          <w:rFonts w:ascii="宋体" w:hAnsi="宋体"/>
          <w:b/>
          <w:sz w:val="32"/>
          <w:szCs w:val="32"/>
        </w:rPr>
      </w:pPr>
    </w:p>
    <w:p>
      <w:pPr>
        <w:spacing w:line="360" w:lineRule="auto"/>
        <w:ind w:firstLine="480" w:firstLineChars="200"/>
        <w:jc w:val="left"/>
        <w:rPr>
          <w:rFonts w:ascii="宋体" w:hAnsi="宋体" w:cs="宋体"/>
          <w:sz w:val="24"/>
          <w:szCs w:val="32"/>
        </w:rPr>
      </w:pPr>
      <w:r>
        <w:rPr>
          <w:rFonts w:hint="eastAsia" w:ascii="宋体" w:hAnsi="宋体" w:cs="宋体"/>
          <w:sz w:val="24"/>
          <w:szCs w:val="32"/>
        </w:rPr>
        <w:t>项目名称：</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项目编号：[单位：人民币/元]</w:t>
      </w:r>
    </w:p>
    <w:tbl>
      <w:tblPr>
        <w:tblStyle w:val="40"/>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74" w:hRule="atLeast"/>
          <w:jc w:val="center"/>
        </w:trPr>
        <w:tc>
          <w:tcPr>
            <w:tcW w:w="2694" w:type="dxa"/>
            <w:vMerge w:val="restart"/>
            <w:vAlign w:val="center"/>
          </w:tcPr>
          <w:p>
            <w:pPr>
              <w:autoSpaceDE w:val="0"/>
              <w:autoSpaceDN w:val="0"/>
              <w:spacing w:line="450" w:lineRule="exact"/>
              <w:jc w:val="center"/>
              <w:textAlignment w:val="bottom"/>
              <w:rPr>
                <w:rFonts w:ascii="宋体"/>
                <w:sz w:val="24"/>
              </w:rPr>
            </w:pPr>
            <w:r>
              <w:rPr>
                <w:rFonts w:hint="eastAsia" w:ascii="宋体" w:hAnsi="宋体"/>
                <w:sz w:val="24"/>
              </w:rPr>
              <w:t>投标总报价</w:t>
            </w:r>
            <w:r>
              <w:rPr>
                <w:rFonts w:ascii="宋体" w:hAnsi="宋体"/>
                <w:sz w:val="24"/>
              </w:rPr>
              <w:t>(</w:t>
            </w:r>
            <w:r>
              <w:rPr>
                <w:rFonts w:hint="eastAsia" w:ascii="宋体" w:hAnsi="宋体"/>
                <w:sz w:val="24"/>
              </w:rPr>
              <w:t>元</w:t>
            </w:r>
            <w:r>
              <w:rPr>
                <w:rFonts w:ascii="宋体" w:hAnsi="宋体"/>
                <w:sz w:val="24"/>
              </w:rPr>
              <w:t>)</w:t>
            </w:r>
          </w:p>
        </w:tc>
        <w:tc>
          <w:tcPr>
            <w:tcW w:w="1349" w:type="dxa"/>
            <w:vAlign w:val="center"/>
          </w:tcPr>
          <w:p>
            <w:pPr>
              <w:autoSpaceDE w:val="0"/>
              <w:autoSpaceDN w:val="0"/>
              <w:spacing w:line="450" w:lineRule="exact"/>
              <w:jc w:val="center"/>
              <w:textAlignment w:val="bottom"/>
              <w:rPr>
                <w:rFonts w:ascii="宋体"/>
                <w:sz w:val="24"/>
              </w:rPr>
            </w:pPr>
            <w:r>
              <w:rPr>
                <w:rFonts w:hint="eastAsia" w:ascii="宋体" w:hAnsi="宋体"/>
                <w:sz w:val="24"/>
              </w:rPr>
              <w:t>大写</w:t>
            </w:r>
          </w:p>
        </w:tc>
        <w:tc>
          <w:tcPr>
            <w:tcW w:w="4629" w:type="dxa"/>
            <w:vAlign w:val="center"/>
          </w:tcPr>
          <w:p>
            <w:pPr>
              <w:autoSpaceDE w:val="0"/>
              <w:autoSpaceDN w:val="0"/>
              <w:spacing w:line="450" w:lineRule="exact"/>
              <w:jc w:val="center"/>
              <w:textAlignment w:val="bottom"/>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pPr>
              <w:rPr>
                <w:rFonts w:ascii="宋体"/>
                <w:sz w:val="24"/>
              </w:rPr>
            </w:pPr>
          </w:p>
        </w:tc>
        <w:tc>
          <w:tcPr>
            <w:tcW w:w="1349" w:type="dxa"/>
            <w:vAlign w:val="center"/>
          </w:tcPr>
          <w:p>
            <w:pPr>
              <w:autoSpaceDE w:val="0"/>
              <w:autoSpaceDN w:val="0"/>
              <w:spacing w:line="450" w:lineRule="exact"/>
              <w:jc w:val="center"/>
              <w:textAlignment w:val="bottom"/>
              <w:rPr>
                <w:rFonts w:ascii="宋体"/>
                <w:sz w:val="24"/>
              </w:rPr>
            </w:pPr>
            <w:r>
              <w:rPr>
                <w:rFonts w:hint="eastAsia" w:ascii="宋体" w:hAnsi="宋体"/>
                <w:sz w:val="24"/>
              </w:rPr>
              <w:t>小写</w:t>
            </w:r>
          </w:p>
        </w:tc>
        <w:tc>
          <w:tcPr>
            <w:tcW w:w="4629" w:type="dxa"/>
            <w:vAlign w:val="center"/>
          </w:tcPr>
          <w:p>
            <w:pPr>
              <w:autoSpaceDE w:val="0"/>
              <w:autoSpaceDN w:val="0"/>
              <w:spacing w:line="450" w:lineRule="exact"/>
              <w:jc w:val="center"/>
              <w:textAlignment w:val="bottom"/>
              <w:rPr>
                <w:rFonts w:ascii="宋体"/>
                <w:sz w:val="24"/>
              </w:rPr>
            </w:pPr>
          </w:p>
        </w:tc>
      </w:tr>
    </w:tbl>
    <w:p>
      <w:pPr>
        <w:spacing w:line="360" w:lineRule="auto"/>
        <w:ind w:firstLine="480" w:firstLineChars="200"/>
        <w:jc w:val="left"/>
        <w:rPr>
          <w:rFonts w:ascii="宋体" w:hAnsi="宋体" w:cs="宋体"/>
          <w:sz w:val="24"/>
          <w:szCs w:val="32"/>
        </w:rPr>
      </w:pPr>
    </w:p>
    <w:p>
      <w:pPr>
        <w:spacing w:line="360" w:lineRule="auto"/>
        <w:jc w:val="left"/>
        <w:rPr>
          <w:rFonts w:ascii="宋体" w:hAnsi="宋体" w:cs="宋体"/>
          <w:b/>
          <w:bCs/>
          <w:sz w:val="24"/>
          <w:szCs w:val="32"/>
        </w:rPr>
      </w:pPr>
      <w:r>
        <w:rPr>
          <w:rFonts w:hint="eastAsia" w:ascii="宋体" w:hAnsi="宋体" w:cs="宋体"/>
          <w:b/>
          <w:bCs/>
          <w:sz w:val="24"/>
          <w:szCs w:val="32"/>
        </w:rPr>
        <w:t>填报要求：</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投标报价为完成本项目的所有费用，投标总价包括项目设备、材料、人工、质保期间维护费、运输、安装、保险、税金、验收、3年监测等所有涉及的费用。供应商应考虑企业自身实力、经验及项目实施过程中的各种因素，在投标报价中应充分考虑所有可能发生的费用，否则采购人将视投标总价中已包括所有费用。</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2.报价一经涂改，应在涂改处加盖单位公章，或者由法定代表人或授权委托代理人签字或盖章，否则其投标作无效标处理。</w:t>
      </w:r>
    </w:p>
    <w:p>
      <w:pPr>
        <w:spacing w:line="360" w:lineRule="auto"/>
        <w:rPr>
          <w:rFonts w:ascii="宋体" w:hAnsi="宋体"/>
          <w:sz w:val="24"/>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授权委托代理人签字或盖章：</w:t>
      </w:r>
    </w:p>
    <w:p>
      <w:pPr>
        <w:spacing w:line="480" w:lineRule="auto"/>
        <w:rPr>
          <w:rFonts w:ascii="宋体" w:hAnsi="宋体"/>
          <w:sz w:val="24"/>
        </w:rPr>
      </w:pPr>
      <w:r>
        <w:rPr>
          <w:rFonts w:hint="eastAsia" w:ascii="宋体" w:hAnsi="宋体"/>
          <w:sz w:val="24"/>
        </w:rPr>
        <w:t>日期：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r>
        <w:rPr>
          <w:rFonts w:hint="eastAsia" w:ascii="宋体" w:hAnsi="宋体"/>
          <w:b/>
          <w:sz w:val="28"/>
        </w:rPr>
        <w:t>附件19</w:t>
      </w:r>
    </w:p>
    <w:p>
      <w:pPr>
        <w:spacing w:line="360" w:lineRule="auto"/>
        <w:jc w:val="center"/>
        <w:rPr>
          <w:rFonts w:ascii="宋体" w:hAnsi="宋体"/>
        </w:rPr>
      </w:pPr>
      <w:r>
        <w:rPr>
          <w:rFonts w:hint="eastAsia" w:ascii="宋体" w:hAnsi="宋体"/>
          <w:b/>
          <w:sz w:val="32"/>
          <w:szCs w:val="32"/>
        </w:rPr>
        <w:t>报价明细表</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项目名称：</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项目编号：                          [单位：人民币/元]</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trPr>
        <w:tc>
          <w:tcPr>
            <w:tcW w:w="525" w:type="dxa"/>
            <w:vAlign w:val="center"/>
          </w:tcPr>
          <w:p>
            <w:pPr>
              <w:spacing w:line="360" w:lineRule="auto"/>
              <w:rPr>
                <w:rFonts w:ascii="宋体" w:hAnsi="宋体"/>
                <w:b/>
                <w:sz w:val="24"/>
              </w:rPr>
            </w:pPr>
            <w:r>
              <w:rPr>
                <w:rFonts w:hint="eastAsia" w:ascii="宋体" w:hAnsi="宋体"/>
                <w:b/>
                <w:sz w:val="24"/>
              </w:rPr>
              <w:t>序号</w:t>
            </w:r>
          </w:p>
        </w:tc>
        <w:tc>
          <w:tcPr>
            <w:tcW w:w="1460" w:type="dxa"/>
            <w:vAlign w:val="center"/>
          </w:tcPr>
          <w:p>
            <w:pPr>
              <w:tabs>
                <w:tab w:val="left" w:pos="8280"/>
              </w:tabs>
              <w:autoSpaceDE w:val="0"/>
              <w:autoSpaceDN w:val="0"/>
              <w:adjustRightInd w:val="0"/>
              <w:spacing w:line="360" w:lineRule="auto"/>
              <w:ind w:right="25"/>
              <w:rPr>
                <w:rFonts w:ascii="宋体" w:hAnsi="宋体"/>
                <w:b/>
                <w:sz w:val="24"/>
              </w:rPr>
            </w:pPr>
            <w:r>
              <w:rPr>
                <w:rFonts w:hint="eastAsia" w:ascii="宋体" w:hAnsi="宋体"/>
                <w:b/>
                <w:sz w:val="24"/>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品牌、产地</w:t>
            </w:r>
          </w:p>
        </w:tc>
        <w:tc>
          <w:tcPr>
            <w:tcW w:w="1559" w:type="dxa"/>
            <w:vAlign w:val="center"/>
          </w:tcPr>
          <w:p>
            <w:pPr>
              <w:spacing w:line="360" w:lineRule="auto"/>
              <w:ind w:left="52"/>
              <w:jc w:val="center"/>
              <w:rPr>
                <w:rFonts w:ascii="宋体" w:hAnsi="宋体"/>
                <w:b/>
                <w:sz w:val="24"/>
              </w:rPr>
            </w:pPr>
            <w:r>
              <w:rPr>
                <w:rFonts w:hint="eastAsia" w:ascii="宋体" w:hAnsi="宋体"/>
                <w:b/>
                <w:sz w:val="24"/>
              </w:rPr>
              <w:t>型号规格</w:t>
            </w:r>
          </w:p>
        </w:tc>
        <w:tc>
          <w:tcPr>
            <w:tcW w:w="851" w:type="dxa"/>
            <w:vAlign w:val="center"/>
          </w:tcPr>
          <w:p>
            <w:pPr>
              <w:spacing w:line="360" w:lineRule="auto"/>
              <w:ind w:left="152"/>
              <w:jc w:val="center"/>
              <w:rPr>
                <w:rFonts w:ascii="宋体" w:hAnsi="宋体"/>
                <w:b/>
                <w:sz w:val="24"/>
              </w:rPr>
            </w:pPr>
            <w:r>
              <w:rPr>
                <w:rFonts w:hint="eastAsia" w:ascii="宋体" w:hAnsi="宋体"/>
                <w:b/>
                <w:sz w:val="24"/>
              </w:rPr>
              <w:t>数量</w:t>
            </w:r>
          </w:p>
        </w:tc>
        <w:tc>
          <w:tcPr>
            <w:tcW w:w="992" w:type="dxa"/>
            <w:vAlign w:val="center"/>
          </w:tcPr>
          <w:p>
            <w:pPr>
              <w:spacing w:line="360" w:lineRule="auto"/>
              <w:jc w:val="center"/>
              <w:rPr>
                <w:rFonts w:ascii="宋体" w:hAnsi="宋体"/>
                <w:b/>
                <w:sz w:val="24"/>
              </w:rPr>
            </w:pPr>
            <w:r>
              <w:rPr>
                <w:rFonts w:hint="eastAsia" w:ascii="宋体" w:hAnsi="宋体"/>
                <w:b/>
                <w:sz w:val="24"/>
              </w:rPr>
              <w:t>单价</w:t>
            </w:r>
          </w:p>
        </w:tc>
        <w:tc>
          <w:tcPr>
            <w:tcW w:w="992" w:type="dxa"/>
            <w:vAlign w:val="center"/>
          </w:tcPr>
          <w:p>
            <w:pPr>
              <w:spacing w:line="360" w:lineRule="auto"/>
              <w:jc w:val="center"/>
              <w:rPr>
                <w:rFonts w:ascii="宋体" w:hAnsi="宋体"/>
                <w:b/>
                <w:sz w:val="24"/>
              </w:rPr>
            </w:pPr>
            <w:r>
              <w:rPr>
                <w:rFonts w:hint="eastAsia" w:ascii="宋体" w:hAnsi="宋体"/>
                <w:b/>
                <w:sz w:val="24"/>
              </w:rPr>
              <w:t>小计</w:t>
            </w:r>
          </w:p>
        </w:tc>
        <w:tc>
          <w:tcPr>
            <w:tcW w:w="709" w:type="dxa"/>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6" w:hRule="atLeast"/>
        </w:trPr>
        <w:tc>
          <w:tcPr>
            <w:tcW w:w="8647" w:type="dxa"/>
            <w:gridSpan w:val="8"/>
            <w:tcBorders>
              <w:bottom w:val="single" w:color="auto" w:sz="4" w:space="0"/>
            </w:tcBorders>
            <w:vAlign w:val="center"/>
          </w:tcPr>
          <w:p>
            <w:pPr>
              <w:spacing w:line="360" w:lineRule="auto"/>
              <w:rPr>
                <w:rFonts w:ascii="宋体" w:hAnsi="宋体"/>
                <w:b/>
                <w:sz w:val="24"/>
              </w:rPr>
            </w:pPr>
            <w:r>
              <w:rPr>
                <w:rFonts w:hint="eastAsia" w:ascii="宋体" w:hAnsi="宋体"/>
                <w:b/>
                <w:sz w:val="24"/>
              </w:rPr>
              <w:t>合计人民币：大写                                      小写</w:t>
            </w:r>
          </w:p>
        </w:tc>
      </w:tr>
    </w:tbl>
    <w:p>
      <w:pPr>
        <w:spacing w:line="360" w:lineRule="auto"/>
        <w:jc w:val="left"/>
        <w:rPr>
          <w:rFonts w:ascii="宋体" w:hAnsi="宋体" w:cs="宋体"/>
          <w:b/>
          <w:bCs/>
          <w:sz w:val="24"/>
          <w:szCs w:val="32"/>
        </w:rPr>
      </w:pPr>
      <w:r>
        <w:rPr>
          <w:rFonts w:hint="eastAsia" w:ascii="宋体" w:hAnsi="宋体" w:cs="宋体"/>
          <w:b/>
          <w:bCs/>
          <w:sz w:val="24"/>
          <w:szCs w:val="32"/>
        </w:rPr>
        <w:t>要求：</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1.本表为《开标一览表》的报价明细表，</w:t>
      </w:r>
      <w:r>
        <w:rPr>
          <w:rFonts w:hint="eastAsia" w:ascii="宋体" w:hAnsi="宋体" w:cs="宋体"/>
          <w:sz w:val="24"/>
        </w:rPr>
        <w:t>以上表格要求细分项目及报价，需提供</w:t>
      </w:r>
      <w:bookmarkStart w:id="93" w:name="_Toc78171641"/>
      <w:r>
        <w:rPr>
          <w:rFonts w:hint="eastAsia" w:ascii="宋体" w:hAnsi="宋体" w:cs="宋体"/>
          <w:sz w:val="24"/>
        </w:rPr>
        <w:t>费用构成明细</w:t>
      </w:r>
      <w:bookmarkEnd w:id="93"/>
      <w:r>
        <w:rPr>
          <w:rFonts w:hint="eastAsia" w:ascii="宋体" w:hAnsi="宋体" w:cs="宋体"/>
          <w:sz w:val="24"/>
        </w:rPr>
        <w:t>，</w:t>
      </w:r>
      <w:r>
        <w:rPr>
          <w:rFonts w:hint="eastAsia" w:ascii="宋体" w:hAnsi="宋体" w:cs="宋体"/>
          <w:sz w:val="24"/>
          <w:szCs w:val="32"/>
        </w:rPr>
        <w:t>如有缺项、漏项，视为投标报价中已包含相关费用，采购人无需另外支付任何费用。</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rPr>
        <w:t>2.</w:t>
      </w:r>
      <w:r>
        <w:rPr>
          <w:rFonts w:hint="eastAsia" w:ascii="宋体" w:hAnsi="宋体" w:cs="宋体"/>
          <w:sz w:val="24"/>
          <w:szCs w:val="32"/>
          <w:lang w:val="zh-CN"/>
        </w:rPr>
        <w:t>“报价明细表”中的报价合计应与“开标一览表”中的投标总报价相一致，不一致时，以开标一览表为准。</w:t>
      </w: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授权委托代理人签字或盖章：</w:t>
      </w:r>
    </w:p>
    <w:p>
      <w:pPr>
        <w:spacing w:line="480" w:lineRule="auto"/>
        <w:rPr>
          <w:rFonts w:ascii="宋体" w:hAnsi="宋体"/>
          <w:sz w:val="24"/>
        </w:rPr>
      </w:pPr>
      <w:r>
        <w:rPr>
          <w:rFonts w:hint="eastAsia" w:ascii="宋体" w:hAnsi="宋体"/>
          <w:sz w:val="24"/>
        </w:rPr>
        <w:t>日期：</w:t>
      </w:r>
    </w:p>
    <w:p>
      <w:pPr>
        <w:tabs>
          <w:tab w:val="left" w:pos="2460"/>
        </w:tabs>
        <w:spacing w:line="360" w:lineRule="auto"/>
        <w:rPr>
          <w:rFonts w:ascii="宋体" w:hAnsi="宋体"/>
          <w:b/>
          <w:sz w:val="28"/>
        </w:rPr>
      </w:pPr>
    </w:p>
    <w:p>
      <w:pPr>
        <w:tabs>
          <w:tab w:val="left" w:pos="2460"/>
        </w:tabs>
        <w:spacing w:line="360" w:lineRule="auto"/>
        <w:rPr>
          <w:rFonts w:ascii="宋体" w:hAnsi="宋体"/>
          <w:b/>
          <w:sz w:val="28"/>
        </w:rPr>
      </w:pPr>
    </w:p>
    <w:p>
      <w:pPr>
        <w:tabs>
          <w:tab w:val="left" w:pos="2460"/>
        </w:tabs>
        <w:spacing w:line="360" w:lineRule="auto"/>
        <w:rPr>
          <w:rFonts w:ascii="宋体" w:hAnsi="宋体"/>
          <w:b/>
          <w:sz w:val="28"/>
        </w:rPr>
      </w:pPr>
    </w:p>
    <w:sectPr>
      <w:headerReference r:id="rId4" w:type="default"/>
      <w:footerReference r:id="rId5" w:type="default"/>
      <w:pgSz w:w="11906" w:h="16838"/>
      <w:pgMar w:top="1440" w:right="1803" w:bottom="1440"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03628"/>
    </w:sdtPr>
    <w:sdtContent>
      <w:p>
        <w:pPr>
          <w:pStyle w:val="27"/>
          <w:jc w:val="center"/>
        </w:pPr>
        <w:r>
          <w:fldChar w:fldCharType="begin"/>
        </w:r>
        <w:r>
          <w:instrText xml:space="preserve"> PAGE   \* MERGEFORMAT </w:instrText>
        </w:r>
        <w:r>
          <w:fldChar w:fldCharType="separate"/>
        </w:r>
        <w:r>
          <w:rPr>
            <w:lang w:val="zh-CN"/>
          </w:rPr>
          <w:t>53</w:t>
        </w:r>
        <w:r>
          <w:rPr>
            <w:lang w:val="zh-CN"/>
          </w:rPr>
          <w:fldChar w:fldCharType="end"/>
        </w:r>
      </w:p>
    </w:sdtContent>
  </w:sdt>
  <w:p>
    <w:pPr>
      <w:pStyle w:val="2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32"/>
      </w:pPr>
      <w:r>
        <w:rPr>
          <w:rStyle w:val="49"/>
        </w:rPr>
        <w:footnoteRef/>
      </w:r>
      <w:r>
        <w:rPr>
          <w:rFonts w:hint="eastAsia" w:ascii="宋体" w:hAnsi="宋体"/>
          <w:bCs/>
          <w:sz w:val="24"/>
        </w:rPr>
        <w:t>从业人员、营业收入、资产总额填报上一年度数据，无上一年度数据的新成立企业可不填报。</w:t>
      </w:r>
    </w:p>
  </w:footnote>
  <w:footnote w:id="1">
    <w:p>
      <w:pPr>
        <w:pStyle w:val="32"/>
        <w:rPr>
          <w:sz w:val="21"/>
          <w:szCs w:val="21"/>
        </w:rPr>
      </w:pPr>
      <w:r>
        <w:rPr>
          <w:rStyle w:val="49"/>
          <w:sz w:val="21"/>
          <w:szCs w:val="21"/>
        </w:rPr>
        <w:footnoteRef/>
      </w:r>
      <w:r>
        <w:rPr>
          <w:rFonts w:hint="eastAsia" w:ascii="宋体" w:hAnsi="宋体"/>
          <w:bCs/>
          <w:sz w:val="21"/>
          <w:szCs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台州市黄岩区政府采购电子招标文件</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53</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84</w:t>
    </w:r>
    <w:r>
      <w:rPr>
        <w:b/>
        <w:i/>
        <w:color w:val="000000"/>
        <w:spacing w:val="-20"/>
        <w:kern w:val="0"/>
        <w:sz w:val="18"/>
        <w:u w:val="single"/>
      </w:rPr>
      <w:fldChar w:fldCharType="end"/>
    </w:r>
    <w:r>
      <w:rPr>
        <w:rFonts w:hint="eastAsia"/>
        <w:b/>
        <w:i/>
        <w:color w:val="000000"/>
        <w:spacing w:val="-20"/>
        <w:kern w:val="0"/>
        <w:sz w:val="18"/>
        <w:u w:val="single"/>
      </w:rPr>
      <w:t>页</w:t>
    </w:r>
  </w:p>
  <w:p>
    <w:pPr>
      <w:pStyle w:val="29"/>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BC3B0"/>
    <w:multiLevelType w:val="singleLevel"/>
    <w:tmpl w:val="998BC3B0"/>
    <w:lvl w:ilvl="0" w:tentative="0">
      <w:start w:val="4"/>
      <w:numFmt w:val="decimal"/>
      <w:suff w:val="nothing"/>
      <w:lvlText w:val="%1、"/>
      <w:lvlJc w:val="left"/>
    </w:lvl>
  </w:abstractNum>
  <w:abstractNum w:abstractNumId="1">
    <w:nsid w:val="9A075B2B"/>
    <w:multiLevelType w:val="singleLevel"/>
    <w:tmpl w:val="9A075B2B"/>
    <w:lvl w:ilvl="0" w:tentative="0">
      <w:start w:val="1"/>
      <w:numFmt w:val="decimal"/>
      <w:suff w:val="nothing"/>
      <w:lvlText w:val="%1、"/>
      <w:lvlJc w:val="left"/>
    </w:lvl>
  </w:abstractNum>
  <w:abstractNum w:abstractNumId="2">
    <w:nsid w:val="AE2D8F7B"/>
    <w:multiLevelType w:val="singleLevel"/>
    <w:tmpl w:val="AE2D8F7B"/>
    <w:lvl w:ilvl="0" w:tentative="0">
      <w:start w:val="1"/>
      <w:numFmt w:val="decimal"/>
      <w:pStyle w:val="17"/>
      <w:lvlText w:val="%1."/>
      <w:lvlJc w:val="left"/>
      <w:pPr>
        <w:tabs>
          <w:tab w:val="left" w:pos="360"/>
        </w:tabs>
        <w:ind w:left="360" w:hanging="360"/>
      </w:pPr>
      <w:rPr>
        <w:rFonts w:cs="Times New Roman"/>
      </w:rPr>
    </w:lvl>
  </w:abstractNum>
  <w:abstractNum w:abstractNumId="3">
    <w:nsid w:val="DDBEDDBE"/>
    <w:multiLevelType w:val="singleLevel"/>
    <w:tmpl w:val="DDBEDDBE"/>
    <w:lvl w:ilvl="0" w:tentative="0">
      <w:start w:val="4"/>
      <w:numFmt w:val="chineseCounting"/>
      <w:suff w:val="nothing"/>
      <w:lvlText w:val="（%1）"/>
      <w:lvlJc w:val="left"/>
      <w:rPr>
        <w:rFonts w:hint="eastAsia"/>
      </w:rPr>
    </w:lvl>
  </w:abstractNum>
  <w:abstractNum w:abstractNumId="4">
    <w:nsid w:val="FCCFC84A"/>
    <w:multiLevelType w:val="singleLevel"/>
    <w:tmpl w:val="FCCFC84A"/>
    <w:lvl w:ilvl="0" w:tentative="0">
      <w:start w:val="3"/>
      <w:numFmt w:val="chineseCounting"/>
      <w:suff w:val="nothing"/>
      <w:lvlText w:val="%1、"/>
      <w:lvlJc w:val="left"/>
      <w:rPr>
        <w:rFonts w:hint="eastAsia"/>
      </w:rPr>
    </w:lvl>
  </w:abstractNum>
  <w:abstractNum w:abstractNumId="5">
    <w:nsid w:val="30363F70"/>
    <w:multiLevelType w:val="multilevel"/>
    <w:tmpl w:val="30363F70"/>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3B945781"/>
    <w:multiLevelType w:val="multilevel"/>
    <w:tmpl w:val="3B945781"/>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C445DFE"/>
    <w:multiLevelType w:val="multilevel"/>
    <w:tmpl w:val="5C445DFE"/>
    <w:lvl w:ilvl="0" w:tentative="0">
      <w:start w:val="2"/>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0C01C55"/>
    <w:multiLevelType w:val="singleLevel"/>
    <w:tmpl w:val="60C01C55"/>
    <w:lvl w:ilvl="0" w:tentative="0">
      <w:start w:val="6"/>
      <w:numFmt w:val="chineseCounting"/>
      <w:suff w:val="nothing"/>
      <w:lvlText w:val="%1、"/>
      <w:lvlJc w:val="left"/>
    </w:lvl>
  </w:abstractNum>
  <w:num w:numId="1">
    <w:abstractNumId w:val="2"/>
  </w:num>
  <w:num w:numId="2">
    <w:abstractNumId w:val="3"/>
  </w:num>
  <w:num w:numId="3">
    <w:abstractNumId w:val="5"/>
  </w:num>
  <w:num w:numId="4">
    <w:abstractNumId w:val="4"/>
  </w:num>
  <w:num w:numId="5">
    <w:abstractNumId w:val="1"/>
  </w:num>
  <w:num w:numId="6">
    <w:abstractNumId w:val="9"/>
  </w:num>
  <w:num w:numId="7">
    <w:abstractNumId w:val="6"/>
  </w:num>
  <w:num w:numId="8">
    <w:abstractNumId w:val="10"/>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9"/>
  <w:noPunctuationKerning w:val="1"/>
  <w:characterSpacingControl w:val="compressPunctuation"/>
  <w:noLineBreaksAfter w:lang="zh-CN" w:val="$([{£¥·‘“〈《「『【〔〖〝﹙﹛﹝＄（．［｛￡￥"/>
  <w:noLineBreaksBefore w:lang="zh-CN" w:val="!%),.:;&gt;?]}¢¨°·ˇˉ―‖’”…‰′″›℃∶、。〃〉》」』】〕〗〞︶︺︾﹀﹄﹚﹜﹞！＂％＇），．：；？］｀｜｝～￠"/>
  <w:footnotePr>
    <w:footnote w:id="4"/>
    <w:footnote w:id="5"/>
  </w:footnotePr>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ZGZmZGEzMTlhOTYyMDllNmFjYWU3MzkzZGYxYTBkZjAifQ=="/>
  </w:docVars>
  <w:rsids>
    <w:rsidRoot w:val="0E970358"/>
    <w:rsid w:val="00002284"/>
    <w:rsid w:val="0000463E"/>
    <w:rsid w:val="000048AE"/>
    <w:rsid w:val="00012815"/>
    <w:rsid w:val="00016260"/>
    <w:rsid w:val="0002035B"/>
    <w:rsid w:val="00022980"/>
    <w:rsid w:val="00031448"/>
    <w:rsid w:val="00031693"/>
    <w:rsid w:val="0003463B"/>
    <w:rsid w:val="00034C39"/>
    <w:rsid w:val="000403F7"/>
    <w:rsid w:val="00046CAA"/>
    <w:rsid w:val="00051BD9"/>
    <w:rsid w:val="0005279C"/>
    <w:rsid w:val="00061F89"/>
    <w:rsid w:val="0006294D"/>
    <w:rsid w:val="00062AB3"/>
    <w:rsid w:val="000630DA"/>
    <w:rsid w:val="00071BC3"/>
    <w:rsid w:val="00073D8D"/>
    <w:rsid w:val="00086DD0"/>
    <w:rsid w:val="000875AE"/>
    <w:rsid w:val="00093ABF"/>
    <w:rsid w:val="0009472A"/>
    <w:rsid w:val="00094C25"/>
    <w:rsid w:val="000A08D3"/>
    <w:rsid w:val="000A1428"/>
    <w:rsid w:val="000A1ACF"/>
    <w:rsid w:val="000A2CBE"/>
    <w:rsid w:val="000A3A7C"/>
    <w:rsid w:val="000B07FE"/>
    <w:rsid w:val="000B0A3D"/>
    <w:rsid w:val="000C17C1"/>
    <w:rsid w:val="000D65BC"/>
    <w:rsid w:val="000D727B"/>
    <w:rsid w:val="000E165E"/>
    <w:rsid w:val="000E310F"/>
    <w:rsid w:val="000E7251"/>
    <w:rsid w:val="000F4F7D"/>
    <w:rsid w:val="001026E2"/>
    <w:rsid w:val="00107BF6"/>
    <w:rsid w:val="0012773C"/>
    <w:rsid w:val="00132054"/>
    <w:rsid w:val="00132C8F"/>
    <w:rsid w:val="001334F2"/>
    <w:rsid w:val="001358F3"/>
    <w:rsid w:val="00135DA7"/>
    <w:rsid w:val="00137CC9"/>
    <w:rsid w:val="00142606"/>
    <w:rsid w:val="00152DF6"/>
    <w:rsid w:val="00155A39"/>
    <w:rsid w:val="001617C5"/>
    <w:rsid w:val="00165F2A"/>
    <w:rsid w:val="00167DAA"/>
    <w:rsid w:val="00175E12"/>
    <w:rsid w:val="00180836"/>
    <w:rsid w:val="00186CC4"/>
    <w:rsid w:val="001969B5"/>
    <w:rsid w:val="001A56B5"/>
    <w:rsid w:val="001A6A79"/>
    <w:rsid w:val="001B0361"/>
    <w:rsid w:val="001B3B87"/>
    <w:rsid w:val="001B60FC"/>
    <w:rsid w:val="001D11F6"/>
    <w:rsid w:val="001E4D8B"/>
    <w:rsid w:val="001E6CB9"/>
    <w:rsid w:val="001F321E"/>
    <w:rsid w:val="00201D2F"/>
    <w:rsid w:val="00201D62"/>
    <w:rsid w:val="002022BD"/>
    <w:rsid w:val="00203C2F"/>
    <w:rsid w:val="00203EF2"/>
    <w:rsid w:val="00205043"/>
    <w:rsid w:val="0020649B"/>
    <w:rsid w:val="0021318F"/>
    <w:rsid w:val="00215FA1"/>
    <w:rsid w:val="00222EED"/>
    <w:rsid w:val="00235C5B"/>
    <w:rsid w:val="00241352"/>
    <w:rsid w:val="0024774D"/>
    <w:rsid w:val="00251078"/>
    <w:rsid w:val="00266275"/>
    <w:rsid w:val="00267A70"/>
    <w:rsid w:val="002734DD"/>
    <w:rsid w:val="00286AB2"/>
    <w:rsid w:val="002A14EE"/>
    <w:rsid w:val="002A1620"/>
    <w:rsid w:val="002A31C8"/>
    <w:rsid w:val="002A374F"/>
    <w:rsid w:val="002B0110"/>
    <w:rsid w:val="002B3EA0"/>
    <w:rsid w:val="002C06BC"/>
    <w:rsid w:val="002C6771"/>
    <w:rsid w:val="002D6B75"/>
    <w:rsid w:val="002D744C"/>
    <w:rsid w:val="002E1DEC"/>
    <w:rsid w:val="002E4398"/>
    <w:rsid w:val="002E71FC"/>
    <w:rsid w:val="002E79FB"/>
    <w:rsid w:val="002F1600"/>
    <w:rsid w:val="002F4021"/>
    <w:rsid w:val="002F4E15"/>
    <w:rsid w:val="003010BD"/>
    <w:rsid w:val="00306467"/>
    <w:rsid w:val="003102FB"/>
    <w:rsid w:val="003111E2"/>
    <w:rsid w:val="003123D0"/>
    <w:rsid w:val="003247A3"/>
    <w:rsid w:val="0033011F"/>
    <w:rsid w:val="00332E30"/>
    <w:rsid w:val="003330A8"/>
    <w:rsid w:val="00335B7A"/>
    <w:rsid w:val="00342698"/>
    <w:rsid w:val="00353DAF"/>
    <w:rsid w:val="003541CF"/>
    <w:rsid w:val="003569B0"/>
    <w:rsid w:val="00356B00"/>
    <w:rsid w:val="00357854"/>
    <w:rsid w:val="0036435A"/>
    <w:rsid w:val="0037278F"/>
    <w:rsid w:val="0037655F"/>
    <w:rsid w:val="00390252"/>
    <w:rsid w:val="00394F4B"/>
    <w:rsid w:val="003964B6"/>
    <w:rsid w:val="003A0C60"/>
    <w:rsid w:val="003A2EAF"/>
    <w:rsid w:val="003B2DD8"/>
    <w:rsid w:val="003C020E"/>
    <w:rsid w:val="003C1EE1"/>
    <w:rsid w:val="003C2FFF"/>
    <w:rsid w:val="003C5E00"/>
    <w:rsid w:val="003D4E6B"/>
    <w:rsid w:val="003E6DE1"/>
    <w:rsid w:val="003F0D2A"/>
    <w:rsid w:val="003F0F94"/>
    <w:rsid w:val="003F30A3"/>
    <w:rsid w:val="003F595C"/>
    <w:rsid w:val="003F78E0"/>
    <w:rsid w:val="00406ABF"/>
    <w:rsid w:val="00416690"/>
    <w:rsid w:val="00423634"/>
    <w:rsid w:val="0043024D"/>
    <w:rsid w:val="00441B6E"/>
    <w:rsid w:val="00441FAE"/>
    <w:rsid w:val="00445F88"/>
    <w:rsid w:val="00446CEF"/>
    <w:rsid w:val="00454D20"/>
    <w:rsid w:val="004642FE"/>
    <w:rsid w:val="00473D50"/>
    <w:rsid w:val="00491BDF"/>
    <w:rsid w:val="004A19BF"/>
    <w:rsid w:val="004A58D0"/>
    <w:rsid w:val="004B24E9"/>
    <w:rsid w:val="004B4165"/>
    <w:rsid w:val="004C3E0B"/>
    <w:rsid w:val="004C4CE2"/>
    <w:rsid w:val="004D47F7"/>
    <w:rsid w:val="004D7D9D"/>
    <w:rsid w:val="004E196E"/>
    <w:rsid w:val="004E1E4B"/>
    <w:rsid w:val="004F2024"/>
    <w:rsid w:val="00501A00"/>
    <w:rsid w:val="005048C7"/>
    <w:rsid w:val="00507418"/>
    <w:rsid w:val="0053163B"/>
    <w:rsid w:val="00531666"/>
    <w:rsid w:val="00531E80"/>
    <w:rsid w:val="00542F87"/>
    <w:rsid w:val="00560FD8"/>
    <w:rsid w:val="005614F7"/>
    <w:rsid w:val="00586423"/>
    <w:rsid w:val="00587901"/>
    <w:rsid w:val="005C20A8"/>
    <w:rsid w:val="005C3886"/>
    <w:rsid w:val="005C3A6B"/>
    <w:rsid w:val="005E29AE"/>
    <w:rsid w:val="005F7034"/>
    <w:rsid w:val="005F7B0D"/>
    <w:rsid w:val="00600190"/>
    <w:rsid w:val="00610E57"/>
    <w:rsid w:val="00612A8C"/>
    <w:rsid w:val="00616E31"/>
    <w:rsid w:val="00620267"/>
    <w:rsid w:val="00622052"/>
    <w:rsid w:val="006241E6"/>
    <w:rsid w:val="00626E66"/>
    <w:rsid w:val="006278FE"/>
    <w:rsid w:val="00634DBB"/>
    <w:rsid w:val="00636172"/>
    <w:rsid w:val="00646CA0"/>
    <w:rsid w:val="006501AF"/>
    <w:rsid w:val="006540F3"/>
    <w:rsid w:val="00655E3C"/>
    <w:rsid w:val="00656329"/>
    <w:rsid w:val="0065711B"/>
    <w:rsid w:val="00657DC1"/>
    <w:rsid w:val="00665B08"/>
    <w:rsid w:val="00666183"/>
    <w:rsid w:val="00666FBD"/>
    <w:rsid w:val="00674C42"/>
    <w:rsid w:val="006764DF"/>
    <w:rsid w:val="0068154D"/>
    <w:rsid w:val="00684B2A"/>
    <w:rsid w:val="00691F6C"/>
    <w:rsid w:val="006A3994"/>
    <w:rsid w:val="006B0D5E"/>
    <w:rsid w:val="006B3757"/>
    <w:rsid w:val="006C2896"/>
    <w:rsid w:val="006C65B6"/>
    <w:rsid w:val="006E2ADA"/>
    <w:rsid w:val="006E452B"/>
    <w:rsid w:val="006E5A80"/>
    <w:rsid w:val="006F4DFE"/>
    <w:rsid w:val="0070098B"/>
    <w:rsid w:val="00714718"/>
    <w:rsid w:val="00715AAD"/>
    <w:rsid w:val="00723B96"/>
    <w:rsid w:val="00731DB5"/>
    <w:rsid w:val="00733B19"/>
    <w:rsid w:val="00742083"/>
    <w:rsid w:val="00745034"/>
    <w:rsid w:val="0074745A"/>
    <w:rsid w:val="0075349E"/>
    <w:rsid w:val="00755326"/>
    <w:rsid w:val="00765F35"/>
    <w:rsid w:val="00766D5F"/>
    <w:rsid w:val="00772950"/>
    <w:rsid w:val="00773A78"/>
    <w:rsid w:val="0077440D"/>
    <w:rsid w:val="007755A1"/>
    <w:rsid w:val="00783370"/>
    <w:rsid w:val="007867CA"/>
    <w:rsid w:val="00793C81"/>
    <w:rsid w:val="007970A1"/>
    <w:rsid w:val="007A2629"/>
    <w:rsid w:val="007A4C35"/>
    <w:rsid w:val="007A7B79"/>
    <w:rsid w:val="007B3695"/>
    <w:rsid w:val="007B667F"/>
    <w:rsid w:val="007B7F37"/>
    <w:rsid w:val="007C1005"/>
    <w:rsid w:val="007D3804"/>
    <w:rsid w:val="007E32FE"/>
    <w:rsid w:val="007E3AF9"/>
    <w:rsid w:val="007E3E1C"/>
    <w:rsid w:val="007F5659"/>
    <w:rsid w:val="007F5FAF"/>
    <w:rsid w:val="00802325"/>
    <w:rsid w:val="00806281"/>
    <w:rsid w:val="00806745"/>
    <w:rsid w:val="008154BD"/>
    <w:rsid w:val="00816C34"/>
    <w:rsid w:val="00823978"/>
    <w:rsid w:val="00827574"/>
    <w:rsid w:val="00827FCD"/>
    <w:rsid w:val="00830B23"/>
    <w:rsid w:val="00835899"/>
    <w:rsid w:val="00835B7D"/>
    <w:rsid w:val="0083600C"/>
    <w:rsid w:val="00845A61"/>
    <w:rsid w:val="00847BE5"/>
    <w:rsid w:val="0088066B"/>
    <w:rsid w:val="008850D4"/>
    <w:rsid w:val="0089000A"/>
    <w:rsid w:val="008973B7"/>
    <w:rsid w:val="00897E8F"/>
    <w:rsid w:val="008A4030"/>
    <w:rsid w:val="008A7ECB"/>
    <w:rsid w:val="008B4B96"/>
    <w:rsid w:val="008B6419"/>
    <w:rsid w:val="008C2C38"/>
    <w:rsid w:val="008C3549"/>
    <w:rsid w:val="008E20FD"/>
    <w:rsid w:val="008E573B"/>
    <w:rsid w:val="008E781F"/>
    <w:rsid w:val="008F1972"/>
    <w:rsid w:val="008F5CD7"/>
    <w:rsid w:val="008F7B72"/>
    <w:rsid w:val="00902064"/>
    <w:rsid w:val="00906784"/>
    <w:rsid w:val="00912983"/>
    <w:rsid w:val="009162A7"/>
    <w:rsid w:val="0093005A"/>
    <w:rsid w:val="00944004"/>
    <w:rsid w:val="009509E6"/>
    <w:rsid w:val="00954291"/>
    <w:rsid w:val="00956252"/>
    <w:rsid w:val="00972594"/>
    <w:rsid w:val="0097458A"/>
    <w:rsid w:val="0097548F"/>
    <w:rsid w:val="009B3E22"/>
    <w:rsid w:val="009B3FDA"/>
    <w:rsid w:val="009C27BA"/>
    <w:rsid w:val="009D3939"/>
    <w:rsid w:val="009E7374"/>
    <w:rsid w:val="009E7B82"/>
    <w:rsid w:val="009F3459"/>
    <w:rsid w:val="009F34DF"/>
    <w:rsid w:val="009F36F6"/>
    <w:rsid w:val="009F7710"/>
    <w:rsid w:val="00A00466"/>
    <w:rsid w:val="00A12F71"/>
    <w:rsid w:val="00A13E0B"/>
    <w:rsid w:val="00A13FEF"/>
    <w:rsid w:val="00A156E5"/>
    <w:rsid w:val="00A17880"/>
    <w:rsid w:val="00A30B75"/>
    <w:rsid w:val="00A34612"/>
    <w:rsid w:val="00A40F30"/>
    <w:rsid w:val="00A47736"/>
    <w:rsid w:val="00A63FA4"/>
    <w:rsid w:val="00A730CA"/>
    <w:rsid w:val="00A73801"/>
    <w:rsid w:val="00A73D61"/>
    <w:rsid w:val="00A80308"/>
    <w:rsid w:val="00A91D4B"/>
    <w:rsid w:val="00A936DC"/>
    <w:rsid w:val="00A978E7"/>
    <w:rsid w:val="00AA08A5"/>
    <w:rsid w:val="00AA51D3"/>
    <w:rsid w:val="00AA736A"/>
    <w:rsid w:val="00AB261E"/>
    <w:rsid w:val="00AB45C8"/>
    <w:rsid w:val="00AE1A4A"/>
    <w:rsid w:val="00AE67A0"/>
    <w:rsid w:val="00AF04F7"/>
    <w:rsid w:val="00AF276E"/>
    <w:rsid w:val="00AF45CE"/>
    <w:rsid w:val="00B023F3"/>
    <w:rsid w:val="00B02832"/>
    <w:rsid w:val="00B0420E"/>
    <w:rsid w:val="00B11C65"/>
    <w:rsid w:val="00B274D8"/>
    <w:rsid w:val="00B40164"/>
    <w:rsid w:val="00B655BE"/>
    <w:rsid w:val="00B66294"/>
    <w:rsid w:val="00B845AF"/>
    <w:rsid w:val="00B9405C"/>
    <w:rsid w:val="00B94924"/>
    <w:rsid w:val="00B977B4"/>
    <w:rsid w:val="00BA0083"/>
    <w:rsid w:val="00BA42A9"/>
    <w:rsid w:val="00BA57CA"/>
    <w:rsid w:val="00BC3D79"/>
    <w:rsid w:val="00BD72F3"/>
    <w:rsid w:val="00BE0ADF"/>
    <w:rsid w:val="00BF7F32"/>
    <w:rsid w:val="00C075CB"/>
    <w:rsid w:val="00C077BB"/>
    <w:rsid w:val="00C27912"/>
    <w:rsid w:val="00C31389"/>
    <w:rsid w:val="00C44AFB"/>
    <w:rsid w:val="00C52E14"/>
    <w:rsid w:val="00C535EE"/>
    <w:rsid w:val="00C54A43"/>
    <w:rsid w:val="00C5506C"/>
    <w:rsid w:val="00C6634D"/>
    <w:rsid w:val="00C67BE4"/>
    <w:rsid w:val="00C76648"/>
    <w:rsid w:val="00C767D4"/>
    <w:rsid w:val="00C772FD"/>
    <w:rsid w:val="00C813F2"/>
    <w:rsid w:val="00C83A95"/>
    <w:rsid w:val="00C976A6"/>
    <w:rsid w:val="00CA0935"/>
    <w:rsid w:val="00CA4FCE"/>
    <w:rsid w:val="00CB0437"/>
    <w:rsid w:val="00CB6885"/>
    <w:rsid w:val="00CC232E"/>
    <w:rsid w:val="00CD1804"/>
    <w:rsid w:val="00CE0E54"/>
    <w:rsid w:val="00CE39D6"/>
    <w:rsid w:val="00CF36C3"/>
    <w:rsid w:val="00CF4678"/>
    <w:rsid w:val="00CF6EC5"/>
    <w:rsid w:val="00D06E95"/>
    <w:rsid w:val="00D126CC"/>
    <w:rsid w:val="00D12F1F"/>
    <w:rsid w:val="00D21141"/>
    <w:rsid w:val="00D24C2A"/>
    <w:rsid w:val="00D2501C"/>
    <w:rsid w:val="00D264AC"/>
    <w:rsid w:val="00D33AB6"/>
    <w:rsid w:val="00D46D43"/>
    <w:rsid w:val="00D5269F"/>
    <w:rsid w:val="00D7521B"/>
    <w:rsid w:val="00D82F31"/>
    <w:rsid w:val="00D91A8F"/>
    <w:rsid w:val="00D95B3C"/>
    <w:rsid w:val="00DA0EB5"/>
    <w:rsid w:val="00DA25C4"/>
    <w:rsid w:val="00DA4A36"/>
    <w:rsid w:val="00DB1228"/>
    <w:rsid w:val="00DB2B95"/>
    <w:rsid w:val="00DB6334"/>
    <w:rsid w:val="00DC68AD"/>
    <w:rsid w:val="00DD4A3D"/>
    <w:rsid w:val="00DD755E"/>
    <w:rsid w:val="00DE08E9"/>
    <w:rsid w:val="00DE1AD1"/>
    <w:rsid w:val="00DE224B"/>
    <w:rsid w:val="00E0416D"/>
    <w:rsid w:val="00E05D29"/>
    <w:rsid w:val="00E13237"/>
    <w:rsid w:val="00E319E7"/>
    <w:rsid w:val="00E35E5E"/>
    <w:rsid w:val="00E37025"/>
    <w:rsid w:val="00E372BC"/>
    <w:rsid w:val="00E41398"/>
    <w:rsid w:val="00E47079"/>
    <w:rsid w:val="00E54F60"/>
    <w:rsid w:val="00E57009"/>
    <w:rsid w:val="00E742E5"/>
    <w:rsid w:val="00E80B28"/>
    <w:rsid w:val="00E97C1A"/>
    <w:rsid w:val="00EA21E3"/>
    <w:rsid w:val="00EA26EB"/>
    <w:rsid w:val="00EA3F7F"/>
    <w:rsid w:val="00EA58A9"/>
    <w:rsid w:val="00EC0F06"/>
    <w:rsid w:val="00ED0061"/>
    <w:rsid w:val="00ED2D89"/>
    <w:rsid w:val="00EF1230"/>
    <w:rsid w:val="00EF2797"/>
    <w:rsid w:val="00EF7B2F"/>
    <w:rsid w:val="00F024F8"/>
    <w:rsid w:val="00F033D6"/>
    <w:rsid w:val="00F10C35"/>
    <w:rsid w:val="00F127FF"/>
    <w:rsid w:val="00F13493"/>
    <w:rsid w:val="00F13C99"/>
    <w:rsid w:val="00F14D8B"/>
    <w:rsid w:val="00F15825"/>
    <w:rsid w:val="00F2095E"/>
    <w:rsid w:val="00F27019"/>
    <w:rsid w:val="00F636B0"/>
    <w:rsid w:val="00F64E95"/>
    <w:rsid w:val="00F71ED2"/>
    <w:rsid w:val="00F74D1E"/>
    <w:rsid w:val="00F74E7F"/>
    <w:rsid w:val="00F835F4"/>
    <w:rsid w:val="00F866E8"/>
    <w:rsid w:val="00F914CB"/>
    <w:rsid w:val="00F94869"/>
    <w:rsid w:val="00F96267"/>
    <w:rsid w:val="00F9637F"/>
    <w:rsid w:val="00FA2C89"/>
    <w:rsid w:val="00FB72F1"/>
    <w:rsid w:val="00FB7DCA"/>
    <w:rsid w:val="00FC35C8"/>
    <w:rsid w:val="00FC71A0"/>
    <w:rsid w:val="00FD4598"/>
    <w:rsid w:val="00FE7DEE"/>
    <w:rsid w:val="00FF2020"/>
    <w:rsid w:val="00FF2863"/>
    <w:rsid w:val="00FF3B77"/>
    <w:rsid w:val="01037416"/>
    <w:rsid w:val="0125621B"/>
    <w:rsid w:val="0162067B"/>
    <w:rsid w:val="01935887"/>
    <w:rsid w:val="01A010C0"/>
    <w:rsid w:val="01BE4FDF"/>
    <w:rsid w:val="022010E6"/>
    <w:rsid w:val="022F3D89"/>
    <w:rsid w:val="025F5180"/>
    <w:rsid w:val="026B5F45"/>
    <w:rsid w:val="0370044A"/>
    <w:rsid w:val="03887300"/>
    <w:rsid w:val="039319BD"/>
    <w:rsid w:val="0453538F"/>
    <w:rsid w:val="048344C4"/>
    <w:rsid w:val="04B50744"/>
    <w:rsid w:val="04CC341D"/>
    <w:rsid w:val="04F102C8"/>
    <w:rsid w:val="04F23B43"/>
    <w:rsid w:val="05036BE0"/>
    <w:rsid w:val="05077050"/>
    <w:rsid w:val="05137CD7"/>
    <w:rsid w:val="05500D21"/>
    <w:rsid w:val="057660B9"/>
    <w:rsid w:val="05B946F9"/>
    <w:rsid w:val="05D110C2"/>
    <w:rsid w:val="060B26E0"/>
    <w:rsid w:val="06181DBE"/>
    <w:rsid w:val="06445431"/>
    <w:rsid w:val="065522E1"/>
    <w:rsid w:val="06E14389"/>
    <w:rsid w:val="071D6DDA"/>
    <w:rsid w:val="073D4ECF"/>
    <w:rsid w:val="075F206A"/>
    <w:rsid w:val="085879B3"/>
    <w:rsid w:val="08675D8B"/>
    <w:rsid w:val="08DE7A29"/>
    <w:rsid w:val="09170415"/>
    <w:rsid w:val="0919484B"/>
    <w:rsid w:val="09691BA7"/>
    <w:rsid w:val="0A207EE3"/>
    <w:rsid w:val="0AB97872"/>
    <w:rsid w:val="0ADB4F19"/>
    <w:rsid w:val="0B6F6C6A"/>
    <w:rsid w:val="0BA736BC"/>
    <w:rsid w:val="0BCA4FAC"/>
    <w:rsid w:val="0C1E2BA0"/>
    <w:rsid w:val="0C765CB2"/>
    <w:rsid w:val="0CC82676"/>
    <w:rsid w:val="0D0D122B"/>
    <w:rsid w:val="0D4E71B1"/>
    <w:rsid w:val="0DAC1076"/>
    <w:rsid w:val="0DB14344"/>
    <w:rsid w:val="0E580181"/>
    <w:rsid w:val="0E970358"/>
    <w:rsid w:val="0F4912E1"/>
    <w:rsid w:val="0F81461E"/>
    <w:rsid w:val="0FC9637D"/>
    <w:rsid w:val="0FF233BB"/>
    <w:rsid w:val="10053DFB"/>
    <w:rsid w:val="10392EAE"/>
    <w:rsid w:val="103F136E"/>
    <w:rsid w:val="10706EC2"/>
    <w:rsid w:val="114D620F"/>
    <w:rsid w:val="124E3B3B"/>
    <w:rsid w:val="125D753C"/>
    <w:rsid w:val="12807280"/>
    <w:rsid w:val="12B874F8"/>
    <w:rsid w:val="1312189C"/>
    <w:rsid w:val="13763D70"/>
    <w:rsid w:val="138C0A65"/>
    <w:rsid w:val="13D43B79"/>
    <w:rsid w:val="13FC1BC3"/>
    <w:rsid w:val="148463E6"/>
    <w:rsid w:val="14AC4493"/>
    <w:rsid w:val="14D20D9B"/>
    <w:rsid w:val="15173C1C"/>
    <w:rsid w:val="15A72BED"/>
    <w:rsid w:val="15B220A9"/>
    <w:rsid w:val="1621170E"/>
    <w:rsid w:val="16543112"/>
    <w:rsid w:val="166476E9"/>
    <w:rsid w:val="16700EAF"/>
    <w:rsid w:val="16875127"/>
    <w:rsid w:val="16C105B4"/>
    <w:rsid w:val="16D8586C"/>
    <w:rsid w:val="16FB4B05"/>
    <w:rsid w:val="17B60F55"/>
    <w:rsid w:val="18820ED2"/>
    <w:rsid w:val="18B91D2B"/>
    <w:rsid w:val="18C40414"/>
    <w:rsid w:val="18E11A7C"/>
    <w:rsid w:val="1A0E6B24"/>
    <w:rsid w:val="1A6A6D44"/>
    <w:rsid w:val="1A6F4349"/>
    <w:rsid w:val="1A817123"/>
    <w:rsid w:val="1A8564E4"/>
    <w:rsid w:val="1B3409E4"/>
    <w:rsid w:val="1B3F693C"/>
    <w:rsid w:val="1B674FFA"/>
    <w:rsid w:val="1C093ECB"/>
    <w:rsid w:val="1C2A1FDB"/>
    <w:rsid w:val="1C3E389D"/>
    <w:rsid w:val="1C474BDF"/>
    <w:rsid w:val="1CE4433A"/>
    <w:rsid w:val="1CE8448F"/>
    <w:rsid w:val="1D0A52C3"/>
    <w:rsid w:val="1DC530BD"/>
    <w:rsid w:val="1DD722C7"/>
    <w:rsid w:val="1E4110C2"/>
    <w:rsid w:val="1E58234F"/>
    <w:rsid w:val="1E9955EF"/>
    <w:rsid w:val="1EE84AA8"/>
    <w:rsid w:val="1F0A52C1"/>
    <w:rsid w:val="1FB44255"/>
    <w:rsid w:val="1FEE4572"/>
    <w:rsid w:val="20DC1314"/>
    <w:rsid w:val="211C75A5"/>
    <w:rsid w:val="219E78C9"/>
    <w:rsid w:val="228447E5"/>
    <w:rsid w:val="22A07E10"/>
    <w:rsid w:val="22EA02BB"/>
    <w:rsid w:val="23052E2B"/>
    <w:rsid w:val="23424F53"/>
    <w:rsid w:val="236E14E2"/>
    <w:rsid w:val="23AA29DA"/>
    <w:rsid w:val="23CA5A17"/>
    <w:rsid w:val="24186BF6"/>
    <w:rsid w:val="24422580"/>
    <w:rsid w:val="24EA31B9"/>
    <w:rsid w:val="24F95D61"/>
    <w:rsid w:val="24FE2F42"/>
    <w:rsid w:val="2500747F"/>
    <w:rsid w:val="25282E02"/>
    <w:rsid w:val="255670B2"/>
    <w:rsid w:val="255D1533"/>
    <w:rsid w:val="256D61FA"/>
    <w:rsid w:val="258741E1"/>
    <w:rsid w:val="25C11B38"/>
    <w:rsid w:val="25E90F07"/>
    <w:rsid w:val="268A132E"/>
    <w:rsid w:val="26DE30DF"/>
    <w:rsid w:val="27B60918"/>
    <w:rsid w:val="27E0211F"/>
    <w:rsid w:val="28215C9F"/>
    <w:rsid w:val="288D1E5B"/>
    <w:rsid w:val="28D61B63"/>
    <w:rsid w:val="28E64005"/>
    <w:rsid w:val="29033920"/>
    <w:rsid w:val="29325462"/>
    <w:rsid w:val="293D28A2"/>
    <w:rsid w:val="29744295"/>
    <w:rsid w:val="29D148D0"/>
    <w:rsid w:val="2A4665A4"/>
    <w:rsid w:val="2A9E4737"/>
    <w:rsid w:val="2AB651B9"/>
    <w:rsid w:val="2AC803DC"/>
    <w:rsid w:val="2AD54F07"/>
    <w:rsid w:val="2AF71430"/>
    <w:rsid w:val="2B045C6D"/>
    <w:rsid w:val="2B520C88"/>
    <w:rsid w:val="2B67284F"/>
    <w:rsid w:val="2BE4195C"/>
    <w:rsid w:val="2D383361"/>
    <w:rsid w:val="2DB034A1"/>
    <w:rsid w:val="2DD95F4F"/>
    <w:rsid w:val="2E4A30F9"/>
    <w:rsid w:val="2F402F53"/>
    <w:rsid w:val="2F5C59E8"/>
    <w:rsid w:val="2FB27E4F"/>
    <w:rsid w:val="2FFF024B"/>
    <w:rsid w:val="30057500"/>
    <w:rsid w:val="30143D85"/>
    <w:rsid w:val="303E0EE9"/>
    <w:rsid w:val="306C1617"/>
    <w:rsid w:val="31192A64"/>
    <w:rsid w:val="316110D8"/>
    <w:rsid w:val="316A5F3C"/>
    <w:rsid w:val="31752B09"/>
    <w:rsid w:val="31851332"/>
    <w:rsid w:val="318B100E"/>
    <w:rsid w:val="323A7CA1"/>
    <w:rsid w:val="33426E93"/>
    <w:rsid w:val="341018E5"/>
    <w:rsid w:val="341548E3"/>
    <w:rsid w:val="3540229B"/>
    <w:rsid w:val="359B739A"/>
    <w:rsid w:val="35A1280D"/>
    <w:rsid w:val="36623E0E"/>
    <w:rsid w:val="36A839CA"/>
    <w:rsid w:val="37712A39"/>
    <w:rsid w:val="38837005"/>
    <w:rsid w:val="39697DDF"/>
    <w:rsid w:val="3AAA7E09"/>
    <w:rsid w:val="3AE50057"/>
    <w:rsid w:val="3AE50133"/>
    <w:rsid w:val="3B036495"/>
    <w:rsid w:val="3B345EA5"/>
    <w:rsid w:val="3B641BB6"/>
    <w:rsid w:val="3B863C6D"/>
    <w:rsid w:val="3BC94465"/>
    <w:rsid w:val="3C2E2875"/>
    <w:rsid w:val="3C610D3E"/>
    <w:rsid w:val="3C706FD0"/>
    <w:rsid w:val="3CBB66AC"/>
    <w:rsid w:val="3D002EB6"/>
    <w:rsid w:val="3D1275D3"/>
    <w:rsid w:val="3DB531EC"/>
    <w:rsid w:val="3DBB71E5"/>
    <w:rsid w:val="3F071B64"/>
    <w:rsid w:val="3F4971D2"/>
    <w:rsid w:val="3F8238BE"/>
    <w:rsid w:val="3F911A69"/>
    <w:rsid w:val="3FBF5CA2"/>
    <w:rsid w:val="3FC33065"/>
    <w:rsid w:val="3FFE7A79"/>
    <w:rsid w:val="40A54320"/>
    <w:rsid w:val="40D83598"/>
    <w:rsid w:val="41715E05"/>
    <w:rsid w:val="41785E5A"/>
    <w:rsid w:val="420358DF"/>
    <w:rsid w:val="425C5C25"/>
    <w:rsid w:val="42E54EF2"/>
    <w:rsid w:val="43036342"/>
    <w:rsid w:val="436C3479"/>
    <w:rsid w:val="43D63208"/>
    <w:rsid w:val="43D911A2"/>
    <w:rsid w:val="43F64AA4"/>
    <w:rsid w:val="441F5424"/>
    <w:rsid w:val="44E23928"/>
    <w:rsid w:val="4525678B"/>
    <w:rsid w:val="4563730C"/>
    <w:rsid w:val="456B496E"/>
    <w:rsid w:val="45B97AEC"/>
    <w:rsid w:val="45D513DD"/>
    <w:rsid w:val="46851352"/>
    <w:rsid w:val="476305B1"/>
    <w:rsid w:val="48694FA0"/>
    <w:rsid w:val="488E768B"/>
    <w:rsid w:val="48E64A08"/>
    <w:rsid w:val="48E9368C"/>
    <w:rsid w:val="48EE62AA"/>
    <w:rsid w:val="48F377F0"/>
    <w:rsid w:val="49472517"/>
    <w:rsid w:val="49F41D5E"/>
    <w:rsid w:val="4AA4002C"/>
    <w:rsid w:val="4B0379EA"/>
    <w:rsid w:val="4B1E31F7"/>
    <w:rsid w:val="4B2E6E93"/>
    <w:rsid w:val="4BC36D77"/>
    <w:rsid w:val="4BCB3573"/>
    <w:rsid w:val="4C3F0520"/>
    <w:rsid w:val="4C3F436C"/>
    <w:rsid w:val="4C7875E8"/>
    <w:rsid w:val="4CAF3E03"/>
    <w:rsid w:val="4CB55629"/>
    <w:rsid w:val="4CE75373"/>
    <w:rsid w:val="4D223768"/>
    <w:rsid w:val="4D5934CA"/>
    <w:rsid w:val="4DBA747C"/>
    <w:rsid w:val="4DF166D7"/>
    <w:rsid w:val="4EA478DF"/>
    <w:rsid w:val="4ED03E2A"/>
    <w:rsid w:val="4ED2056F"/>
    <w:rsid w:val="4F004459"/>
    <w:rsid w:val="4FAB0C6C"/>
    <w:rsid w:val="4FEB2A6E"/>
    <w:rsid w:val="50201265"/>
    <w:rsid w:val="503F4F7F"/>
    <w:rsid w:val="50653B4C"/>
    <w:rsid w:val="51612CF6"/>
    <w:rsid w:val="51C87CAC"/>
    <w:rsid w:val="52233879"/>
    <w:rsid w:val="522C29C1"/>
    <w:rsid w:val="52BD6DD3"/>
    <w:rsid w:val="54471133"/>
    <w:rsid w:val="551C1AFA"/>
    <w:rsid w:val="55BA4166"/>
    <w:rsid w:val="56547E4D"/>
    <w:rsid w:val="566D4B95"/>
    <w:rsid w:val="5682580A"/>
    <w:rsid w:val="569D760B"/>
    <w:rsid w:val="572656D4"/>
    <w:rsid w:val="578671EF"/>
    <w:rsid w:val="584A0D06"/>
    <w:rsid w:val="588A11FB"/>
    <w:rsid w:val="59234CED"/>
    <w:rsid w:val="594F6F04"/>
    <w:rsid w:val="59AD06A4"/>
    <w:rsid w:val="59B87016"/>
    <w:rsid w:val="5A0F25CE"/>
    <w:rsid w:val="5A1C2C17"/>
    <w:rsid w:val="5A402088"/>
    <w:rsid w:val="5A442219"/>
    <w:rsid w:val="5A4D586D"/>
    <w:rsid w:val="5A6249B0"/>
    <w:rsid w:val="5A826B71"/>
    <w:rsid w:val="5AF172A8"/>
    <w:rsid w:val="5AFD23E5"/>
    <w:rsid w:val="5BCD7046"/>
    <w:rsid w:val="5C2C3549"/>
    <w:rsid w:val="5CA348A0"/>
    <w:rsid w:val="5D006F55"/>
    <w:rsid w:val="5D064B5D"/>
    <w:rsid w:val="5DA0376E"/>
    <w:rsid w:val="5E29332F"/>
    <w:rsid w:val="5E411164"/>
    <w:rsid w:val="5E5B089A"/>
    <w:rsid w:val="5EAB55E1"/>
    <w:rsid w:val="5EE84C68"/>
    <w:rsid w:val="5F3032ED"/>
    <w:rsid w:val="5FA703FC"/>
    <w:rsid w:val="5FD17F10"/>
    <w:rsid w:val="602463B0"/>
    <w:rsid w:val="6026592A"/>
    <w:rsid w:val="607032D7"/>
    <w:rsid w:val="60E07B05"/>
    <w:rsid w:val="621D5BA4"/>
    <w:rsid w:val="624D267E"/>
    <w:rsid w:val="627A47E8"/>
    <w:rsid w:val="62925F26"/>
    <w:rsid w:val="62C81424"/>
    <w:rsid w:val="63197EAF"/>
    <w:rsid w:val="635B6748"/>
    <w:rsid w:val="63832929"/>
    <w:rsid w:val="63947A95"/>
    <w:rsid w:val="639C71F6"/>
    <w:rsid w:val="63C16BA1"/>
    <w:rsid w:val="6401505A"/>
    <w:rsid w:val="648E5C86"/>
    <w:rsid w:val="656F4939"/>
    <w:rsid w:val="658D3FA3"/>
    <w:rsid w:val="65EA539D"/>
    <w:rsid w:val="661722D0"/>
    <w:rsid w:val="6665217E"/>
    <w:rsid w:val="66BA73A0"/>
    <w:rsid w:val="6760257D"/>
    <w:rsid w:val="676F49FF"/>
    <w:rsid w:val="677C6611"/>
    <w:rsid w:val="67A16B0D"/>
    <w:rsid w:val="67B05ABC"/>
    <w:rsid w:val="67B167D1"/>
    <w:rsid w:val="67DB0789"/>
    <w:rsid w:val="67E17416"/>
    <w:rsid w:val="67E33A6D"/>
    <w:rsid w:val="685F1C50"/>
    <w:rsid w:val="68C10E50"/>
    <w:rsid w:val="6962623D"/>
    <w:rsid w:val="699022E9"/>
    <w:rsid w:val="69C710B7"/>
    <w:rsid w:val="69F7592E"/>
    <w:rsid w:val="6A371444"/>
    <w:rsid w:val="6A407243"/>
    <w:rsid w:val="6A416CEB"/>
    <w:rsid w:val="6A714498"/>
    <w:rsid w:val="6ACC12B7"/>
    <w:rsid w:val="6B5517F4"/>
    <w:rsid w:val="6C147565"/>
    <w:rsid w:val="6C1625B8"/>
    <w:rsid w:val="6C96182D"/>
    <w:rsid w:val="6C991CB8"/>
    <w:rsid w:val="6E1F7E9B"/>
    <w:rsid w:val="6E725123"/>
    <w:rsid w:val="6F281F01"/>
    <w:rsid w:val="6FC330B5"/>
    <w:rsid w:val="6FE05414"/>
    <w:rsid w:val="7050524D"/>
    <w:rsid w:val="706731A9"/>
    <w:rsid w:val="70C366A9"/>
    <w:rsid w:val="70C654E5"/>
    <w:rsid w:val="713B071E"/>
    <w:rsid w:val="71434DD8"/>
    <w:rsid w:val="71442300"/>
    <w:rsid w:val="717C2409"/>
    <w:rsid w:val="71827730"/>
    <w:rsid w:val="727151E7"/>
    <w:rsid w:val="72C60D24"/>
    <w:rsid w:val="7444613E"/>
    <w:rsid w:val="745919C6"/>
    <w:rsid w:val="74676780"/>
    <w:rsid w:val="74702A9A"/>
    <w:rsid w:val="75745308"/>
    <w:rsid w:val="76081DD7"/>
    <w:rsid w:val="761A4108"/>
    <w:rsid w:val="761C2BBB"/>
    <w:rsid w:val="76443A46"/>
    <w:rsid w:val="7671701C"/>
    <w:rsid w:val="76C11FF9"/>
    <w:rsid w:val="772628C0"/>
    <w:rsid w:val="774065EE"/>
    <w:rsid w:val="776A1DE8"/>
    <w:rsid w:val="77AA6501"/>
    <w:rsid w:val="77AF20E0"/>
    <w:rsid w:val="785D00CA"/>
    <w:rsid w:val="78D02752"/>
    <w:rsid w:val="7A350C22"/>
    <w:rsid w:val="7A7C7D76"/>
    <w:rsid w:val="7AA57BE5"/>
    <w:rsid w:val="7AD63A48"/>
    <w:rsid w:val="7AE71001"/>
    <w:rsid w:val="7B1642C0"/>
    <w:rsid w:val="7B9C5778"/>
    <w:rsid w:val="7BD06A28"/>
    <w:rsid w:val="7BD524A0"/>
    <w:rsid w:val="7CA37938"/>
    <w:rsid w:val="7D1910D1"/>
    <w:rsid w:val="7D4150C5"/>
    <w:rsid w:val="7D6E784A"/>
    <w:rsid w:val="7D89270F"/>
    <w:rsid w:val="7DDD6CEA"/>
    <w:rsid w:val="7DED0920"/>
    <w:rsid w:val="7E2146A1"/>
    <w:rsid w:val="7E636E14"/>
    <w:rsid w:val="7E77175F"/>
    <w:rsid w:val="7EF41589"/>
    <w:rsid w:val="7F32693E"/>
    <w:rsid w:val="7FA15D1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ocked="1"/>
    <w:lsdException w:qFormat="1" w:uiPriority="1" w:semiHidden="0" w:name="heading 5" w:locked="1"/>
    <w:lsdException w:qFormat="1" w:uiPriority="0" w:name="heading 6" w:locked="1"/>
    <w:lsdException w:qFormat="1" w:unhideWhenUsed="0" w:uiPriority="0" w:semiHidden="0" w:name="heading 7" w:locked="1"/>
    <w:lsdException w:qFormat="1" w:unhideWhenUsed="0" w:uiPriority="0" w:semiHidden="0" w:name="heading 8" w:locked="1"/>
    <w:lsdException w:qFormat="1" w:uiPriority="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ocked="1"/>
    <w:lsdException w:qFormat="1" w:unhideWhenUsed="0" w:uiPriority="39" w:semiHidden="0" w:name="toc 2"/>
    <w:lsdException w:qFormat="1" w:unhideWhenUsed="0" w:uiPriority="39" w:semiHidden="0" w:name="toc 3" w:locked="1"/>
    <w:lsdException w:qFormat="1" w:unhideWhenUsed="0" w:uiPriority="39" w:semiHidden="0" w:name="toc 4" w:locked="1"/>
    <w:lsdException w:uiPriority="39" w:name="toc 5" w:locked="1"/>
    <w:lsdException w:qFormat="1" w:unhideWhenUsed="0" w:uiPriority="0"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iPriority="99"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iPriority="99" w:semiHidden="0" w:name="footnote reference" w:locked="1"/>
    <w:lsdException w:qFormat="1" w:unhideWhenUsed="0" w:uiPriority="0"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qFormat="1" w:uiPriority="99" w:semiHidden="0"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0"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11" w:semiHidden="0" w:name="Subtitle" w:locked="1"/>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qFormat="1" w:unhideWhenUsed="0" w:uiPriority="0" w:semiHidden="0" w:name="Body Text 3" w:locked="1"/>
    <w:lsdException w:qFormat="1" w:unhideWhenUsed="0" w:uiPriority="0" w:semiHidden="0" w:name="Body Text Indent 2" w:locked="1"/>
    <w:lsdException w:qFormat="1" w:uiPriority="99" w:name="Body Text Indent 3" w:locked="1"/>
    <w:lsdException w:qFormat="1" w:unhideWhenUsed="0" w:uiPriority="99" w:semiHidden="0" w:name="Block Text" w:locked="1"/>
    <w:lsdException w:qFormat="1" w:uiPriority="99" w:semiHidden="0" w:name="Hyperlink" w:locked="1"/>
    <w:lsdException w:qFormat="1"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ocked="1"/>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8">
    <w:name w:val="heading 2"/>
    <w:basedOn w:val="1"/>
    <w:next w:val="1"/>
    <w:link w:val="54"/>
    <w:qFormat/>
    <w:uiPriority w:val="0"/>
    <w:pPr>
      <w:keepNext/>
      <w:keepLines/>
      <w:spacing w:before="260" w:after="260" w:line="416" w:lineRule="auto"/>
      <w:outlineLvl w:val="1"/>
    </w:pPr>
    <w:rPr>
      <w:rFonts w:ascii="Calibri Light" w:hAnsi="Calibri Light"/>
      <w:b/>
      <w:bCs/>
      <w:sz w:val="32"/>
      <w:szCs w:val="32"/>
    </w:rPr>
  </w:style>
  <w:style w:type="paragraph" w:styleId="9">
    <w:name w:val="heading 3"/>
    <w:basedOn w:val="1"/>
    <w:next w:val="1"/>
    <w:link w:val="55"/>
    <w:qFormat/>
    <w:uiPriority w:val="0"/>
    <w:pPr>
      <w:keepNext/>
      <w:keepLines/>
      <w:spacing w:before="260" w:after="260" w:line="416" w:lineRule="auto"/>
      <w:outlineLvl w:val="2"/>
    </w:pPr>
    <w:rPr>
      <w:b/>
      <w:bCs/>
      <w:sz w:val="32"/>
      <w:szCs w:val="32"/>
    </w:rPr>
  </w:style>
  <w:style w:type="paragraph" w:styleId="10">
    <w:name w:val="heading 4"/>
    <w:basedOn w:val="9"/>
    <w:next w:val="9"/>
    <w:link w:val="122"/>
    <w:unhideWhenUsed/>
    <w:qFormat/>
    <w:locked/>
    <w:uiPriority w:val="0"/>
    <w:pPr>
      <w:spacing w:before="280" w:after="290" w:line="376" w:lineRule="auto"/>
      <w:outlineLvl w:val="3"/>
    </w:pPr>
    <w:rPr>
      <w:rFonts w:ascii="Cambria" w:hAnsi="Cambria"/>
      <w:sz w:val="28"/>
      <w:szCs w:val="28"/>
    </w:rPr>
  </w:style>
  <w:style w:type="paragraph" w:styleId="11">
    <w:name w:val="heading 5"/>
    <w:basedOn w:val="1"/>
    <w:next w:val="1"/>
    <w:link w:val="117"/>
    <w:unhideWhenUsed/>
    <w:qFormat/>
    <w:locked/>
    <w:uiPriority w:val="1"/>
    <w:pPr>
      <w:keepNext/>
      <w:keepLines/>
      <w:autoSpaceDE w:val="0"/>
      <w:autoSpaceDN w:val="0"/>
      <w:adjustRightInd w:val="0"/>
      <w:spacing w:line="520" w:lineRule="exact"/>
      <w:textAlignment w:val="baseline"/>
      <w:outlineLvl w:val="4"/>
    </w:pPr>
    <w:rPr>
      <w:bCs/>
      <w:kern w:val="0"/>
      <w:sz w:val="28"/>
      <w:szCs w:val="28"/>
    </w:rPr>
  </w:style>
  <w:style w:type="paragraph" w:styleId="12">
    <w:name w:val="heading 6"/>
    <w:basedOn w:val="1"/>
    <w:next w:val="1"/>
    <w:link w:val="118"/>
    <w:semiHidden/>
    <w:unhideWhenUsed/>
    <w:qFormat/>
    <w:locked/>
    <w:uiPriority w:val="0"/>
    <w:pPr>
      <w:keepNext/>
      <w:keepLines/>
      <w:autoSpaceDE w:val="0"/>
      <w:autoSpaceDN w:val="0"/>
      <w:adjustRightInd w:val="0"/>
      <w:spacing w:before="240" w:after="64" w:line="320" w:lineRule="auto"/>
      <w:ind w:left="1152"/>
      <w:textAlignment w:val="baseline"/>
      <w:outlineLvl w:val="5"/>
    </w:pPr>
    <w:rPr>
      <w:rFonts w:asciiTheme="majorHAnsi" w:hAnsiTheme="majorHAnsi" w:eastAsiaTheme="majorEastAsia" w:cstheme="majorBidi"/>
      <w:b/>
      <w:bCs/>
      <w:kern w:val="0"/>
      <w:sz w:val="24"/>
    </w:rPr>
  </w:style>
  <w:style w:type="paragraph" w:styleId="13">
    <w:name w:val="heading 7"/>
    <w:basedOn w:val="1"/>
    <w:next w:val="1"/>
    <w:link w:val="119"/>
    <w:qFormat/>
    <w:locked/>
    <w:uiPriority w:val="0"/>
    <w:pPr>
      <w:keepNext/>
      <w:keepLines/>
      <w:spacing w:before="240" w:after="64" w:line="320" w:lineRule="auto"/>
      <w:outlineLvl w:val="6"/>
    </w:pPr>
    <w:rPr>
      <w:b/>
      <w:bCs/>
      <w:sz w:val="24"/>
    </w:rPr>
  </w:style>
  <w:style w:type="paragraph" w:styleId="14">
    <w:name w:val="heading 8"/>
    <w:basedOn w:val="1"/>
    <w:next w:val="1"/>
    <w:link w:val="120"/>
    <w:qFormat/>
    <w:locked/>
    <w:uiPriority w:val="0"/>
    <w:pPr>
      <w:ind w:left="404"/>
      <w:outlineLvl w:val="7"/>
    </w:pPr>
    <w:rPr>
      <w:b/>
      <w:bCs/>
      <w:sz w:val="24"/>
    </w:rPr>
  </w:style>
  <w:style w:type="paragraph" w:styleId="15">
    <w:name w:val="heading 9"/>
    <w:basedOn w:val="1"/>
    <w:next w:val="1"/>
    <w:link w:val="121"/>
    <w:semiHidden/>
    <w:unhideWhenUsed/>
    <w:qFormat/>
    <w:locked/>
    <w:uiPriority w:val="0"/>
    <w:pPr>
      <w:keepNext/>
      <w:keepLines/>
      <w:autoSpaceDE w:val="0"/>
      <w:autoSpaceDN w:val="0"/>
      <w:adjustRightInd w:val="0"/>
      <w:spacing w:before="240" w:after="64" w:line="320" w:lineRule="auto"/>
      <w:ind w:left="1584"/>
      <w:textAlignment w:val="baseline"/>
      <w:outlineLvl w:val="8"/>
    </w:pPr>
    <w:rPr>
      <w:rFonts w:ascii="等线 Light" w:hAnsi="等线 Light" w:eastAsia="等线 Light"/>
      <w:kern w:val="0"/>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99"/>
    <w:pPr>
      <w:tabs>
        <w:tab w:val="left" w:pos="720"/>
        <w:tab w:val="left" w:pos="1260"/>
        <w:tab w:val="left" w:pos="2160"/>
        <w:tab w:val="left" w:pos="2880"/>
        <w:tab w:val="left" w:pos="3600"/>
        <w:tab w:val="left" w:pos="4320"/>
        <w:tab w:val="left" w:pos="5040"/>
        <w:tab w:val="left" w:pos="5760"/>
      </w:tabs>
      <w:jc w:val="left"/>
    </w:pPr>
    <w:rPr>
      <w:kern w:val="21"/>
      <w:szCs w:val="21"/>
    </w:rPr>
  </w:style>
  <w:style w:type="paragraph" w:styleId="3">
    <w:name w:val="Body Text Indent"/>
    <w:basedOn w:val="1"/>
    <w:next w:val="1"/>
    <w:link w:val="58"/>
    <w:qFormat/>
    <w:uiPriority w:val="0"/>
    <w:pPr>
      <w:spacing w:after="120"/>
      <w:ind w:left="420" w:leftChars="200"/>
    </w:pPr>
  </w:style>
  <w:style w:type="paragraph" w:styleId="4">
    <w:name w:val="Body Text"/>
    <w:basedOn w:val="1"/>
    <w:next w:val="5"/>
    <w:link w:val="56"/>
    <w:qFormat/>
    <w:uiPriority w:val="99"/>
    <w:pPr>
      <w:spacing w:line="360" w:lineRule="exact"/>
    </w:pPr>
    <w:rPr>
      <w:sz w:val="24"/>
    </w:rPr>
  </w:style>
  <w:style w:type="paragraph" w:styleId="5">
    <w:name w:val="Body Text First Indent"/>
    <w:basedOn w:val="4"/>
    <w:next w:val="6"/>
    <w:link w:val="126"/>
    <w:qFormat/>
    <w:locked/>
    <w:uiPriority w:val="0"/>
    <w:pPr>
      <w:ind w:firstLine="420"/>
    </w:pPr>
    <w:rPr>
      <w:sz w:val="21"/>
    </w:rPr>
  </w:style>
  <w:style w:type="paragraph" w:styleId="6">
    <w:name w:val="toc 6"/>
    <w:basedOn w:val="1"/>
    <w:next w:val="1"/>
    <w:qFormat/>
    <w:locked/>
    <w:uiPriority w:val="0"/>
    <w:pPr>
      <w:widowControl/>
      <w:ind w:left="1000"/>
      <w:jc w:val="left"/>
    </w:pPr>
    <w:rPr>
      <w:kern w:val="0"/>
      <w:sz w:val="18"/>
      <w:szCs w:val="20"/>
    </w:rPr>
  </w:style>
  <w:style w:type="paragraph" w:styleId="16">
    <w:name w:val="table of authorities"/>
    <w:basedOn w:val="1"/>
    <w:next w:val="1"/>
    <w:unhideWhenUsed/>
    <w:qFormat/>
    <w:locked/>
    <w:uiPriority w:val="99"/>
    <w:pPr>
      <w:ind w:left="420" w:leftChars="200"/>
    </w:pPr>
  </w:style>
  <w:style w:type="paragraph" w:styleId="17">
    <w:name w:val="List Number"/>
    <w:basedOn w:val="1"/>
    <w:qFormat/>
    <w:uiPriority w:val="0"/>
    <w:pPr>
      <w:numPr>
        <w:ilvl w:val="0"/>
        <w:numId w:val="1"/>
      </w:numPr>
    </w:pPr>
  </w:style>
  <w:style w:type="paragraph" w:styleId="18">
    <w:name w:val="Normal Indent"/>
    <w:basedOn w:val="1"/>
    <w:next w:val="1"/>
    <w:link w:val="123"/>
    <w:qFormat/>
    <w:uiPriority w:val="99"/>
    <w:pPr>
      <w:ind w:firstLine="420"/>
    </w:pPr>
    <w:rPr>
      <w:szCs w:val="20"/>
    </w:rPr>
  </w:style>
  <w:style w:type="paragraph" w:styleId="19">
    <w:name w:val="annotation text"/>
    <w:basedOn w:val="1"/>
    <w:link w:val="57"/>
    <w:qFormat/>
    <w:uiPriority w:val="0"/>
    <w:pPr>
      <w:jc w:val="left"/>
    </w:pPr>
  </w:style>
  <w:style w:type="paragraph" w:styleId="20">
    <w:name w:val="Body Text 3"/>
    <w:basedOn w:val="1"/>
    <w:link w:val="124"/>
    <w:qFormat/>
    <w:locked/>
    <w:uiPriority w:val="0"/>
    <w:pPr>
      <w:spacing w:after="120"/>
    </w:pPr>
    <w:rPr>
      <w:sz w:val="16"/>
      <w:szCs w:val="16"/>
    </w:rPr>
  </w:style>
  <w:style w:type="paragraph" w:styleId="21">
    <w:name w:val="Block Text"/>
    <w:basedOn w:val="1"/>
    <w:qFormat/>
    <w:locked/>
    <w:uiPriority w:val="99"/>
    <w:pPr>
      <w:adjustRightInd w:val="0"/>
      <w:spacing w:line="300" w:lineRule="auto"/>
      <w:ind w:left="958" w:right="-120" w:rightChars="-120"/>
      <w:jc w:val="left"/>
    </w:pPr>
    <w:rPr>
      <w:rFonts w:ascii="宋体" w:hAnsi="宋体"/>
      <w:sz w:val="28"/>
    </w:rPr>
  </w:style>
  <w:style w:type="paragraph" w:styleId="22">
    <w:name w:val="toc 3"/>
    <w:basedOn w:val="1"/>
    <w:next w:val="1"/>
    <w:qFormat/>
    <w:locked/>
    <w:uiPriority w:val="39"/>
    <w:pPr>
      <w:ind w:left="840" w:leftChars="400"/>
    </w:pPr>
  </w:style>
  <w:style w:type="paragraph" w:styleId="23">
    <w:name w:val="Plain Text"/>
    <w:basedOn w:val="1"/>
    <w:next w:val="24"/>
    <w:link w:val="59"/>
    <w:qFormat/>
    <w:uiPriority w:val="0"/>
    <w:rPr>
      <w:rFonts w:ascii="宋体" w:hAnsi="Courier New"/>
    </w:rPr>
  </w:style>
  <w:style w:type="paragraph" w:styleId="24">
    <w:name w:val="Date"/>
    <w:basedOn w:val="1"/>
    <w:next w:val="1"/>
    <w:link w:val="60"/>
    <w:qFormat/>
    <w:uiPriority w:val="0"/>
    <w:pPr>
      <w:ind w:left="2500" w:leftChars="2500"/>
    </w:pPr>
    <w:rPr>
      <w:rFonts w:ascii="Calibri" w:hAnsi="Calibri" w:eastAsia="楷体_GB2312"/>
      <w:sz w:val="32"/>
      <w:szCs w:val="22"/>
    </w:rPr>
  </w:style>
  <w:style w:type="paragraph" w:styleId="25">
    <w:name w:val="Body Text Indent 2"/>
    <w:basedOn w:val="1"/>
    <w:link w:val="145"/>
    <w:qFormat/>
    <w:locked/>
    <w:uiPriority w:val="0"/>
    <w:pPr>
      <w:snapToGrid w:val="0"/>
      <w:spacing w:line="400" w:lineRule="exact"/>
      <w:ind w:firstLine="480"/>
    </w:pPr>
    <w:rPr>
      <w:rFonts w:eastAsia="仿宋_GB2312"/>
      <w:sz w:val="24"/>
    </w:rPr>
  </w:style>
  <w:style w:type="paragraph" w:styleId="26">
    <w:name w:val="Balloon Text"/>
    <w:basedOn w:val="1"/>
    <w:link w:val="61"/>
    <w:qFormat/>
    <w:uiPriority w:val="0"/>
    <w:rPr>
      <w:sz w:val="18"/>
      <w:szCs w:val="18"/>
    </w:rPr>
  </w:style>
  <w:style w:type="paragraph" w:styleId="27">
    <w:name w:val="footer"/>
    <w:basedOn w:val="1"/>
    <w:link w:val="62"/>
    <w:qFormat/>
    <w:uiPriority w:val="99"/>
    <w:pPr>
      <w:tabs>
        <w:tab w:val="center" w:pos="4153"/>
        <w:tab w:val="right" w:pos="8306"/>
      </w:tabs>
      <w:snapToGrid w:val="0"/>
      <w:jc w:val="left"/>
    </w:pPr>
    <w:rPr>
      <w:sz w:val="18"/>
    </w:rPr>
  </w:style>
  <w:style w:type="paragraph" w:styleId="28">
    <w:name w:val="envelope return"/>
    <w:basedOn w:val="1"/>
    <w:qFormat/>
    <w:locked/>
    <w:uiPriority w:val="0"/>
    <w:pPr>
      <w:snapToGrid w:val="0"/>
    </w:pPr>
    <w:rPr>
      <w:rFonts w:hint="eastAsia" w:ascii="Arial" w:hAnsi="Arial"/>
    </w:rPr>
  </w:style>
  <w:style w:type="paragraph" w:styleId="29">
    <w:name w:val="header"/>
    <w:basedOn w:val="1"/>
    <w:link w:val="6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0">
    <w:name w:val="toc 1"/>
    <w:basedOn w:val="1"/>
    <w:next w:val="1"/>
    <w:qFormat/>
    <w:locked/>
    <w:uiPriority w:val="39"/>
  </w:style>
  <w:style w:type="paragraph" w:styleId="31">
    <w:name w:val="toc 4"/>
    <w:basedOn w:val="1"/>
    <w:next w:val="1"/>
    <w:qFormat/>
    <w:locked/>
    <w:uiPriority w:val="39"/>
    <w:pPr>
      <w:widowControl/>
      <w:ind w:left="600"/>
      <w:jc w:val="left"/>
    </w:pPr>
    <w:rPr>
      <w:kern w:val="0"/>
      <w:sz w:val="18"/>
      <w:szCs w:val="20"/>
    </w:rPr>
  </w:style>
  <w:style w:type="paragraph" w:styleId="32">
    <w:name w:val="footnote text"/>
    <w:basedOn w:val="1"/>
    <w:link w:val="125"/>
    <w:unhideWhenUsed/>
    <w:qFormat/>
    <w:locked/>
    <w:uiPriority w:val="99"/>
    <w:pPr>
      <w:snapToGrid w:val="0"/>
      <w:jc w:val="left"/>
    </w:pPr>
    <w:rPr>
      <w:sz w:val="18"/>
    </w:rPr>
  </w:style>
  <w:style w:type="paragraph" w:styleId="33">
    <w:name w:val="Body Text Indent 3"/>
    <w:basedOn w:val="1"/>
    <w:link w:val="209"/>
    <w:semiHidden/>
    <w:unhideWhenUsed/>
    <w:qFormat/>
    <w:locked/>
    <w:uiPriority w:val="99"/>
    <w:pPr>
      <w:spacing w:after="120"/>
      <w:ind w:left="420" w:leftChars="200"/>
    </w:pPr>
    <w:rPr>
      <w:sz w:val="16"/>
      <w:szCs w:val="16"/>
    </w:rPr>
  </w:style>
  <w:style w:type="paragraph" w:styleId="34">
    <w:name w:val="toc 2"/>
    <w:basedOn w:val="1"/>
    <w:next w:val="1"/>
    <w:qFormat/>
    <w:uiPriority w:val="39"/>
    <w:pPr>
      <w:ind w:left="420" w:leftChars="200"/>
    </w:pPr>
  </w:style>
  <w:style w:type="paragraph" w:styleId="35">
    <w:name w:val="Message Header"/>
    <w:basedOn w:val="1"/>
    <w:link w:val="148"/>
    <w:qFormat/>
    <w:locked/>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cs="宋体"/>
      <w:sz w:val="24"/>
    </w:rPr>
  </w:style>
  <w:style w:type="paragraph" w:styleId="36">
    <w:name w:val="Normal (Web)"/>
    <w:basedOn w:val="1"/>
    <w:link w:val="101"/>
    <w:qFormat/>
    <w:uiPriority w:val="0"/>
    <w:pPr>
      <w:widowControl/>
      <w:spacing w:before="100" w:beforeAutospacing="1" w:after="100" w:afterAutospacing="1"/>
      <w:jc w:val="left"/>
    </w:pPr>
    <w:rPr>
      <w:rFonts w:ascii="宋体" w:hAnsi="宋体"/>
      <w:kern w:val="0"/>
      <w:sz w:val="24"/>
    </w:rPr>
  </w:style>
  <w:style w:type="paragraph" w:styleId="37">
    <w:name w:val="Title"/>
    <w:basedOn w:val="1"/>
    <w:next w:val="1"/>
    <w:link w:val="115"/>
    <w:qFormat/>
    <w:locked/>
    <w:uiPriority w:val="99"/>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38">
    <w:name w:val="annotation subject"/>
    <w:basedOn w:val="19"/>
    <w:next w:val="19"/>
    <w:link w:val="64"/>
    <w:qFormat/>
    <w:uiPriority w:val="0"/>
    <w:rPr>
      <w:b/>
      <w:bCs/>
    </w:rPr>
  </w:style>
  <w:style w:type="paragraph" w:styleId="39">
    <w:name w:val="Body Text First Indent 2"/>
    <w:basedOn w:val="3"/>
    <w:link w:val="128"/>
    <w:qFormat/>
    <w:locked/>
    <w:uiPriority w:val="99"/>
    <w:pPr>
      <w:ind w:firstLine="420"/>
    </w:pPr>
  </w:style>
  <w:style w:type="table" w:styleId="41">
    <w:name w:val="Table Grid"/>
    <w:basedOn w:val="40"/>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qFormat/>
    <w:locked/>
    <w:uiPriority w:val="0"/>
    <w:rPr>
      <w:b/>
      <w:bCs/>
    </w:rPr>
  </w:style>
  <w:style w:type="character" w:styleId="44">
    <w:name w:val="page number"/>
    <w:basedOn w:val="42"/>
    <w:qFormat/>
    <w:locked/>
    <w:uiPriority w:val="0"/>
  </w:style>
  <w:style w:type="character" w:styleId="45">
    <w:name w:val="FollowedHyperlink"/>
    <w:basedOn w:val="42"/>
    <w:semiHidden/>
    <w:unhideWhenUsed/>
    <w:qFormat/>
    <w:locked/>
    <w:uiPriority w:val="99"/>
    <w:rPr>
      <w:color w:val="800080" w:themeColor="followedHyperlink"/>
      <w:u w:val="single"/>
    </w:rPr>
  </w:style>
  <w:style w:type="character" w:styleId="46">
    <w:name w:val="Emphasis"/>
    <w:basedOn w:val="42"/>
    <w:qFormat/>
    <w:locked/>
    <w:uiPriority w:val="20"/>
    <w:rPr>
      <w:color w:val="CC0000"/>
      <w:sz w:val="24"/>
      <w:szCs w:val="24"/>
    </w:rPr>
  </w:style>
  <w:style w:type="character" w:styleId="47">
    <w:name w:val="Hyperlink"/>
    <w:unhideWhenUsed/>
    <w:qFormat/>
    <w:locked/>
    <w:uiPriority w:val="99"/>
    <w:rPr>
      <w:color w:val="0000FF"/>
      <w:u w:val="single"/>
    </w:rPr>
  </w:style>
  <w:style w:type="character" w:styleId="48">
    <w:name w:val="annotation reference"/>
    <w:basedOn w:val="42"/>
    <w:qFormat/>
    <w:uiPriority w:val="0"/>
    <w:rPr>
      <w:rFonts w:cs="Times New Roman"/>
      <w:sz w:val="21"/>
      <w:szCs w:val="21"/>
    </w:rPr>
  </w:style>
  <w:style w:type="character" w:styleId="49">
    <w:name w:val="footnote reference"/>
    <w:basedOn w:val="42"/>
    <w:unhideWhenUsed/>
    <w:qFormat/>
    <w:locked/>
    <w:uiPriority w:val="99"/>
    <w:rPr>
      <w:vertAlign w:val="superscript"/>
    </w:rPr>
  </w:style>
  <w:style w:type="paragraph" w:customStyle="1" w:styleId="50">
    <w:name w:val="列出段落1"/>
    <w:basedOn w:val="1"/>
    <w:qFormat/>
    <w:uiPriority w:val="99"/>
    <w:pPr>
      <w:ind w:firstLine="420" w:firstLineChars="200"/>
    </w:pPr>
    <w:rPr>
      <w:rFonts w:ascii="Calibri" w:hAnsi="Calibri"/>
      <w:kern w:val="0"/>
      <w:szCs w:val="20"/>
    </w:rPr>
  </w:style>
  <w:style w:type="paragraph" w:customStyle="1" w:styleId="51">
    <w:name w:val="正文（首行缩进2字符）"/>
    <w:basedOn w:val="1"/>
    <w:qFormat/>
    <w:uiPriority w:val="0"/>
    <w:pPr>
      <w:spacing w:line="360" w:lineRule="auto"/>
      <w:ind w:firstLine="420" w:firstLineChars="200"/>
    </w:pPr>
    <w:rPr>
      <w:szCs w:val="21"/>
    </w:rPr>
  </w:style>
  <w:style w:type="paragraph" w:customStyle="1" w:styleId="52">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53">
    <w:name w:val="标题 1 Char"/>
    <w:basedOn w:val="42"/>
    <w:link w:val="7"/>
    <w:qFormat/>
    <w:locked/>
    <w:uiPriority w:val="0"/>
    <w:rPr>
      <w:rFonts w:ascii="Times New Roman" w:hAnsi="Times New Roman" w:cs="Times New Roman"/>
      <w:b/>
      <w:bCs/>
      <w:kern w:val="44"/>
      <w:sz w:val="44"/>
      <w:szCs w:val="44"/>
    </w:rPr>
  </w:style>
  <w:style w:type="character" w:customStyle="1" w:styleId="54">
    <w:name w:val="标题 2 Char"/>
    <w:basedOn w:val="42"/>
    <w:link w:val="8"/>
    <w:qFormat/>
    <w:locked/>
    <w:uiPriority w:val="0"/>
    <w:rPr>
      <w:rFonts w:ascii="Cambria" w:hAnsi="Cambria" w:eastAsia="宋体" w:cs="Times New Roman"/>
      <w:b/>
      <w:bCs/>
      <w:sz w:val="32"/>
      <w:szCs w:val="32"/>
    </w:rPr>
  </w:style>
  <w:style w:type="character" w:customStyle="1" w:styleId="55">
    <w:name w:val="标题 3 Char"/>
    <w:basedOn w:val="42"/>
    <w:link w:val="9"/>
    <w:qFormat/>
    <w:locked/>
    <w:uiPriority w:val="0"/>
    <w:rPr>
      <w:rFonts w:cs="Times New Roman"/>
      <w:b/>
      <w:bCs/>
      <w:sz w:val="32"/>
      <w:szCs w:val="32"/>
    </w:rPr>
  </w:style>
  <w:style w:type="character" w:customStyle="1" w:styleId="56">
    <w:name w:val="正文文本 Char"/>
    <w:basedOn w:val="42"/>
    <w:link w:val="4"/>
    <w:qFormat/>
    <w:locked/>
    <w:uiPriority w:val="99"/>
    <w:rPr>
      <w:rFonts w:cs="Times New Roman"/>
      <w:sz w:val="24"/>
      <w:szCs w:val="24"/>
    </w:rPr>
  </w:style>
  <w:style w:type="character" w:customStyle="1" w:styleId="57">
    <w:name w:val="批注文字 Char"/>
    <w:basedOn w:val="42"/>
    <w:link w:val="19"/>
    <w:qFormat/>
    <w:locked/>
    <w:uiPriority w:val="0"/>
    <w:rPr>
      <w:rFonts w:ascii="Times New Roman" w:hAnsi="Times New Roman" w:eastAsia="宋体" w:cs="Times New Roman"/>
      <w:kern w:val="2"/>
      <w:sz w:val="24"/>
      <w:szCs w:val="24"/>
    </w:rPr>
  </w:style>
  <w:style w:type="character" w:customStyle="1" w:styleId="58">
    <w:name w:val="正文文本缩进 Char"/>
    <w:basedOn w:val="42"/>
    <w:link w:val="3"/>
    <w:qFormat/>
    <w:locked/>
    <w:uiPriority w:val="0"/>
    <w:rPr>
      <w:rFonts w:cs="Times New Roman"/>
      <w:kern w:val="2"/>
      <w:sz w:val="24"/>
      <w:szCs w:val="24"/>
    </w:rPr>
  </w:style>
  <w:style w:type="character" w:customStyle="1" w:styleId="59">
    <w:name w:val="纯文本 Char"/>
    <w:basedOn w:val="42"/>
    <w:link w:val="23"/>
    <w:qFormat/>
    <w:locked/>
    <w:uiPriority w:val="0"/>
    <w:rPr>
      <w:rFonts w:ascii="宋体" w:hAnsi="Courier New" w:cs="Courier New"/>
      <w:sz w:val="21"/>
      <w:szCs w:val="21"/>
    </w:rPr>
  </w:style>
  <w:style w:type="character" w:customStyle="1" w:styleId="60">
    <w:name w:val="日期 Char"/>
    <w:basedOn w:val="42"/>
    <w:link w:val="24"/>
    <w:qFormat/>
    <w:locked/>
    <w:uiPriority w:val="0"/>
    <w:rPr>
      <w:rFonts w:cs="Times New Roman"/>
      <w:sz w:val="24"/>
      <w:szCs w:val="24"/>
    </w:rPr>
  </w:style>
  <w:style w:type="character" w:customStyle="1" w:styleId="61">
    <w:name w:val="批注框文本 Char"/>
    <w:basedOn w:val="42"/>
    <w:link w:val="26"/>
    <w:qFormat/>
    <w:locked/>
    <w:uiPriority w:val="0"/>
    <w:rPr>
      <w:rFonts w:ascii="Times New Roman" w:hAnsi="Times New Roman" w:eastAsia="宋体" w:cs="Times New Roman"/>
      <w:kern w:val="2"/>
      <w:sz w:val="18"/>
      <w:szCs w:val="18"/>
    </w:rPr>
  </w:style>
  <w:style w:type="character" w:customStyle="1" w:styleId="62">
    <w:name w:val="页脚 Char"/>
    <w:basedOn w:val="42"/>
    <w:link w:val="27"/>
    <w:qFormat/>
    <w:locked/>
    <w:uiPriority w:val="99"/>
    <w:rPr>
      <w:rFonts w:cs="Times New Roman"/>
      <w:sz w:val="18"/>
      <w:szCs w:val="18"/>
    </w:rPr>
  </w:style>
  <w:style w:type="character" w:customStyle="1" w:styleId="63">
    <w:name w:val="页眉 Char"/>
    <w:basedOn w:val="42"/>
    <w:link w:val="29"/>
    <w:qFormat/>
    <w:locked/>
    <w:uiPriority w:val="99"/>
    <w:rPr>
      <w:rFonts w:cs="Times New Roman"/>
      <w:sz w:val="18"/>
      <w:szCs w:val="18"/>
    </w:rPr>
  </w:style>
  <w:style w:type="character" w:customStyle="1" w:styleId="64">
    <w:name w:val="批注主题 Char"/>
    <w:basedOn w:val="57"/>
    <w:link w:val="38"/>
    <w:qFormat/>
    <w:locked/>
    <w:uiPriority w:val="0"/>
    <w:rPr>
      <w:rFonts w:ascii="Times New Roman" w:hAnsi="Times New Roman" w:eastAsia="宋体" w:cs="Times New Roman"/>
      <w:b/>
      <w:bCs/>
      <w:kern w:val="2"/>
      <w:sz w:val="24"/>
      <w:szCs w:val="24"/>
    </w:rPr>
  </w:style>
  <w:style w:type="paragraph" w:customStyle="1" w:styleId="6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66">
    <w:name w:val="List Paragraph"/>
    <w:basedOn w:val="1"/>
    <w:link w:val="129"/>
    <w:qFormat/>
    <w:uiPriority w:val="34"/>
    <w:pPr>
      <w:ind w:firstLine="420" w:firstLineChars="200"/>
    </w:pPr>
    <w:rPr>
      <w:rFonts w:ascii="Calibri" w:hAnsi="Calibri"/>
      <w:szCs w:val="22"/>
    </w:rPr>
  </w:style>
  <w:style w:type="paragraph" w:customStyle="1" w:styleId="67">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6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4"/>
    <w:qFormat/>
    <w:uiPriority w:val="0"/>
    <w:rPr>
      <w:rFonts w:ascii="Times New Roman" w:hAnsi="Times New Roman" w:eastAsia="宋体" w:cs="Times New Roman"/>
      <w:sz w:val="21"/>
      <w:szCs w:val="22"/>
      <w:lang w:val="en-US" w:eastAsia="zh-CN" w:bidi="ar-SA"/>
    </w:rPr>
  </w:style>
  <w:style w:type="paragraph" w:customStyle="1" w:styleId="7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纯文本_3"/>
    <w:basedOn w:val="73"/>
    <w:qFormat/>
    <w:uiPriority w:val="0"/>
    <w:pPr>
      <w:widowControl/>
      <w:jc w:val="left"/>
    </w:pPr>
    <w:rPr>
      <w:rFonts w:ascii="宋体" w:hAnsi="Courier New"/>
      <w:szCs w:val="21"/>
    </w:rPr>
  </w:style>
  <w:style w:type="paragraph" w:customStyle="1" w:styleId="75">
    <w:name w:val="纯文本_0_1"/>
    <w:basedOn w:val="1"/>
    <w:qFormat/>
    <w:uiPriority w:val="99"/>
    <w:pPr>
      <w:widowControl/>
      <w:jc w:val="left"/>
    </w:pPr>
    <w:rPr>
      <w:rFonts w:ascii="宋体" w:hAnsi="Courier New"/>
      <w:szCs w:val="21"/>
    </w:rPr>
  </w:style>
  <w:style w:type="paragraph" w:customStyle="1" w:styleId="76">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0">
    <w:name w:val="正文 A"/>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81">
    <w:name w:val="页眉与页脚"/>
    <w:qFormat/>
    <w:uiPriority w:val="99"/>
    <w:pPr>
      <w:tabs>
        <w:tab w:val="right" w:pos="9020"/>
      </w:tabs>
    </w:pPr>
    <w:rPr>
      <w:rFonts w:ascii="Helvetica" w:hAnsi="Helvetica" w:eastAsia="宋体" w:cs="Arial Unicode MS"/>
      <w:color w:val="000000"/>
      <w:sz w:val="24"/>
      <w:szCs w:val="24"/>
      <w:lang w:val="en-US" w:eastAsia="zh-CN" w:bidi="ar-SA"/>
    </w:rPr>
  </w:style>
  <w:style w:type="character" w:customStyle="1" w:styleId="82">
    <w:name w:val="font11"/>
    <w:basedOn w:val="42"/>
    <w:qFormat/>
    <w:uiPriority w:val="0"/>
    <w:rPr>
      <w:rFonts w:hint="default" w:ascii="Times New Roman" w:hAnsi="Times New Roman" w:cs="Times New Roman"/>
      <w:color w:val="000000"/>
      <w:sz w:val="24"/>
      <w:szCs w:val="24"/>
      <w:u w:val="none"/>
    </w:rPr>
  </w:style>
  <w:style w:type="character" w:customStyle="1" w:styleId="83">
    <w:name w:val="font01"/>
    <w:qFormat/>
    <w:uiPriority w:val="0"/>
    <w:rPr>
      <w:rFonts w:hint="eastAsia" w:ascii="宋体" w:hAnsi="宋体" w:eastAsia="宋体" w:cs="宋体"/>
      <w:color w:val="000000"/>
      <w:sz w:val="24"/>
      <w:szCs w:val="24"/>
      <w:u w:val="none"/>
    </w:rPr>
  </w:style>
  <w:style w:type="character" w:customStyle="1" w:styleId="84">
    <w:name w:val="font31"/>
    <w:qFormat/>
    <w:uiPriority w:val="0"/>
    <w:rPr>
      <w:rFonts w:hint="eastAsia" w:ascii="宋体" w:hAnsi="宋体" w:eastAsia="宋体" w:cs="宋体"/>
      <w:color w:val="000000"/>
      <w:sz w:val="24"/>
      <w:szCs w:val="24"/>
      <w:u w:val="none"/>
    </w:rPr>
  </w:style>
  <w:style w:type="paragraph" w:customStyle="1" w:styleId="85">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6">
    <w:name w:val="p18"/>
    <w:basedOn w:val="1"/>
    <w:qFormat/>
    <w:uiPriority w:val="99"/>
    <w:pPr>
      <w:widowControl/>
      <w:spacing w:line="748" w:lineRule="atLeast"/>
      <w:ind w:left="-527" w:firstLine="527"/>
    </w:pPr>
    <w:rPr>
      <w:rFonts w:ascii="宋体" w:hAnsi="宋体" w:cs="宋体"/>
      <w:kern w:val="0"/>
      <w:sz w:val="24"/>
    </w:rPr>
  </w:style>
  <w:style w:type="paragraph" w:customStyle="1" w:styleId="87">
    <w:name w:val="投标标题1"/>
    <w:qFormat/>
    <w:uiPriority w:val="0"/>
    <w:pPr>
      <w:keepNext/>
      <w:keepLines/>
      <w:widowControl w:val="0"/>
      <w:spacing w:before="120" w:after="120"/>
      <w:ind w:left="144" w:hanging="144"/>
      <w:jc w:val="center"/>
      <w:outlineLvl w:val="0"/>
    </w:pPr>
    <w:rPr>
      <w:rFonts w:hint="eastAsia" w:ascii="黑体" w:hAnsi="Times New Roman" w:eastAsia="黑体" w:cs="Times New Roman"/>
      <w:b/>
      <w:kern w:val="44"/>
      <w:sz w:val="28"/>
      <w:szCs w:val="28"/>
      <w:lang w:val="en-US" w:eastAsia="zh-CN" w:bidi="ar-SA"/>
    </w:rPr>
  </w:style>
  <w:style w:type="paragraph" w:customStyle="1" w:styleId="88">
    <w:name w:val="投标正文"/>
    <w:basedOn w:val="1"/>
    <w:qFormat/>
    <w:uiPriority w:val="0"/>
    <w:pPr>
      <w:spacing w:line="360" w:lineRule="auto"/>
      <w:ind w:left="100" w:firstLine="480" w:firstLineChars="200"/>
    </w:pPr>
    <w:rPr>
      <w:rFonts w:ascii="Calibri" w:hAnsi="Calibri"/>
      <w:sz w:val="24"/>
    </w:rPr>
  </w:style>
  <w:style w:type="paragraph" w:customStyle="1" w:styleId="89">
    <w:name w:val="投标文件正文"/>
    <w:basedOn w:val="1"/>
    <w:qFormat/>
    <w:uiPriority w:val="0"/>
    <w:pPr>
      <w:spacing w:afterLines="50" w:line="360" w:lineRule="auto"/>
      <w:ind w:firstLine="200" w:firstLineChars="200"/>
    </w:pPr>
    <w:rPr>
      <w:rFonts w:hint="eastAsia" w:ascii="宋体" w:hAnsi="宋体"/>
      <w:color w:val="000000"/>
      <w:sz w:val="24"/>
    </w:rPr>
  </w:style>
  <w:style w:type="paragraph" w:customStyle="1" w:styleId="90">
    <w:name w:val="投标标题2"/>
    <w:qFormat/>
    <w:uiPriority w:val="0"/>
    <w:pPr>
      <w:keepNext/>
      <w:keepLines/>
      <w:widowControl w:val="0"/>
      <w:spacing w:before="120" w:after="120" w:line="412" w:lineRule="auto"/>
      <w:ind w:left="576" w:hanging="576"/>
      <w:jc w:val="both"/>
      <w:outlineLvl w:val="1"/>
    </w:pPr>
    <w:rPr>
      <w:rFonts w:ascii="Times New Roman" w:hAnsi="Times New Roman" w:eastAsia="黑体" w:cs="Times New Roman"/>
      <w:b/>
      <w:kern w:val="2"/>
      <w:sz w:val="28"/>
      <w:szCs w:val="28"/>
      <w:lang w:val="en-US" w:eastAsia="zh-CN" w:bidi="ar-SA"/>
    </w:rPr>
  </w:style>
  <w:style w:type="paragraph" w:customStyle="1" w:styleId="91">
    <w:name w:val="投标标题3"/>
    <w:qFormat/>
    <w:uiPriority w:val="0"/>
    <w:pPr>
      <w:keepNext/>
      <w:keepLines/>
      <w:widowControl w:val="0"/>
      <w:spacing w:beforeLines="50" w:afterLines="50" w:line="480" w:lineRule="auto"/>
      <w:ind w:left="420" w:hanging="420"/>
      <w:jc w:val="both"/>
      <w:outlineLvl w:val="2"/>
    </w:pPr>
    <w:rPr>
      <w:rFonts w:hint="eastAsia" w:ascii="宋体" w:hAnsi="宋体" w:eastAsia="宋体" w:cs="Times New Roman"/>
      <w:b/>
      <w:color w:val="000000"/>
      <w:kern w:val="2"/>
      <w:sz w:val="24"/>
      <w:szCs w:val="24"/>
      <w:lang w:val="en-US" w:eastAsia="zh-CN" w:bidi="ar-SA"/>
    </w:rPr>
  </w:style>
  <w:style w:type="paragraph" w:customStyle="1" w:styleId="92">
    <w:name w:val="BodyText1I2"/>
    <w:basedOn w:val="93"/>
    <w:next w:val="1"/>
    <w:qFormat/>
    <w:uiPriority w:val="0"/>
    <w:pPr>
      <w:tabs>
        <w:tab w:val="left" w:pos="1680"/>
      </w:tabs>
      <w:spacing w:before="0" w:after="120" w:line="360" w:lineRule="auto"/>
      <w:ind w:left="420" w:leftChars="200" w:firstLine="420" w:firstLineChars="200"/>
      <w:textAlignment w:val="auto"/>
    </w:pPr>
    <w:rPr>
      <w:rFonts w:ascii="Calibri" w:hAnsi="Calibri"/>
      <w:kern w:val="2"/>
      <w:sz w:val="21"/>
      <w:szCs w:val="22"/>
    </w:rPr>
  </w:style>
  <w:style w:type="paragraph" w:customStyle="1" w:styleId="93">
    <w:name w:val="BodyTextIndent"/>
    <w:basedOn w:val="1"/>
    <w:next w:val="1"/>
    <w:qFormat/>
    <w:uiPriority w:val="0"/>
    <w:pPr>
      <w:widowControl/>
      <w:snapToGrid w:val="0"/>
      <w:spacing w:before="120" w:line="400" w:lineRule="atLeast"/>
      <w:ind w:firstLine="570"/>
      <w:textAlignment w:val="bottom"/>
    </w:pPr>
    <w:rPr>
      <w:rFonts w:ascii="宋体"/>
      <w:kern w:val="0"/>
      <w:sz w:val="24"/>
      <w:szCs w:val="20"/>
    </w:rPr>
  </w:style>
  <w:style w:type="paragraph" w:customStyle="1" w:styleId="94">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95">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2"/>
    <w:basedOn w:val="1"/>
    <w:qFormat/>
    <w:uiPriority w:val="0"/>
    <w:pPr>
      <w:spacing w:before="156" w:line="360" w:lineRule="auto"/>
      <w:ind w:firstLine="510" w:firstLineChars="200"/>
    </w:pPr>
    <w:rPr>
      <w:sz w:val="24"/>
      <w:szCs w:val="20"/>
    </w:rPr>
  </w:style>
  <w:style w:type="paragraph" w:customStyle="1" w:styleId="98">
    <w:name w:val="！正文（四号字）"/>
    <w:qFormat/>
    <w:uiPriority w:val="0"/>
    <w:pPr>
      <w:snapToGrid w:val="0"/>
      <w:spacing w:line="360" w:lineRule="auto"/>
      <w:ind w:firstLine="200" w:firstLineChars="200"/>
      <w:jc w:val="both"/>
    </w:pPr>
    <w:rPr>
      <w:rFonts w:ascii="Calibri" w:hAnsi="Calibri" w:eastAsia="宋体" w:cs="Times New Roman"/>
      <w:sz w:val="24"/>
      <w:szCs w:val="28"/>
      <w:lang w:val="en-US" w:eastAsia="zh-CN" w:bidi="ar-SA"/>
    </w:rPr>
  </w:style>
  <w:style w:type="paragraph" w:customStyle="1" w:styleId="99">
    <w:name w:val="Table Paragraph"/>
    <w:basedOn w:val="1"/>
    <w:qFormat/>
    <w:uiPriority w:val="0"/>
    <w:rPr>
      <w:rFonts w:ascii="宋体" w:hAnsi="宋体" w:cs="宋体"/>
      <w:lang w:val="zh-CN" w:bidi="zh-CN"/>
    </w:rPr>
  </w:style>
  <w:style w:type="paragraph" w:customStyle="1" w:styleId="100">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01">
    <w:name w:val="普通(网站) Char"/>
    <w:link w:val="36"/>
    <w:qFormat/>
    <w:locked/>
    <w:uiPriority w:val="0"/>
    <w:rPr>
      <w:rFonts w:ascii="宋体" w:hAnsi="宋体"/>
      <w:sz w:val="24"/>
      <w:szCs w:val="24"/>
    </w:rPr>
  </w:style>
  <w:style w:type="paragraph" w:customStyle="1" w:styleId="102">
    <w:name w:val="标题 51"/>
    <w:basedOn w:val="1"/>
    <w:qFormat/>
    <w:uiPriority w:val="1"/>
    <w:pPr>
      <w:autoSpaceDE w:val="0"/>
      <w:autoSpaceDN w:val="0"/>
      <w:ind w:left="1942"/>
      <w:jc w:val="left"/>
      <w:outlineLvl w:val="5"/>
    </w:pPr>
    <w:rPr>
      <w:rFonts w:ascii="宋体" w:hAnsi="宋体" w:cs="宋体"/>
      <w:b/>
      <w:bCs/>
      <w:kern w:val="0"/>
      <w:szCs w:val="21"/>
      <w:lang w:val="zh-CN" w:bidi="zh-CN"/>
    </w:rPr>
  </w:style>
  <w:style w:type="paragraph" w:customStyle="1" w:styleId="103">
    <w:name w:val="纯文本1"/>
    <w:basedOn w:val="1"/>
    <w:qFormat/>
    <w:uiPriority w:val="0"/>
    <w:pPr>
      <w:adjustRightInd w:val="0"/>
      <w:textAlignment w:val="baseline"/>
    </w:pPr>
    <w:rPr>
      <w:rFonts w:ascii="宋体" w:hAnsi="Courier New" w:eastAsia="楷体_GB2312"/>
      <w:sz w:val="28"/>
      <w:szCs w:val="20"/>
    </w:rPr>
  </w:style>
  <w:style w:type="paragraph" w:customStyle="1" w:styleId="10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05">
    <w:name w:val="NormalCharacter"/>
    <w:semiHidden/>
    <w:qFormat/>
    <w:uiPriority w:val="0"/>
  </w:style>
  <w:style w:type="paragraph" w:customStyle="1" w:styleId="106">
    <w:name w:val="_Style 1"/>
    <w:qFormat/>
    <w:uiPriority w:val="99"/>
    <w:rPr>
      <w:rFonts w:ascii="Calibri" w:hAnsi="Calibri" w:eastAsia="宋体" w:cs="Times New Roman"/>
      <w:kern w:val="2"/>
      <w:sz w:val="28"/>
      <w:szCs w:val="22"/>
      <w:lang w:val="en-US" w:eastAsia="zh-CN" w:bidi="ar-SA"/>
    </w:rPr>
  </w:style>
  <w:style w:type="paragraph" w:customStyle="1" w:styleId="107">
    <w:name w:val="_Style 3"/>
    <w:basedOn w:val="1"/>
    <w:qFormat/>
    <w:uiPriority w:val="99"/>
    <w:pPr>
      <w:ind w:firstLine="420" w:firstLineChars="200"/>
    </w:pPr>
  </w:style>
  <w:style w:type="character" w:customStyle="1" w:styleId="108">
    <w:name w:val="font51"/>
    <w:basedOn w:val="42"/>
    <w:qFormat/>
    <w:uiPriority w:val="0"/>
    <w:rPr>
      <w:rFonts w:hint="default" w:ascii="幼圆" w:hAnsi="幼圆" w:eastAsia="幼圆" w:cs="幼圆"/>
      <w:color w:val="FF0000"/>
      <w:sz w:val="22"/>
      <w:szCs w:val="22"/>
      <w:u w:val="none"/>
    </w:rPr>
  </w:style>
  <w:style w:type="paragraph" w:customStyle="1" w:styleId="109">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正文"/>
    <w:basedOn w:val="1"/>
    <w:qFormat/>
    <w:uiPriority w:val="0"/>
    <w:pPr>
      <w:widowControl/>
      <w:spacing w:after="160" w:line="360" w:lineRule="auto"/>
      <w:ind w:firstLine="200" w:firstLineChars="200"/>
      <w:jc w:val="left"/>
    </w:pPr>
    <w:rPr>
      <w:rFonts w:ascii="宋体" w:hAnsi="宋体"/>
      <w:kern w:val="0"/>
      <w:sz w:val="24"/>
      <w:szCs w:val="28"/>
      <w:lang w:val="zh-CN"/>
    </w:rPr>
  </w:style>
  <w:style w:type="paragraph" w:customStyle="1" w:styleId="111">
    <w:name w:val="_Style 116"/>
    <w:basedOn w:val="1"/>
    <w:next w:val="66"/>
    <w:qFormat/>
    <w:uiPriority w:val="34"/>
    <w:pPr>
      <w:widowControl/>
      <w:spacing w:after="160" w:line="259" w:lineRule="auto"/>
      <w:ind w:firstLine="420" w:firstLineChars="200"/>
      <w:jc w:val="left"/>
    </w:pPr>
    <w:rPr>
      <w:kern w:val="0"/>
      <w:sz w:val="20"/>
      <w:szCs w:val="20"/>
    </w:rPr>
  </w:style>
  <w:style w:type="paragraph" w:customStyle="1" w:styleId="112">
    <w:name w:val="_Style 49"/>
    <w:basedOn w:val="1"/>
    <w:next w:val="23"/>
    <w:qFormat/>
    <w:uiPriority w:val="0"/>
    <w:rPr>
      <w:rFonts w:ascii="宋体" w:hAnsi="Courier New"/>
      <w:kern w:val="0"/>
      <w:sz w:val="24"/>
    </w:rPr>
  </w:style>
  <w:style w:type="paragraph" w:customStyle="1" w:styleId="113">
    <w:name w:val="*正文"/>
    <w:basedOn w:val="1"/>
    <w:link w:val="138"/>
    <w:qFormat/>
    <w:uiPriority w:val="0"/>
    <w:pPr>
      <w:spacing w:line="360" w:lineRule="auto"/>
      <w:ind w:firstLine="200" w:firstLineChars="200"/>
    </w:pPr>
    <w:rPr>
      <w:rFonts w:ascii="宋体" w:hAnsi="宋体"/>
      <w:kern w:val="0"/>
      <w:sz w:val="24"/>
    </w:rPr>
  </w:style>
  <w:style w:type="paragraph" w:customStyle="1" w:styleId="114">
    <w:name w:val="设计院报告正文"/>
    <w:basedOn w:val="18"/>
    <w:qFormat/>
    <w:uiPriority w:val="0"/>
    <w:pPr>
      <w:widowControl/>
      <w:autoSpaceDE w:val="0"/>
      <w:autoSpaceDN w:val="0"/>
      <w:adjustRightInd w:val="0"/>
      <w:ind w:firstLine="567"/>
      <w:textAlignment w:val="baseline"/>
    </w:pPr>
    <w:rPr>
      <w:snapToGrid w:val="0"/>
      <w:kern w:val="0"/>
      <w:sz w:val="28"/>
      <w:szCs w:val="28"/>
    </w:rPr>
  </w:style>
  <w:style w:type="character" w:customStyle="1" w:styleId="115">
    <w:name w:val="标题 Char"/>
    <w:link w:val="37"/>
    <w:qFormat/>
    <w:uiPriority w:val="99"/>
    <w:rPr>
      <w:rFonts w:ascii="Times New Roman" w:hAnsi="Times New Roman" w:eastAsia="黑体"/>
      <w:b/>
      <w:sz w:val="28"/>
      <w:lang w:val="en-GB"/>
    </w:rPr>
  </w:style>
  <w:style w:type="paragraph" w:customStyle="1" w:styleId="11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17">
    <w:name w:val="标题 5 Char"/>
    <w:basedOn w:val="42"/>
    <w:link w:val="11"/>
    <w:qFormat/>
    <w:uiPriority w:val="1"/>
    <w:rPr>
      <w:rFonts w:ascii="Times New Roman" w:hAnsi="Times New Roman"/>
      <w:bCs/>
      <w:sz w:val="28"/>
      <w:szCs w:val="28"/>
    </w:rPr>
  </w:style>
  <w:style w:type="character" w:customStyle="1" w:styleId="118">
    <w:name w:val="标题 6 Char"/>
    <w:basedOn w:val="42"/>
    <w:link w:val="12"/>
    <w:semiHidden/>
    <w:qFormat/>
    <w:uiPriority w:val="0"/>
    <w:rPr>
      <w:rFonts w:asciiTheme="majorHAnsi" w:hAnsiTheme="majorHAnsi" w:eastAsiaTheme="majorEastAsia" w:cstheme="majorBidi"/>
      <w:b/>
      <w:bCs/>
      <w:sz w:val="24"/>
      <w:szCs w:val="24"/>
    </w:rPr>
  </w:style>
  <w:style w:type="character" w:customStyle="1" w:styleId="119">
    <w:name w:val="标题 7 Char"/>
    <w:basedOn w:val="42"/>
    <w:link w:val="13"/>
    <w:qFormat/>
    <w:uiPriority w:val="0"/>
    <w:rPr>
      <w:rFonts w:ascii="Times New Roman" w:hAnsi="Times New Roman"/>
      <w:b/>
      <w:bCs/>
      <w:kern w:val="2"/>
      <w:sz w:val="24"/>
      <w:szCs w:val="24"/>
    </w:rPr>
  </w:style>
  <w:style w:type="character" w:customStyle="1" w:styleId="120">
    <w:name w:val="标题 8 Char"/>
    <w:basedOn w:val="42"/>
    <w:link w:val="14"/>
    <w:qFormat/>
    <w:uiPriority w:val="0"/>
    <w:rPr>
      <w:rFonts w:ascii="Times New Roman" w:hAnsi="Times New Roman"/>
      <w:b/>
      <w:bCs/>
      <w:kern w:val="2"/>
      <w:sz w:val="24"/>
      <w:szCs w:val="24"/>
    </w:rPr>
  </w:style>
  <w:style w:type="character" w:customStyle="1" w:styleId="121">
    <w:name w:val="标题 9 Char"/>
    <w:basedOn w:val="42"/>
    <w:link w:val="15"/>
    <w:semiHidden/>
    <w:qFormat/>
    <w:uiPriority w:val="0"/>
    <w:rPr>
      <w:rFonts w:ascii="等线 Light" w:hAnsi="等线 Light" w:eastAsia="等线 Light"/>
      <w:sz w:val="21"/>
      <w:szCs w:val="21"/>
    </w:rPr>
  </w:style>
  <w:style w:type="character" w:customStyle="1" w:styleId="122">
    <w:name w:val="标题 4 Char"/>
    <w:basedOn w:val="42"/>
    <w:link w:val="10"/>
    <w:qFormat/>
    <w:uiPriority w:val="0"/>
    <w:rPr>
      <w:rFonts w:ascii="Cambria" w:hAnsi="Cambria"/>
      <w:b/>
      <w:bCs/>
      <w:kern w:val="2"/>
      <w:sz w:val="28"/>
      <w:szCs w:val="28"/>
    </w:rPr>
  </w:style>
  <w:style w:type="character" w:customStyle="1" w:styleId="123">
    <w:name w:val="正文缩进 Char"/>
    <w:link w:val="18"/>
    <w:qFormat/>
    <w:uiPriority w:val="99"/>
    <w:rPr>
      <w:rFonts w:ascii="Times New Roman" w:hAnsi="Times New Roman"/>
      <w:kern w:val="2"/>
      <w:sz w:val="21"/>
    </w:rPr>
  </w:style>
  <w:style w:type="character" w:customStyle="1" w:styleId="124">
    <w:name w:val="正文文本 3 Char"/>
    <w:basedOn w:val="42"/>
    <w:link w:val="20"/>
    <w:qFormat/>
    <w:uiPriority w:val="0"/>
    <w:rPr>
      <w:rFonts w:ascii="Times New Roman" w:hAnsi="Times New Roman"/>
      <w:kern w:val="2"/>
      <w:sz w:val="16"/>
      <w:szCs w:val="16"/>
    </w:rPr>
  </w:style>
  <w:style w:type="character" w:customStyle="1" w:styleId="125">
    <w:name w:val="脚注文本 Char"/>
    <w:basedOn w:val="42"/>
    <w:link w:val="32"/>
    <w:qFormat/>
    <w:uiPriority w:val="99"/>
    <w:rPr>
      <w:rFonts w:ascii="Times New Roman" w:hAnsi="Times New Roman"/>
      <w:kern w:val="2"/>
      <w:sz w:val="18"/>
      <w:szCs w:val="24"/>
    </w:rPr>
  </w:style>
  <w:style w:type="character" w:customStyle="1" w:styleId="126">
    <w:name w:val="正文首行缩进 Char"/>
    <w:basedOn w:val="56"/>
    <w:link w:val="5"/>
    <w:qFormat/>
    <w:uiPriority w:val="0"/>
    <w:rPr>
      <w:rFonts w:ascii="Times New Roman" w:hAnsi="Times New Roman"/>
      <w:kern w:val="2"/>
      <w:sz w:val="21"/>
    </w:rPr>
  </w:style>
  <w:style w:type="paragraph" w:customStyle="1" w:styleId="127">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128">
    <w:name w:val="正文首行缩进 2 Char"/>
    <w:basedOn w:val="58"/>
    <w:link w:val="39"/>
    <w:qFormat/>
    <w:uiPriority w:val="99"/>
    <w:rPr>
      <w:rFonts w:ascii="Times New Roman" w:hAnsi="Times New Roman"/>
      <w:sz w:val="21"/>
    </w:rPr>
  </w:style>
  <w:style w:type="character" w:customStyle="1" w:styleId="129">
    <w:name w:val="列出段落 Char"/>
    <w:link w:val="66"/>
    <w:qFormat/>
    <w:uiPriority w:val="34"/>
    <w:rPr>
      <w:kern w:val="2"/>
      <w:sz w:val="21"/>
      <w:szCs w:val="22"/>
    </w:rPr>
  </w:style>
  <w:style w:type="character" w:customStyle="1" w:styleId="130">
    <w:name w:val="纯文本 Char2"/>
    <w:qFormat/>
    <w:uiPriority w:val="0"/>
    <w:rPr>
      <w:rFonts w:ascii="宋体" w:hAnsi="Courier New" w:eastAsia="宋体"/>
    </w:rPr>
  </w:style>
  <w:style w:type="paragraph" w:customStyle="1" w:styleId="131">
    <w:name w:val="Fließtext"/>
    <w:basedOn w:val="1"/>
    <w:qFormat/>
    <w:uiPriority w:val="0"/>
    <w:pPr>
      <w:overflowPunct w:val="0"/>
      <w:autoSpaceDE w:val="0"/>
      <w:autoSpaceDN w:val="0"/>
      <w:adjustRightInd w:val="0"/>
      <w:textAlignment w:val="baseline"/>
    </w:pPr>
    <w:rPr>
      <w:kern w:val="28"/>
      <w:szCs w:val="20"/>
    </w:rPr>
  </w:style>
  <w:style w:type="character" w:customStyle="1" w:styleId="132">
    <w:name w:val="正文_标准 Char"/>
    <w:link w:val="133"/>
    <w:qFormat/>
    <w:uiPriority w:val="0"/>
    <w:rPr>
      <w:rFonts w:ascii="宋体" w:hAnsi="宋体"/>
      <w:sz w:val="24"/>
    </w:rPr>
  </w:style>
  <w:style w:type="paragraph" w:customStyle="1" w:styleId="133">
    <w:name w:val="正文_标准"/>
    <w:basedOn w:val="1"/>
    <w:link w:val="132"/>
    <w:qFormat/>
    <w:uiPriority w:val="0"/>
    <w:pPr>
      <w:spacing w:line="360" w:lineRule="auto"/>
      <w:ind w:firstLine="480" w:firstLineChars="200"/>
    </w:pPr>
    <w:rPr>
      <w:rFonts w:ascii="宋体" w:hAnsi="宋体"/>
      <w:kern w:val="0"/>
      <w:sz w:val="24"/>
      <w:szCs w:val="20"/>
    </w:rPr>
  </w:style>
  <w:style w:type="paragraph" w:customStyle="1" w:styleId="134">
    <w:name w:val="TOC 标题1"/>
    <w:basedOn w:val="7"/>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135">
    <w:name w:val="newnewnewnew"/>
    <w:basedOn w:val="1"/>
    <w:qFormat/>
    <w:uiPriority w:val="0"/>
    <w:pPr>
      <w:widowControl/>
      <w:spacing w:before="100" w:beforeAutospacing="1" w:after="100" w:afterAutospacing="1"/>
      <w:jc w:val="left"/>
    </w:pPr>
    <w:rPr>
      <w:rFonts w:ascii="宋体" w:hAnsi="宋体" w:cs="宋体"/>
      <w:kern w:val="0"/>
      <w:sz w:val="24"/>
    </w:rPr>
  </w:style>
  <w:style w:type="paragraph" w:customStyle="1" w:styleId="136">
    <w:name w:val="newnew"/>
    <w:basedOn w:val="1"/>
    <w:qFormat/>
    <w:uiPriority w:val="0"/>
    <w:pPr>
      <w:widowControl/>
      <w:spacing w:before="100" w:beforeAutospacing="1" w:after="100" w:afterAutospacing="1"/>
      <w:jc w:val="left"/>
    </w:pPr>
    <w:rPr>
      <w:rFonts w:ascii="宋体" w:hAnsi="宋体" w:cs="宋体"/>
      <w:kern w:val="0"/>
      <w:sz w:val="24"/>
    </w:rPr>
  </w:style>
  <w:style w:type="paragraph" w:customStyle="1" w:styleId="137">
    <w:name w:val="4"/>
    <w:basedOn w:val="1"/>
    <w:qFormat/>
    <w:uiPriority w:val="0"/>
    <w:pPr>
      <w:widowControl/>
      <w:spacing w:before="100" w:beforeAutospacing="1" w:after="100" w:afterAutospacing="1"/>
      <w:jc w:val="left"/>
    </w:pPr>
    <w:rPr>
      <w:rFonts w:ascii="宋体" w:hAnsi="宋体" w:cs="宋体"/>
      <w:kern w:val="0"/>
      <w:sz w:val="24"/>
      <w:szCs w:val="20"/>
    </w:rPr>
  </w:style>
  <w:style w:type="character" w:customStyle="1" w:styleId="138">
    <w:name w:val="*正文 Char"/>
    <w:link w:val="113"/>
    <w:qFormat/>
    <w:uiPriority w:val="0"/>
    <w:rPr>
      <w:rFonts w:ascii="宋体" w:hAnsi="宋体"/>
      <w:sz w:val="24"/>
      <w:szCs w:val="24"/>
    </w:rPr>
  </w:style>
  <w:style w:type="paragraph" w:customStyle="1" w:styleId="139">
    <w:name w:val="[Normal]"/>
    <w:qFormat/>
    <w:uiPriority w:val="0"/>
    <w:rPr>
      <w:rFonts w:ascii="宋体" w:hAnsi="宋体" w:eastAsia="宋体" w:cs="Times New Roman"/>
      <w:sz w:val="24"/>
      <w:lang w:val="en-US" w:eastAsia="en-US" w:bidi="ar-SA"/>
    </w:rPr>
  </w:style>
  <w:style w:type="character" w:customStyle="1" w:styleId="140">
    <w:name w:val="apple-converted-space"/>
    <w:basedOn w:val="42"/>
    <w:qFormat/>
    <w:uiPriority w:val="0"/>
  </w:style>
  <w:style w:type="paragraph" w:customStyle="1" w:styleId="141">
    <w:name w:val="Body Text First Indent 21"/>
    <w:basedOn w:val="1"/>
    <w:qFormat/>
    <w:uiPriority w:val="0"/>
    <w:pPr>
      <w:spacing w:after="120"/>
      <w:ind w:left="420" w:leftChars="200" w:firstLine="420"/>
    </w:pPr>
    <w:rPr>
      <w:rFonts w:cs="宋体"/>
    </w:rPr>
  </w:style>
  <w:style w:type="character" w:customStyle="1" w:styleId="142">
    <w:name w:val="font41"/>
    <w:basedOn w:val="42"/>
    <w:qFormat/>
    <w:uiPriority w:val="0"/>
    <w:rPr>
      <w:rFonts w:hint="default" w:ascii="Times New Roman" w:hAnsi="Times New Roman" w:cs="Times New Roman"/>
      <w:color w:val="000000"/>
      <w:sz w:val="20"/>
      <w:szCs w:val="20"/>
      <w:u w:val="none"/>
    </w:rPr>
  </w:style>
  <w:style w:type="character" w:customStyle="1" w:styleId="143">
    <w:name w:val="批注文字 字符"/>
    <w:qFormat/>
    <w:uiPriority w:val="0"/>
    <w:rPr>
      <w:kern w:val="2"/>
      <w:sz w:val="21"/>
      <w:szCs w:val="24"/>
    </w:rPr>
  </w:style>
  <w:style w:type="paragraph" w:customStyle="1" w:styleId="144">
    <w:name w:val="_Style 140"/>
    <w:unhideWhenUsed/>
    <w:qFormat/>
    <w:uiPriority w:val="99"/>
    <w:pPr>
      <w:widowControl w:val="0"/>
      <w:spacing w:line="480" w:lineRule="exact"/>
      <w:ind w:firstLine="420" w:firstLineChars="200"/>
      <w:jc w:val="both"/>
    </w:pPr>
    <w:rPr>
      <w:rFonts w:ascii="Times New Roman" w:hAnsi="Times New Roman" w:eastAsia="楷体_GB2312" w:cs="Times New Roman"/>
      <w:kern w:val="2"/>
      <w:sz w:val="28"/>
      <w:szCs w:val="24"/>
      <w:lang w:val="en-US" w:eastAsia="zh-CN" w:bidi="ar-SA"/>
    </w:rPr>
  </w:style>
  <w:style w:type="character" w:customStyle="1" w:styleId="145">
    <w:name w:val="正文文本缩进 2 Char"/>
    <w:basedOn w:val="42"/>
    <w:link w:val="25"/>
    <w:qFormat/>
    <w:uiPriority w:val="0"/>
    <w:rPr>
      <w:rFonts w:ascii="Times New Roman" w:hAnsi="Times New Roman" w:eastAsia="仿宋_GB2312"/>
      <w:kern w:val="2"/>
      <w:sz w:val="24"/>
      <w:szCs w:val="24"/>
    </w:rPr>
  </w:style>
  <w:style w:type="character" w:customStyle="1" w:styleId="146">
    <w:name w:val="批注框文本 字符"/>
    <w:qFormat/>
    <w:uiPriority w:val="0"/>
    <w:rPr>
      <w:kern w:val="2"/>
      <w:sz w:val="18"/>
      <w:szCs w:val="18"/>
    </w:rPr>
  </w:style>
  <w:style w:type="character" w:customStyle="1" w:styleId="147">
    <w:name w:val="页脚 字符"/>
    <w:qFormat/>
    <w:locked/>
    <w:uiPriority w:val="99"/>
    <w:rPr>
      <w:kern w:val="2"/>
      <w:sz w:val="18"/>
      <w:szCs w:val="24"/>
    </w:rPr>
  </w:style>
  <w:style w:type="character" w:customStyle="1" w:styleId="148">
    <w:name w:val="信息标题 Char"/>
    <w:basedOn w:val="42"/>
    <w:link w:val="35"/>
    <w:qFormat/>
    <w:uiPriority w:val="0"/>
    <w:rPr>
      <w:rFonts w:ascii="等线 Light" w:hAnsi="等线 Light" w:eastAsia="等线 Light" w:cs="宋体"/>
      <w:kern w:val="2"/>
      <w:sz w:val="24"/>
      <w:szCs w:val="24"/>
      <w:shd w:val="pct20" w:color="auto" w:fill="auto"/>
    </w:rPr>
  </w:style>
  <w:style w:type="character" w:customStyle="1" w:styleId="149">
    <w:name w:val="批注主题 字符"/>
    <w:qFormat/>
    <w:uiPriority w:val="0"/>
    <w:rPr>
      <w:b/>
      <w:bCs/>
      <w:kern w:val="2"/>
      <w:sz w:val="21"/>
      <w:szCs w:val="24"/>
    </w:rPr>
  </w:style>
  <w:style w:type="paragraph" w:customStyle="1" w:styleId="150">
    <w:name w:val="正文首行缩进 21"/>
    <w:basedOn w:val="151"/>
    <w:qFormat/>
    <w:uiPriority w:val="0"/>
    <w:pPr>
      <w:ind w:firstLine="420"/>
    </w:pPr>
    <w:rPr>
      <w:rFonts w:cs="宋体"/>
    </w:rPr>
  </w:style>
  <w:style w:type="paragraph" w:customStyle="1" w:styleId="151">
    <w:name w:val="Body Text Indent1"/>
    <w:basedOn w:val="1"/>
    <w:next w:val="1"/>
    <w:qFormat/>
    <w:uiPriority w:val="0"/>
    <w:pPr>
      <w:ind w:left="420" w:leftChars="200"/>
    </w:pPr>
    <w:rPr>
      <w:color w:val="000000"/>
      <w:szCs w:val="21"/>
    </w:rPr>
  </w:style>
  <w:style w:type="character" w:customStyle="1" w:styleId="152">
    <w:name w:val="fontstyle01"/>
    <w:qFormat/>
    <w:uiPriority w:val="99"/>
    <w:rPr>
      <w:rFonts w:ascii="仿宋" w:hAnsi="仿宋" w:cs="Times New Roman"/>
      <w:color w:val="000000"/>
      <w:sz w:val="30"/>
      <w:szCs w:val="30"/>
    </w:rPr>
  </w:style>
  <w:style w:type="character" w:customStyle="1" w:styleId="153">
    <w:name w:val="textfont1"/>
    <w:qFormat/>
    <w:uiPriority w:val="0"/>
    <w:rPr>
      <w:sz w:val="22"/>
      <w:szCs w:val="22"/>
    </w:rPr>
  </w:style>
  <w:style w:type="character" w:customStyle="1" w:styleId="154">
    <w:name w:val="无"/>
    <w:qFormat/>
    <w:uiPriority w:val="99"/>
  </w:style>
  <w:style w:type="paragraph" w:customStyle="1" w:styleId="155">
    <w:name w:val="00-二级标题-2"/>
    <w:basedOn w:val="1"/>
    <w:qFormat/>
    <w:uiPriority w:val="0"/>
    <w:pPr>
      <w:spacing w:line="360" w:lineRule="auto"/>
      <w:outlineLvl w:val="1"/>
    </w:pPr>
    <w:rPr>
      <w:rFonts w:ascii="Arial" w:hAnsi="Arial" w:eastAsia="等线 Light"/>
      <w:b/>
      <w:bCs/>
      <w:sz w:val="32"/>
      <w:szCs w:val="32"/>
    </w:rPr>
  </w:style>
  <w:style w:type="paragraph" w:customStyle="1" w:styleId="156">
    <w:name w:val="目录 44"/>
    <w:next w:val="1"/>
    <w:qFormat/>
    <w:uiPriority w:val="0"/>
    <w:pPr>
      <w:wordWrap w:val="0"/>
      <w:ind w:left="850"/>
      <w:jc w:val="both"/>
    </w:pPr>
    <w:rPr>
      <w:rFonts w:ascii="Times New Roman" w:hAnsi="Times New Roman" w:eastAsia="宋体" w:cs="Times New Roman"/>
      <w:sz w:val="21"/>
      <w:lang w:val="en-US" w:eastAsia="zh-CN" w:bidi="ar-SA"/>
    </w:rPr>
  </w:style>
  <w:style w:type="paragraph" w:styleId="157">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8">
    <w:name w:val="正文样1"/>
    <w:basedOn w:val="1"/>
    <w:qFormat/>
    <w:uiPriority w:val="0"/>
    <w:pPr>
      <w:spacing w:line="360" w:lineRule="auto"/>
      <w:ind w:firstLine="480"/>
    </w:pPr>
    <w:rPr>
      <w:rFonts w:ascii="Calibri" w:hAnsi="Calibri"/>
      <w:sz w:val="24"/>
    </w:rPr>
  </w:style>
  <w:style w:type="paragraph" w:customStyle="1" w:styleId="15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Normal Indent1"/>
    <w:basedOn w:val="1"/>
    <w:qFormat/>
    <w:uiPriority w:val="0"/>
    <w:pPr>
      <w:ind w:firstLine="420" w:firstLineChars="200"/>
    </w:pPr>
  </w:style>
  <w:style w:type="paragraph" w:customStyle="1" w:styleId="161">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62">
    <w:name w:val="00-三级标题-3"/>
    <w:basedOn w:val="155"/>
    <w:qFormat/>
    <w:uiPriority w:val="0"/>
    <w:pPr>
      <w:outlineLvl w:val="2"/>
    </w:pPr>
    <w:rPr>
      <w:sz w:val="30"/>
    </w:rPr>
  </w:style>
  <w:style w:type="paragraph" w:customStyle="1" w:styleId="163">
    <w:name w:val="章正文"/>
    <w:basedOn w:val="1"/>
    <w:qFormat/>
    <w:uiPriority w:val="0"/>
    <w:pPr>
      <w:spacing w:beforeLines="50" w:after="120" w:line="300" w:lineRule="auto"/>
      <w:ind w:firstLine="480"/>
    </w:pPr>
    <w:rPr>
      <w:rFonts w:ascii="Helvetica" w:hAnsi="Helvetica"/>
      <w:kern w:val="0"/>
      <w:sz w:val="24"/>
    </w:rPr>
  </w:style>
  <w:style w:type="paragraph" w:customStyle="1" w:styleId="164">
    <w:name w:val="表格内容"/>
    <w:basedOn w:val="1"/>
    <w:qFormat/>
    <w:uiPriority w:val="3"/>
    <w:pPr>
      <w:widowControl/>
      <w:jc w:val="center"/>
    </w:pPr>
    <w:rPr>
      <w:kern w:val="0"/>
      <w:sz w:val="24"/>
      <w:szCs w:val="28"/>
    </w:rPr>
  </w:style>
  <w:style w:type="paragraph" w:customStyle="1" w:styleId="165">
    <w:name w:val="序列"/>
    <w:basedOn w:val="1"/>
    <w:qFormat/>
    <w:uiPriority w:val="0"/>
    <w:pPr>
      <w:spacing w:line="360" w:lineRule="auto"/>
      <w:ind w:firstLine="482" w:firstLineChars="200"/>
    </w:pPr>
    <w:rPr>
      <w:rFonts w:ascii="Calibri" w:hAnsi="Calibri"/>
      <w:sz w:val="24"/>
    </w:rPr>
  </w:style>
  <w:style w:type="paragraph" w:customStyle="1" w:styleId="166">
    <w:name w:val="表格标题"/>
    <w:next w:val="1"/>
    <w:qFormat/>
    <w:uiPriority w:val="2"/>
    <w:pPr>
      <w:tabs>
        <w:tab w:val="center" w:pos="4395"/>
      </w:tabs>
      <w:spacing w:line="360" w:lineRule="auto"/>
      <w:jc w:val="center"/>
    </w:pPr>
    <w:rPr>
      <w:rFonts w:ascii="Times New Roman" w:hAnsi="Times New Roman" w:eastAsia="宋体" w:cs="宋体"/>
      <w:b/>
      <w:sz w:val="28"/>
      <w:szCs w:val="28"/>
      <w:lang w:val="en-US" w:eastAsia="zh-CN" w:bidi="ar-SA"/>
    </w:rPr>
  </w:style>
  <w:style w:type="paragraph" w:customStyle="1" w:styleId="167">
    <w:name w:val="正文（缩进）"/>
    <w:basedOn w:val="1"/>
    <w:qFormat/>
    <w:uiPriority w:val="99"/>
    <w:pPr>
      <w:ind w:firstLine="480"/>
    </w:pPr>
    <w:rPr>
      <w:kern w:val="0"/>
      <w:lang w:val="zh-CN"/>
    </w:rPr>
  </w:style>
  <w:style w:type="paragraph" w:customStyle="1" w:styleId="168">
    <w:name w:val="正文首行缩进2字符"/>
    <w:basedOn w:val="1"/>
    <w:qFormat/>
    <w:uiPriority w:val="0"/>
    <w:pPr>
      <w:spacing w:line="360" w:lineRule="auto"/>
      <w:ind w:firstLine="200" w:firstLineChars="200"/>
    </w:pPr>
    <w:rPr>
      <w:rFonts w:ascii="Calibri" w:hAnsi="Calibri" w:eastAsia="仿宋"/>
      <w:sz w:val="28"/>
    </w:rPr>
  </w:style>
  <w:style w:type="paragraph" w:customStyle="1" w:styleId="169">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70">
    <w:name w:val="SJ2加粗"/>
    <w:qFormat/>
    <w:uiPriority w:val="0"/>
    <w:pPr>
      <w:widowControl w:val="0"/>
      <w:suppressLineNumbers/>
      <w:spacing w:line="360" w:lineRule="auto"/>
      <w:ind w:firstLine="200" w:firstLineChars="200"/>
    </w:pPr>
    <w:rPr>
      <w:rFonts w:ascii="宋体" w:hAnsi="宋体" w:eastAsia="宋体" w:cs="宋体"/>
      <w:b/>
      <w:bCs/>
      <w:sz w:val="24"/>
      <w:lang w:val="en-US" w:eastAsia="zh-CN" w:bidi="en-US"/>
    </w:rPr>
  </w:style>
  <w:style w:type="paragraph" w:customStyle="1" w:styleId="171">
    <w:name w:val="SJ2"/>
    <w:basedOn w:val="1"/>
    <w:qFormat/>
    <w:uiPriority w:val="0"/>
    <w:pPr>
      <w:suppressLineNumbers/>
      <w:spacing w:line="360" w:lineRule="auto"/>
      <w:ind w:firstLine="480" w:firstLineChars="200"/>
    </w:pPr>
    <w:rPr>
      <w:rFonts w:ascii="宋体" w:hAnsi="宋体" w:cs="宋体"/>
      <w:bCs/>
    </w:rPr>
  </w:style>
  <w:style w:type="paragraph" w:customStyle="1" w:styleId="172">
    <w:name w:val="表名"/>
    <w:basedOn w:val="1"/>
    <w:qFormat/>
    <w:uiPriority w:val="0"/>
    <w:pPr>
      <w:spacing w:beforeLines="50"/>
      <w:jc w:val="left"/>
    </w:pPr>
    <w:rPr>
      <w:b/>
      <w:sz w:val="24"/>
      <w:szCs w:val="22"/>
    </w:rPr>
  </w:style>
  <w:style w:type="paragraph" w:customStyle="1" w:styleId="173">
    <w:name w:val="表格文本"/>
    <w:basedOn w:val="1"/>
    <w:next w:val="1"/>
    <w:link w:val="174"/>
    <w:qFormat/>
    <w:uiPriority w:val="0"/>
    <w:pPr>
      <w:spacing w:line="400" w:lineRule="exact"/>
      <w:jc w:val="center"/>
    </w:pPr>
    <w:rPr>
      <w:sz w:val="24"/>
      <w:szCs w:val="22"/>
    </w:rPr>
  </w:style>
  <w:style w:type="character" w:customStyle="1" w:styleId="174">
    <w:name w:val="表格文本 字符"/>
    <w:link w:val="173"/>
    <w:qFormat/>
    <w:uiPriority w:val="0"/>
    <w:rPr>
      <w:rFonts w:ascii="Times New Roman" w:hAnsi="Times New Roman"/>
      <w:kern w:val="2"/>
      <w:sz w:val="24"/>
      <w:szCs w:val="22"/>
    </w:rPr>
  </w:style>
  <w:style w:type="character" w:customStyle="1" w:styleId="175">
    <w:name w:val="标题 6 字符"/>
    <w:semiHidden/>
    <w:qFormat/>
    <w:uiPriority w:val="0"/>
    <w:rPr>
      <w:rFonts w:ascii="等线 Light" w:hAnsi="等线 Light" w:eastAsia="等线 Light" w:cs="Times New Roman"/>
      <w:b/>
      <w:bCs/>
      <w:kern w:val="2"/>
      <w:sz w:val="24"/>
      <w:szCs w:val="24"/>
    </w:rPr>
  </w:style>
  <w:style w:type="paragraph" w:customStyle="1" w:styleId="17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7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8">
    <w:name w:val="font6"/>
    <w:basedOn w:val="1"/>
    <w:qFormat/>
    <w:uiPriority w:val="0"/>
    <w:pPr>
      <w:widowControl/>
      <w:spacing w:before="100" w:beforeAutospacing="1" w:after="100" w:afterAutospacing="1"/>
      <w:jc w:val="left"/>
    </w:pPr>
    <w:rPr>
      <w:b/>
      <w:bCs/>
      <w:kern w:val="0"/>
      <w:sz w:val="24"/>
    </w:rPr>
  </w:style>
  <w:style w:type="paragraph" w:customStyle="1" w:styleId="179">
    <w:name w:val="font7"/>
    <w:basedOn w:val="1"/>
    <w:qFormat/>
    <w:uiPriority w:val="0"/>
    <w:pPr>
      <w:widowControl/>
      <w:spacing w:before="100" w:beforeAutospacing="1" w:after="100" w:afterAutospacing="1"/>
      <w:jc w:val="left"/>
    </w:pPr>
    <w:rPr>
      <w:rFonts w:ascii="宋体" w:hAnsi="宋体" w:cs="宋体"/>
      <w:kern w:val="0"/>
      <w:sz w:val="24"/>
    </w:rPr>
  </w:style>
  <w:style w:type="paragraph" w:customStyle="1" w:styleId="180">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81">
    <w:name w:val="font9"/>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82">
    <w:name w:val="font10"/>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8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4"/>
    </w:rPr>
  </w:style>
  <w:style w:type="paragraph" w:customStyle="1" w:styleId="18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4"/>
    </w:rPr>
  </w:style>
  <w:style w:type="paragraph" w:customStyle="1" w:styleId="18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18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87">
    <w:name w:val="xl71"/>
    <w:basedOn w:val="1"/>
    <w:qFormat/>
    <w:uiPriority w:val="0"/>
    <w:pPr>
      <w:widowControl/>
      <w:spacing w:before="100" w:beforeAutospacing="1" w:after="100" w:afterAutospacing="1"/>
      <w:jc w:val="center"/>
      <w:textAlignment w:val="center"/>
    </w:pPr>
    <w:rPr>
      <w:kern w:val="0"/>
      <w:sz w:val="24"/>
    </w:rPr>
  </w:style>
  <w:style w:type="paragraph" w:customStyle="1" w:styleId="1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18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90">
    <w:name w:val="xl74"/>
    <w:basedOn w:val="1"/>
    <w:qFormat/>
    <w:uiPriority w:val="0"/>
    <w:pPr>
      <w:widowControl/>
      <w:spacing w:before="100" w:beforeAutospacing="1" w:after="100" w:afterAutospacing="1"/>
      <w:jc w:val="center"/>
      <w:textAlignment w:val="center"/>
    </w:pPr>
    <w:rPr>
      <w:kern w:val="0"/>
      <w:sz w:val="24"/>
    </w:rPr>
  </w:style>
  <w:style w:type="paragraph" w:customStyle="1" w:styleId="19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4"/>
    </w:rPr>
  </w:style>
  <w:style w:type="paragraph" w:customStyle="1" w:styleId="192">
    <w:name w:val="xl76"/>
    <w:basedOn w:val="1"/>
    <w:qFormat/>
    <w:uiPriority w:val="0"/>
    <w:pPr>
      <w:widowControl/>
      <w:spacing w:before="100" w:beforeAutospacing="1" w:after="100" w:afterAutospacing="1"/>
      <w:jc w:val="left"/>
      <w:textAlignment w:val="center"/>
    </w:pPr>
    <w:rPr>
      <w:rFonts w:ascii="宋体" w:hAnsi="宋体" w:cs="宋体"/>
      <w:b/>
      <w:bCs/>
      <w:kern w:val="0"/>
      <w:sz w:val="24"/>
    </w:rPr>
  </w:style>
  <w:style w:type="paragraph" w:customStyle="1" w:styleId="193">
    <w:name w:val="xl77"/>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9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9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Cs w:val="21"/>
    </w:rPr>
  </w:style>
  <w:style w:type="paragraph" w:customStyle="1" w:styleId="19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9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19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Cs w:val="21"/>
    </w:rPr>
  </w:style>
  <w:style w:type="paragraph" w:customStyle="1" w:styleId="19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0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4"/>
    </w:rPr>
  </w:style>
  <w:style w:type="paragraph" w:customStyle="1" w:styleId="201">
    <w:name w:val="xl85"/>
    <w:basedOn w:val="1"/>
    <w:qFormat/>
    <w:uiPriority w:val="0"/>
    <w:pPr>
      <w:widowControl/>
      <w:spacing w:before="100" w:beforeAutospacing="1" w:after="100" w:afterAutospacing="1"/>
      <w:jc w:val="left"/>
      <w:textAlignment w:val="center"/>
    </w:pPr>
    <w:rPr>
      <w:kern w:val="0"/>
      <w:sz w:val="24"/>
    </w:rPr>
  </w:style>
  <w:style w:type="paragraph" w:customStyle="1" w:styleId="20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0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0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0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0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0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character" w:customStyle="1" w:styleId="209">
    <w:name w:val="正文文本缩进 3 Char"/>
    <w:basedOn w:val="42"/>
    <w:link w:val="33"/>
    <w:semiHidden/>
    <w:qFormat/>
    <w:uiPriority w:val="99"/>
    <w:rPr>
      <w:rFonts w:ascii="Times New Roman" w:hAnsi="Times New Roman"/>
      <w:kern w:val="2"/>
      <w:sz w:val="16"/>
      <w:szCs w:val="16"/>
    </w:rPr>
  </w:style>
  <w:style w:type="character" w:customStyle="1" w:styleId="210">
    <w:name w:val="正文文本缩进 3 Char1"/>
    <w:basedOn w:val="42"/>
    <w:semiHidden/>
    <w:qFormat/>
    <w:uiPriority w:val="99"/>
    <w:rPr>
      <w:rFonts w:ascii="Times New Roman" w:hAnsi="Times New Roman" w:eastAsia="宋体" w:cs="Times New Roman"/>
      <w:sz w:val="16"/>
      <w:szCs w:val="16"/>
    </w:rPr>
  </w:style>
  <w:style w:type="paragraph" w:customStyle="1" w:styleId="211">
    <w:name w:val="修订3"/>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F2F235-788E-4628-9EDA-539876897CE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84</Pages>
  <Words>40646</Words>
  <Characters>43183</Characters>
  <Lines>342</Lines>
  <Paragraphs>96</Paragraphs>
  <TotalTime>190</TotalTime>
  <ScaleCrop>false</ScaleCrop>
  <LinksUpToDate>false</LinksUpToDate>
  <CharactersWithSpaces>44066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2021-11-17T03:36:00Z</dcterms:created>
  <dc:creator>S-mile</dc:creator>
  <cp:lastModifiedBy>Administrator</cp:lastModifiedBy>
  <cp:lastPrinted>2022-09-20T03:15:00Z</cp:lastPrinted>
  <dcterms:modified xsi:type="dcterms:W3CDTF">2022-09-22T02:52:42Z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1F713767307345298BF3DE5B83928E12</vt:lpwstr>
  </property>
</Properties>
</file>