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hAnsi="宋体" w:cs="宋体"/>
          <w:b/>
          <w:kern w:val="0"/>
          <w:sz w:val="52"/>
          <w:szCs w:val="52"/>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kern w:val="0"/>
          <w:sz w:val="32"/>
          <w:lang w:eastAsia="zh-CN"/>
        </w:rPr>
      </w:pPr>
      <w:r>
        <w:rPr>
          <w:rFonts w:hint="eastAsia" w:ascii="宋体"/>
          <w:b/>
          <w:kern w:val="0"/>
          <w:sz w:val="32"/>
          <w:lang w:eastAsia="zh-CN"/>
        </w:rPr>
        <w:t>TZTX-2024-CS024</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077" w:firstLineChars="742"/>
        <w:jc w:val="left"/>
        <w:rPr>
          <w:rFonts w:ascii="宋体"/>
          <w:kern w:val="0"/>
          <w:sz w:val="28"/>
        </w:rPr>
      </w:pPr>
      <w:r>
        <w:rPr>
          <w:rFonts w:hint="eastAsia" w:ascii="宋体"/>
          <w:kern w:val="0"/>
          <w:sz w:val="28"/>
        </w:rPr>
        <w:t>采购项目：农药包装废弃物集中处置项目</w:t>
      </w:r>
    </w:p>
    <w:p>
      <w:pPr>
        <w:autoSpaceDE w:val="0"/>
        <w:autoSpaceDN w:val="0"/>
        <w:adjustRightInd w:val="0"/>
        <w:spacing w:line="360" w:lineRule="auto"/>
        <w:ind w:firstLine="2077" w:firstLineChars="742"/>
        <w:jc w:val="left"/>
        <w:rPr>
          <w:rFonts w:ascii="宋体"/>
          <w:kern w:val="0"/>
          <w:sz w:val="28"/>
        </w:rPr>
      </w:pPr>
      <w:r>
        <w:rPr>
          <w:rFonts w:hint="eastAsia" w:ascii="宋体"/>
          <w:kern w:val="0"/>
          <w:sz w:val="28"/>
        </w:rPr>
        <w:t>采 购 人：台州市椒江区农业农村和水利局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eastAsia="zh-CN"/>
        </w:rPr>
        <w:t>2024</w:t>
      </w:r>
      <w:r>
        <w:rPr>
          <w:rFonts w:hint="eastAsia" w:ascii="宋体" w:hAnsi="宋体" w:cs="宋体"/>
          <w:kern w:val="0"/>
          <w:sz w:val="28"/>
          <w:szCs w:val="28"/>
        </w:rPr>
        <w:t>年0</w:t>
      </w:r>
      <w:r>
        <w:rPr>
          <w:rFonts w:hint="eastAsia" w:ascii="宋体" w:hAnsi="宋体" w:cs="宋体"/>
          <w:kern w:val="0"/>
          <w:sz w:val="28"/>
          <w:szCs w:val="28"/>
          <w:lang w:val="en-US" w:eastAsia="zh-CN"/>
        </w:rPr>
        <w:t>4</w:t>
      </w:r>
      <w:r>
        <w:rPr>
          <w:rFonts w:hint="eastAsia" w:ascii="宋体" w:hAnsi="宋体" w:cs="宋体"/>
          <w:kern w:val="0"/>
          <w:sz w:val="28"/>
          <w:szCs w:val="28"/>
        </w:rPr>
        <w:t>月</w:t>
      </w:r>
    </w:p>
    <w:p>
      <w:pPr>
        <w:spacing w:line="360" w:lineRule="auto"/>
      </w:pPr>
    </w:p>
    <w:p>
      <w:pPr>
        <w:rPr>
          <w:rFonts w:ascii="宋体" w:hAnsi="宋体" w:cs="Arial"/>
          <w:b/>
          <w:bCs/>
          <w:sz w:val="36"/>
          <w:szCs w:val="36"/>
        </w:rPr>
      </w:pPr>
      <w:r>
        <w:rPr>
          <w:rFonts w:hint="eastAsia" w:ascii="宋体" w:hAnsi="宋体" w:cs="Arial"/>
          <w:b/>
          <w:bCs/>
          <w:sz w:val="36"/>
          <w:szCs w:val="36"/>
        </w:rPr>
        <w:br w:type="page"/>
      </w:r>
    </w:p>
    <w:sdt>
      <w:sdtPr>
        <w:rPr>
          <w:rFonts w:hint="eastAsia" w:ascii="宋体" w:hAnsi="宋体" w:cs="宋体"/>
          <w:sz w:val="32"/>
          <w:szCs w:val="32"/>
        </w:rPr>
        <w:id w:val="147453465"/>
        <w:docPartObj>
          <w:docPartGallery w:val="Table of Contents"/>
          <w:docPartUnique/>
        </w:docPartObj>
      </w:sdtPr>
      <w:sdtEndPr>
        <w:rPr>
          <w:rFonts w:hint="eastAsia" w:ascii="Times New Roman" w:hAnsi="Times New Roman" w:cs="Times New Roman"/>
          <w:sz w:val="21"/>
          <w:szCs w:val="28"/>
        </w:rPr>
      </w:sdtEndPr>
      <w:sdtContent>
        <w:p>
          <w:pPr>
            <w:jc w:val="center"/>
            <w:rPr>
              <w:rFonts w:ascii="宋体" w:hAnsi="宋体" w:cs="宋体"/>
              <w:sz w:val="32"/>
              <w:szCs w:val="32"/>
            </w:rPr>
          </w:pPr>
        </w:p>
        <w:p>
          <w:pPr>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目  录</w:t>
          </w:r>
        </w:p>
        <w:p>
          <w:pPr>
            <w:pStyle w:val="47"/>
            <w:tabs>
              <w:tab w:val="right" w:leader="dot" w:pos="9070"/>
            </w:tabs>
            <w:spacing w:line="360" w:lineRule="auto"/>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"_Toc32401" </w:instrText>
          </w:r>
          <w:r>
            <w:fldChar w:fldCharType="separate"/>
          </w:r>
          <w:r>
            <w:rPr>
              <w:rFonts w:hint="eastAsia" w:ascii="宋体" w:hAnsi="宋体" w:cs="宋体"/>
              <w:sz w:val="32"/>
              <w:szCs w:val="32"/>
            </w:rPr>
            <w:t>第一章 磋商邀请</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_Toc32401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"_Toc6994" </w:instrText>
          </w:r>
          <w:r>
            <w:fldChar w:fldCharType="separate"/>
          </w:r>
          <w:r>
            <w:rPr>
              <w:rFonts w:hint="eastAsia" w:ascii="宋体" w:hAnsi="宋体" w:cs="宋体"/>
              <w:sz w:val="32"/>
              <w:szCs w:val="32"/>
            </w:rPr>
            <w:t>第二章 供应商须知</w:t>
          </w:r>
          <w:r>
            <w:rPr>
              <w:rFonts w:hint="eastAsia" w:ascii="宋体" w:hAnsi="宋体" w:cs="宋体"/>
              <w:sz w:val="32"/>
              <w:szCs w:val="32"/>
            </w:rPr>
            <w:tab/>
          </w:r>
          <w:r>
            <w:rPr>
              <w:rFonts w:hint="eastAsia" w:ascii="宋体" w:hAnsi="宋体" w:cs="宋体"/>
              <w:sz w:val="32"/>
              <w:szCs w:val="32"/>
            </w:rPr>
            <w:t>7</w:t>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"_Toc29935" </w:instrText>
          </w:r>
          <w:r>
            <w:fldChar w:fldCharType="separate"/>
          </w:r>
          <w:r>
            <w:rPr>
              <w:rFonts w:hint="eastAsia" w:ascii="宋体" w:hAnsi="宋体" w:cs="宋体"/>
              <w:sz w:val="32"/>
              <w:szCs w:val="32"/>
            </w:rPr>
            <w:t>第三章 项目需求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_Toc29935 </w:instrText>
          </w:r>
          <w:r>
            <w:rPr>
              <w:rFonts w:hint="eastAsia" w:ascii="宋体" w:hAnsi="宋体" w:cs="宋体"/>
              <w:sz w:val="32"/>
              <w:szCs w:val="32"/>
            </w:rPr>
            <w:fldChar w:fldCharType="separate"/>
          </w:r>
          <w:r>
            <w:rPr>
              <w:rFonts w:hint="eastAsia" w:ascii="宋体" w:hAnsi="宋体" w:cs="宋体"/>
              <w:sz w:val="32"/>
              <w:szCs w:val="32"/>
            </w:rPr>
            <w:t>16</w:t>
          </w:r>
          <w:r>
            <w:rPr>
              <w:rFonts w:hint="eastAsia" w:ascii="宋体" w:hAnsi="宋体" w:cs="宋体"/>
              <w:sz w:val="32"/>
              <w:szCs w:val="32"/>
            </w:rPr>
            <w:fldChar w:fldCharType="end"/>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"_Toc19531" </w:instrText>
          </w:r>
          <w:r>
            <w:fldChar w:fldCharType="separate"/>
          </w:r>
          <w:r>
            <w:rPr>
              <w:rFonts w:hint="eastAsia" w:ascii="宋体" w:hAnsi="宋体" w:cs="宋体"/>
              <w:sz w:val="32"/>
              <w:szCs w:val="32"/>
            </w:rPr>
            <w:t>第四章 磋商</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7</w:t>
          </w:r>
        </w:p>
        <w:p>
          <w:pPr>
            <w:pStyle w:val="47"/>
            <w:tabs>
              <w:tab w:val="right" w:leader="dot" w:pos="9070"/>
            </w:tabs>
            <w:spacing w:line="360" w:lineRule="auto"/>
            <w:rPr>
              <w:rFonts w:hint="eastAsia" w:ascii="宋体" w:hAnsi="宋体" w:eastAsia="宋体" w:cs="宋体"/>
              <w:sz w:val="32"/>
              <w:szCs w:val="32"/>
              <w:lang w:eastAsia="zh-CN"/>
            </w:rPr>
          </w:pPr>
          <w:r>
            <w:fldChar w:fldCharType="begin"/>
          </w:r>
          <w:r>
            <w:instrText xml:space="preserve"> HYPERLINK \l "_Toc21781" </w:instrText>
          </w:r>
          <w:r>
            <w:fldChar w:fldCharType="separate"/>
          </w:r>
          <w:r>
            <w:rPr>
              <w:rFonts w:hint="eastAsia" w:ascii="宋体" w:hAnsi="宋体" w:cs="宋体"/>
              <w:sz w:val="32"/>
              <w:szCs w:val="32"/>
            </w:rPr>
            <w:t>第五章 拟签订的合同文本</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lang w:val="en-US" w:eastAsia="zh-CN"/>
            </w:rPr>
            <w:t>4</w:t>
          </w:r>
        </w:p>
        <w:p>
          <w:pPr>
            <w:pStyle w:val="47"/>
            <w:tabs>
              <w:tab w:val="right" w:leader="dot" w:pos="9070"/>
            </w:tabs>
            <w:spacing w:line="360" w:lineRule="auto"/>
            <w:rPr>
              <w:rFonts w:hint="eastAsia" w:ascii="宋体" w:hAnsi="宋体" w:eastAsia="宋体" w:cs="宋体"/>
              <w:sz w:val="32"/>
              <w:szCs w:val="32"/>
              <w:lang w:eastAsia="zh-CN"/>
            </w:rPr>
          </w:pPr>
          <w:r>
            <w:fldChar w:fldCharType="begin"/>
          </w:r>
          <w:r>
            <w:instrText xml:space="preserve"> HYPERLINK \l "_Toc22166" </w:instrText>
          </w:r>
          <w:r>
            <w:fldChar w:fldCharType="separate"/>
          </w:r>
          <w:r>
            <w:rPr>
              <w:rFonts w:hint="eastAsia" w:ascii="宋体" w:hAnsi="宋体" w:cs="宋体"/>
              <w:sz w:val="32"/>
              <w:szCs w:val="32"/>
            </w:rPr>
            <w:t>第六章 响应文件格式</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lang w:val="en-US" w:eastAsia="zh-CN"/>
            </w:rPr>
            <w:t>8</w:t>
          </w:r>
        </w:p>
        <w:p>
          <w:pPr>
            <w:spacing w:line="360" w:lineRule="auto"/>
            <w:rPr>
              <w:sz w:val="28"/>
              <w:szCs w:val="28"/>
            </w:rPr>
          </w:pPr>
          <w:r>
            <w:rPr>
              <w:rFonts w:hint="eastAsia" w:ascii="宋体" w:hAnsi="宋体" w:cs="宋体"/>
              <w:sz w:val="32"/>
              <w:szCs w:val="32"/>
            </w:rP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sz w:val="36"/>
          <w:szCs w:val="36"/>
        </w:rPr>
      </w:pPr>
      <w:bookmarkStart w:id="0" w:name="_Toc32401"/>
      <w:r>
        <w:rPr>
          <w:rFonts w:hint="eastAsia" w:asciiTheme="majorEastAsia" w:hAnsiTheme="majorEastAsia" w:eastAsiaTheme="majorEastAsia"/>
          <w:b/>
          <w:kern w:val="0"/>
          <w:sz w:val="36"/>
          <w:szCs w:val="36"/>
        </w:rPr>
        <w:t>磋商邀请</w:t>
      </w:r>
      <w:bookmarkEnd w:id="0"/>
    </w:p>
    <w:p>
      <w:pPr>
        <w:pStyle w:val="3"/>
        <w:ind w:right="0" w:firstLine="480" w:firstLineChars="200"/>
        <w:rPr>
          <w:rFonts w:asciiTheme="minorEastAsia" w:hAnsiTheme="minorEastAsia" w:eastAsiaTheme="minorEastAsia" w:cstheme="minorEastAsia"/>
          <w:b w:val="0"/>
          <w:sz w:val="24"/>
          <w:szCs w:val="24"/>
        </w:rPr>
      </w:pPr>
      <w:bookmarkStart w:id="1" w:name="_Toc28359002"/>
      <w:bookmarkStart w:id="2" w:name="_Toc35393790"/>
      <w:bookmarkStart w:id="3" w:name="_Toc28359079"/>
      <w:bookmarkStart w:id="4" w:name="_Toc35393621"/>
      <w:bookmarkStart w:id="5" w:name="_Hlk24379207"/>
      <w:r>
        <w:rPr>
          <w:rFonts w:hint="eastAsia" w:asciiTheme="minorEastAsia" w:hAnsiTheme="minorEastAsia" w:eastAsiaTheme="minorEastAsia" w:cstheme="minorEastAsia"/>
          <w:b w:val="0"/>
          <w:sz w:val="24"/>
          <w:szCs w:val="24"/>
        </w:rPr>
        <w:t>台州天兴工程管理咨询有限公司受台州市椒江区农业农村和水利局委托，就农药包装废弃物集中处置项目进行竞争性磋商，欢迎符合资格条件的国内供应商前来磋商。</w:t>
      </w:r>
    </w:p>
    <w:p>
      <w:pPr>
        <w:pStyle w:val="3"/>
        <w:ind w:right="0" w:firstLine="482"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一、项目基本情况</w:t>
      </w:r>
      <w:bookmarkEnd w:id="1"/>
      <w:bookmarkEnd w:id="2"/>
      <w:bookmarkEnd w:id="3"/>
      <w:bookmarkEnd w:id="4"/>
    </w:p>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lang w:eastAsia="zh-CN"/>
        </w:rPr>
        <w:t>TZTX-2024-CS024</w:t>
      </w:r>
    </w:p>
    <w:bookmarkEnd w:id="5"/>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宋体" w:eastAsiaTheme="minorEastAsia"/>
          <w:kern w:val="0"/>
          <w:sz w:val="24"/>
        </w:rPr>
        <w:t>台州市椒江区农业农村和水利局农药包装废弃物集中处置项目</w:t>
      </w:r>
    </w:p>
    <w:tbl>
      <w:tblPr>
        <w:tblStyle w:val="23"/>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196"/>
        <w:gridCol w:w="736"/>
        <w:gridCol w:w="832"/>
        <w:gridCol w:w="1527"/>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103"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bookmarkStart w:id="6" w:name="_Toc35393622"/>
            <w:bookmarkStart w:id="7" w:name="_Toc28359080"/>
            <w:bookmarkStart w:id="8" w:name="_Toc35393791"/>
            <w:bookmarkStart w:id="9" w:name="_Toc28359003"/>
            <w:r>
              <w:rPr>
                <w:rFonts w:hint="eastAsia" w:asciiTheme="minorEastAsia" w:hAnsiTheme="minorEastAsia" w:eastAsiaTheme="minorEastAsia" w:cstheme="minorEastAsia"/>
                <w:b/>
                <w:sz w:val="24"/>
              </w:rPr>
              <w:t>标项号</w:t>
            </w:r>
          </w:p>
        </w:tc>
        <w:tc>
          <w:tcPr>
            <w:tcW w:w="2196" w:type="dxa"/>
            <w:vAlign w:val="center"/>
          </w:tcPr>
          <w:p>
            <w:pPr>
              <w:tabs>
                <w:tab w:val="left" w:pos="8280"/>
              </w:tabs>
              <w:autoSpaceDE w:val="0"/>
              <w:autoSpaceDN w:val="0"/>
              <w:adjustRightInd w:val="0"/>
              <w:ind w:firstLine="120" w:firstLineChar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标项名称</w:t>
            </w:r>
          </w:p>
        </w:tc>
        <w:tc>
          <w:tcPr>
            <w:tcW w:w="736"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数量</w:t>
            </w:r>
          </w:p>
        </w:tc>
        <w:tc>
          <w:tcPr>
            <w:tcW w:w="832"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1527"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预算/</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最高限价</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（万元）</w:t>
            </w:r>
          </w:p>
        </w:tc>
        <w:tc>
          <w:tcPr>
            <w:tcW w:w="2537" w:type="dxa"/>
            <w:vAlign w:val="center"/>
          </w:tcPr>
          <w:p>
            <w:pPr>
              <w:tabs>
                <w:tab w:val="left" w:pos="8280"/>
              </w:tabs>
              <w:autoSpaceDE w:val="0"/>
              <w:autoSpaceDN w:val="0"/>
              <w:adjustRightInd w:val="0"/>
              <w:spacing w:line="440" w:lineRule="exact"/>
              <w:ind w:right="23"/>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103"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p>
        </w:tc>
        <w:tc>
          <w:tcPr>
            <w:tcW w:w="2196"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农药包装废弃物集中处置项目</w:t>
            </w:r>
          </w:p>
        </w:tc>
        <w:tc>
          <w:tcPr>
            <w:tcW w:w="736"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832"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w:t>
            </w:r>
          </w:p>
        </w:tc>
        <w:tc>
          <w:tcPr>
            <w:tcW w:w="1527"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35</w:t>
            </w:r>
          </w:p>
        </w:tc>
        <w:tc>
          <w:tcPr>
            <w:tcW w:w="2537"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宋体" w:hAnsi="宋体"/>
                <w:sz w:val="24"/>
              </w:rPr>
              <w:t>自合同签订之日起至</w:t>
            </w:r>
            <w:r>
              <w:rPr>
                <w:rFonts w:hint="eastAsia" w:ascii="宋体" w:hAnsi="宋体"/>
                <w:sz w:val="24"/>
                <w:lang w:eastAsia="zh-CN"/>
              </w:rPr>
              <w:t>2024</w:t>
            </w:r>
            <w:r>
              <w:rPr>
                <w:rFonts w:hint="eastAsia" w:ascii="宋体" w:hAnsi="宋体"/>
                <w:sz w:val="24"/>
              </w:rPr>
              <w:t>年12月31日</w:t>
            </w:r>
          </w:p>
        </w:tc>
      </w:tr>
    </w:tbl>
    <w:p>
      <w:pPr>
        <w:pStyle w:val="3"/>
        <w:ind w:right="0" w:firstLine="482" w:firstLineChars="200"/>
        <w:rPr>
          <w:rFonts w:cs="宋体"/>
          <w:bCs/>
          <w:sz w:val="24"/>
          <w:szCs w:val="24"/>
        </w:rPr>
      </w:pPr>
      <w:r>
        <w:rPr>
          <w:rFonts w:hint="eastAsia" w:cs="宋体"/>
          <w:bCs/>
          <w:sz w:val="24"/>
          <w:szCs w:val="24"/>
        </w:rPr>
        <w:t>二、供应商的资格要求</w:t>
      </w:r>
      <w:bookmarkEnd w:id="6"/>
      <w:bookmarkEnd w:id="7"/>
      <w:bookmarkEnd w:id="8"/>
      <w:bookmarkEnd w:id="9"/>
    </w:p>
    <w:p>
      <w:pPr>
        <w:spacing w:line="360" w:lineRule="auto"/>
        <w:ind w:firstLine="480" w:firstLineChars="200"/>
        <w:rPr>
          <w:rFonts w:ascii="宋体" w:hAnsi="宋体" w:cs="宋体"/>
          <w:sz w:val="24"/>
        </w:rPr>
      </w:pPr>
      <w:bookmarkStart w:id="10" w:name="_Toc35393623"/>
      <w:bookmarkStart w:id="11" w:name="_Toc35393792"/>
      <w:bookmarkStart w:id="12" w:name="_Toc28359004"/>
      <w:bookmarkStart w:id="13" w:name="_Toc28359081"/>
      <w:r>
        <w:rPr>
          <w:rFonts w:hint="eastAsia" w:ascii="宋体" w:hAnsi="宋体" w:cs="宋体"/>
          <w:sz w:val="24"/>
        </w:rPr>
        <w:t>（一）满足《中华人民共和国政府采购法》第二十二条规定</w:t>
      </w:r>
    </w:p>
    <w:p>
      <w:pPr>
        <w:spacing w:line="360" w:lineRule="auto"/>
        <w:ind w:firstLine="480" w:firstLineChars="200"/>
        <w:rPr>
          <w:rFonts w:ascii="宋体" w:hAnsi="宋体" w:cs="宋体"/>
          <w:sz w:val="24"/>
        </w:rPr>
      </w:pPr>
      <w:r>
        <w:rPr>
          <w:rFonts w:hint="eastAsia" w:ascii="宋体" w:hAnsi="宋体" w:cs="宋体"/>
          <w:sz w:val="24"/>
        </w:rPr>
        <w:t>（二）本项目的特定资格要求：</w:t>
      </w:r>
      <w:r>
        <w:rPr>
          <w:rFonts w:hint="eastAsia" w:ascii="宋体" w:hAnsi="宋体" w:cs="宋体"/>
          <w:sz w:val="24"/>
          <w:lang w:eastAsia="zh-CN"/>
        </w:rPr>
        <w:t>无</w:t>
      </w:r>
      <w:r>
        <w:rPr>
          <w:rFonts w:hint="eastAsia" w:ascii="宋体" w:hAnsi="宋体" w:cs="宋体"/>
          <w:sz w:val="24"/>
        </w:rPr>
        <w:t>。</w:t>
      </w:r>
    </w:p>
    <w:bookmarkEnd w:id="10"/>
    <w:bookmarkEnd w:id="11"/>
    <w:bookmarkEnd w:id="12"/>
    <w:bookmarkEnd w:id="13"/>
    <w:p>
      <w:pPr>
        <w:spacing w:line="360" w:lineRule="auto"/>
        <w:ind w:firstLine="480" w:firstLineChars="200"/>
        <w:rPr>
          <w:rFonts w:ascii="宋体" w:hAnsi="宋体" w:cs="宋体"/>
          <w:sz w:val="24"/>
        </w:rPr>
      </w:pPr>
      <w:r>
        <w:rPr>
          <w:rFonts w:hint="eastAsia" w:ascii="宋体" w:hAnsi="宋体" w:cs="宋体"/>
          <w:sz w:val="24"/>
        </w:rPr>
        <w:t>（三）本项目</w:t>
      </w:r>
      <w:r>
        <w:rPr>
          <w:rFonts w:hint="eastAsia" w:ascii="宋体" w:hAnsi="宋体" w:cs="宋体"/>
          <w:b/>
          <w:bCs/>
          <w:sz w:val="24"/>
        </w:rPr>
        <w:t>(☑ 不接受/□ 接受)</w:t>
      </w:r>
      <w:r>
        <w:rPr>
          <w:rFonts w:hint="eastAsia" w:ascii="宋体" w:hAnsi="宋体" w:cs="宋体"/>
          <w:sz w:val="24"/>
        </w:rPr>
        <w:t>联合体磋商</w:t>
      </w:r>
    </w:p>
    <w:p>
      <w:pPr>
        <w:spacing w:line="360" w:lineRule="auto"/>
        <w:ind w:firstLine="480" w:firstLineChars="200"/>
        <w:rPr>
          <w:rFonts w:ascii="宋体" w:hAnsi="宋体" w:cs="宋体"/>
          <w:sz w:val="24"/>
        </w:rPr>
      </w:pPr>
      <w:r>
        <w:rPr>
          <w:rFonts w:hint="eastAsia" w:ascii="宋体" w:hAnsi="宋体" w:cs="宋体"/>
          <w:sz w:val="24"/>
        </w:rPr>
        <w:t>（四）本项目</w:t>
      </w:r>
      <w:r>
        <w:rPr>
          <w:rFonts w:hint="eastAsia" w:ascii="宋体" w:hAnsi="宋体" w:cs="宋体"/>
          <w:b/>
          <w:bCs/>
          <w:sz w:val="24"/>
        </w:rPr>
        <w:t>(</w:t>
      </w:r>
      <w:r>
        <w:rPr>
          <w:rFonts w:hint="eastAsia" w:ascii="宋体" w:hAnsi="宋体" w:cs="宋体"/>
          <w:b/>
          <w:bCs/>
          <w:sz w:val="24"/>
          <w:lang w:eastAsia="zh-CN"/>
        </w:rPr>
        <w:t>☑</w:t>
      </w:r>
      <w:r>
        <w:rPr>
          <w:rFonts w:hint="eastAsia" w:ascii="宋体" w:hAnsi="宋体" w:cs="宋体"/>
          <w:b/>
          <w:bCs/>
          <w:sz w:val="24"/>
        </w:rPr>
        <w:t xml:space="preserve"> 是/</w:t>
      </w:r>
      <w:r>
        <w:rPr>
          <w:rFonts w:hint="eastAsia" w:ascii="宋体" w:hAnsi="宋体" w:cs="宋体"/>
          <w:b/>
          <w:bCs/>
          <w:sz w:val="24"/>
          <w:lang w:eastAsia="zh-CN"/>
        </w:rPr>
        <w:t>□</w:t>
      </w:r>
      <w:r>
        <w:rPr>
          <w:rFonts w:hint="eastAsia" w:ascii="宋体" w:hAnsi="宋体" w:cs="宋体"/>
          <w:b/>
          <w:bCs/>
          <w:sz w:val="24"/>
        </w:rPr>
        <w:t xml:space="preserve"> 否)</w:t>
      </w:r>
      <w:r>
        <w:rPr>
          <w:rFonts w:hint="eastAsia" w:ascii="宋体" w:hAnsi="宋体" w:cs="宋体"/>
          <w:sz w:val="24"/>
        </w:rPr>
        <w:t>针对为中小企业</w:t>
      </w:r>
    </w:p>
    <w:p>
      <w:pPr>
        <w:spacing w:line="360" w:lineRule="auto"/>
        <w:ind w:firstLine="480" w:firstLineChars="200"/>
        <w:rPr>
          <w:rFonts w:ascii="宋体" w:hAnsi="宋体" w:cs="宋体"/>
          <w:sz w:val="24"/>
        </w:rPr>
      </w:pPr>
      <w:r>
        <w:rPr>
          <w:rFonts w:hint="eastAsia" w:ascii="宋体" w:hAnsi="宋体" w:cs="宋体"/>
          <w:sz w:val="24"/>
        </w:rPr>
        <w:t>（五）信用记录：未被列入“信用中国”失信被执行人或重大税收违法案件当事人名单；未处于“中国政府采购网”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w:t>
      </w:r>
    </w:p>
    <w:p>
      <w:pPr>
        <w:pStyle w:val="3"/>
        <w:ind w:right="0" w:firstLine="482" w:firstLineChars="200"/>
        <w:rPr>
          <w:rFonts w:cs="宋体"/>
          <w:bCs/>
          <w:sz w:val="24"/>
          <w:szCs w:val="24"/>
        </w:rPr>
      </w:pPr>
      <w:r>
        <w:rPr>
          <w:rFonts w:hint="eastAsia" w:cs="宋体"/>
          <w:bCs/>
          <w:sz w:val="24"/>
          <w:szCs w:val="24"/>
        </w:rPr>
        <w:t>三、获取磋商文件</w:t>
      </w:r>
    </w:p>
    <w:p>
      <w:pPr>
        <w:pStyle w:val="3"/>
        <w:ind w:right="0" w:firstLine="482" w:firstLineChars="200"/>
        <w:rPr>
          <w:rFonts w:cs="宋体"/>
          <w:sz w:val="24"/>
        </w:rPr>
      </w:pPr>
      <w:r>
        <w:rPr>
          <w:rFonts w:hint="eastAsia" w:cs="宋体"/>
          <w:sz w:val="24"/>
          <w:szCs w:val="24"/>
        </w:rPr>
        <w:t>（一）时间：</w:t>
      </w:r>
      <w:r>
        <w:rPr>
          <w:rFonts w:hint="eastAsia" w:cs="宋体"/>
          <w:sz w:val="24"/>
          <w:szCs w:val="24"/>
          <w:u w:val="single"/>
          <w:lang w:eastAsia="zh-CN"/>
        </w:rPr>
        <w:t>2024</w:t>
      </w:r>
      <w:r>
        <w:rPr>
          <w:rFonts w:hint="eastAsia" w:cs="宋体"/>
          <w:sz w:val="24"/>
          <w:szCs w:val="24"/>
          <w:u w:val="single"/>
        </w:rPr>
        <w:t>年</w:t>
      </w:r>
      <w:r>
        <w:rPr>
          <w:rFonts w:hint="eastAsia" w:cs="宋体"/>
          <w:sz w:val="24"/>
          <w:szCs w:val="24"/>
          <w:u w:val="single"/>
          <w:lang w:val="en-US" w:eastAsia="zh-CN"/>
        </w:rPr>
        <w:t>04</w:t>
      </w:r>
      <w:r>
        <w:rPr>
          <w:rFonts w:hint="eastAsia" w:cs="宋体"/>
          <w:sz w:val="24"/>
          <w:szCs w:val="24"/>
          <w:u w:val="single"/>
        </w:rPr>
        <w:t>月</w:t>
      </w:r>
      <w:r>
        <w:rPr>
          <w:rFonts w:hint="eastAsia" w:cs="宋体"/>
          <w:sz w:val="24"/>
          <w:szCs w:val="24"/>
          <w:u w:val="single"/>
          <w:lang w:val="en-US" w:eastAsia="zh-CN"/>
        </w:rPr>
        <w:t>30</w:t>
      </w:r>
      <w:r>
        <w:rPr>
          <w:rFonts w:hint="eastAsia" w:cs="宋体"/>
          <w:sz w:val="24"/>
          <w:szCs w:val="24"/>
          <w:u w:val="single"/>
        </w:rPr>
        <w:t>日</w:t>
      </w:r>
      <w:r>
        <w:rPr>
          <w:rFonts w:hint="eastAsia" w:cs="宋体"/>
          <w:sz w:val="24"/>
          <w:szCs w:val="24"/>
        </w:rPr>
        <w:t>至</w:t>
      </w:r>
      <w:r>
        <w:rPr>
          <w:rFonts w:hint="eastAsia" w:cs="宋体"/>
          <w:sz w:val="24"/>
          <w:szCs w:val="24"/>
          <w:u w:val="single"/>
          <w:lang w:eastAsia="zh-CN"/>
        </w:rPr>
        <w:t>2024</w:t>
      </w:r>
      <w:r>
        <w:rPr>
          <w:rFonts w:hint="eastAsia" w:cs="宋体"/>
          <w:sz w:val="24"/>
          <w:szCs w:val="24"/>
          <w:u w:val="single"/>
        </w:rPr>
        <w:t>年</w:t>
      </w:r>
      <w:r>
        <w:rPr>
          <w:rFonts w:hint="eastAsia" w:cs="宋体"/>
          <w:sz w:val="24"/>
          <w:szCs w:val="24"/>
          <w:u w:val="single"/>
          <w:lang w:val="en-US" w:eastAsia="zh-CN"/>
        </w:rPr>
        <w:t>05</w:t>
      </w:r>
      <w:r>
        <w:rPr>
          <w:rFonts w:hint="eastAsia" w:cs="宋体"/>
          <w:sz w:val="24"/>
          <w:szCs w:val="24"/>
          <w:u w:val="single"/>
        </w:rPr>
        <w:t>月</w:t>
      </w:r>
      <w:r>
        <w:rPr>
          <w:rFonts w:hint="eastAsia" w:cs="宋体"/>
          <w:sz w:val="24"/>
          <w:szCs w:val="24"/>
          <w:u w:val="single"/>
          <w:lang w:val="en-US" w:eastAsia="zh-CN"/>
        </w:rPr>
        <w:t>11</w:t>
      </w:r>
      <w:r>
        <w:rPr>
          <w:rFonts w:hint="eastAsia" w:cs="宋体"/>
          <w:sz w:val="24"/>
          <w:szCs w:val="24"/>
          <w:u w:val="single"/>
        </w:rPr>
        <w:t>日</w:t>
      </w:r>
    </w:p>
    <w:p>
      <w:pPr>
        <w:pStyle w:val="26"/>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3"/>
        <w:ind w:right="0" w:firstLine="482" w:firstLineChars="200"/>
        <w:rPr>
          <w:rFonts w:cs="宋体"/>
          <w:bCs/>
          <w:sz w:val="24"/>
          <w:szCs w:val="24"/>
        </w:rPr>
      </w:pPr>
      <w:bookmarkStart w:id="14" w:name="_Toc28359082"/>
      <w:bookmarkStart w:id="15" w:name="_Toc35393793"/>
      <w:bookmarkStart w:id="16" w:name="_Toc35393624"/>
      <w:bookmarkStart w:id="17" w:name="_Toc28359005"/>
      <w:r>
        <w:rPr>
          <w:rFonts w:hint="eastAsia" w:cs="宋体"/>
          <w:bCs/>
          <w:sz w:val="24"/>
          <w:szCs w:val="24"/>
        </w:rPr>
        <w:t>四、提交磋商响应文件</w:t>
      </w:r>
      <w:bookmarkEnd w:id="14"/>
      <w:bookmarkEnd w:id="15"/>
      <w:bookmarkEnd w:id="16"/>
      <w:bookmarkEnd w:id="17"/>
    </w:p>
    <w:p>
      <w:pPr>
        <w:spacing w:line="360" w:lineRule="auto"/>
        <w:ind w:firstLine="480" w:firstLineChars="200"/>
        <w:rPr>
          <w:rFonts w:ascii="宋体" w:hAnsi="宋体" w:cs="宋体"/>
          <w:iCs/>
          <w:sz w:val="24"/>
          <w:u w:val="single"/>
        </w:rPr>
      </w:pPr>
      <w:bookmarkStart w:id="18" w:name="_Toc35393794"/>
      <w:bookmarkStart w:id="19" w:name="_Toc35393625"/>
      <w:bookmarkStart w:id="20" w:name="_Toc28359084"/>
      <w:bookmarkStart w:id="21" w:name="_Toc28359007"/>
      <w:r>
        <w:rPr>
          <w:rFonts w:hint="eastAsia" w:ascii="宋体" w:hAnsi="宋体" w:cs="宋体"/>
          <w:sz w:val="24"/>
        </w:rPr>
        <w:t>（一）截止时间（磋商开始时间）：</w:t>
      </w:r>
      <w:r>
        <w:rPr>
          <w:rFonts w:hint="eastAsia" w:ascii="宋体" w:hAnsi="宋体" w:cs="宋体"/>
          <w:bCs/>
          <w:sz w:val="24"/>
          <w:u w:val="single"/>
          <w:lang w:eastAsia="zh-CN"/>
        </w:rPr>
        <w:t>2024</w:t>
      </w:r>
      <w:r>
        <w:rPr>
          <w:rFonts w:hint="eastAsia" w:ascii="宋体" w:hAnsi="宋体" w:cs="宋体"/>
          <w:bCs/>
          <w:sz w:val="24"/>
          <w:u w:val="single"/>
        </w:rPr>
        <w:t>年</w:t>
      </w:r>
      <w:r>
        <w:rPr>
          <w:rFonts w:hint="eastAsia" w:ascii="宋体" w:hAnsi="宋体" w:cs="宋体"/>
          <w:sz w:val="24"/>
          <w:u w:val="single"/>
          <w:lang w:val="en-US" w:eastAsia="zh-CN"/>
        </w:rPr>
        <w:t>05</w:t>
      </w:r>
      <w:r>
        <w:rPr>
          <w:rFonts w:hint="eastAsia" w:ascii="宋体" w:hAnsi="宋体" w:cs="宋体"/>
          <w:bCs/>
          <w:sz w:val="24"/>
          <w:u w:val="single"/>
        </w:rPr>
        <w:t>月</w:t>
      </w:r>
      <w:r>
        <w:rPr>
          <w:rFonts w:hint="eastAsia" w:ascii="宋体" w:hAnsi="宋体" w:cs="宋体"/>
          <w:sz w:val="24"/>
          <w:u w:val="single"/>
          <w:lang w:val="en-US" w:eastAsia="zh-CN"/>
        </w:rPr>
        <w:t>11</w:t>
      </w:r>
      <w:r>
        <w:rPr>
          <w:rFonts w:hint="eastAsia" w:ascii="宋体" w:hAnsi="宋体" w:cs="宋体"/>
          <w:bCs/>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点</w:t>
      </w:r>
      <w:r>
        <w:rPr>
          <w:rFonts w:hint="eastAsia" w:ascii="宋体" w:hAnsi="宋体" w:cs="宋体"/>
          <w:bCs/>
          <w:sz w:val="24"/>
          <w:u w:val="single"/>
          <w:lang w:val="en-US" w:eastAsia="zh-CN"/>
        </w:rPr>
        <w:t>30</w:t>
      </w:r>
      <w:r>
        <w:rPr>
          <w:rFonts w:hint="eastAsia" w:ascii="宋体" w:hAnsi="宋体" w:cs="宋体"/>
          <w:bCs/>
          <w:sz w:val="24"/>
        </w:rPr>
        <w:t>（北京时间）</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（二）提交网址：浙江政府采购云平台（http://www.zcygov.cn）</w:t>
      </w:r>
    </w:p>
    <w:bookmarkEnd w:id="18"/>
    <w:bookmarkEnd w:id="19"/>
    <w:bookmarkEnd w:id="20"/>
    <w:bookmarkEnd w:id="21"/>
    <w:p>
      <w:pPr>
        <w:pStyle w:val="16"/>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6"/>
        <w:spacing w:after="0" w:line="360" w:lineRule="auto"/>
        <w:ind w:left="0" w:leftChars="0" w:firstLine="480" w:firstLineChars="200"/>
        <w:rPr>
          <w:rFonts w:asciiTheme="minorEastAsia" w:hAnsiTheme="minorEastAsia" w:eastAsiaTheme="minorEastAsia" w:cstheme="minorEastAsia"/>
          <w:kern w:val="0"/>
          <w:sz w:val="24"/>
        </w:rPr>
      </w:pPr>
      <w:bookmarkStart w:id="22" w:name="_Toc35393795"/>
      <w:bookmarkStart w:id="23" w:name="_Toc35393626"/>
      <w:r>
        <w:rPr>
          <w:rFonts w:hint="eastAsia" w:asciiTheme="minorEastAsia" w:hAnsiTheme="minorEastAsia" w:eastAsiaTheme="minorEastAsia" w:cstheme="minorEastAsia"/>
          <w:kern w:val="0"/>
          <w:sz w:val="24"/>
        </w:rPr>
        <w:t>（一）公告网址：浙江政府采购网（</w:t>
      </w:r>
      <w:r>
        <w:rPr>
          <w:rFonts w:hint="eastAsia" w:asciiTheme="minorEastAsia" w:hAnsiTheme="minorEastAsia" w:eastAsiaTheme="minorEastAsia" w:cstheme="minorEastAsia"/>
          <w:sz w:val="24"/>
        </w:rPr>
        <w:t>https://zfcg.czt.zj.gov.cn</w:t>
      </w:r>
      <w:r>
        <w:rPr>
          <w:rFonts w:hint="eastAsia" w:asciiTheme="minorEastAsia" w:hAnsiTheme="minorEastAsia" w:eastAsiaTheme="minorEastAsia" w:cstheme="minorEastAsia"/>
          <w:kern w:val="0"/>
          <w:sz w:val="24"/>
        </w:rPr>
        <w:t>）。</w:t>
      </w:r>
    </w:p>
    <w:p>
      <w:pPr>
        <w:pStyle w:val="16"/>
        <w:spacing w:after="0"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（二）公告期限：本公告期限自发布之日起</w:t>
      </w:r>
      <w:r>
        <w:rPr>
          <w:rFonts w:hint="eastAsia" w:asciiTheme="minorEastAsia" w:hAnsiTheme="minorEastAsia" w:eastAsiaTheme="minorEastAsia" w:cstheme="minorEastAsia"/>
          <w:color w:val="auto"/>
          <w:kern w:val="0"/>
          <w:sz w:val="24"/>
          <w:u w:val="single"/>
        </w:rPr>
        <w:t>三</w:t>
      </w:r>
      <w:r>
        <w:rPr>
          <w:rFonts w:hint="eastAsia" w:asciiTheme="minorEastAsia" w:hAnsiTheme="minorEastAsia" w:eastAsiaTheme="minorEastAsia" w:cstheme="minorEastAsia"/>
          <w:kern w:val="0"/>
          <w:sz w:val="24"/>
        </w:rPr>
        <w:t>个工作日</w:t>
      </w:r>
    </w:p>
    <w:bookmarkEnd w:id="22"/>
    <w:bookmarkEnd w:id="23"/>
    <w:p>
      <w:pPr>
        <w:pStyle w:val="3"/>
        <w:ind w:right="0" w:firstLine="482" w:firstLineChars="200"/>
        <w:rPr>
          <w:rFonts w:asciiTheme="minorEastAsia" w:hAnsiTheme="minorEastAsia" w:eastAsiaTheme="minorEastAsia" w:cstheme="minorEastAsia"/>
          <w:bCs/>
          <w:sz w:val="24"/>
          <w:szCs w:val="24"/>
        </w:rPr>
      </w:pPr>
      <w:bookmarkStart w:id="24" w:name="_Toc28359010"/>
      <w:bookmarkStart w:id="25" w:name="_Toc28359087"/>
      <w:r>
        <w:rPr>
          <w:rFonts w:hint="eastAsia" w:asciiTheme="minorEastAsia" w:hAnsiTheme="minorEastAsia" w:eastAsiaTheme="minorEastAsia" w:cstheme="minorEastAsia"/>
          <w:bCs/>
          <w:sz w:val="24"/>
          <w:szCs w:val="24"/>
        </w:rPr>
        <w:t>六、注册报名</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参与政府采购项目的供应商，需登录浙江省政府采购网（https://zfcg.czt.zj.gov.cn/）进行注册后报名。</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sz w:val="24"/>
        </w:rPr>
      </w:pPr>
      <w:r>
        <w:rPr>
          <w:rFonts w:hint="eastAsia" w:ascii="宋体" w:hAnsi="宋体" w:cs="宋体"/>
          <w:b/>
          <w:sz w:val="24"/>
        </w:rPr>
        <w:t>七、相关注意事项：</w:t>
      </w:r>
    </w:p>
    <w:p>
      <w:pPr>
        <w:spacing w:line="360" w:lineRule="auto"/>
        <w:ind w:firstLine="480" w:firstLineChars="200"/>
        <w:rPr>
          <w:rFonts w:ascii="宋体" w:hAnsi="宋体" w:cs="宋体"/>
          <w:sz w:val="24"/>
        </w:rPr>
      </w:pPr>
      <w:r>
        <w:rPr>
          <w:rFonts w:hint="eastAsia" w:ascii="宋体" w:hAnsi="宋体" w:cs="宋体"/>
          <w:sz w:val="24"/>
        </w:rPr>
        <w:t>（一）供应商认为采购文件使自己的权益受到损害的，可以自收到采购文件之日获取采购文件或者采购文件公告期限届满之日起7个工作日内，以书面形式一次性向采购人和采购代理机构提出同一环节的质疑，后续就采购过程、采购结果提出质疑的，也应在同一环节一次性提出。否则，被质疑人可不予受理、答复。质疑供应商对采购人、采购代理机构的答复不满意或者采购人、采购代理机构未在规定的时间内作出答复的，可以在答复期满后十五个工作日内向采购单位监督管理部门投诉。</w:t>
      </w:r>
    </w:p>
    <w:p>
      <w:pPr>
        <w:spacing w:line="360" w:lineRule="auto"/>
        <w:ind w:firstLine="480" w:firstLineChars="200"/>
        <w:rPr>
          <w:rFonts w:ascii="宋体" w:hAnsi="宋体" w:cs="宋体"/>
          <w:sz w:val="24"/>
        </w:rPr>
      </w:pPr>
      <w:r>
        <w:rPr>
          <w:rFonts w:hint="eastAsia" w:ascii="宋体" w:hAnsi="宋体" w:cs="宋体"/>
          <w:sz w:val="24"/>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19"/>
        <w:widowControl w:val="0"/>
        <w:spacing w:before="0" w:beforeAutospacing="0" w:after="0" w:afterAutospacing="0" w:line="360" w:lineRule="auto"/>
        <w:ind w:firstLine="482" w:firstLineChars="200"/>
        <w:jc w:val="both"/>
        <w:rPr>
          <w:rFonts w:hint="default" w:cs="宋体"/>
          <w:b/>
          <w:color w:val="000000"/>
          <w:kern w:val="2"/>
        </w:rPr>
      </w:pPr>
      <w:r>
        <w:rPr>
          <w:rFonts w:cs="宋体"/>
          <w:b/>
          <w:color w:val="000000"/>
          <w:kern w:val="2"/>
        </w:rPr>
        <w:t>八、其他补充事宜</w:t>
      </w:r>
    </w:p>
    <w:p>
      <w:pPr>
        <w:pStyle w:val="19"/>
        <w:widowControl w:val="0"/>
        <w:spacing w:before="0" w:beforeAutospacing="0" w:after="0" w:afterAutospacing="0" w:line="360" w:lineRule="auto"/>
        <w:ind w:firstLine="480" w:firstLineChars="200"/>
        <w:jc w:val="both"/>
        <w:rPr>
          <w:rFonts w:hint="default" w:cs="宋体"/>
          <w:color w:val="000000"/>
          <w:kern w:val="2"/>
        </w:rPr>
      </w:pPr>
      <w:r>
        <w:rPr>
          <w:rFonts w:cs="宋体"/>
          <w:color w:val="000000"/>
          <w:kern w:val="2"/>
        </w:rPr>
        <w:t>（一）《浙江省财政厅关于进一步发挥政府采购政策功能全力推动经济稳进提质的通知》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19"/>
        <w:widowControl w:val="0"/>
        <w:spacing w:before="0" w:beforeAutospacing="0" w:after="0" w:afterAutospacing="0" w:line="360" w:lineRule="auto"/>
        <w:ind w:firstLine="480" w:firstLineChars="200"/>
        <w:jc w:val="both"/>
        <w:rPr>
          <w:rFonts w:cs="宋体"/>
          <w:color w:val="000000"/>
          <w:kern w:val="2"/>
        </w:rPr>
      </w:pPr>
      <w:r>
        <w:rPr>
          <w:rFonts w:cs="宋体"/>
          <w:color w:val="000000"/>
          <w:kern w:val="2"/>
        </w:rPr>
        <w:t>（二）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9"/>
        <w:widowControl w:val="0"/>
        <w:spacing w:before="0" w:beforeAutospacing="0" w:after="0" w:afterAutospacing="0" w:line="360" w:lineRule="auto"/>
        <w:ind w:firstLine="480" w:firstLineChars="200"/>
        <w:jc w:val="both"/>
        <w:rPr>
          <w:rFonts w:hint="default" w:cs="宋体"/>
          <w:color w:val="000000"/>
          <w:kern w:val="2"/>
        </w:rPr>
      </w:pPr>
    </w:p>
    <w:p>
      <w:pPr>
        <w:spacing w:line="360" w:lineRule="auto"/>
        <w:ind w:firstLine="420" w:firstLineChars="200"/>
      </w:pPr>
      <w:r>
        <w:rPr>
          <w:rFonts w:hint="eastAsia" w:cs="宋体"/>
          <w:color w:val="000000"/>
        </w:rPr>
        <w:t>（三）</w:t>
      </w:r>
      <w:r>
        <w:rPr>
          <w:rFonts w:hint="eastAsia" w:ascii="宋体" w:hAnsi="宋体" w:cs="宋体"/>
          <w:sz w:val="24"/>
          <w:lang w:bidi="ar"/>
        </w:rPr>
        <w:t>中标供应商如有融资需求，可使用以下银行的政采贷服务。</w:t>
      </w:r>
    </w:p>
    <w:tbl>
      <w:tblPr>
        <w:tblStyle w:val="23"/>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1823"/>
        <w:gridCol w:w="1687"/>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贷款年利率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联系人</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中国工商银行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3.8%起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王霖</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中国农业银行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3.8%起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龚盛</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中国建设银行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3.8%起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梅晶晶</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88525339</w:t>
            </w:r>
          </w:p>
          <w:p>
            <w:pPr>
              <w:jc w:val="center"/>
              <w:rPr>
                <w:rFonts w:ascii="宋体" w:hAnsi="宋体" w:cs="宋体"/>
                <w:sz w:val="24"/>
              </w:rPr>
            </w:pPr>
            <w:r>
              <w:rPr>
                <w:rFonts w:hint="eastAsia" w:ascii="宋体" w:hAnsi="宋体" w:cs="宋体"/>
                <w:sz w:val="24"/>
                <w:lang w:bidi="ar"/>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中国银行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3.75%起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任茜</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浦发银行台州分行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4.05%起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王渊</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浦发银行椒江分行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4.05%起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孙瑞华</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交通银行台州分行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3.75%起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周翔宇</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招商银行台州分行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4.32%起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王海玲</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浙商银行台州分行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5.01%起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章涉漪</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81880185</w:t>
            </w:r>
          </w:p>
          <w:p>
            <w:pPr>
              <w:jc w:val="center"/>
              <w:rPr>
                <w:rFonts w:ascii="宋体" w:hAnsi="宋体" w:cs="宋体"/>
                <w:sz w:val="24"/>
              </w:rPr>
            </w:pPr>
            <w:r>
              <w:rPr>
                <w:rFonts w:hint="eastAsia" w:ascii="宋体" w:hAnsi="宋体" w:cs="宋体"/>
                <w:sz w:val="24"/>
                <w:lang w:bidi="ar"/>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中信银行台州分行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4.15%起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陈金园</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华夏银行台州分行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邱明达</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81871518</w:t>
            </w:r>
          </w:p>
          <w:p>
            <w:pPr>
              <w:jc w:val="center"/>
              <w:rPr>
                <w:rFonts w:ascii="宋体" w:hAnsi="宋体" w:cs="宋体"/>
                <w:sz w:val="24"/>
              </w:rPr>
            </w:pPr>
            <w:r>
              <w:rPr>
                <w:rFonts w:hint="eastAsia" w:ascii="宋体" w:hAnsi="宋体" w:cs="宋体"/>
                <w:sz w:val="24"/>
                <w:lang w:bidi="ar"/>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泰隆银行开发区支行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5.6%起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梁宛莉</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民泰银行椒江支行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5.8%起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陈慧珠</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绍兴银行台州分行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5.1%起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郭庭斌</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温州银行台州分行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4.55%起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王晓波</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平安银行台州分行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6.53%起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李俊丽</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宁波银行台州分行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4.35%起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戴莉丽</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金华银行台州分行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4.05%起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金雪婷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81886670</w:t>
            </w:r>
          </w:p>
          <w:p>
            <w:pPr>
              <w:jc w:val="center"/>
              <w:rPr>
                <w:rFonts w:ascii="宋体" w:hAnsi="宋体" w:cs="宋体"/>
                <w:sz w:val="24"/>
              </w:rPr>
            </w:pPr>
            <w:r>
              <w:rPr>
                <w:rFonts w:hint="eastAsia" w:ascii="宋体" w:hAnsi="宋体" w:cs="宋体"/>
                <w:sz w:val="24"/>
                <w:lang w:bidi="ar"/>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台州银行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5.6%起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洪婷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邮储银行台州分行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3.85%起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董庆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81888982</w:t>
            </w:r>
          </w:p>
          <w:p>
            <w:pPr>
              <w:jc w:val="center"/>
              <w:rPr>
                <w:rFonts w:ascii="宋体" w:hAnsi="宋体" w:cs="宋体"/>
                <w:sz w:val="24"/>
              </w:rPr>
            </w:pPr>
            <w:r>
              <w:rPr>
                <w:rFonts w:hint="eastAsia" w:ascii="宋体" w:hAnsi="宋体" w:cs="宋体"/>
                <w:sz w:val="24"/>
                <w:lang w:bidi="ar"/>
              </w:rPr>
              <w:t>18957683735</w:t>
            </w:r>
          </w:p>
        </w:tc>
      </w:tr>
    </w:tbl>
    <w:p>
      <w:pPr>
        <w:pStyle w:val="3"/>
        <w:ind w:right="0" w:firstLine="482" w:firstLineChars="200"/>
        <w:rPr>
          <w:rFonts w:asciiTheme="minorEastAsia" w:hAnsiTheme="minorEastAsia" w:eastAsiaTheme="minorEastAsia" w:cstheme="minorEastAsia"/>
          <w:bCs/>
          <w:sz w:val="24"/>
          <w:szCs w:val="24"/>
        </w:rPr>
      </w:pPr>
      <w:bookmarkStart w:id="26" w:name="_Toc28359008"/>
      <w:bookmarkStart w:id="27" w:name="_Toc35393627"/>
      <w:bookmarkStart w:id="28" w:name="_Toc35393796"/>
      <w:bookmarkStart w:id="29" w:name="_Toc28359085"/>
      <w:r>
        <w:rPr>
          <w:rFonts w:hint="eastAsia" w:asciiTheme="minorEastAsia" w:hAnsiTheme="minorEastAsia" w:eastAsiaTheme="minorEastAsia" w:cstheme="minorEastAsia"/>
          <w:bCs/>
          <w:sz w:val="24"/>
          <w:szCs w:val="24"/>
        </w:rPr>
        <w:t>九、联系</w:t>
      </w:r>
      <w:bookmarkEnd w:id="26"/>
      <w:bookmarkEnd w:id="27"/>
      <w:bookmarkEnd w:id="28"/>
      <w:bookmarkEnd w:id="29"/>
      <w:r>
        <w:rPr>
          <w:rFonts w:hint="eastAsia" w:asciiTheme="minorEastAsia" w:hAnsiTheme="minorEastAsia" w:eastAsiaTheme="minorEastAsia" w:cstheme="minorEastAsia"/>
          <w:bCs/>
          <w:sz w:val="24"/>
          <w:szCs w:val="24"/>
        </w:rPr>
        <w:t>方式</w:t>
      </w:r>
    </w:p>
    <w:p>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（一）采购人（受理磋商文件相关质疑及答复）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宋体" w:hAnsi="宋体" w:cs="宋体"/>
          <w:sz w:val="24"/>
          <w:u w:val="single"/>
        </w:rPr>
        <w:t>台州市椒江区农业农村和水利局</w:t>
      </w:r>
    </w:p>
    <w:p>
      <w:pPr>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r>
        <w:rPr>
          <w:rFonts w:hint="eastAsia" w:ascii="宋体" w:hAnsi="宋体" w:cs="宋体"/>
          <w:sz w:val="24"/>
          <w:u w:val="single"/>
        </w:rPr>
        <w:t>台州市椒江区桔园路189号。</w:t>
      </w:r>
    </w:p>
    <w:p>
      <w:pPr>
        <w:spacing w:line="360" w:lineRule="auto"/>
        <w:ind w:firstLine="480" w:firstLineChars="200"/>
        <w:jc w:val="left"/>
        <w:rPr>
          <w:rFonts w:ascii="宋体" w:hAnsi="宋体" w:cs="宋体"/>
          <w:sz w:val="24"/>
        </w:rPr>
      </w:pPr>
      <w:bookmarkStart w:id="30" w:name="_Toc28359009"/>
      <w:bookmarkStart w:id="31" w:name="_Toc28359086"/>
      <w:r>
        <w:rPr>
          <w:rFonts w:hint="eastAsia" w:ascii="宋体" w:hAnsi="宋体" w:cs="宋体"/>
          <w:sz w:val="24"/>
        </w:rPr>
        <w:t>询问联系人：</w:t>
      </w:r>
      <w:r>
        <w:rPr>
          <w:rFonts w:hint="eastAsia" w:ascii="宋体" w:hAnsi="宋体" w:cs="宋体"/>
          <w:sz w:val="24"/>
          <w:u w:val="single"/>
        </w:rPr>
        <w:t>虞老师</w:t>
      </w:r>
      <w:r>
        <w:rPr>
          <w:rFonts w:hint="eastAsia" w:ascii="宋体" w:hAnsi="宋体" w:cs="宋体"/>
          <w:sz w:val="24"/>
        </w:rPr>
        <w:t xml:space="preserve">    联系电话：</w:t>
      </w:r>
      <w:r>
        <w:rPr>
          <w:rFonts w:hint="eastAsia" w:ascii="宋体" w:hAnsi="宋体" w:cs="宋体"/>
          <w:sz w:val="24"/>
          <w:u w:val="single"/>
        </w:rPr>
        <w:t>0576-88600360</w:t>
      </w:r>
    </w:p>
    <w:p>
      <w:pPr>
        <w:spacing w:line="360" w:lineRule="auto"/>
        <w:ind w:firstLine="480" w:firstLineChars="200"/>
        <w:jc w:val="left"/>
        <w:rPr>
          <w:rFonts w:ascii="宋体" w:hAnsi="宋体" w:cs="宋体"/>
          <w:sz w:val="24"/>
        </w:rPr>
      </w:pPr>
      <w:r>
        <w:rPr>
          <w:rFonts w:hint="eastAsia" w:ascii="宋体" w:hAnsi="宋体" w:cs="宋体"/>
          <w:sz w:val="24"/>
        </w:rPr>
        <w:t>质疑联系人：</w:t>
      </w:r>
      <w:r>
        <w:rPr>
          <w:rFonts w:hint="eastAsia" w:ascii="宋体" w:hAnsi="宋体" w:cs="宋体"/>
          <w:sz w:val="24"/>
          <w:u w:val="single"/>
        </w:rPr>
        <w:t>马老师</w:t>
      </w:r>
      <w:r>
        <w:rPr>
          <w:rFonts w:hint="eastAsia" w:ascii="宋体" w:hAnsi="宋体" w:cs="宋体"/>
          <w:sz w:val="24"/>
        </w:rPr>
        <w:t xml:space="preserve">    联系电话：</w:t>
      </w:r>
      <w:r>
        <w:rPr>
          <w:rFonts w:hint="eastAsia" w:ascii="宋体" w:hAnsi="宋体" w:cs="宋体"/>
          <w:sz w:val="24"/>
          <w:u w:val="single"/>
        </w:rPr>
        <w:t>0576-88600382</w:t>
      </w:r>
    </w:p>
    <w:bookmarkEnd w:id="30"/>
    <w:bookmarkEnd w:id="31"/>
    <w:p>
      <w:pPr>
        <w:spacing w:line="360" w:lineRule="auto"/>
        <w:ind w:firstLine="480" w:firstLineChars="200"/>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台州天兴工程管理咨询有限公司</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浙江省台州市椒江区海门街道建设路105-16号</w:t>
      </w:r>
    </w:p>
    <w:p>
      <w:pPr>
        <w:spacing w:line="360" w:lineRule="auto"/>
        <w:ind w:firstLine="480" w:firstLineChars="200"/>
        <w:jc w:val="left"/>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陈先生</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15057620383</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洪先生（受理注册、中标结果相关质疑及答复）</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0576-88322665</w:t>
      </w:r>
    </w:p>
    <w:p>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rPr>
        <w:t>洪先生</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0576-88322665</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（三）同级政府采购监管机构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台州市椒江区财政局政府采购监管科</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台州市椒江区建设路6号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Theme="minorEastAsia" w:hAnsiTheme="minorEastAsia" w:eastAsiaTheme="minorEastAsia" w:cstheme="minorEastAsia"/>
          <w:sz w:val="24"/>
          <w:u w:val="single"/>
          <w:lang w:eastAsia="zh-CN" w:bidi="ar"/>
        </w:rPr>
        <w:t>李</w:t>
      </w:r>
      <w:r>
        <w:rPr>
          <w:rFonts w:hint="eastAsia" w:asciiTheme="minorEastAsia" w:hAnsiTheme="minorEastAsia" w:eastAsiaTheme="minorEastAsia" w:cstheme="minorEastAsia"/>
          <w:sz w:val="24"/>
          <w:u w:val="single"/>
          <w:lang w:bidi="ar"/>
        </w:rPr>
        <w:t>老师</w:t>
      </w:r>
    </w:p>
    <w:p>
      <w:pPr>
        <w:spacing w:line="360" w:lineRule="auto"/>
        <w:ind w:firstLine="480" w:firstLineChars="200"/>
        <w:jc w:val="left"/>
        <w:rPr>
          <w:rFonts w:hint="eastAsia" w:asciiTheme="minorEastAsia" w:hAnsiTheme="minorEastAsia" w:eastAsiaTheme="minorEastAsia" w:cstheme="minorEastAsia"/>
          <w:sz w:val="24"/>
          <w:u w:val="single"/>
          <w:lang w:val="en-US" w:eastAsia="zh-CN" w:bidi="ar"/>
        </w:rPr>
      </w:pPr>
      <w:r>
        <w:rPr>
          <w:rFonts w:hint="eastAsia" w:ascii="宋体" w:hAnsi="宋体" w:cs="宋体"/>
          <w:sz w:val="24"/>
        </w:rPr>
        <w:t>联系电话：</w:t>
      </w:r>
      <w:r>
        <w:rPr>
          <w:rFonts w:hint="eastAsia" w:asciiTheme="minorEastAsia" w:hAnsiTheme="minorEastAsia" w:eastAsiaTheme="minorEastAsia" w:cstheme="minorEastAsia"/>
          <w:sz w:val="24"/>
          <w:u w:val="single"/>
          <w:lang w:bidi="ar"/>
        </w:rPr>
        <w:t>0576-8822</w:t>
      </w:r>
      <w:r>
        <w:rPr>
          <w:rFonts w:hint="eastAsia" w:asciiTheme="minorEastAsia" w:hAnsiTheme="minorEastAsia" w:eastAsiaTheme="minorEastAsia" w:cstheme="minorEastAsia"/>
          <w:sz w:val="24"/>
          <w:u w:val="single"/>
          <w:lang w:val="en-US" w:eastAsia="zh-CN" w:bidi="ar"/>
        </w:rPr>
        <w:t>3583</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Theme="minorEastAsia" w:hAnsiTheme="minorEastAsia" w:eastAsiaTheme="minorEastAsia" w:cstheme="minorEastAsia"/>
          <w:sz w:val="24"/>
          <w:u w:val="single"/>
          <w:lang w:eastAsia="zh-CN" w:bidi="ar"/>
        </w:rPr>
        <w:t>王</w:t>
      </w:r>
      <w:r>
        <w:rPr>
          <w:rFonts w:hint="eastAsia" w:asciiTheme="minorEastAsia" w:hAnsiTheme="minorEastAsia" w:eastAsiaTheme="minorEastAsia" w:cstheme="minorEastAsia"/>
          <w:sz w:val="24"/>
          <w:u w:val="single"/>
          <w:lang w:bidi="ar"/>
        </w:rPr>
        <w:t>老师</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联系电话：</w:t>
      </w:r>
      <w:r>
        <w:rPr>
          <w:rFonts w:hint="eastAsia" w:ascii="宋体" w:hAnsi="宋体" w:cs="宋体"/>
          <w:sz w:val="24"/>
          <w:u w:val="single"/>
        </w:rPr>
        <w:t>0576-8822</w:t>
      </w:r>
      <w:r>
        <w:rPr>
          <w:rFonts w:hint="eastAsia" w:ascii="宋体" w:hAnsi="宋体" w:cs="宋体"/>
          <w:sz w:val="24"/>
          <w:u w:val="single"/>
          <w:lang w:val="en-US" w:eastAsia="zh-CN"/>
        </w:rPr>
        <w:t>5817</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（四）政采云平台</w:t>
      </w:r>
    </w:p>
    <w:p>
      <w:pPr>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single"/>
        </w:rPr>
        <w:t>95763</w:t>
      </w:r>
    </w:p>
    <w:p>
      <w:pPr>
        <w:spacing w:line="360" w:lineRule="auto"/>
        <w:ind w:firstLine="480" w:firstLineChars="200"/>
        <w:jc w:val="right"/>
        <w:rPr>
          <w:rFonts w:ascii="宋体" w:hAnsi="宋体" w:cs="宋体"/>
          <w:sz w:val="24"/>
          <w:shd w:val="clear" w:color="auto" w:fill="FFFFFF"/>
        </w:rPr>
      </w:pPr>
      <w:r>
        <w:rPr>
          <w:rFonts w:hint="eastAsia" w:ascii="宋体" w:hAnsi="宋体" w:cs="宋体"/>
          <w:sz w:val="24"/>
          <w:shd w:val="clear" w:color="auto" w:fill="FFFFFF"/>
        </w:rPr>
        <w:t>台州天兴工程管理咨询有限公司</w:t>
      </w: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eastAsia="zh-CN"/>
        </w:rPr>
        <w:t>2024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kern w:val="0"/>
          <w:sz w:val="24"/>
        </w:rPr>
        <w:t>月</w:t>
      </w:r>
    </w:p>
    <w:p>
      <w:pPr>
        <w:spacing w:line="360" w:lineRule="auto"/>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p>
      <w:pPr>
        <w:pStyle w:val="16"/>
        <w:rPr>
          <w:rFonts w:eastAsiaTheme="minorEastAsia"/>
        </w:rPr>
      </w:pPr>
    </w:p>
    <w:bookmarkEnd w:id="24"/>
    <w:bookmarkEnd w:id="25"/>
    <w:p>
      <w:pPr>
        <w:numPr>
          <w:ilvl w:val="0"/>
          <w:numId w:val="4"/>
        </w:numPr>
        <w:spacing w:line="360" w:lineRule="auto"/>
        <w:jc w:val="center"/>
        <w:outlineLvl w:val="0"/>
        <w:rPr>
          <w:rFonts w:asciiTheme="minorEastAsia" w:hAnsiTheme="minorEastAsia" w:eastAsiaTheme="minorEastAsia"/>
          <w:b/>
          <w:sz w:val="36"/>
          <w:szCs w:val="36"/>
        </w:rPr>
      </w:pPr>
      <w:bookmarkStart w:id="32" w:name="_Toc6994"/>
      <w:r>
        <w:rPr>
          <w:rFonts w:hint="eastAsia" w:asciiTheme="minorEastAsia" w:hAnsiTheme="minorEastAsia" w:eastAsiaTheme="minorEastAsia"/>
          <w:b/>
          <w:sz w:val="36"/>
          <w:szCs w:val="36"/>
        </w:rPr>
        <w:t>供应商须知</w:t>
      </w:r>
      <w:bookmarkEnd w:id="32"/>
    </w:p>
    <w:p>
      <w:pPr>
        <w:numPr>
          <w:ilvl w:val="0"/>
          <w:numId w:val="5"/>
        </w:num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3"/>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color w:val="111F2C"/>
                <w:sz w:val="24"/>
                <w:shd w:val="clear" w:color="auto" w:fill="FFFFFF"/>
              </w:rPr>
              <w:t>☑ 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color w:val="111F2C"/>
                <w:sz w:val="24"/>
                <w:shd w:val="clear" w:color="auto" w:fill="FFFFFF"/>
              </w:rPr>
              <w:t>☑ 不允许/□ 允许，</w:t>
            </w:r>
            <w:r>
              <w:rPr>
                <w:rFonts w:hint="eastAsia" w:ascii="宋体" w:hAnsi="宋体" w:cs="宋体"/>
                <w:sz w:val="24"/>
                <w:shd w:val="clear" w:color="auto" w:fill="FFFFFF"/>
              </w:rPr>
              <w:t>但主体部分不得分包，详见招标需求内容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color w:val="111F2C"/>
                <w:sz w:val="24"/>
                <w:shd w:val="clear" w:color="auto" w:fill="FFFFFF"/>
              </w:rPr>
              <w:t>☑ 否/□ 是，具体清单见招标需求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答疑会或</w:t>
            </w:r>
          </w:p>
          <w:p>
            <w:pPr>
              <w:rPr>
                <w:rFonts w:ascii="宋体" w:hAnsi="宋体" w:cs="宋体"/>
                <w:kern w:val="0"/>
                <w:sz w:val="24"/>
              </w:rPr>
            </w:pPr>
            <w:r>
              <w:rPr>
                <w:rFonts w:hint="eastAsia" w:ascii="宋体" w:hAnsi="宋体" w:cs="宋体"/>
                <w:sz w:val="24"/>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请供应商仔细阅读“政府采购项目电子交易操作指南”。</w:t>
            </w:r>
          </w:p>
          <w:p>
            <w:pPr>
              <w:wordWrap w:val="0"/>
              <w:ind w:firstLine="480" w:firstLineChars="200"/>
              <w:rPr>
                <w:rFonts w:ascii="宋体" w:hAnsi="宋体" w:cs="宋体"/>
                <w:sz w:val="24"/>
              </w:rPr>
            </w:pPr>
            <w:r>
              <w:rPr>
                <w:rFonts w:hint="eastAsia" w:ascii="宋体" w:hAnsi="宋体" w:cs="宋体"/>
                <w:sz w:val="24"/>
              </w:rPr>
              <w:t>1.响应文件的制作：供应商按照本项目磋商文件和政采云平台的要求,通过政采云电子交易客户端编制、加密并递交响应文件（下载网址：</w:t>
            </w:r>
            <w:r>
              <w:fldChar w:fldCharType="begin"/>
            </w:r>
            <w:r>
              <w:instrText xml:space="preserve"> HYPERLINK "http://www.zjzfcg.gov.cn/bidClientTemplate/2019-09-24/12975.html）。" </w:instrText>
            </w:r>
            <w:r>
              <w:fldChar w:fldCharType="separate"/>
            </w:r>
            <w:r>
              <w:rPr>
                <w:rFonts w:hint="eastAsia" w:ascii="宋体" w:hAnsi="宋体" w:cs="宋体"/>
                <w:sz w:val="24"/>
              </w:rPr>
              <w:t>https://zfcg.czt.zj.gov.cn/download/index.html）。</w:t>
            </w:r>
            <w:r>
              <w:rPr>
                <w:rFonts w:hint="eastAsia" w:ascii="宋体" w:hAnsi="宋体" w:cs="宋体"/>
                <w:sz w:val="24"/>
              </w:rPr>
              <w:fldChar w:fldCharType="end"/>
            </w:r>
          </w:p>
          <w:p>
            <w:pPr>
              <w:ind w:firstLine="480" w:firstLineChars="200"/>
              <w:rPr>
                <w:rFonts w:ascii="宋体" w:hAnsi="宋体" w:cs="宋体"/>
                <w:sz w:val="24"/>
              </w:rPr>
            </w:pPr>
            <w:r>
              <w:rPr>
                <w:rFonts w:hint="eastAsia" w:ascii="宋体" w:hAnsi="宋体" w:cs="宋体"/>
                <w:sz w:val="24"/>
              </w:rPr>
              <w:t>2.递交响应文件：供应商应当在响应截止时间前（磋商当天北京时间</w:t>
            </w:r>
            <w:r>
              <w:rPr>
                <w:rFonts w:hint="eastAsia" w:ascii="宋体" w:hAnsi="宋体" w:cs="宋体"/>
                <w:b/>
                <w:bCs/>
                <w:sz w:val="24"/>
                <w:u w:val="single"/>
                <w:lang w:val="en-US" w:eastAsia="zh-CN"/>
              </w:rPr>
              <w:t>14</w:t>
            </w:r>
            <w:r>
              <w:rPr>
                <w:rFonts w:hint="eastAsia" w:ascii="宋体" w:hAnsi="宋体" w:cs="宋体"/>
                <w:b/>
                <w:bCs/>
                <w:sz w:val="24"/>
                <w:u w:val="single"/>
              </w:rPr>
              <w:t>:</w:t>
            </w:r>
            <w:r>
              <w:rPr>
                <w:rFonts w:hint="eastAsia" w:ascii="宋体" w:hAnsi="宋体" w:cs="宋体"/>
                <w:b/>
                <w:bCs/>
                <w:sz w:val="24"/>
                <w:u w:val="single"/>
                <w:lang w:val="en-US" w:eastAsia="zh-CN"/>
              </w:rPr>
              <w:t>30</w:t>
            </w:r>
            <w:r>
              <w:rPr>
                <w:rFonts w:hint="eastAsia" w:ascii="宋体" w:hAnsi="宋体" w:cs="宋体"/>
                <w:sz w:val="24"/>
              </w:rPr>
              <w:t>）完成响应文件的递交，逾期递交的响应文件恕不接受。补充或者修改响应文件的，应当先行撤回原文件，补充、修改后重新递交。响应截止时间前未完成递交的，视为撤回响应文件。</w:t>
            </w:r>
          </w:p>
          <w:p>
            <w:pPr>
              <w:ind w:firstLine="480" w:firstLineChars="200"/>
              <w:rPr>
                <w:rFonts w:ascii="宋体" w:hAnsi="宋体" w:cs="宋体"/>
                <w:kern w:val="0"/>
                <w:sz w:val="24"/>
              </w:rPr>
            </w:pPr>
            <w:r>
              <w:rPr>
                <w:rFonts w:hint="eastAsia" w:ascii="宋体" w:hAnsi="宋体" w:cs="宋体"/>
                <w:sz w:val="24"/>
              </w:rPr>
              <w:t>3.响应文件解密：供应商应在开标当天北京时间</w:t>
            </w:r>
            <w:r>
              <w:rPr>
                <w:rFonts w:hint="eastAsia" w:ascii="宋体" w:hAnsi="宋体" w:cs="宋体"/>
                <w:b/>
                <w:bCs/>
                <w:sz w:val="24"/>
                <w:u w:val="single"/>
                <w:lang w:val="en-US" w:eastAsia="zh-CN"/>
              </w:rPr>
              <w:t>14</w:t>
            </w:r>
            <w:r>
              <w:rPr>
                <w:rFonts w:hint="eastAsia" w:ascii="宋体" w:hAnsi="宋体" w:cs="宋体"/>
                <w:b/>
                <w:bCs/>
                <w:sz w:val="24"/>
                <w:u w:val="single"/>
              </w:rPr>
              <w:t>:</w:t>
            </w:r>
            <w:r>
              <w:rPr>
                <w:rFonts w:hint="eastAsia" w:ascii="宋体" w:hAnsi="宋体" w:cs="宋体"/>
                <w:b/>
                <w:bCs/>
                <w:sz w:val="24"/>
                <w:u w:val="single"/>
                <w:lang w:val="en-US" w:eastAsia="zh-CN"/>
              </w:rPr>
              <w:t>30</w:t>
            </w:r>
            <w:r>
              <w:rPr>
                <w:rFonts w:hint="eastAsia" w:ascii="宋体" w:hAnsi="宋体" w:cs="宋体"/>
                <w:sz w:val="24"/>
              </w:rPr>
              <w:t>至</w:t>
            </w:r>
            <w:r>
              <w:rPr>
                <w:rFonts w:hint="eastAsia" w:ascii="宋体" w:hAnsi="宋体" w:cs="宋体"/>
                <w:b/>
                <w:bCs/>
                <w:sz w:val="24"/>
                <w:u w:val="single"/>
                <w:lang w:val="en-US" w:eastAsia="zh-CN"/>
              </w:rPr>
              <w:t>15</w:t>
            </w:r>
            <w:r>
              <w:rPr>
                <w:rFonts w:hint="eastAsia" w:ascii="宋体" w:hAnsi="宋体" w:cs="宋体"/>
                <w:b/>
                <w:bCs/>
                <w:sz w:val="24"/>
                <w:u w:val="single"/>
              </w:rPr>
              <w:t>:</w:t>
            </w:r>
            <w:r>
              <w:rPr>
                <w:rFonts w:hint="eastAsia" w:ascii="宋体" w:hAnsi="宋体" w:cs="宋体"/>
                <w:b/>
                <w:bCs/>
                <w:sz w:val="24"/>
                <w:u w:val="single"/>
                <w:lang w:val="en-US" w:eastAsia="zh-CN"/>
              </w:rPr>
              <w:t>00</w:t>
            </w:r>
            <w:r>
              <w:rPr>
                <w:rFonts w:hint="eastAsia" w:ascii="宋体" w:hAnsi="宋体" w:cs="宋体"/>
                <w:sz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16"/>
              <w:spacing w:after="0"/>
              <w:ind w:left="0" w:leftChars="0" w:firstLine="0"/>
              <w:rPr>
                <w:rFonts w:ascii="宋体" w:hAnsi="宋体" w:cs="宋体"/>
                <w:kern w:val="0"/>
                <w:sz w:val="24"/>
              </w:rPr>
            </w:pPr>
            <w:r>
              <w:rPr>
                <w:rFonts w:hint="eastAsia" w:ascii="宋体" w:hAnsi="宋体" w:cs="宋体"/>
                <w:sz w:val="24"/>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16"/>
              <w:spacing w:after="0"/>
              <w:ind w:left="0" w:leftChars="0" w:firstLine="480" w:firstLineChars="200"/>
              <w:rPr>
                <w:rFonts w:ascii="宋体" w:hAnsi="宋体" w:cs="宋体"/>
                <w:sz w:val="24"/>
              </w:rPr>
            </w:pPr>
            <w:r>
              <w:rPr>
                <w:rFonts w:hint="eastAsia" w:ascii="宋体" w:hAnsi="宋体" w:cs="宋体"/>
                <w:sz w:val="24"/>
              </w:rPr>
              <w:t>备份响应文件是通过“政采云电子交易客户端”制做响应文件产生的备份文件（后缀名为“.bfbs”），请供应商自行决定是否提交（未提交产生的风险由供应商自担）。</w:t>
            </w:r>
          </w:p>
          <w:p>
            <w:pPr>
              <w:pStyle w:val="16"/>
              <w:spacing w:after="0"/>
              <w:ind w:left="0" w:leftChars="0" w:firstLine="480" w:firstLineChars="200"/>
              <w:rPr>
                <w:rFonts w:ascii="宋体" w:hAnsi="宋体" w:cs="宋体"/>
                <w:sz w:val="24"/>
              </w:rPr>
            </w:pPr>
            <w:r>
              <w:rPr>
                <w:rFonts w:hint="eastAsia" w:ascii="宋体" w:hAnsi="宋体" w:cs="宋体"/>
                <w:sz w:val="24"/>
              </w:rPr>
              <w:t>1.使用前提：供应商自行在线解密电子投标文件操作失败无法按时寻求技术人员帮助解密，或者寻求技术人员帮助仍无法按时完成解密。</w:t>
            </w:r>
          </w:p>
          <w:p>
            <w:pPr>
              <w:pStyle w:val="16"/>
              <w:spacing w:after="0"/>
              <w:ind w:left="0" w:leftChars="0" w:firstLine="480" w:firstLineChars="200"/>
              <w:rPr>
                <w:rFonts w:ascii="宋体" w:hAnsi="宋体" w:cs="宋体"/>
                <w:sz w:val="24"/>
              </w:rPr>
            </w:pPr>
            <w:r>
              <w:rPr>
                <w:rFonts w:hint="eastAsia" w:ascii="宋体" w:hAnsi="宋体" w:cs="宋体"/>
                <w:sz w:val="24"/>
              </w:rPr>
              <w:t>2.递交截止时间：响应截止时间（磋商当天</w:t>
            </w:r>
            <w:r>
              <w:rPr>
                <w:rFonts w:hint="eastAsia" w:ascii="宋体" w:hAnsi="宋体" w:cs="宋体"/>
                <w:b/>
                <w:bCs/>
                <w:sz w:val="24"/>
                <w:u w:val="single"/>
                <w:lang w:val="en-US" w:eastAsia="zh-CN"/>
              </w:rPr>
              <w:t>14</w:t>
            </w:r>
            <w:r>
              <w:rPr>
                <w:rFonts w:hint="eastAsia" w:ascii="宋体" w:hAnsi="宋体" w:cs="宋体"/>
                <w:b/>
                <w:bCs/>
                <w:sz w:val="24"/>
                <w:u w:val="single"/>
              </w:rPr>
              <w:t>:</w:t>
            </w:r>
            <w:r>
              <w:rPr>
                <w:rFonts w:hint="eastAsia" w:ascii="宋体" w:hAnsi="宋体" w:cs="宋体"/>
                <w:b/>
                <w:bCs/>
                <w:sz w:val="24"/>
                <w:u w:val="single"/>
                <w:lang w:val="en-US" w:eastAsia="zh-CN"/>
              </w:rPr>
              <w:t>3</w:t>
            </w:r>
            <w:bookmarkStart w:id="85" w:name="_GoBack"/>
            <w:bookmarkEnd w:id="85"/>
            <w:r>
              <w:rPr>
                <w:rFonts w:hint="eastAsia" w:ascii="宋体" w:hAnsi="宋体" w:cs="宋体"/>
                <w:b/>
                <w:bCs/>
                <w:sz w:val="24"/>
                <w:u w:val="single"/>
                <w:lang w:val="en-US" w:eastAsia="zh-CN"/>
              </w:rPr>
              <w:t>0</w:t>
            </w:r>
            <w:r>
              <w:rPr>
                <w:rFonts w:hint="eastAsia" w:ascii="宋体" w:hAnsi="宋体" w:cs="宋体"/>
                <w:sz w:val="24"/>
              </w:rPr>
              <w:t>北京时间）。</w:t>
            </w:r>
          </w:p>
          <w:p>
            <w:pPr>
              <w:pStyle w:val="16"/>
              <w:spacing w:after="0"/>
              <w:ind w:left="0" w:leftChars="0" w:firstLine="480" w:firstLineChars="200"/>
              <w:rPr>
                <w:rFonts w:ascii="宋体" w:hAnsi="宋体" w:cs="宋体"/>
                <w:sz w:val="24"/>
              </w:rPr>
            </w:pPr>
            <w:r>
              <w:rPr>
                <w:rFonts w:hint="eastAsia" w:ascii="宋体" w:hAnsi="宋体" w:cs="宋体"/>
                <w:sz w:val="24"/>
              </w:rPr>
              <w:t>3.投递方式：供应商在电子交易平台传输递交响应文件后，还可以在响应截止时间前提交以介质存储（U盘）的数据电文形式的备份响应文件，密封要求：【</w:t>
            </w:r>
            <w:r>
              <w:rPr>
                <w:rFonts w:hint="eastAsia" w:ascii="宋体" w:hAnsi="宋体" w:cs="宋体"/>
                <w:sz w:val="24"/>
                <w:lang w:val="en-US" w:eastAsia="zh-CN"/>
              </w:rPr>
              <w:t>U盘外须有完整的密封包装并标注供应商名称</w:t>
            </w:r>
            <w:r>
              <w:rPr>
                <w:rFonts w:hint="eastAsia" w:ascii="宋体" w:hAnsi="宋体" w:cs="宋体"/>
                <w:sz w:val="24"/>
              </w:rPr>
              <w:t>】；投递地址：【浙江省台州市椒江区海门街道建设路105-16号</w:t>
            </w:r>
            <w:r>
              <w:rPr>
                <w:rFonts w:hint="eastAsia" w:ascii="宋体" w:hAnsi="宋体" w:cs="宋体"/>
                <w:sz w:val="24"/>
                <w:lang w:eastAsia="zh-CN"/>
              </w:rPr>
              <w:t>，收件人陈先生，联系电话15057620383</w:t>
            </w:r>
            <w:r>
              <w:rPr>
                <w:rFonts w:hint="eastAsia" w:ascii="宋体" w:hAnsi="宋体" w:cs="宋体"/>
                <w:sz w:val="24"/>
              </w:rPr>
              <w:t>】</w:t>
            </w:r>
          </w:p>
          <w:p>
            <w:pPr>
              <w:pStyle w:val="16"/>
              <w:spacing w:after="0"/>
              <w:ind w:left="0" w:leftChars="0" w:firstLine="480" w:firstLineChars="200"/>
              <w:rPr>
                <w:rFonts w:ascii="宋体" w:hAnsi="宋体" w:cs="宋体"/>
                <w:color w:val="111F2C"/>
                <w:sz w:val="24"/>
                <w:shd w:val="clear" w:color="auto" w:fill="FFFFFF"/>
              </w:rPr>
            </w:pPr>
            <w:r>
              <w:rPr>
                <w:rFonts w:hint="eastAsia" w:ascii="宋体" w:hAnsi="宋体" w:cs="宋体"/>
                <w:sz w:val="24"/>
              </w:rPr>
              <w:t>4.未按上述要求递交备份响应文件或所提供的备份响应文件不符合要求的视同放弃本次磋商，</w:t>
            </w:r>
            <w:r>
              <w:rPr>
                <w:rFonts w:hint="eastAsia" w:ascii="宋体" w:hAnsi="宋体" w:cs="宋体"/>
                <w:color w:val="111F2C"/>
                <w:sz w:val="24"/>
                <w:shd w:val="clear" w:color="auto" w:fill="FFFFFF"/>
              </w:rPr>
              <w:t>仅提交备份响应文件的，磋商无效。</w:t>
            </w:r>
          </w:p>
          <w:p>
            <w:pPr>
              <w:pStyle w:val="16"/>
              <w:spacing w:after="0"/>
              <w:ind w:left="0" w:leftChars="0" w:firstLine="480" w:firstLineChars="200"/>
              <w:rPr>
                <w:rFonts w:ascii="宋体" w:hAnsi="宋体" w:cs="宋体"/>
                <w:color w:val="111F2C"/>
                <w:sz w:val="24"/>
                <w:shd w:val="clear" w:color="auto" w:fill="FFFFFF"/>
              </w:rPr>
            </w:pPr>
            <w:r>
              <w:rPr>
                <w:rFonts w:hint="eastAsia" w:ascii="宋体" w:hAnsi="宋体" w:cs="宋体"/>
                <w:sz w:val="24"/>
              </w:rPr>
              <w:t>5.成交供应商纸质备份文件的归档：成交后需提供纸质磋商响应文件给招标代理机构作为备案存档，纸质磋商响应文件系电子磋商响应文件纸质版，两者内容应一致；数量为：2份。邮寄到浙江省台州市台州市海门街道建设路105-16号</w:t>
            </w:r>
            <w:r>
              <w:rPr>
                <w:rFonts w:hint="eastAsia" w:ascii="宋体" w:hAnsi="宋体" w:cs="宋体"/>
                <w:sz w:val="24"/>
                <w:lang w:eastAsia="zh-CN"/>
              </w:rPr>
              <w:t>，收件人陈先生，联系电话15057620383</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9"/>
              <w:ind w:firstLine="0"/>
              <w:rPr>
                <w:rFonts w:ascii="宋体" w:hAnsi="宋体" w:cs="宋体"/>
                <w:kern w:val="0"/>
                <w:sz w:val="24"/>
                <w:szCs w:val="24"/>
              </w:rPr>
            </w:pPr>
            <w:r>
              <w:rPr>
                <w:rFonts w:hint="eastAsia" w:ascii="宋体" w:hAnsi="宋体" w:cs="宋体"/>
                <w:sz w:val="24"/>
                <w:szCs w:val="24"/>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19"/>
              <w:spacing w:before="0" w:beforeAutospacing="0" w:after="0" w:afterAutospacing="0"/>
              <w:ind w:firstLine="480" w:firstLineChars="200"/>
              <w:jc w:val="both"/>
              <w:rPr>
                <w:rFonts w:hint="default" w:cs="宋体"/>
              </w:rPr>
            </w:pPr>
            <w:r>
              <w:rPr>
                <w:rFonts w:cs="宋体"/>
              </w:rPr>
              <w:t>采购组织机构按照磋商文件规定的时间通过“政采云平台”组织开标，所有供应商均应当准时在线参加。如未参加，</w:t>
            </w:r>
            <w:r>
              <w:rPr>
                <w:rFonts w:cs="宋体"/>
                <w:bCs/>
              </w:rPr>
              <w:t>造成无法递交响应文件、递交失败等后果由供应商自行承担。</w:t>
            </w: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6"/>
              <w:ind w:firstLine="480" w:firstLineChars="200"/>
              <w:jc w:val="both"/>
              <w:rPr>
                <w:rFonts w:ascii="宋体" w:hAnsi="宋体" w:cs="宋体"/>
                <w:kern w:val="0"/>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9</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在线演示要求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6"/>
              <w:ind w:firstLine="480" w:firstLineChars="200"/>
              <w:jc w:val="both"/>
              <w:rPr>
                <w:rFonts w:ascii="宋体" w:hAnsi="宋体" w:cs="宋体"/>
                <w:kern w:val="0"/>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节能产品要求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6"/>
              <w:ind w:firstLine="480" w:firstLineChars="200"/>
              <w:jc w:val="both"/>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11</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环保产品要求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6"/>
              <w:ind w:firstLine="480" w:firstLineChars="200"/>
              <w:jc w:val="both"/>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480" w:firstLineChars="200"/>
              <w:rPr>
                <w:rFonts w:hAnsi="宋体" w:cs="宋体"/>
                <w:bCs/>
                <w:sz w:val="24"/>
              </w:rPr>
            </w:pPr>
            <w:r>
              <w:rPr>
                <w:rFonts w:hint="eastAsia" w:hAnsi="宋体" w:cs="宋体"/>
                <w:bCs/>
                <w:sz w:val="24"/>
              </w:rPr>
              <w:t>1.本项目实行电子采购，采用电子响应文件。若供应商参与本项目，自行承担磋商活动一切费用。</w:t>
            </w:r>
          </w:p>
          <w:p>
            <w:pPr>
              <w:pStyle w:val="12"/>
              <w:adjustRightInd w:val="0"/>
              <w:snapToGrid w:val="0"/>
              <w:ind w:firstLine="480" w:firstLineChars="200"/>
              <w:rPr>
                <w:rFonts w:hAnsi="宋体" w:cs="宋体"/>
                <w:sz w:val="24"/>
              </w:rPr>
            </w:pPr>
            <w:r>
              <w:rPr>
                <w:rFonts w:hint="eastAsia" w:hAnsi="宋体" w:cs="宋体"/>
                <w:bCs/>
                <w:sz w:val="24"/>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w:t>
            </w:r>
          </w:p>
          <w:p>
            <w:pPr>
              <w:snapToGrid w:val="0"/>
              <w:rPr>
                <w:rFonts w:ascii="宋体" w:hAnsi="宋体" w:cs="宋体"/>
                <w:sz w:val="24"/>
              </w:rPr>
            </w:pPr>
            <w:r>
              <w:rPr>
                <w:rFonts w:hint="eastAsia" w:ascii="宋体" w:hAnsi="宋体" w:cs="宋体"/>
                <w:sz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111F2C"/>
                <w:sz w:val="24"/>
                <w:shd w:val="clear" w:color="auto" w:fill="FFFFFF"/>
              </w:rPr>
            </w:pPr>
            <w:r>
              <w:rPr>
                <w:rFonts w:hint="eastAsia" w:ascii="宋体" w:hAnsi="宋体" w:cs="宋体"/>
                <w:sz w:val="24"/>
              </w:rPr>
              <w:t>根据《政府采购促进中小企业发展管理办法》财库〔2020〕46号文件的规定，本项目</w:t>
            </w:r>
            <w:r>
              <w:rPr>
                <w:rFonts w:hint="eastAsia" w:ascii="宋体" w:hAnsi="宋体" w:cs="宋体"/>
                <w:sz w:val="24"/>
                <w:lang w:eastAsia="zh-CN"/>
              </w:rPr>
              <w:t>□</w:t>
            </w:r>
            <w:r>
              <w:rPr>
                <w:rFonts w:hint="eastAsia" w:ascii="宋体" w:hAnsi="宋体" w:cs="宋体"/>
                <w:sz w:val="24"/>
              </w:rPr>
              <w:t xml:space="preserve"> 否/</w:t>
            </w:r>
            <w:r>
              <w:rPr>
                <w:rFonts w:hint="eastAsia" w:ascii="宋体" w:hAnsi="宋体" w:cs="宋体"/>
                <w:sz w:val="24"/>
                <w:lang w:eastAsia="zh-CN"/>
              </w:rPr>
              <w:t>☑</w:t>
            </w:r>
            <w:r>
              <w:rPr>
                <w:rFonts w:hint="eastAsia" w:ascii="宋体" w:hAnsi="宋体" w:cs="宋体"/>
                <w:sz w:val="24"/>
              </w:rPr>
              <w:t xml:space="preserve"> 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sz w:val="24"/>
                <w:lang w:eastAsia="zh-CN"/>
              </w:rPr>
            </w:pPr>
            <w:r>
              <w:rPr>
                <w:rFonts w:hint="eastAsia" w:ascii="宋体" w:hAnsi="宋体" w:cs="宋体"/>
                <w:sz w:val="24"/>
                <w:lang w:eastAsia="zh-CN"/>
              </w:rPr>
              <w:t>项目属性及</w:t>
            </w:r>
            <w:r>
              <w:rPr>
                <w:rFonts w:hint="eastAsia" w:ascii="宋体" w:hAnsi="宋体" w:cs="宋体"/>
                <w:sz w:val="24"/>
              </w:rPr>
              <w:t>中小企业</w:t>
            </w:r>
            <w:r>
              <w:rPr>
                <w:rFonts w:hint="eastAsia" w:ascii="宋体" w:hAnsi="宋体" w:cs="宋体"/>
                <w:sz w:val="24"/>
                <w:lang w:eastAsia="zh-CN"/>
              </w:rPr>
              <w:t>划分</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1.项目属性（服务类）</w:t>
            </w:r>
          </w:p>
          <w:p>
            <w:pPr>
              <w:snapToGrid w:val="0"/>
              <w:rPr>
                <w:rFonts w:ascii="宋体" w:hAnsi="宋体" w:cs="宋体"/>
                <w:sz w:val="24"/>
              </w:rPr>
            </w:pPr>
            <w:r>
              <w:rPr>
                <w:rFonts w:hint="eastAsia" w:ascii="宋体" w:hAnsi="宋体" w:cs="宋体"/>
                <w:sz w:val="24"/>
              </w:rPr>
              <w:t>2.中小企业划分标准所属行业（具体根据《中小企业划型标准规定》执行）</w:t>
            </w:r>
          </w:p>
          <w:p>
            <w:pPr>
              <w:snapToGrid w:val="0"/>
              <w:rPr>
                <w:rFonts w:hint="eastAsia" w:ascii="宋体" w:hAnsi="宋体" w:cs="宋体"/>
                <w:b/>
                <w:bCs/>
                <w:sz w:val="24"/>
              </w:rPr>
            </w:pPr>
            <w:r>
              <w:rPr>
                <w:rFonts w:hint="eastAsia" w:ascii="宋体" w:hAnsi="宋体" w:cs="宋体"/>
                <w:b/>
                <w:bCs/>
                <w:sz w:val="24"/>
              </w:rPr>
              <w:t>采购标的：</w:t>
            </w:r>
            <w:r>
              <w:rPr>
                <w:rFonts w:hint="eastAsia" w:ascii="宋体" w:hAnsi="宋体" w:cs="宋体"/>
                <w:b/>
                <w:bCs/>
                <w:sz w:val="24"/>
                <w:u w:val="single"/>
              </w:rPr>
              <w:t>农药包装废弃物集中处置</w:t>
            </w:r>
          </w:p>
          <w:p>
            <w:pPr>
              <w:snapToGrid w:val="0"/>
              <w:rPr>
                <w:rFonts w:ascii="宋体" w:hAnsi="宋体" w:cs="宋体"/>
                <w:sz w:val="24"/>
              </w:rPr>
            </w:pPr>
            <w:r>
              <w:rPr>
                <w:rFonts w:hint="eastAsia" w:ascii="宋体" w:hAnsi="宋体" w:cs="宋体"/>
                <w:b/>
                <w:bCs/>
                <w:sz w:val="24"/>
              </w:rPr>
              <w:t>所属行业：</w:t>
            </w:r>
            <w:r>
              <w:rPr>
                <w:rFonts w:hint="eastAsia" w:ascii="宋体" w:hAnsi="宋体" w:cs="宋体"/>
                <w:b/>
                <w:bCs/>
                <w:sz w:val="24"/>
                <w:u w:val="single"/>
              </w:rPr>
              <w:t>其他未列明行业</w:t>
            </w:r>
          </w:p>
          <w:p>
            <w:pPr>
              <w:snapToGrid w:val="0"/>
              <w:rPr>
                <w:rFonts w:ascii="宋体" w:hAnsi="宋体" w:cs="宋体"/>
                <w:sz w:val="24"/>
              </w:rPr>
            </w:pPr>
            <w:r>
              <w:rPr>
                <w:rFonts w:hint="eastAsia" w:ascii="宋体" w:hAnsi="宋体" w:cs="宋体"/>
                <w:sz w:val="24"/>
              </w:rPr>
              <w:t>划分标准如下：</w:t>
            </w:r>
            <w:r>
              <w:rPr>
                <w:rFonts w:ascii="宋体" w:hAnsi="宋体" w:cs="宋体"/>
                <w:sz w:val="24"/>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rPr>
            </w:pPr>
            <w:r>
              <w:rPr>
                <w:rFonts w:hint="eastAsia" w:ascii="宋体" w:hAnsi="宋体" w:cs="宋体"/>
                <w:sz w:val="24"/>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1、根据国家发改委发改价格〔2015〕299号通知，本次采购项目招标代理服务费按下表收费标准计算，本次服务费按保底人民币伍仟元收取，由中标供应商在中标通知书发出后5日内支付给采购代理机构。</w:t>
            </w:r>
          </w:p>
          <w:tbl>
            <w:tblPr>
              <w:tblStyle w:val="23"/>
              <w:tblW w:w="63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79"/>
              <w:gridCol w:w="1496"/>
              <w:gridCol w:w="1494"/>
              <w:gridCol w:w="14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 w:hRule="atLeast"/>
              </w:trPr>
              <w:tc>
                <w:tcPr>
                  <w:tcW w:w="1879" w:type="dxa"/>
                  <w:tcBorders>
                    <w:top w:val="single" w:color="auto" w:sz="8" w:space="0"/>
                    <w:left w:val="single" w:color="auto" w:sz="4" w:space="0"/>
                    <w:bottom w:val="single" w:color="auto" w:sz="8" w:space="0"/>
                    <w:right w:val="single" w:color="auto" w:sz="8" w:space="0"/>
                  </w:tcBorders>
                  <w:shd w:val="clear" w:color="auto" w:fill="FFFFFF"/>
                  <w:tcMar>
                    <w:left w:w="108" w:type="dxa"/>
                    <w:right w:w="108" w:type="dxa"/>
                  </w:tcMar>
                  <w:vAlign w:val="center"/>
                </w:tcPr>
                <w:p>
                  <w:pPr>
                    <w:snapToGrid w:val="0"/>
                    <w:spacing w:line="240" w:lineRule="auto"/>
                    <w:jc w:val="left"/>
                    <w:rPr>
                      <w:rFonts w:hint="eastAsia" w:ascii="宋体" w:hAnsi="宋体" w:eastAsia="宋体" w:cs="宋体"/>
                      <w:color w:val="auto"/>
                      <w:sz w:val="24"/>
                      <w:szCs w:val="24"/>
                      <w:lang w:eastAsia="zh-CN"/>
                    </w:rPr>
                  </w:pPr>
                </w:p>
                <w:p>
                  <w:pPr>
                    <w:snapToGrid w:val="0"/>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中标金额（万元）</w:t>
                  </w:r>
                </w:p>
                <w:p>
                  <w:pPr>
                    <w:snapToGrid w:val="0"/>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费率</w:t>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w:t>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类型</w:t>
                  </w:r>
                </w:p>
              </w:tc>
              <w:tc>
                <w:tcPr>
                  <w:tcW w:w="14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货物招标</w:t>
                  </w:r>
                </w:p>
              </w:tc>
              <w:tc>
                <w:tcPr>
                  <w:tcW w:w="149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服务招标</w:t>
                  </w:r>
                </w:p>
              </w:tc>
              <w:tc>
                <w:tcPr>
                  <w:tcW w:w="14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工程招标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51" w:hRule="atLeast"/>
              </w:trPr>
              <w:tc>
                <w:tcPr>
                  <w:tcW w:w="18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100以下</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494"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51" w:hRule="atLeast"/>
              </w:trPr>
              <w:tc>
                <w:tcPr>
                  <w:tcW w:w="18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100-500</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94"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0.8%</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1" w:hRule="atLeast"/>
              </w:trPr>
              <w:tc>
                <w:tcPr>
                  <w:tcW w:w="18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500-1000</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0.8%</w:t>
                  </w:r>
                </w:p>
              </w:tc>
              <w:tc>
                <w:tcPr>
                  <w:tcW w:w="1494"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0.45%</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51" w:hRule="atLeast"/>
              </w:trPr>
              <w:tc>
                <w:tcPr>
                  <w:tcW w:w="18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1000-5000</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0.5%</w:t>
                  </w:r>
                </w:p>
              </w:tc>
              <w:tc>
                <w:tcPr>
                  <w:tcW w:w="1494"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0.25%</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1" w:hRule="atLeast"/>
              </w:trPr>
              <w:tc>
                <w:tcPr>
                  <w:tcW w:w="18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5000-10000</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0.25%</w:t>
                  </w:r>
                </w:p>
              </w:tc>
              <w:tc>
                <w:tcPr>
                  <w:tcW w:w="1494"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0.1%</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5" w:hRule="atLeast"/>
              </w:trPr>
              <w:tc>
                <w:tcPr>
                  <w:tcW w:w="18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10000-100000</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0.05%</w:t>
                  </w:r>
                </w:p>
              </w:tc>
              <w:tc>
                <w:tcPr>
                  <w:tcW w:w="1494"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0.05%</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2" w:hRule="atLeast"/>
              </w:trPr>
              <w:tc>
                <w:tcPr>
                  <w:tcW w:w="187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1000000以上</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0.01%</w:t>
                  </w:r>
                </w:p>
              </w:tc>
              <w:tc>
                <w:tcPr>
                  <w:tcW w:w="1494"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0.01%</w:t>
                  </w:r>
                </w:p>
              </w:tc>
              <w:tc>
                <w:tcPr>
                  <w:tcW w:w="1496"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0.01%</w:t>
                  </w:r>
                </w:p>
              </w:tc>
            </w:tr>
          </w:tbl>
          <w:p>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2、服务费缴纳账户信息：</w:t>
            </w:r>
          </w:p>
          <w:p>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开户行：台州银行椒江支行    账号：540017383000015</w:t>
            </w:r>
          </w:p>
          <w:p>
            <w:pPr>
              <w:autoSpaceDE w:val="0"/>
              <w:autoSpaceDN w:val="0"/>
              <w:adjustRightInd w:val="0"/>
              <w:rPr>
                <w:rFonts w:ascii="宋体" w:hAnsi="宋体" w:cs="宋体"/>
                <w:sz w:val="24"/>
              </w:rPr>
            </w:pPr>
            <w:r>
              <w:rPr>
                <w:rFonts w:hint="eastAsia" w:ascii="宋体" w:hAnsi="宋体" w:eastAsia="宋体" w:cs="宋体"/>
                <w:kern w:val="0"/>
                <w:sz w:val="24"/>
                <w:lang w:val="zh-CN"/>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kern w:val="0"/>
                <w:sz w:val="24"/>
                <w:lang w:val="zh-CN"/>
              </w:rPr>
              <w:t>带“</w:t>
            </w:r>
            <w:r>
              <w:rPr>
                <w:rFonts w:hint="eastAsia" w:ascii="宋体" w:hAnsi="宋体" w:cs="宋体"/>
                <w:bCs/>
                <w:sz w:val="24"/>
              </w:rPr>
              <w:t>▲”的条款是实质性条款，磋商响应文件须作出实质性响应，否则作无效处理。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本采购文件解释权属于采购人和采购组织机构</w:t>
            </w:r>
          </w:p>
        </w:tc>
      </w:tr>
    </w:tbl>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numPr>
          <w:ilvl w:val="0"/>
          <w:numId w:val="6"/>
        </w:numPr>
        <w:spacing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w:t>
      </w:r>
      <w:r>
        <w:rPr>
          <w:rFonts w:hint="eastAsia" w:asciiTheme="minorEastAsia" w:hAnsiTheme="minorEastAsia" w:eastAsiaTheme="minorEastAsia"/>
          <w:sz w:val="24"/>
        </w:rPr>
        <w:t>磋商</w:t>
      </w:r>
      <w:r>
        <w:rPr>
          <w:rFonts w:asciiTheme="minorEastAsia" w:hAnsiTheme="minorEastAsia" w:eastAsiaTheme="minorEastAsia"/>
          <w:sz w:val="24"/>
        </w:rPr>
        <w:t>文件依据《中华人民共和国政府采购法》、《中华人民共和国政府采购法实施条例》（国务院令第658号）和</w:t>
      </w:r>
      <w:r>
        <w:rPr>
          <w:rFonts w:hAnsi="宋体"/>
          <w:sz w:val="24"/>
        </w:rPr>
        <w:t>《政府采购竞争性磋商采购方式管理暂行办法》</w:t>
      </w:r>
      <w:r>
        <w:rPr>
          <w:rFonts w:asciiTheme="minorEastAsia" w:hAnsiTheme="minorEastAsia" w:eastAsiaTheme="minorEastAsia"/>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Theme="minorEastAsia" w:hAnsiTheme="minorEastAsia" w:eastAsiaTheme="minorEastAsia"/>
          <w:sz w:val="24"/>
        </w:rPr>
        <w:t>）及国家和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w:t>
      </w:r>
      <w:r>
        <w:rPr>
          <w:rFonts w:asciiTheme="minorEastAsia" w:hAnsiTheme="minorEastAsia" w:eastAsiaTheme="minorEastAsia"/>
          <w:sz w:val="24"/>
        </w:rPr>
        <w:t>供应商应仔细阅读本项目</w:t>
      </w:r>
      <w:r>
        <w:rPr>
          <w:rFonts w:hint="eastAsia" w:asciiTheme="minorEastAsia" w:hAnsiTheme="minorEastAsia" w:eastAsiaTheme="minorEastAsia"/>
          <w:sz w:val="24"/>
        </w:rPr>
        <w:t>采购</w:t>
      </w:r>
      <w:r>
        <w:rPr>
          <w:rFonts w:asciiTheme="minorEastAsia" w:hAnsiTheme="minorEastAsia" w:eastAsiaTheme="minorEastAsia"/>
          <w:sz w:val="24"/>
        </w:rPr>
        <w:t>公告及</w:t>
      </w:r>
      <w:r>
        <w:rPr>
          <w:rFonts w:hint="eastAsia" w:asciiTheme="minorEastAsia" w:hAnsiTheme="minorEastAsia" w:eastAsiaTheme="minorEastAsia"/>
          <w:sz w:val="24"/>
        </w:rPr>
        <w:t>磋商</w:t>
      </w:r>
      <w:r>
        <w:rPr>
          <w:rFonts w:asciiTheme="minorEastAsia" w:hAnsiTheme="minorEastAsia" w:eastAsiaTheme="minorEastAsia"/>
          <w:sz w:val="24"/>
        </w:rPr>
        <w:t>文件的所有内容（包括变更、补充、澄清以及修改等，均为</w:t>
      </w:r>
      <w:r>
        <w:rPr>
          <w:rFonts w:hint="eastAsia" w:asciiTheme="minorEastAsia" w:hAnsiTheme="minorEastAsia" w:eastAsiaTheme="minorEastAsia"/>
          <w:sz w:val="24"/>
        </w:rPr>
        <w:t>磋商</w:t>
      </w:r>
      <w:r>
        <w:rPr>
          <w:rFonts w:asciiTheme="minorEastAsia" w:hAnsiTheme="minorEastAsia" w:eastAsiaTheme="minorEastAsia"/>
          <w:sz w:val="24"/>
        </w:rPr>
        <w:t>文件的组成部分），按照</w:t>
      </w:r>
      <w:r>
        <w:rPr>
          <w:rFonts w:hint="eastAsia" w:asciiTheme="minorEastAsia" w:hAnsiTheme="minorEastAsia" w:eastAsiaTheme="minorEastAsia"/>
          <w:sz w:val="24"/>
        </w:rPr>
        <w:t>磋商</w:t>
      </w:r>
      <w:r>
        <w:rPr>
          <w:rFonts w:asciiTheme="minorEastAsia" w:hAnsiTheme="minorEastAsia" w:eastAsiaTheme="minorEastAsia"/>
          <w:sz w:val="24"/>
        </w:rPr>
        <w:t>文件要求以及格式编制</w:t>
      </w:r>
      <w:r>
        <w:rPr>
          <w:rFonts w:hint="eastAsia" w:asciiTheme="minorEastAsia" w:hAnsiTheme="minorEastAsia" w:eastAsiaTheme="minorEastAsia"/>
          <w:sz w:val="24"/>
        </w:rPr>
        <w:t>磋商响应</w:t>
      </w:r>
      <w:r>
        <w:rPr>
          <w:rFonts w:asciiTheme="minorEastAsia" w:hAnsiTheme="minorEastAsia" w:eastAsiaTheme="minorEastAsia"/>
          <w:sz w:val="24"/>
        </w:rPr>
        <w:t>文件，并保证其真实性，否则</w:t>
      </w:r>
      <w:r>
        <w:rPr>
          <w:rFonts w:hint="eastAsia"/>
          <w:sz w:val="24"/>
        </w:rPr>
        <w:t>由此引起的一切后果应由</w:t>
      </w:r>
      <w:r>
        <w:rPr>
          <w:rFonts w:hint="eastAsia" w:asciiTheme="minorEastAsia" w:hAnsiTheme="minorEastAsia" w:eastAsiaTheme="minorEastAsia"/>
          <w:sz w:val="24"/>
        </w:rPr>
        <w:t>磋商</w:t>
      </w:r>
      <w:r>
        <w:rPr>
          <w:rFonts w:asciiTheme="minorEastAsia" w:hAnsiTheme="minorEastAsia" w:eastAsiaTheme="minorEastAsia"/>
          <w:sz w:val="24"/>
        </w:rPr>
        <w:t>供应商</w:t>
      </w:r>
      <w:r>
        <w:rPr>
          <w:rFonts w:hint="eastAsia"/>
          <w:sz w:val="24"/>
        </w:rPr>
        <w:t>承担</w:t>
      </w:r>
      <w:r>
        <w:rPr>
          <w:rFonts w:asciiTheme="minorEastAsia" w:hAnsiTheme="minorEastAsia" w:eastAsiaTheme="minorEastAsia"/>
          <w:sz w:val="24"/>
        </w:rPr>
        <w:t>。</w:t>
      </w:r>
    </w:p>
    <w:p>
      <w:pPr>
        <w:numPr>
          <w:ilvl w:val="0"/>
          <w:numId w:val="6"/>
        </w:numPr>
        <w:snapToGrid w:val="0"/>
        <w:spacing w:line="360" w:lineRule="auto"/>
        <w:ind w:firstLine="482" w:firstLineChars="200"/>
        <w:outlineLvl w:val="1"/>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本磋商文件适用于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w:t>
      </w:r>
      <w:r>
        <w:rPr>
          <w:rFonts w:hint="eastAsia" w:ascii="宋体" w:hAnsi="宋体"/>
          <w:sz w:val="24"/>
        </w:rPr>
        <w:t>磋商、</w:t>
      </w:r>
      <w:r>
        <w:rPr>
          <w:rFonts w:hint="eastAsia" w:ascii="宋体" w:hAnsi="宋体"/>
          <w:bCs/>
          <w:sz w:val="24"/>
        </w:rPr>
        <w:t>评审、确定成交供应商</w:t>
      </w:r>
      <w:r>
        <w:rPr>
          <w:rFonts w:hint="eastAsia" w:asciiTheme="minorEastAsia" w:hAnsiTheme="minorEastAsia" w:eastAsiaTheme="minorEastAsia"/>
          <w:sz w:val="24"/>
        </w:rPr>
        <w:t>、验收、合同履约、付款等行为（法律、法规另有规定的，从其规定）。</w:t>
      </w:r>
    </w:p>
    <w:p>
      <w:pPr>
        <w:pStyle w:val="10"/>
        <w:spacing w:line="360" w:lineRule="auto"/>
        <w:ind w:firstLine="480" w:firstLineChars="200"/>
      </w:pPr>
      <w:r>
        <w:t>本</w:t>
      </w:r>
      <w:r>
        <w:rPr>
          <w:rFonts w:hint="eastAsia"/>
        </w:rPr>
        <w:t>磋商</w:t>
      </w:r>
      <w:r>
        <w:t>文件仅适用于本次</w:t>
      </w:r>
      <w:r>
        <w:rPr>
          <w:rFonts w:hint="eastAsia"/>
        </w:rPr>
        <w:t>采购</w:t>
      </w:r>
      <w:r>
        <w:t>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采购人：是指依法进行政府采购的国家机关、事业单位和团体组织。</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3.供应商：是指向采购人提供货物、工程或者服务的法人、其他组织或者自然人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Theme="minorEastAsia" w:hAnsiTheme="minorEastAsia" w:eastAsiaTheme="minorEastAsia" w:cstheme="minorBidi"/>
          <w:sz w:val="24"/>
        </w:rPr>
        <w:t>磋商小组</w:t>
      </w:r>
      <w:r>
        <w:rPr>
          <w:rFonts w:hint="eastAsia" w:ascii="宋体" w:hAnsi="宋体"/>
          <w:sz w:val="24"/>
          <w:lang w:val="zh-CN"/>
        </w:rPr>
        <w:t>评审确定的对</w:t>
      </w:r>
      <w:r>
        <w:rPr>
          <w:rFonts w:hint="eastAsia" w:ascii="宋体" w:hAnsi="宋体"/>
          <w:sz w:val="24"/>
        </w:rPr>
        <w:t>磋商</w:t>
      </w:r>
      <w:r>
        <w:rPr>
          <w:rFonts w:hint="eastAsia" w:ascii="宋体" w:hAnsi="宋体"/>
          <w:sz w:val="24"/>
          <w:lang w:val="zh-CN"/>
        </w:rPr>
        <w:t>文件作出实质性响应，经采购人按照规定在</w:t>
      </w:r>
      <w:r>
        <w:rPr>
          <w:rFonts w:hint="eastAsia" w:asciiTheme="minorEastAsia" w:hAnsiTheme="minorEastAsia" w:eastAsiaTheme="minorEastAsia" w:cstheme="minorBidi"/>
          <w:sz w:val="24"/>
        </w:rPr>
        <w:t>磋商小组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pPr>
        <w:snapToGrid w:val="0"/>
        <w:spacing w:line="360" w:lineRule="auto"/>
        <w:ind w:firstLine="482" w:firstLineChars="200"/>
        <w:rPr>
          <w:b/>
          <w:bCs/>
          <w:sz w:val="24"/>
        </w:rPr>
      </w:pPr>
      <w:r>
        <w:rPr>
          <w:rFonts w:hint="eastAsia"/>
          <w:b/>
          <w:bCs/>
          <w:sz w:val="24"/>
        </w:rPr>
        <w:t>（四）</w:t>
      </w:r>
      <w:r>
        <w:rPr>
          <w:b/>
          <w:bCs/>
          <w:sz w:val="24"/>
        </w:rPr>
        <w:t>语言文字以及度量衡单位</w:t>
      </w:r>
    </w:p>
    <w:p>
      <w:pPr>
        <w:snapToGrid w:val="0"/>
        <w:spacing w:line="360" w:lineRule="auto"/>
        <w:ind w:firstLine="480" w:firstLineChars="200"/>
        <w:rPr>
          <w:sz w:val="24"/>
        </w:rPr>
      </w:pPr>
      <w:r>
        <w:rPr>
          <w:rFonts w:hint="eastAsia" w:asciiTheme="minorEastAsia" w:hAnsiTheme="minorEastAsia" w:eastAsiaTheme="minorEastAsia"/>
          <w:sz w:val="24"/>
        </w:rPr>
        <w:t>1</w:t>
      </w:r>
      <w:r>
        <w:rPr>
          <w:rFonts w:hint="eastAsia"/>
          <w:sz w:val="24"/>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pStyle w:val="27"/>
        <w:tabs>
          <w:tab w:val="left" w:pos="437"/>
        </w:tabs>
        <w:spacing w:line="360" w:lineRule="auto"/>
        <w:ind w:firstLine="482"/>
        <w:rPr>
          <w:b/>
          <w:bCs/>
          <w:sz w:val="24"/>
          <w:szCs w:val="24"/>
        </w:rPr>
      </w:pPr>
      <w:r>
        <w:rPr>
          <w:rFonts w:hint="eastAsia"/>
          <w:b/>
          <w:bCs/>
          <w:sz w:val="24"/>
          <w:szCs w:val="24"/>
        </w:rPr>
        <w:t>（五）</w:t>
      </w:r>
      <w:r>
        <w:rPr>
          <w:b/>
          <w:bCs/>
          <w:sz w:val="24"/>
          <w:szCs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1.磋商文件规定组织踏勘现场的，采购人按磋商文件规定的时间、地点组织供应商踏勘项目现场。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w:t>
      </w:r>
      <w:r>
        <w:rPr>
          <w:rFonts w:hint="eastAsia"/>
          <w:sz w:val="24"/>
        </w:rPr>
        <w:t>磋商</w:t>
      </w:r>
      <w:r>
        <w:rPr>
          <w:sz w:val="24"/>
        </w:rPr>
        <w:t>文件的修改或不作为</w:t>
      </w:r>
      <w:r>
        <w:rPr>
          <w:rFonts w:hint="eastAsia"/>
          <w:sz w:val="24"/>
        </w:rPr>
        <w:t>供应商</w:t>
      </w:r>
      <w:r>
        <w:rPr>
          <w:sz w:val="24"/>
        </w:rPr>
        <w:t>编制</w:t>
      </w:r>
      <w:r>
        <w:rPr>
          <w:rFonts w:hint="eastAsia"/>
          <w:sz w:val="24"/>
        </w:rPr>
        <w:t>磋商响应</w:t>
      </w:r>
      <w:r>
        <w:rPr>
          <w:sz w:val="24"/>
        </w:rPr>
        <w:t>文件的依据。</w:t>
      </w:r>
    </w:p>
    <w:p>
      <w:pPr>
        <w:pStyle w:val="12"/>
        <w:snapToGrid w:val="0"/>
        <w:spacing w:line="360" w:lineRule="auto"/>
        <w:ind w:firstLine="482" w:firstLineChars="200"/>
        <w:rPr>
          <w:rFonts w:hAnsi="宋体"/>
          <w:b/>
          <w:sz w:val="24"/>
        </w:rPr>
      </w:pPr>
      <w:r>
        <w:rPr>
          <w:rFonts w:hint="eastAsia" w:hAnsi="宋体"/>
          <w:b/>
          <w:sz w:val="24"/>
        </w:rPr>
        <w:t>（六）特别说明</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1.供应商磋商</w:t>
      </w:r>
      <w:r>
        <w:rPr>
          <w:rFonts w:asciiTheme="minorEastAsia" w:hAnsiTheme="minorEastAsia" w:eastAsiaTheme="minorEastAsia"/>
          <w:sz w:val="24"/>
        </w:rPr>
        <w:t>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w:t>
      </w:r>
      <w:r>
        <w:rPr>
          <w:rFonts w:hint="eastAsia" w:asciiTheme="minorEastAsia" w:hAnsiTheme="minorEastAsia" w:eastAsiaTheme="minorEastAsia"/>
          <w:sz w:val="24"/>
        </w:rPr>
        <w:t>供应商磋商</w:t>
      </w:r>
      <w:r>
        <w:rPr>
          <w:rFonts w:asciiTheme="minorEastAsia" w:hAnsiTheme="minorEastAsia" w:eastAsiaTheme="minorEastAsia"/>
          <w:sz w:val="24"/>
        </w:rPr>
        <w:t>所使用的采购项目实施人员必须为本法人员工。</w:t>
      </w:r>
      <w:r>
        <w:rPr>
          <w:rFonts w:hint="eastAsia" w:asciiTheme="minorEastAsia" w:hAnsiTheme="minorEastAsia" w:eastAsiaTheme="minorEastAsia"/>
          <w:sz w:val="24"/>
        </w:rPr>
        <w:t>其中涉及资格条件的如非本法人所拥有，则</w:t>
      </w:r>
      <w:r>
        <w:rPr>
          <w:rFonts w:hint="eastAsia" w:asciiTheme="minorEastAsia" w:hAnsiTheme="minorEastAsia" w:eastAsiaTheme="minorEastAsia"/>
          <w:sz w:val="24"/>
          <w:lang w:eastAsia="zh-CN"/>
        </w:rPr>
        <w:t>磋商响应</w:t>
      </w:r>
      <w:r>
        <w:rPr>
          <w:rFonts w:hint="eastAsia" w:asciiTheme="minorEastAsia" w:hAnsiTheme="minorEastAsia" w:eastAsiaTheme="minorEastAsia"/>
          <w:sz w:val="24"/>
        </w:rPr>
        <w:t>无效。</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3.本磋商文件中关于电子磋商、响应内容、流程如与政采云系统中最新的内容、操作不一致的，以政采云系统中的要求为准。</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rPr>
        <w:t>4、</w:t>
      </w:r>
      <w:r>
        <w:rPr>
          <w:rFonts w:hint="eastAsia" w:asciiTheme="minorEastAsia" w:hAnsiTheme="minorEastAsia" w:eastAsiaTheme="minorEastAsia" w:cstheme="minorBidi"/>
          <w:sz w:val="24"/>
          <w:szCs w:val="22"/>
        </w:rPr>
        <w:t>供应商在</w:t>
      </w:r>
      <w:r>
        <w:rPr>
          <w:rFonts w:hint="eastAsia" w:asciiTheme="minorEastAsia" w:hAnsiTheme="minorEastAsia" w:eastAsiaTheme="minorEastAsia" w:cstheme="minorBidi"/>
          <w:bCs w:val="0"/>
          <w:sz w:val="24"/>
          <w:szCs w:val="22"/>
        </w:rPr>
        <w:t>磋商</w:t>
      </w:r>
      <w:r>
        <w:rPr>
          <w:rFonts w:hint="eastAsia" w:asciiTheme="minorEastAsia" w:hAnsiTheme="minorEastAsia" w:eastAsiaTheme="minorEastAsia" w:cstheme="minorBidi"/>
          <w:sz w:val="24"/>
          <w:szCs w:val="22"/>
        </w:rPr>
        <w:t>活动中提供任何虚假材料，其响应无效，并报监管部门查处；成交后发现的，</w:t>
      </w:r>
      <w:r>
        <w:rPr>
          <w:rFonts w:hint="eastAsia" w:asciiTheme="minorEastAsia" w:hAnsiTheme="minorEastAsia" w:eastAsiaTheme="minorEastAsia" w:cstheme="minorBidi"/>
          <w:sz w:val="24"/>
          <w:szCs w:val="22"/>
          <w:lang w:eastAsia="zh-CN"/>
        </w:rPr>
        <w:t>成交供应商</w:t>
      </w:r>
      <w:r>
        <w:rPr>
          <w:rFonts w:hint="eastAsia" w:asciiTheme="minorEastAsia" w:hAnsiTheme="minorEastAsia" w:eastAsiaTheme="minorEastAsia" w:cstheme="minorBidi"/>
          <w:sz w:val="24"/>
          <w:szCs w:val="22"/>
        </w:rPr>
        <w:t>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szCs w:val="22"/>
        </w:rPr>
        <w:t>5、供应商不得相互串通磋商报价，不得妨碍其他供应商的公平竞争，不得损害采购人或其他供应商的合法权益，供应商不得以向采购人、磋商小组成员行贿或者采取其他不正当手段谋取成交。</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szCs w:val="22"/>
        </w:rPr>
        <w:t>6、为采购项目提供整体设计、规范编制或者项目管理、监理、检测等服务的供应商，不得再参加该采购项目的其他采购活动。</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szCs w:val="22"/>
        </w:rPr>
        <w:t>7、电子交易平台运营机构，以及与该机构有直接控股或者管理关系可能影响采购公正性的任何单位和个人，不得在该平台进行的政府采购项目电子交易中投标、响应和代理政府采购项目。</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szCs w:val="22"/>
          <w:lang w:val="en-US" w:eastAsia="zh-CN"/>
        </w:rPr>
        <w:t>8</w:t>
      </w:r>
      <w:r>
        <w:rPr>
          <w:rFonts w:hint="eastAsia" w:asciiTheme="minorEastAsia" w:hAnsiTheme="minorEastAsia" w:eastAsiaTheme="minorEastAsia" w:cstheme="minorBidi"/>
          <w:sz w:val="24"/>
          <w:szCs w:val="22"/>
        </w:rPr>
        <w:t>、磋商响应文件格式中的表格式样可以根据项目差别做适当调整，但应当保持表格样式基本形态不变。</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szCs w:val="22"/>
          <w:lang w:val="en-US" w:eastAsia="zh-CN"/>
        </w:rPr>
        <w:t>9</w:t>
      </w:r>
      <w:r>
        <w:rPr>
          <w:rFonts w:hint="eastAsia" w:asciiTheme="minorEastAsia" w:hAnsiTheme="minorEastAsia" w:eastAsiaTheme="minorEastAsia" w:cstheme="minorBidi"/>
          <w:sz w:val="24"/>
          <w:szCs w:val="22"/>
        </w:rPr>
        <w:t>、</w:t>
      </w:r>
      <w:r>
        <w:rPr>
          <w:rFonts w:hint="eastAsia" w:asciiTheme="minorEastAsia" w:hAnsiTheme="minorEastAsia" w:eastAsiaTheme="minorEastAsia" w:cstheme="minorBidi"/>
          <w:sz w:val="24"/>
          <w:szCs w:val="22"/>
          <w:lang w:eastAsia="zh-CN"/>
        </w:rPr>
        <w:t>供应商</w:t>
      </w:r>
      <w:r>
        <w:rPr>
          <w:rFonts w:hint="eastAsia" w:asciiTheme="minorEastAsia" w:hAnsiTheme="minorEastAsia" w:eastAsiaTheme="minorEastAsia" w:cstheme="minorBidi"/>
          <w:sz w:val="24"/>
          <w:szCs w:val="22"/>
        </w:rPr>
        <w:t>在参与政府采购活动中所签署的一切文件，包括但不限于签到表、《政府采购活动现场确认声明书》等文件，特别是有关利害关系应如实填写、如实披露，</w:t>
      </w:r>
      <w:r>
        <w:rPr>
          <w:rFonts w:hint="eastAsia" w:asciiTheme="minorEastAsia" w:hAnsiTheme="minorEastAsia" w:eastAsiaTheme="minorEastAsia" w:cstheme="minorBidi"/>
          <w:sz w:val="24"/>
          <w:szCs w:val="22"/>
          <w:lang w:eastAsia="zh-CN"/>
        </w:rPr>
        <w:t>供应商</w:t>
      </w:r>
      <w:r>
        <w:rPr>
          <w:rFonts w:hint="eastAsia" w:asciiTheme="minorEastAsia" w:hAnsiTheme="minorEastAsia" w:eastAsiaTheme="minorEastAsia" w:cstheme="minorBidi"/>
          <w:sz w:val="24"/>
          <w:szCs w:val="22"/>
        </w:rPr>
        <w:t>授权参与政府采购的人员视为应当知道与</w:t>
      </w:r>
      <w:r>
        <w:rPr>
          <w:rFonts w:hint="eastAsia" w:asciiTheme="minorEastAsia" w:hAnsiTheme="minorEastAsia" w:eastAsiaTheme="minorEastAsia" w:cstheme="minorBidi"/>
          <w:sz w:val="24"/>
          <w:szCs w:val="22"/>
          <w:lang w:eastAsia="zh-CN"/>
        </w:rPr>
        <w:t>采购人</w:t>
      </w:r>
      <w:r>
        <w:rPr>
          <w:rFonts w:hint="eastAsia" w:asciiTheme="minorEastAsia" w:hAnsiTheme="minorEastAsia" w:eastAsiaTheme="minorEastAsia" w:cstheme="minorBidi"/>
          <w:sz w:val="24"/>
          <w:szCs w:val="22"/>
        </w:rPr>
        <w:t>、其他</w:t>
      </w:r>
      <w:r>
        <w:rPr>
          <w:rFonts w:hint="eastAsia" w:asciiTheme="minorEastAsia" w:hAnsiTheme="minorEastAsia" w:eastAsiaTheme="minorEastAsia" w:cstheme="minorBidi"/>
          <w:sz w:val="24"/>
          <w:szCs w:val="22"/>
          <w:lang w:eastAsia="zh-CN"/>
        </w:rPr>
        <w:t>供应商</w:t>
      </w:r>
      <w:r>
        <w:rPr>
          <w:rFonts w:hint="eastAsia" w:asciiTheme="minorEastAsia" w:hAnsiTheme="minorEastAsia" w:eastAsiaTheme="minorEastAsia" w:cstheme="minorBidi"/>
          <w:sz w:val="24"/>
          <w:szCs w:val="22"/>
        </w:rPr>
        <w:t>之间的利害关系。如未如实披露，则视为提供虚假材料，由</w:t>
      </w:r>
      <w:r>
        <w:rPr>
          <w:rFonts w:hint="eastAsia" w:asciiTheme="minorEastAsia" w:hAnsiTheme="minorEastAsia" w:eastAsiaTheme="minorEastAsia" w:cstheme="minorBidi"/>
          <w:sz w:val="24"/>
          <w:szCs w:val="22"/>
          <w:lang w:eastAsia="zh-CN"/>
        </w:rPr>
        <w:t>供应商</w:t>
      </w:r>
      <w:r>
        <w:rPr>
          <w:rFonts w:hint="eastAsia" w:asciiTheme="minorEastAsia" w:hAnsiTheme="minorEastAsia" w:eastAsiaTheme="minorEastAsia" w:cstheme="minorBidi"/>
          <w:sz w:val="24"/>
          <w:szCs w:val="22"/>
        </w:rPr>
        <w:t>承担不利后果。</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szCs w:val="22"/>
          <w:lang w:val="en-US" w:eastAsia="zh-CN"/>
        </w:rPr>
        <w:t>10</w:t>
      </w:r>
      <w:r>
        <w:rPr>
          <w:rFonts w:hint="eastAsia" w:asciiTheme="minorEastAsia" w:hAnsiTheme="minorEastAsia" w:eastAsiaTheme="minorEastAsia" w:cstheme="minorBidi"/>
          <w:sz w:val="24"/>
          <w:szCs w:val="22"/>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二、磋商文件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（一）磋商文件由磋商文件总目录所列内容组成。</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（二）供应商在规定的时间内未对磋商文件提出疑问、质疑或要求澄清的，将视其为无异议。</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（三）对磋商文件中描述有歧义或前后不一致的地方，磋商小组有权进行评判，但对同一条款的评判应适用于每个供应商。</w:t>
      </w:r>
    </w:p>
    <w:p>
      <w:pPr>
        <w:pStyle w:val="27"/>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cstheme="minorBidi"/>
          <w:sz w:val="24"/>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三、响应文件</w:t>
      </w: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（一）响应文件的编制</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供应商接到磋商文件后，按照采购组织机构的要求提供：磋商响应文件</w:t>
      </w:r>
      <w:r>
        <w:rPr>
          <w:rFonts w:hint="eastAsia" w:asciiTheme="minorEastAsia" w:hAnsiTheme="minorEastAsia" w:eastAsiaTheme="minorEastAsia"/>
          <w:kern w:val="0"/>
          <w:sz w:val="24"/>
          <w:lang w:val="zh-CN"/>
        </w:rPr>
        <w:t>。【特别提示：如在磋商响应时有要求提供资料原件的，将原件扫描放入磋商响应文件。】</w:t>
      </w:r>
      <w:r>
        <w:rPr>
          <w:rFonts w:hint="eastAsia" w:asciiTheme="minorEastAsia" w:hAnsiTheme="minorEastAsia" w:eastAsiaTheme="minorEastAsia"/>
          <w:bCs/>
          <w:kern w:val="0"/>
          <w:sz w:val="24"/>
        </w:rPr>
        <w:t>本磋商文件中若有多标项的，若参与多标项磋商的，则按每个标项分别独立编制磋商响应文件。</w:t>
      </w:r>
    </w:p>
    <w:p>
      <w:pPr>
        <w:snapToGrid w:val="0"/>
        <w:spacing w:line="360" w:lineRule="auto"/>
        <w:ind w:firstLine="482" w:firstLineChars="200"/>
        <w:rPr>
          <w:rFonts w:ascii="宋体" w:hAnsi="宋体"/>
          <w:kern w:val="0"/>
          <w:sz w:val="24"/>
        </w:rPr>
      </w:pPr>
      <w:r>
        <w:rPr>
          <w:rFonts w:hint="eastAsia" w:ascii="宋体" w:hAnsi="宋体" w:cs="宋体"/>
          <w:b/>
          <w:sz w:val="24"/>
        </w:rPr>
        <w:t>▲</w:t>
      </w:r>
      <w:r>
        <w:rPr>
          <w:rFonts w:hint="eastAsia" w:ascii="宋体" w:hAnsi="宋体"/>
          <w:b/>
          <w:sz w:val="24"/>
        </w:rPr>
        <w:t>1、资格证明内容</w:t>
      </w:r>
      <w:r>
        <w:rPr>
          <w:rFonts w:hint="eastAsia" w:ascii="宋体" w:hAnsi="宋体"/>
          <w:b/>
          <w:color w:val="000000"/>
          <w:sz w:val="24"/>
        </w:rPr>
        <w:t>的组成：</w:t>
      </w:r>
    </w:p>
    <w:p>
      <w:pPr>
        <w:pStyle w:val="18"/>
        <w:ind w:left="0" w:leftChars="0" w:firstLine="470"/>
        <w:rPr>
          <w:rStyle w:val="21"/>
          <w:b w:val="0"/>
          <w:color w:val="000000"/>
          <w:u w:val="none"/>
        </w:rPr>
      </w:pPr>
      <w:r>
        <w:rPr>
          <w:rStyle w:val="21"/>
          <w:rFonts w:hint="eastAsia"/>
          <w:b w:val="0"/>
          <w:color w:val="000000"/>
          <w:u w:val="none"/>
        </w:rPr>
        <w:t>（1）磋商声明书</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（2）授权委托书（法定代表人亲自办理磋商响应事宜的，则无需提交)。</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（3）法人或者其他组织的营业执照等证明文件，法定代表人或授权代表的身份证明。</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（4）符合参与政府采购活动的资格条件、具备良好的商业信誉和健全的财务会计制度并且没有税收缴纳、社会保障等方面的失信记录的承诺函。</w:t>
      </w:r>
    </w:p>
    <w:p>
      <w:pPr>
        <w:snapToGrid w:val="0"/>
        <w:spacing w:line="360" w:lineRule="auto"/>
        <w:ind w:firstLine="480" w:firstLineChars="200"/>
        <w:rPr>
          <w:rFonts w:ascii="宋体" w:hAnsi="宋体" w:cs="宋体"/>
          <w:sz w:val="24"/>
        </w:rPr>
      </w:pPr>
      <w:r>
        <w:rPr>
          <w:rFonts w:hint="eastAsia" w:ascii="宋体" w:hAnsi="宋体" w:cs="宋体"/>
          <w:sz w:val="24"/>
        </w:rPr>
        <w:t>（5）具备履行合同所必需的设备和专业技术能力的承诺函（根据项目性质提供）。</w:t>
      </w:r>
    </w:p>
    <w:p>
      <w:pPr>
        <w:pStyle w:val="9"/>
        <w:widowControl/>
        <w:numPr>
          <w:ilvl w:val="0"/>
          <w:numId w:val="0"/>
        </w:numPr>
        <w:adjustRightInd w:val="0"/>
        <w:snapToGrid w:val="0"/>
        <w:spacing w:line="360" w:lineRule="auto"/>
        <w:ind w:left="640" w:leftChars="0"/>
        <w:rPr>
          <w:rFonts w:hint="eastAsia" w:ascii="宋体" w:hAnsi="宋体" w:cs="宋体"/>
          <w:color w:val="auto"/>
          <w:sz w:val="24"/>
          <w:lang w:eastAsia="zh-CN"/>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）中小企业声明函等政府采购优惠政策相关资料</w:t>
      </w:r>
    </w:p>
    <w:p>
      <w:pPr>
        <w:widowControl/>
        <w:spacing w:line="360" w:lineRule="auto"/>
        <w:ind w:right="60" w:firstLine="480" w:firstLineChars="200"/>
        <w:jc w:val="left"/>
        <w:outlineLvl w:val="0"/>
      </w:pPr>
      <w:r>
        <w:rPr>
          <w:rFonts w:hint="eastAsia" w:ascii="宋体" w:hAnsi="宋体" w:cs="宋体"/>
          <w:color w:val="auto"/>
          <w:sz w:val="24"/>
          <w:lang w:eastAsia="zh-CN"/>
        </w:rPr>
        <w:t>根据《浙江省财政厅关于进一步加大政府采购支持中小企业力度助力扎实稳住经济的通知》（浙财采监〔2022〕8号）中“简化对政府采购供应商资格条件的形式审查，供应商书面承诺符合参与政府采购活动资格条件的，</w:t>
      </w:r>
      <w:r>
        <w:rPr>
          <w:rFonts w:hint="eastAsia" w:ascii="宋体" w:hAnsi="宋体" w:cs="宋体"/>
          <w:b/>
          <w:bCs/>
          <w:color w:val="auto"/>
          <w:sz w:val="24"/>
          <w:lang w:eastAsia="zh-CN"/>
        </w:rPr>
        <w:t>不需要</w:t>
      </w:r>
      <w:r>
        <w:rPr>
          <w:rFonts w:hint="eastAsia" w:ascii="宋体" w:hAnsi="宋体" w:cs="宋体"/>
          <w:color w:val="auto"/>
          <w:sz w:val="24"/>
          <w:lang w:eastAsia="zh-CN"/>
        </w:rPr>
        <w:t>再提供</w:t>
      </w:r>
      <w:r>
        <w:rPr>
          <w:rFonts w:hint="eastAsia" w:ascii="宋体" w:hAnsi="宋体" w:cs="宋体"/>
          <w:b/>
          <w:bCs/>
          <w:color w:val="auto"/>
          <w:sz w:val="24"/>
          <w:u w:val="single"/>
          <w:lang w:eastAsia="zh-CN"/>
        </w:rPr>
        <w:t>财务状况报告</w:t>
      </w:r>
      <w:r>
        <w:rPr>
          <w:rFonts w:hint="eastAsia" w:ascii="宋体" w:hAnsi="宋体" w:cs="宋体"/>
          <w:color w:val="auto"/>
          <w:sz w:val="24"/>
          <w:lang w:eastAsia="zh-CN"/>
        </w:rPr>
        <w:t>、</w:t>
      </w:r>
      <w:r>
        <w:rPr>
          <w:rFonts w:hint="eastAsia" w:ascii="宋体" w:hAnsi="宋体" w:cs="宋体"/>
          <w:b/>
          <w:bCs/>
          <w:color w:val="auto"/>
          <w:sz w:val="24"/>
          <w:u w:val="single"/>
          <w:lang w:eastAsia="zh-CN"/>
        </w:rPr>
        <w:t>依法缴纳税收和社会保障资金记录</w:t>
      </w:r>
      <w:r>
        <w:rPr>
          <w:rFonts w:hint="eastAsia" w:ascii="宋体" w:hAnsi="宋体" w:cs="宋体"/>
          <w:color w:val="auto"/>
          <w:sz w:val="24"/>
          <w:lang w:eastAsia="zh-CN"/>
        </w:rPr>
        <w:t>、</w:t>
      </w:r>
      <w:r>
        <w:rPr>
          <w:rFonts w:hint="eastAsia" w:ascii="宋体" w:hAnsi="宋体" w:cs="宋体"/>
          <w:b/>
          <w:bCs/>
          <w:color w:val="auto"/>
          <w:sz w:val="24"/>
          <w:u w:val="single"/>
          <w:lang w:eastAsia="zh-CN"/>
        </w:rPr>
        <w:t>无重大违法记录等证明材料</w:t>
      </w:r>
      <w:r>
        <w:rPr>
          <w:rFonts w:hint="eastAsia" w:ascii="宋体" w:hAnsi="宋体" w:cs="宋体"/>
          <w:color w:val="auto"/>
          <w:sz w:val="24"/>
          <w:lang w:eastAsia="zh-CN"/>
        </w:rPr>
        <w:t>。”</w:t>
      </w:r>
    </w:p>
    <w:p>
      <w:pPr>
        <w:snapToGrid w:val="0"/>
        <w:spacing w:line="360" w:lineRule="auto"/>
        <w:ind w:firstLine="482" w:firstLineChars="200"/>
        <w:rPr>
          <w:rFonts w:ascii="宋体" w:hAnsi="宋体" w:cs="宋体"/>
          <w:sz w:val="24"/>
          <w:u w:val="single"/>
        </w:rPr>
      </w:pPr>
      <w:r>
        <w:rPr>
          <w:rFonts w:hint="eastAsia" w:ascii="宋体" w:hAnsi="宋体"/>
          <w:b/>
          <w:sz w:val="24"/>
        </w:rPr>
        <w:t>2、</w:t>
      </w:r>
      <w:r>
        <w:rPr>
          <w:rFonts w:hint="eastAsia" w:ascii="宋体" w:hAnsi="宋体"/>
          <w:b/>
          <w:color w:val="000000"/>
          <w:sz w:val="24"/>
        </w:rPr>
        <w:t>商务与技术内容的组成：</w:t>
      </w:r>
    </w:p>
    <w:p>
      <w:pPr>
        <w:autoSpaceDE w:val="0"/>
        <w:autoSpaceDN w:val="0"/>
        <w:adjustRightInd w:val="0"/>
        <w:spacing w:line="360" w:lineRule="auto"/>
        <w:ind w:firstLine="424" w:firstLineChars="177"/>
      </w:pPr>
      <w:r>
        <w:rPr>
          <w:rFonts w:hint="eastAsia" w:asciiTheme="minorEastAsia" w:hAnsiTheme="minorEastAsia" w:eastAsiaTheme="minorEastAsia"/>
          <w:kern w:val="0"/>
          <w:sz w:val="24"/>
        </w:rPr>
        <w:t>（1）</w:t>
      </w:r>
      <w:r>
        <w:rPr>
          <w:rFonts w:hint="eastAsia"/>
          <w:b/>
          <w:bCs/>
          <w:sz w:val="24"/>
        </w:rPr>
        <w:t>技术方案描述部分</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供应商情况介绍（人员与技术力量、企业规模、经营业绩等）。</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项目负责人资格情况表；</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拟投入设备、工具、车辆等情况</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Theme="minorEastAsia" w:hAnsiTheme="minorEastAsia" w:eastAsiaTheme="minorEastAsia"/>
          <w:kern w:val="0"/>
          <w:sz w:val="24"/>
          <w:szCs w:val="24"/>
        </w:rPr>
        <w:t>突发事件应急措施；</w:t>
      </w:r>
    </w:p>
    <w:p>
      <w:pPr>
        <w:pStyle w:val="9"/>
        <w:widowControl/>
        <w:numPr>
          <w:ilvl w:val="0"/>
          <w:numId w:val="7"/>
        </w:numPr>
        <w:adjustRightInd w:val="0"/>
        <w:snapToGrid w:val="0"/>
        <w:spacing w:line="360" w:lineRule="auto"/>
        <w:ind w:firstLine="640"/>
        <w:rPr>
          <w:sz w:val="24"/>
        </w:rPr>
      </w:pPr>
      <w:r>
        <w:rPr>
          <w:rFonts w:hint="eastAsia"/>
          <w:sz w:val="24"/>
        </w:rPr>
        <w:t>供应商需要说明的其他内容；（包括可能影响供应商技术性能评分项的各类证明材料）</w:t>
      </w:r>
      <w:r>
        <w:rPr>
          <w:rFonts w:hint="eastAsia" w:ascii="Calibri" w:hAnsi="Calibri" w:cs="Calibri"/>
          <w:sz w:val="24"/>
          <w:szCs w:val="24"/>
        </w:rPr>
        <w:t>。</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（2）商务及其他部分</w:t>
      </w:r>
    </w:p>
    <w:p>
      <w:pPr>
        <w:pStyle w:val="9"/>
        <w:widowControl/>
        <w:numPr>
          <w:ilvl w:val="0"/>
          <w:numId w:val="8"/>
        </w:numPr>
        <w:adjustRightInd w:val="0"/>
        <w:snapToGrid w:val="0"/>
        <w:spacing w:line="360" w:lineRule="auto"/>
        <w:ind w:firstLine="640"/>
        <w:rPr>
          <w:rFonts w:ascii="宋体" w:hAnsi="宋体" w:cs="宋体"/>
          <w:sz w:val="24"/>
          <w:szCs w:val="24"/>
        </w:rPr>
      </w:pPr>
      <w:r>
        <w:rPr>
          <w:rFonts w:hint="eastAsia"/>
          <w:sz w:val="24"/>
          <w:szCs w:val="24"/>
        </w:rPr>
        <w:t>商务需求响应表。</w:t>
      </w:r>
    </w:p>
    <w:p>
      <w:pPr>
        <w:pStyle w:val="9"/>
        <w:widowControl/>
        <w:numPr>
          <w:ilvl w:val="0"/>
          <w:numId w:val="8"/>
        </w:numPr>
        <w:adjustRightInd w:val="0"/>
        <w:snapToGrid w:val="0"/>
        <w:spacing w:line="360" w:lineRule="auto"/>
        <w:ind w:firstLine="640"/>
        <w:rPr>
          <w:rFonts w:ascii="宋体" w:hAnsi="宋体" w:cs="宋体"/>
          <w:sz w:val="24"/>
          <w:szCs w:val="24"/>
        </w:rPr>
      </w:pPr>
      <w:r>
        <w:rPr>
          <w:rFonts w:hint="eastAsia"/>
          <w:sz w:val="24"/>
        </w:rPr>
        <w:t>证书一览表</w:t>
      </w:r>
    </w:p>
    <w:p>
      <w:pPr>
        <w:pStyle w:val="9"/>
        <w:widowControl/>
        <w:numPr>
          <w:ilvl w:val="0"/>
          <w:numId w:val="8"/>
        </w:numPr>
        <w:adjustRightInd w:val="0"/>
        <w:snapToGrid w:val="0"/>
        <w:spacing w:line="360" w:lineRule="auto"/>
        <w:ind w:firstLine="640"/>
        <w:rPr>
          <w:rFonts w:ascii="宋体" w:hAnsi="宋体" w:cs="宋体"/>
          <w:sz w:val="24"/>
          <w:szCs w:val="24"/>
        </w:rPr>
      </w:pPr>
      <w:r>
        <w:rPr>
          <w:rFonts w:hint="eastAsia" w:asciiTheme="minorEastAsia" w:hAnsiTheme="minorEastAsia" w:eastAsiaTheme="minorEastAsia"/>
          <w:kern w:val="0"/>
          <w:sz w:val="24"/>
          <w:szCs w:val="24"/>
        </w:rPr>
        <w:t>近三年来类似项目的成功案例及相关材料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3、报价内容的组成</w:t>
      </w:r>
    </w:p>
    <w:p>
      <w:pPr>
        <w:pStyle w:val="9"/>
        <w:widowControl/>
        <w:numPr>
          <w:ilvl w:val="0"/>
          <w:numId w:val="9"/>
        </w:numPr>
        <w:adjustRightInd w:val="0"/>
        <w:snapToGrid w:val="0"/>
        <w:spacing w:line="360" w:lineRule="auto"/>
        <w:ind w:firstLine="640"/>
        <w:rPr>
          <w:sz w:val="24"/>
        </w:rPr>
      </w:pPr>
      <w:r>
        <w:rPr>
          <w:rFonts w:hint="eastAsia"/>
          <w:sz w:val="24"/>
        </w:rPr>
        <w:t>开标一览表</w:t>
      </w:r>
    </w:p>
    <w:p>
      <w:pPr>
        <w:pStyle w:val="9"/>
        <w:widowControl/>
        <w:numPr>
          <w:ilvl w:val="0"/>
          <w:numId w:val="9"/>
        </w:numPr>
        <w:adjustRightInd w:val="0"/>
        <w:snapToGrid w:val="0"/>
        <w:spacing w:line="360" w:lineRule="auto"/>
        <w:ind w:firstLine="640"/>
        <w:rPr>
          <w:sz w:val="24"/>
        </w:rPr>
      </w:pPr>
      <w:r>
        <w:rPr>
          <w:rFonts w:hint="eastAsia"/>
          <w:sz w:val="24"/>
        </w:rPr>
        <w:t>报价明细表</w:t>
      </w: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（二）报价</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9"/>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2.磋商报价包括本项目采购需求和投入使用的所有费用，包括但不限于主件、标准附件、备品备件、施工、服务、人工、专用工具、安装、调试、检验、培训、运输、保险、税款等为完成本项目所需的一切费用。</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3.磋商报价不得为选择性报价和附有条件的报价。</w:t>
      </w: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（三）响应文件的有效期</w:t>
      </w:r>
    </w:p>
    <w:p>
      <w:pPr>
        <w:pStyle w:val="9"/>
        <w:spacing w:line="360" w:lineRule="auto"/>
        <w:ind w:firstLine="480" w:firstLineChars="200"/>
        <w:rPr>
          <w:rFonts w:ascii="宋体" w:hAnsi="宋体"/>
          <w:sz w:val="24"/>
          <w:lang w:val="en-GB"/>
        </w:rPr>
      </w:pPr>
      <w:r>
        <w:rPr>
          <w:rFonts w:hint="eastAsia" w:ascii="宋体" w:hAnsi="宋体"/>
          <w:sz w:val="24"/>
        </w:rPr>
        <w:t>1.响应文件有效期为磋商</w:t>
      </w:r>
      <w:r>
        <w:rPr>
          <w:rFonts w:hint="eastAsia" w:ascii="宋体" w:hAnsi="宋体"/>
          <w:sz w:val="24"/>
          <w:lang w:val="en-GB"/>
        </w:rPr>
        <w:t>截止日起90天。</w:t>
      </w:r>
    </w:p>
    <w:p>
      <w:pPr>
        <w:pStyle w:val="9"/>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w:t>
      </w:r>
      <w:r>
        <w:rPr>
          <w:rFonts w:hint="eastAsia" w:ascii="宋体" w:hAnsi="宋体"/>
          <w:sz w:val="24"/>
        </w:rPr>
        <w:t>供应商</w:t>
      </w:r>
      <w:r>
        <w:rPr>
          <w:rFonts w:hint="eastAsia" w:ascii="宋体" w:hAnsi="宋体"/>
          <w:sz w:val="24"/>
          <w:lang w:val="en-GB"/>
        </w:rPr>
        <w:t>协商延长</w:t>
      </w:r>
      <w:r>
        <w:rPr>
          <w:rFonts w:hint="eastAsia" w:ascii="宋体" w:hAnsi="宋体"/>
          <w:sz w:val="24"/>
        </w:rPr>
        <w:t>响应</w:t>
      </w:r>
      <w:r>
        <w:rPr>
          <w:rFonts w:hint="eastAsia" w:ascii="宋体" w:hAnsi="宋体"/>
          <w:sz w:val="24"/>
          <w:lang w:val="en-GB"/>
        </w:rPr>
        <w:t>文件的有效期，这种要求和答复均以书面形式进行。</w:t>
      </w:r>
    </w:p>
    <w:p>
      <w:pPr>
        <w:snapToGrid w:val="0"/>
        <w:spacing w:line="360" w:lineRule="auto"/>
        <w:ind w:firstLine="480" w:firstLineChars="200"/>
        <w:outlineLvl w:val="0"/>
        <w:rPr>
          <w:rFonts w:asciiTheme="minorEastAsia" w:hAnsiTheme="minorEastAsia" w:eastAsiaTheme="minorEastAsia"/>
          <w:sz w:val="24"/>
        </w:rPr>
      </w:pPr>
      <w:bookmarkStart w:id="33" w:name="_Toc8754"/>
      <w:r>
        <w:rPr>
          <w:rFonts w:hint="eastAsia" w:ascii="宋体" w:hAnsi="宋体"/>
          <w:sz w:val="24"/>
        </w:rPr>
        <w:t>3.成交供应商</w:t>
      </w:r>
      <w:r>
        <w:rPr>
          <w:rFonts w:asciiTheme="minorEastAsia" w:hAnsiTheme="minorEastAsia" w:eastAsiaTheme="minorEastAsia"/>
          <w:sz w:val="24"/>
        </w:rPr>
        <w:t>的</w:t>
      </w:r>
      <w:r>
        <w:rPr>
          <w:rFonts w:hint="eastAsia" w:asciiTheme="minorEastAsia" w:hAnsiTheme="minorEastAsia" w:eastAsiaTheme="minorEastAsia"/>
          <w:sz w:val="24"/>
        </w:rPr>
        <w:t>磋商响应文件</w:t>
      </w:r>
      <w:r>
        <w:rPr>
          <w:rFonts w:asciiTheme="minorEastAsia" w:hAnsiTheme="minorEastAsia" w:eastAsiaTheme="minorEastAsia"/>
          <w:sz w:val="24"/>
        </w:rPr>
        <w:t>自</w:t>
      </w:r>
      <w:r>
        <w:rPr>
          <w:rFonts w:hint="eastAsia" w:asciiTheme="minorEastAsia" w:hAnsiTheme="minorEastAsia" w:eastAsiaTheme="minorEastAsia"/>
          <w:sz w:val="24"/>
          <w:lang w:eastAsia="zh-CN"/>
        </w:rPr>
        <w:t>磋商</w:t>
      </w:r>
      <w:r>
        <w:rPr>
          <w:rFonts w:asciiTheme="minorEastAsia" w:hAnsiTheme="minorEastAsia" w:eastAsiaTheme="minorEastAsia"/>
          <w:sz w:val="24"/>
        </w:rPr>
        <w:t>之日起至合同履行完毕均应保持有效。</w:t>
      </w:r>
      <w:bookmarkEnd w:id="33"/>
    </w:p>
    <w:p>
      <w:pPr>
        <w:snapToGrid w:val="0"/>
        <w:spacing w:line="360" w:lineRule="auto"/>
        <w:ind w:firstLine="482" w:firstLineChars="200"/>
        <w:outlineLvl w:val="0"/>
        <w:rPr>
          <w:rFonts w:asciiTheme="minorEastAsia" w:hAnsiTheme="minorEastAsia" w:eastAsiaTheme="minorEastAsia"/>
          <w:b/>
          <w:kern w:val="0"/>
          <w:sz w:val="24"/>
        </w:rPr>
      </w:pPr>
      <w:bookmarkStart w:id="34" w:name="_Toc14235"/>
      <w:r>
        <w:rPr>
          <w:rFonts w:hint="eastAsia" w:asciiTheme="minorEastAsia" w:hAnsiTheme="minorEastAsia" w:eastAsiaTheme="minorEastAsia"/>
          <w:b/>
          <w:kern w:val="0"/>
          <w:sz w:val="24"/>
        </w:rPr>
        <w:t>（四）响应文件的签署</w:t>
      </w:r>
      <w:bookmarkEnd w:id="34"/>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1.响应文件需由法定代表人或经其正式授权的代表签字或盖章。授权代表须出具书面授权证明，其《法定代表人授权书》应附在磋商响应文件中。</w:t>
      </w:r>
    </w:p>
    <w:p>
      <w:pPr>
        <w:pStyle w:val="9"/>
        <w:spacing w:line="360" w:lineRule="auto"/>
        <w:ind w:firstLine="480" w:firstLineChars="200"/>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rPr>
        <w:t>2.响应文件中所有的插字、涂改和增删，必须由法定代表人或经其正式授权的代表在旁边签字或盖章才有效</w:t>
      </w:r>
      <w:r>
        <w:rPr>
          <w:rFonts w:hint="eastAsia" w:asciiTheme="minorEastAsia" w:hAnsiTheme="minorEastAsia" w:eastAsiaTheme="minorEastAsia"/>
          <w:bCs/>
          <w:kern w:val="0"/>
          <w:sz w:val="24"/>
          <w:lang w:eastAsia="zh-CN"/>
        </w:rPr>
        <w:t>，否则所有的插字、涂改和增删均按无效认定。</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kern w:val="0"/>
          <w:sz w:val="24"/>
        </w:rPr>
        <w:t>响应</w:t>
      </w:r>
      <w:r>
        <w:rPr>
          <w:rFonts w:hint="eastAsia" w:asciiTheme="minorEastAsia" w:hAnsiTheme="minorEastAsia" w:eastAsiaTheme="minorEastAsia"/>
          <w:b/>
          <w:bCs/>
          <w:sz w:val="24"/>
        </w:rPr>
        <w:t>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如采购组织机构延长截止时间和开标时间，采购组织机构和供应商的权利和义务将受到新的截止时间和开标时间的约束。</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kern w:val="0"/>
          <w:sz w:val="24"/>
        </w:rPr>
        <w:t>四、</w:t>
      </w:r>
      <w:r>
        <w:rPr>
          <w:rFonts w:hint="eastAsia" w:asciiTheme="minorEastAsia" w:hAnsiTheme="minorEastAsia" w:eastAsiaTheme="minorEastAsia"/>
          <w:b/>
          <w:sz w:val="24"/>
        </w:rPr>
        <w:t>磋商</w:t>
      </w:r>
      <w:r>
        <w:rPr>
          <w:rFonts w:asciiTheme="minorEastAsia" w:hAnsiTheme="minorEastAsia" w:eastAsiaTheme="minorEastAsia"/>
          <w:b/>
          <w:sz w:val="24"/>
        </w:rPr>
        <w:t>程序</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（一）磋商开始时间到后，主持人准时组织磋商；</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（二）宣布磋商纪律；</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（三）宣布采购组织机构工作人员；</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（四）供应商登录政采云平台，用“项目采购-开标评标”功能对响应文件进行在线解密。在线解密</w:t>
      </w:r>
      <w:r>
        <w:rPr>
          <w:rFonts w:hint="eastAsia" w:ascii="宋体" w:hAnsi="宋体" w:cs="宋体"/>
          <w:bCs/>
          <w:kern w:val="0"/>
          <w:sz w:val="24"/>
          <w:szCs w:val="24"/>
        </w:rPr>
        <w:t>响应文件</w:t>
      </w:r>
      <w:r>
        <w:rPr>
          <w:rFonts w:hint="eastAsia" w:ascii="宋体" w:hAnsi="宋体" w:cs="宋体"/>
          <w:sz w:val="24"/>
          <w:szCs w:val="24"/>
        </w:rPr>
        <w:t>时间为磋商时间起半个小时内；</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（五）采购组织机构工作人员当众宣布磋商响应供应商名称和磋商文件规定的需要宣布的其他内容；</w:t>
      </w:r>
    </w:p>
    <w:p>
      <w:pPr>
        <w:pStyle w:val="12"/>
        <w:snapToGrid w:val="0"/>
        <w:spacing w:line="360" w:lineRule="auto"/>
        <w:ind w:firstLine="480" w:firstLineChars="200"/>
        <w:outlineLvl w:val="1"/>
        <w:rPr>
          <w:rFonts w:hAnsi="宋体" w:cs="宋体"/>
          <w:bCs/>
          <w:sz w:val="24"/>
        </w:rPr>
      </w:pPr>
      <w:r>
        <w:rPr>
          <w:rFonts w:hint="eastAsia" w:hAnsi="宋体" w:cs="宋体"/>
          <w:bCs/>
          <w:sz w:val="24"/>
        </w:rPr>
        <w:t>（六）磋商(详见第四章)；</w:t>
      </w:r>
    </w:p>
    <w:p>
      <w:pPr>
        <w:pStyle w:val="12"/>
        <w:snapToGrid w:val="0"/>
        <w:spacing w:line="360" w:lineRule="auto"/>
        <w:ind w:firstLine="480" w:firstLineChars="200"/>
        <w:rPr>
          <w:rFonts w:hAnsi="宋体" w:cs="宋体"/>
          <w:sz w:val="24"/>
        </w:rPr>
      </w:pPr>
      <w:r>
        <w:rPr>
          <w:rFonts w:hint="eastAsia" w:hAnsi="宋体" w:cs="宋体"/>
          <w:bCs/>
          <w:sz w:val="24"/>
        </w:rPr>
        <w:t>（七）磋商结果公告。</w:t>
      </w:r>
    </w:p>
    <w:p>
      <w:pPr>
        <w:pStyle w:val="9"/>
        <w:spacing w:line="360" w:lineRule="auto"/>
        <w:ind w:firstLine="482" w:firstLineChars="200"/>
        <w:rPr>
          <w:b/>
          <w:bCs/>
          <w:sz w:val="24"/>
          <w:szCs w:val="24"/>
        </w:rPr>
      </w:pPr>
      <w:r>
        <w:rPr>
          <w:rFonts w:hint="eastAsia"/>
          <w:b/>
          <w:bCs/>
          <w:sz w:val="24"/>
          <w:szCs w:val="24"/>
        </w:rPr>
        <w:t>五、磋商异议</w:t>
      </w:r>
    </w:p>
    <w:p>
      <w:pPr>
        <w:pStyle w:val="9"/>
        <w:spacing w:line="360" w:lineRule="auto"/>
        <w:ind w:firstLine="480" w:firstLineChars="200"/>
        <w:rPr>
          <w:sz w:val="24"/>
          <w:szCs w:val="24"/>
        </w:rPr>
      </w:pPr>
      <w:r>
        <w:rPr>
          <w:rFonts w:hint="eastAsia"/>
          <w:sz w:val="24"/>
          <w:szCs w:val="24"/>
        </w:rPr>
        <w:t>供应商代表对磋商过程和磋商记录有疑义，以及认为采购人、采购</w:t>
      </w:r>
      <w:r>
        <w:rPr>
          <w:rFonts w:hint="eastAsia" w:asciiTheme="minorEastAsia" w:hAnsiTheme="minorEastAsia" w:eastAsiaTheme="minorEastAsia" w:cstheme="minorBidi"/>
          <w:sz w:val="24"/>
          <w:szCs w:val="24"/>
        </w:rPr>
        <w:t>组织</w:t>
      </w:r>
      <w:r>
        <w:rPr>
          <w:rFonts w:hint="eastAsia"/>
          <w:sz w:val="24"/>
          <w:szCs w:val="24"/>
        </w:rPr>
        <w:t>机构相关工作人员有需要回避的情形的，应当场提出询问或者回避申请，采购人、</w:t>
      </w:r>
      <w:r>
        <w:rPr>
          <w:rFonts w:hint="eastAsia"/>
          <w:sz w:val="24"/>
          <w:szCs w:val="24"/>
          <w:lang w:eastAsia="zh-CN"/>
        </w:rPr>
        <w:t>采</w:t>
      </w:r>
      <w:r>
        <w:rPr>
          <w:rFonts w:hint="eastAsia"/>
          <w:sz w:val="24"/>
          <w:szCs w:val="24"/>
        </w:rPr>
        <w:t>购代理机构对</w:t>
      </w:r>
      <w:r>
        <w:rPr>
          <w:rFonts w:hint="eastAsia"/>
          <w:sz w:val="24"/>
          <w:szCs w:val="24"/>
          <w:lang w:eastAsia="zh-CN"/>
        </w:rPr>
        <w:t>供应商</w:t>
      </w:r>
      <w:r>
        <w:rPr>
          <w:rFonts w:hint="eastAsia"/>
          <w:sz w:val="24"/>
          <w:szCs w:val="24"/>
        </w:rPr>
        <w:t>代表提出的询问或者回避申请应当及时处理。</w:t>
      </w:r>
    </w:p>
    <w:p>
      <w:pPr>
        <w:pStyle w:val="19"/>
        <w:spacing w:before="0" w:beforeAutospacing="0" w:after="0" w:afterAutospacing="0" w:line="360" w:lineRule="auto"/>
        <w:ind w:firstLine="482" w:firstLineChars="200"/>
        <w:jc w:val="both"/>
        <w:rPr>
          <w:rFonts w:hint="default" w:asciiTheme="minorEastAsia" w:hAnsiTheme="minorEastAsia"/>
          <w:b/>
        </w:rPr>
      </w:pPr>
      <w:r>
        <w:rPr>
          <w:rFonts w:asciiTheme="minorEastAsia" w:hAnsiTheme="minorEastAsia" w:eastAsiaTheme="minorEastAsia"/>
          <w:b/>
        </w:rPr>
        <w:t>六、</w:t>
      </w:r>
      <w:r>
        <w:rPr>
          <w:b/>
        </w:rPr>
        <w:t>磋商结果确定</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确定成交供应商。</w:t>
      </w:r>
      <w:r>
        <w:rPr>
          <w:rFonts w:asciiTheme="minorEastAsia" w:hAnsiTheme="minorEastAsia" w:eastAsiaTheme="minorEastAsia"/>
        </w:rPr>
        <w:t>磋商小组根据采购单位的</w:t>
      </w:r>
      <w:r>
        <w:t>《授权意见确认书》</w:t>
      </w:r>
      <w:r>
        <w:rPr>
          <w:rFonts w:asciiTheme="minorEastAsia" w:hAnsiTheme="minorEastAsia" w:eastAsiaTheme="minorEastAsia"/>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发布成交结果公告。采购组织机构自成交供应商</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上</w:t>
      </w:r>
      <w:r>
        <w:rPr>
          <w:rFonts w:ascii="宋体" w:hAnsi="宋体"/>
          <w:kern w:val="0"/>
          <w:sz w:val="24"/>
        </w:rPr>
        <w:t>公告</w:t>
      </w:r>
      <w:r>
        <w:rPr>
          <w:rFonts w:hint="eastAsia" w:ascii="宋体" w:hAnsi="宋体"/>
          <w:kern w:val="0"/>
          <w:sz w:val="24"/>
        </w:rPr>
        <w:t>成交结果，成交</w:t>
      </w:r>
      <w:r>
        <w:rPr>
          <w:sz w:val="24"/>
        </w:rPr>
        <w:t>结果公告期为 1 个工作日</w:t>
      </w:r>
      <w:r>
        <w:rPr>
          <w:rFonts w:hint="eastAsia" w:ascii="宋体" w:hAnsi="宋体"/>
          <w:kern w:val="0"/>
          <w:sz w:val="24"/>
        </w:rPr>
        <w:t>。</w:t>
      </w:r>
    </w:p>
    <w:p>
      <w:pPr>
        <w:pStyle w:val="6"/>
        <w:spacing w:line="360" w:lineRule="auto"/>
        <w:ind w:firstLine="480" w:firstLineChars="200"/>
        <w:jc w:val="both"/>
      </w:pPr>
      <w:r>
        <w:rPr>
          <w:rFonts w:hint="eastAsia" w:ascii="宋体" w:hAnsi="宋体"/>
          <w:kern w:val="0"/>
          <w:sz w:val="24"/>
        </w:rPr>
        <w:t>（三）发放成交通知书。采购组织机构在发布成交结果公告的同时，</w:t>
      </w:r>
      <w:r>
        <w:rPr>
          <w:rFonts w:hint="eastAsia"/>
          <w:sz w:val="24"/>
        </w:rPr>
        <w:t>通过政采云平台向成交供应商发放成交通知书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default"/>
        </w:rPr>
      </w:pPr>
      <w: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19"/>
        <w:spacing w:before="0" w:beforeAutospacing="0" w:after="0" w:afterAutospacing="0" w:line="360" w:lineRule="auto"/>
        <w:ind w:firstLine="480" w:firstLineChars="200"/>
        <w:jc w:val="both"/>
        <w:rPr>
          <w:rFonts w:hint="default"/>
        </w:rPr>
      </w:pPr>
      <w:r>
        <w:t>2.采购人不得向成交供应商提出任何不合理的要求作为签订合同的条件。</w:t>
      </w:r>
    </w:p>
    <w:p>
      <w:pPr>
        <w:pStyle w:val="19"/>
        <w:spacing w:before="0" w:beforeAutospacing="0" w:after="0" w:afterAutospacing="0" w:line="360" w:lineRule="auto"/>
        <w:ind w:firstLine="480" w:firstLineChars="200"/>
        <w:jc w:val="both"/>
        <w:rPr>
          <w:rFonts w:hint="default"/>
        </w:rPr>
      </w:pPr>
      <w:r>
        <w:t>3.成交供应商无故拖延、拒签合同的,将取消成交资格。</w:t>
      </w:r>
    </w:p>
    <w:p>
      <w:pPr>
        <w:pStyle w:val="19"/>
        <w:spacing w:before="0" w:beforeAutospacing="0" w:after="0" w:afterAutospacing="0" w:line="360" w:lineRule="auto"/>
        <w:ind w:firstLine="480" w:firstLineChars="200"/>
        <w:jc w:val="both"/>
        <w:rPr>
          <w:rFonts w:hint="default"/>
        </w:rPr>
      </w:pPr>
      <w: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19"/>
        <w:spacing w:before="0" w:beforeAutospacing="0" w:after="0" w:afterAutospacing="0" w:line="360" w:lineRule="auto"/>
        <w:ind w:firstLine="480" w:firstLineChars="200"/>
        <w:jc w:val="both"/>
        <w:rPr>
          <w:rFonts w:hint="default"/>
        </w:rPr>
      </w:pPr>
      <w:r>
        <w:t>5.询问或者质疑事项可能影响成交结果的，采购人应当暂停签订合同，已经签订合同的，应当中止履行合同。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1"/>
        <w:spacing w:after="0" w:line="360" w:lineRule="auto"/>
        <w:ind w:left="0" w:leftChars="0" w:firstLine="480" w:firstLineChars="200"/>
        <w:rPr>
          <w:rFonts w:ascii="宋体" w:hAnsi="宋体"/>
          <w:sz w:val="24"/>
        </w:rPr>
      </w:pPr>
      <w:r>
        <w:rPr>
          <w:rFonts w:hint="eastAsia" w:ascii="宋体" w:hAnsi="宋体"/>
          <w:sz w:val="24"/>
        </w:rPr>
        <w:t>1.采购人应当自政府采购合同签订之日起2个工作日内，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6"/>
        <w:spacing w:line="360" w:lineRule="auto"/>
        <w:ind w:firstLine="480" w:firstLineChars="200"/>
        <w:jc w:val="both"/>
        <w:rPr>
          <w:rFonts w:ascii="宋体" w:hAnsi="宋体"/>
          <w:sz w:val="24"/>
        </w:rPr>
      </w:pPr>
      <w:r>
        <w:rPr>
          <w:rFonts w:hint="eastAsia" w:ascii="宋体" w:hAnsi="宋体"/>
          <w:sz w:val="24"/>
        </w:rPr>
        <w:t>2.采购人应当自政府采购合同签订之日起7个工作日内，</w:t>
      </w:r>
      <w:r>
        <w:rPr>
          <w:rFonts w:hint="eastAsia"/>
          <w:sz w:val="24"/>
        </w:rPr>
        <w:t>将政府采购合同通过政采云平台提交至</w:t>
      </w:r>
      <w:r>
        <w:rPr>
          <w:rFonts w:hint="eastAsia" w:ascii="宋体" w:hAnsi="宋体"/>
          <w:sz w:val="24"/>
        </w:rPr>
        <w:t>同级人民政府财政部门备案存档。</w:t>
      </w:r>
    </w:p>
    <w:p>
      <w:pPr>
        <w:pStyle w:val="6"/>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6"/>
        <w:spacing w:line="360" w:lineRule="auto"/>
        <w:ind w:firstLine="482" w:firstLineChars="200"/>
        <w:jc w:val="both"/>
        <w:rPr>
          <w:rFonts w:ascii="宋体" w:hAnsi="宋体"/>
          <w:b/>
          <w:bCs/>
          <w:sz w:val="24"/>
        </w:rPr>
      </w:pPr>
      <w:r>
        <w:rPr>
          <w:rFonts w:hint="eastAsia" w:ascii="宋体" w:hAnsi="宋体"/>
          <w:b/>
          <w:bCs/>
          <w:sz w:val="24"/>
        </w:rPr>
        <w:t>（一）询问</w:t>
      </w:r>
    </w:p>
    <w:p>
      <w:pPr>
        <w:pStyle w:val="6"/>
        <w:spacing w:line="360" w:lineRule="auto"/>
        <w:ind w:firstLine="480" w:firstLineChars="200"/>
        <w:jc w:val="both"/>
        <w:rPr>
          <w:rFonts w:ascii="宋体" w:hAnsi="宋体"/>
          <w:sz w:val="24"/>
        </w:rPr>
      </w:pPr>
      <w:r>
        <w:rPr>
          <w:rFonts w:hint="eastAsia" w:ascii="宋体" w:hAnsi="宋体"/>
          <w:sz w:val="24"/>
        </w:rPr>
        <w:t>磋商供应商对政府采购活动事项（磋商文件、采购过程和成交结果）有疑问的，可以向采购人或采购</w:t>
      </w:r>
      <w:r>
        <w:rPr>
          <w:rFonts w:hint="eastAsia" w:asciiTheme="minorEastAsia" w:hAnsiTheme="minorEastAsia" w:eastAsiaTheme="minorEastAsia" w:cstheme="minorBidi"/>
          <w:sz w:val="24"/>
        </w:rPr>
        <w:t>组织</w:t>
      </w:r>
      <w:r>
        <w:rPr>
          <w:rFonts w:hint="eastAsia" w:ascii="宋体" w:hAnsi="宋体"/>
          <w:sz w:val="24"/>
        </w:rPr>
        <w:t>机构提出询问，采购人或采购</w:t>
      </w:r>
      <w:r>
        <w:rPr>
          <w:rFonts w:hint="eastAsia" w:asciiTheme="minorEastAsia" w:hAnsiTheme="minorEastAsia" w:eastAsiaTheme="minorEastAsia" w:cstheme="minorBidi"/>
          <w:sz w:val="24"/>
        </w:rPr>
        <w:t>组织</w:t>
      </w:r>
      <w:r>
        <w:rPr>
          <w:rFonts w:hint="eastAsia" w:ascii="宋体" w:hAnsi="宋体"/>
          <w:sz w:val="24"/>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sz w:val="24"/>
        </w:rPr>
        <w:t>组织</w:t>
      </w:r>
      <w:r>
        <w:rPr>
          <w:rFonts w:hint="eastAsia" w:ascii="宋体" w:hAnsi="宋体"/>
          <w:sz w:val="24"/>
        </w:rPr>
        <w:t>机构的名称、地址和联系方式”。</w:t>
      </w:r>
    </w:p>
    <w:p>
      <w:pPr>
        <w:pStyle w:val="6"/>
        <w:spacing w:line="360" w:lineRule="auto"/>
        <w:ind w:firstLine="482" w:firstLineChars="200"/>
        <w:jc w:val="both"/>
        <w:rPr>
          <w:rFonts w:ascii="宋体" w:hAnsi="宋体"/>
          <w:b/>
          <w:bCs/>
          <w:sz w:val="24"/>
        </w:rPr>
      </w:pPr>
      <w:r>
        <w:rPr>
          <w:rFonts w:hint="eastAsia" w:ascii="宋体" w:hAnsi="宋体"/>
          <w:b/>
          <w:bCs/>
          <w:sz w:val="24"/>
        </w:rPr>
        <w:t>（二）质疑</w:t>
      </w:r>
    </w:p>
    <w:p>
      <w:pPr>
        <w:pStyle w:val="6"/>
        <w:spacing w:line="360" w:lineRule="auto"/>
        <w:ind w:firstLine="480" w:firstLineChars="200"/>
        <w:jc w:val="both"/>
        <w:rPr>
          <w:rFonts w:ascii="宋体" w:hAnsi="宋体"/>
          <w:sz w:val="24"/>
        </w:rPr>
      </w:pPr>
      <w:r>
        <w:rPr>
          <w:rFonts w:hint="eastAsia" w:ascii="宋体" w:hAnsi="宋体"/>
          <w:sz w:val="24"/>
        </w:rPr>
        <w:t>1.报名本项目的供应商认为磋商文件、采购过程和成交结果使自己的权益受到损害的，以书面形式或政采云平台的质疑系统一次性针对同一环节向采购人或采购</w:t>
      </w:r>
      <w:r>
        <w:rPr>
          <w:rFonts w:hint="eastAsia" w:asciiTheme="minorEastAsia" w:hAnsiTheme="minorEastAsia" w:eastAsiaTheme="minorEastAsia" w:cstheme="minorBidi"/>
          <w:sz w:val="24"/>
        </w:rPr>
        <w:t>组织</w:t>
      </w:r>
      <w:r>
        <w:rPr>
          <w:rFonts w:hint="eastAsia" w:ascii="宋体" w:hAnsi="宋体"/>
          <w:sz w:val="24"/>
        </w:rPr>
        <w:t>机构书面提出质疑：</w:t>
      </w:r>
    </w:p>
    <w:p>
      <w:pPr>
        <w:pStyle w:val="6"/>
        <w:spacing w:line="360" w:lineRule="auto"/>
        <w:ind w:firstLine="480" w:firstLineChars="200"/>
        <w:jc w:val="both"/>
        <w:rPr>
          <w:rFonts w:ascii="宋体" w:hAnsi="宋体"/>
          <w:sz w:val="24"/>
        </w:rPr>
      </w:pPr>
      <w:r>
        <w:rPr>
          <w:rFonts w:hint="eastAsia" w:ascii="宋体" w:hAnsi="宋体"/>
          <w:sz w:val="24"/>
        </w:rPr>
        <w:t>（1）供应商认为磋商文件的内容损害其权益的，应当自在获取采购文件或者采购文件公告期限届满之日起7个工作日内提出质疑；</w:t>
      </w:r>
    </w:p>
    <w:p>
      <w:pPr>
        <w:pStyle w:val="6"/>
        <w:spacing w:line="360" w:lineRule="auto"/>
        <w:ind w:firstLine="480" w:firstLineChars="200"/>
        <w:jc w:val="both"/>
        <w:rPr>
          <w:rFonts w:ascii="宋体" w:hAnsi="宋体"/>
          <w:sz w:val="24"/>
        </w:rPr>
      </w:pPr>
      <w:r>
        <w:rPr>
          <w:rFonts w:hint="eastAsia" w:ascii="宋体" w:hAnsi="宋体"/>
          <w:sz w:val="24"/>
        </w:rPr>
        <w:t>（2）供应商对采购过程提出质疑的，应当在各采购程序环节结束之日起7个工作日内提出质疑；</w:t>
      </w:r>
    </w:p>
    <w:p>
      <w:pPr>
        <w:pStyle w:val="6"/>
        <w:spacing w:line="360" w:lineRule="auto"/>
        <w:ind w:firstLine="480" w:firstLineChars="200"/>
        <w:jc w:val="both"/>
        <w:rPr>
          <w:rFonts w:ascii="宋体" w:hAnsi="宋体"/>
          <w:sz w:val="24"/>
        </w:rPr>
      </w:pPr>
      <w:r>
        <w:rPr>
          <w:rFonts w:hint="eastAsia" w:ascii="宋体" w:hAnsi="宋体"/>
          <w:sz w:val="24"/>
        </w:rPr>
        <w:t>（3）供应商对成交结果提出质疑的，应当在成交结果公告期限届满之日起7个工作日内提出质疑；</w:t>
      </w:r>
    </w:p>
    <w:p>
      <w:pPr>
        <w:pStyle w:val="6"/>
        <w:spacing w:line="360" w:lineRule="auto"/>
        <w:ind w:firstLine="480" w:firstLineChars="200"/>
        <w:jc w:val="both"/>
        <w:rPr>
          <w:rFonts w:ascii="宋体" w:hAnsi="宋体"/>
          <w:sz w:val="24"/>
        </w:rPr>
      </w:pPr>
      <w:r>
        <w:rPr>
          <w:rFonts w:hint="eastAsia" w:ascii="宋体" w:hAnsi="宋体"/>
          <w:sz w:val="24"/>
        </w:rPr>
        <w:t>2.采购人或采购</w:t>
      </w:r>
      <w:r>
        <w:rPr>
          <w:rFonts w:hint="eastAsia" w:asciiTheme="minorEastAsia" w:hAnsiTheme="minorEastAsia" w:eastAsiaTheme="minorEastAsia" w:cstheme="minorBidi"/>
          <w:sz w:val="24"/>
        </w:rPr>
        <w:t>组织</w:t>
      </w:r>
      <w:r>
        <w:rPr>
          <w:rFonts w:hint="eastAsia" w:ascii="宋体" w:hAnsi="宋体"/>
          <w:sz w:val="24"/>
        </w:rPr>
        <w:t>机构在收到磋商供应商的书面质疑后7个工作日内作出答复，并以书面形式通知质疑磋商供应商和其他有关磋商供应商，但答复内容不涉及商业秘密。</w:t>
      </w:r>
    </w:p>
    <w:p>
      <w:pPr>
        <w:pStyle w:val="6"/>
        <w:spacing w:line="360" w:lineRule="auto"/>
        <w:ind w:firstLine="480" w:firstLineChars="200"/>
        <w:jc w:val="both"/>
        <w:rPr>
          <w:rFonts w:ascii="宋体" w:hAnsi="宋体"/>
          <w:sz w:val="24"/>
        </w:rPr>
      </w:pPr>
      <w:r>
        <w:rPr>
          <w:rFonts w:hint="eastAsia" w:ascii="宋体" w:hAnsi="宋体"/>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6"/>
        <w:spacing w:line="360" w:lineRule="auto"/>
        <w:ind w:firstLine="482" w:firstLineChars="200"/>
        <w:jc w:val="both"/>
        <w:rPr>
          <w:rFonts w:ascii="宋体" w:hAnsi="宋体"/>
          <w:b/>
          <w:bCs/>
          <w:sz w:val="24"/>
        </w:rPr>
      </w:pPr>
      <w:r>
        <w:rPr>
          <w:rFonts w:hint="eastAsia" w:ascii="宋体" w:hAnsi="宋体"/>
          <w:b/>
          <w:bCs/>
          <w:sz w:val="24"/>
        </w:rPr>
        <w:t>（三）投诉</w:t>
      </w:r>
    </w:p>
    <w:p>
      <w:pPr>
        <w:pStyle w:val="6"/>
        <w:spacing w:line="360" w:lineRule="auto"/>
        <w:ind w:firstLine="480" w:firstLineChars="200"/>
        <w:jc w:val="both"/>
        <w:rPr>
          <w:rFonts w:hint="eastAsia" w:ascii="宋体" w:hAnsi="宋体"/>
          <w:sz w:val="24"/>
        </w:rPr>
      </w:pPr>
      <w:r>
        <w:rPr>
          <w:rFonts w:hint="eastAsia" w:ascii="宋体" w:hAnsi="宋体"/>
          <w:sz w:val="24"/>
        </w:rPr>
        <w:t>磋商供应商对采购人或采购</w:t>
      </w:r>
      <w:r>
        <w:rPr>
          <w:rFonts w:hint="eastAsia" w:asciiTheme="minorEastAsia" w:hAnsiTheme="minorEastAsia" w:eastAsiaTheme="minorEastAsia" w:cstheme="minorBidi"/>
          <w:sz w:val="24"/>
        </w:rPr>
        <w:t>组织</w:t>
      </w:r>
      <w:r>
        <w:rPr>
          <w:rFonts w:hint="eastAsia" w:ascii="宋体" w:hAnsi="宋体"/>
          <w:sz w:val="24"/>
        </w:rPr>
        <w:t>机构的质疑答复不满意或在规定时间内未得到答复的，可以在答复期满后15个工作日内，向同级政府采购监督管理机构投诉。</w:t>
      </w: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pStyle w:val="6"/>
        <w:spacing w:line="360" w:lineRule="auto"/>
        <w:ind w:firstLine="480" w:firstLineChars="200"/>
        <w:jc w:val="both"/>
        <w:rPr>
          <w:rFonts w:hint="eastAsia" w:ascii="宋体" w:hAnsi="宋体"/>
          <w:sz w:val="24"/>
        </w:rPr>
      </w:pPr>
    </w:p>
    <w:p>
      <w:pPr>
        <w:numPr>
          <w:ilvl w:val="0"/>
          <w:numId w:val="4"/>
        </w:numPr>
        <w:spacing w:line="360" w:lineRule="auto"/>
        <w:jc w:val="center"/>
        <w:outlineLvl w:val="0"/>
        <w:rPr>
          <w:rFonts w:asciiTheme="minorEastAsia" w:hAnsiTheme="minorEastAsia" w:eastAsiaTheme="minorEastAsia"/>
          <w:b/>
          <w:sz w:val="36"/>
          <w:szCs w:val="36"/>
        </w:rPr>
      </w:pPr>
      <w:bookmarkStart w:id="35" w:name="_Toc29935"/>
      <w:r>
        <w:rPr>
          <w:rFonts w:hint="eastAsia" w:asciiTheme="minorEastAsia" w:hAnsiTheme="minorEastAsia" w:eastAsiaTheme="minorEastAsia"/>
          <w:b/>
          <w:sz w:val="36"/>
          <w:szCs w:val="36"/>
        </w:rPr>
        <w:t>项目需求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本次磋商共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3"/>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196"/>
        <w:gridCol w:w="736"/>
        <w:gridCol w:w="832"/>
        <w:gridCol w:w="1527"/>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103"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标项号</w:t>
            </w:r>
          </w:p>
        </w:tc>
        <w:tc>
          <w:tcPr>
            <w:tcW w:w="2196" w:type="dxa"/>
            <w:vAlign w:val="center"/>
          </w:tcPr>
          <w:p>
            <w:pPr>
              <w:tabs>
                <w:tab w:val="left" w:pos="8280"/>
              </w:tabs>
              <w:autoSpaceDE w:val="0"/>
              <w:autoSpaceDN w:val="0"/>
              <w:adjustRightInd w:val="0"/>
              <w:ind w:firstLine="120" w:firstLineChar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标项名称</w:t>
            </w:r>
          </w:p>
        </w:tc>
        <w:tc>
          <w:tcPr>
            <w:tcW w:w="736"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数量</w:t>
            </w:r>
          </w:p>
        </w:tc>
        <w:tc>
          <w:tcPr>
            <w:tcW w:w="832"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1527"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预算/</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最高限价</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（万元）</w:t>
            </w:r>
          </w:p>
        </w:tc>
        <w:tc>
          <w:tcPr>
            <w:tcW w:w="2537" w:type="dxa"/>
            <w:vAlign w:val="center"/>
          </w:tcPr>
          <w:p>
            <w:pPr>
              <w:tabs>
                <w:tab w:val="left" w:pos="8280"/>
              </w:tabs>
              <w:autoSpaceDE w:val="0"/>
              <w:autoSpaceDN w:val="0"/>
              <w:adjustRightInd w:val="0"/>
              <w:spacing w:line="440" w:lineRule="exact"/>
              <w:ind w:right="23"/>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103"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p>
        </w:tc>
        <w:tc>
          <w:tcPr>
            <w:tcW w:w="2196"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农药包装废弃物集中处置项目</w:t>
            </w:r>
          </w:p>
        </w:tc>
        <w:tc>
          <w:tcPr>
            <w:tcW w:w="736"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832"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w:t>
            </w:r>
          </w:p>
        </w:tc>
        <w:tc>
          <w:tcPr>
            <w:tcW w:w="1527"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35.00</w:t>
            </w:r>
          </w:p>
        </w:tc>
        <w:tc>
          <w:tcPr>
            <w:tcW w:w="2537"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宋体" w:hAnsi="宋体"/>
                <w:sz w:val="24"/>
              </w:rPr>
              <w:t>自合同签订之日起至</w:t>
            </w:r>
            <w:r>
              <w:rPr>
                <w:rFonts w:hint="eastAsia" w:ascii="宋体" w:hAnsi="宋体"/>
                <w:sz w:val="24"/>
                <w:lang w:eastAsia="zh-CN"/>
              </w:rPr>
              <w:t>2024</w:t>
            </w:r>
            <w:r>
              <w:rPr>
                <w:rFonts w:hint="eastAsia" w:ascii="宋体" w:hAnsi="宋体"/>
                <w:sz w:val="24"/>
              </w:rPr>
              <w:t>年12月31日</w:t>
            </w:r>
          </w:p>
        </w:tc>
      </w:tr>
    </w:tbl>
    <w:p>
      <w:pPr>
        <w:tabs>
          <w:tab w:val="left" w:pos="8280"/>
        </w:tabs>
        <w:autoSpaceDE w:val="0"/>
        <w:autoSpaceDN w:val="0"/>
        <w:adjustRightInd w:val="0"/>
        <w:spacing w:before="156" w:beforeLines="50" w:line="360" w:lineRule="auto"/>
        <w:ind w:right="23"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二、技术需求</w:t>
      </w:r>
    </w:p>
    <w:p>
      <w:pPr>
        <w:spacing w:line="360" w:lineRule="auto"/>
        <w:ind w:firstLine="480" w:firstLineChars="200"/>
        <w:rPr>
          <w:rFonts w:ascii="宋体" w:hAnsi="宋体"/>
          <w:sz w:val="24"/>
        </w:rPr>
      </w:pPr>
      <w:r>
        <w:rPr>
          <w:rFonts w:hint="eastAsia" w:ascii="宋体" w:hAnsi="宋体" w:cs="宋体"/>
          <w:bCs/>
          <w:sz w:val="24"/>
        </w:rPr>
        <w:t>▲</w:t>
      </w:r>
      <w:r>
        <w:rPr>
          <w:rFonts w:hint="eastAsia" w:ascii="宋体" w:hAnsi="宋体"/>
          <w:sz w:val="24"/>
        </w:rPr>
        <w:t>1、根据《中华人民共和国固体废物污染环境防治法》和《台州市固体废物污染环境防治管理暂行办法》等有关规定，对椒江区范围内的农药包装废弃物</w:t>
      </w:r>
      <w:r>
        <w:rPr>
          <w:rFonts w:hint="eastAsia" w:ascii="宋体" w:hAnsi="宋体"/>
          <w:sz w:val="24"/>
          <w:lang w:eastAsia="zh-CN"/>
        </w:rPr>
        <w:t>（废物代码</w:t>
      </w:r>
      <w:r>
        <w:rPr>
          <w:rFonts w:hint="eastAsia" w:ascii="宋体" w:hAnsi="宋体"/>
          <w:sz w:val="24"/>
        </w:rPr>
        <w:t>900-003-04</w:t>
      </w:r>
      <w:r>
        <w:rPr>
          <w:rFonts w:hint="eastAsia" w:ascii="宋体" w:hAnsi="宋体"/>
          <w:sz w:val="24"/>
          <w:lang w:eastAsia="zh-CN"/>
        </w:rPr>
        <w:t>）</w:t>
      </w:r>
      <w:r>
        <w:rPr>
          <w:rFonts w:hint="eastAsia" w:ascii="宋体" w:hAnsi="宋体"/>
          <w:sz w:val="24"/>
        </w:rPr>
        <w:t>进行处置，并且在处置运输途中严防泄漏及再次污染。农药包装废弃物处置数量为</w:t>
      </w:r>
      <w:r>
        <w:rPr>
          <w:rFonts w:hint="eastAsia" w:ascii="宋体" w:hAnsi="宋体"/>
          <w:sz w:val="24"/>
          <w:lang w:val="en-US" w:eastAsia="zh-CN"/>
        </w:rPr>
        <w:t>80</w:t>
      </w:r>
      <w:r>
        <w:rPr>
          <w:rFonts w:hint="eastAsia" w:ascii="宋体" w:hAnsi="宋体"/>
          <w:sz w:val="24"/>
        </w:rPr>
        <w:t>吨</w:t>
      </w:r>
      <w:r>
        <w:rPr>
          <w:rFonts w:hint="eastAsia" w:ascii="宋体" w:hAnsi="宋体"/>
          <w:sz w:val="24"/>
          <w:lang w:eastAsia="zh-CN"/>
        </w:rPr>
        <w:t>，如不足吨数，根据成交单价按实结算</w:t>
      </w:r>
      <w:r>
        <w:rPr>
          <w:rFonts w:hint="eastAsia" w:ascii="宋体" w:hAnsi="宋体"/>
          <w:sz w:val="24"/>
        </w:rPr>
        <w:t>。</w:t>
      </w:r>
    </w:p>
    <w:p>
      <w:pPr>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w:t>
      </w:r>
      <w:r>
        <w:rPr>
          <w:rFonts w:hint="eastAsia" w:asciiTheme="minorEastAsia" w:hAnsiTheme="minorEastAsia" w:eastAsiaTheme="minorEastAsia"/>
          <w:b/>
          <w:sz w:val="24"/>
        </w:rPr>
        <w:t>商务需求</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款项结清时间</w:t>
      </w:r>
      <w:r>
        <w:rPr>
          <w:rFonts w:hint="eastAsia" w:ascii="宋体" w:hAnsi="宋体"/>
          <w:sz w:val="24"/>
        </w:rPr>
        <w:t>：废物处置费在废物转移至成交供应商场地后</w:t>
      </w:r>
      <w:r>
        <w:rPr>
          <w:rFonts w:hint="eastAsia" w:ascii="宋体" w:hAnsi="宋体"/>
          <w:sz w:val="24"/>
          <w:lang w:eastAsia="zh-CN"/>
        </w:rPr>
        <w:t>，供应商</w:t>
      </w:r>
      <w:r>
        <w:rPr>
          <w:rFonts w:hint="eastAsia" w:ascii="宋体" w:hAnsi="宋体"/>
          <w:sz w:val="24"/>
        </w:rPr>
        <w:t>开具废物处置费发票，</w:t>
      </w:r>
      <w:r>
        <w:rPr>
          <w:rFonts w:hint="eastAsia" w:ascii="宋体" w:hAnsi="宋体"/>
          <w:sz w:val="24"/>
          <w:lang w:eastAsia="zh-CN"/>
        </w:rPr>
        <w:t>采购人自收到</w:t>
      </w:r>
      <w:r>
        <w:rPr>
          <w:rFonts w:hint="eastAsia" w:ascii="宋体" w:hAnsi="宋体"/>
          <w:sz w:val="24"/>
        </w:rPr>
        <w:t>废物处置费发票</w:t>
      </w:r>
      <w:r>
        <w:rPr>
          <w:rFonts w:hint="eastAsia" w:ascii="宋体" w:hAnsi="宋体"/>
          <w:sz w:val="24"/>
          <w:lang w:eastAsia="zh-CN"/>
        </w:rPr>
        <w:t>后</w:t>
      </w:r>
      <w:r>
        <w:rPr>
          <w:rFonts w:hint="eastAsia" w:ascii="宋体" w:hAnsi="宋体"/>
          <w:sz w:val="24"/>
        </w:rPr>
        <w:t>30天内结清。</w:t>
      </w:r>
    </w:p>
    <w:p>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、履约保证金：本项目不设履约保证金。</w:t>
      </w:r>
    </w:p>
    <w:p>
      <w:pPr>
        <w:spacing w:line="360" w:lineRule="auto"/>
        <w:ind w:firstLine="480" w:firstLineChars="200"/>
        <w:rPr>
          <w:rFonts w:hint="eastAsia" w:ascii="宋体" w:hAnsi="宋体"/>
          <w:sz w:val="24"/>
        </w:rPr>
      </w:pPr>
      <w:r>
        <w:rPr>
          <w:rFonts w:hint="eastAsia" w:ascii="宋体" w:hAnsi="宋体" w:cs="宋体"/>
          <w:sz w:val="24"/>
        </w:rPr>
        <w:t>★</w:t>
      </w:r>
      <w:r>
        <w:rPr>
          <w:rFonts w:hint="eastAsia" w:ascii="宋体" w:hAnsi="宋体"/>
          <w:sz w:val="24"/>
          <w:lang w:val="en-US" w:eastAsia="zh-CN"/>
        </w:rPr>
        <w:t>3</w:t>
      </w:r>
      <w:r>
        <w:rPr>
          <w:rFonts w:hint="eastAsia" w:ascii="宋体" w:hAnsi="宋体"/>
          <w:sz w:val="24"/>
        </w:rPr>
        <w:t>、服务时间：自合同签订之日起至</w:t>
      </w:r>
      <w:r>
        <w:rPr>
          <w:rFonts w:hint="eastAsia" w:ascii="宋体" w:hAnsi="宋体"/>
          <w:sz w:val="24"/>
          <w:lang w:eastAsia="zh-CN"/>
        </w:rPr>
        <w:t>2024</w:t>
      </w:r>
      <w:r>
        <w:rPr>
          <w:rFonts w:hint="eastAsia" w:ascii="宋体" w:hAnsi="宋体"/>
          <w:sz w:val="24"/>
        </w:rPr>
        <w:t>年12月31日。</w:t>
      </w: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numPr>
          <w:ilvl w:val="0"/>
          <w:numId w:val="4"/>
        </w:numPr>
        <w:spacing w:line="360" w:lineRule="auto"/>
        <w:jc w:val="center"/>
        <w:outlineLvl w:val="0"/>
        <w:rPr>
          <w:rFonts w:asciiTheme="minorEastAsia" w:hAnsiTheme="minorEastAsia" w:eastAsiaTheme="minorEastAsia"/>
          <w:b/>
          <w:sz w:val="36"/>
          <w:szCs w:val="36"/>
        </w:rPr>
      </w:pPr>
      <w:bookmarkStart w:id="36" w:name="_Toc19531"/>
      <w:r>
        <w:rPr>
          <w:rFonts w:hint="eastAsia" w:asciiTheme="minorEastAsia" w:hAnsiTheme="minorEastAsia" w:eastAsiaTheme="minorEastAsia"/>
          <w:b/>
          <w:sz w:val="36"/>
          <w:szCs w:val="36"/>
        </w:rPr>
        <w:t>磋商</w:t>
      </w:r>
      <w:bookmarkEnd w:id="36"/>
    </w:p>
    <w:p>
      <w:pPr>
        <w:spacing w:line="360" w:lineRule="auto"/>
        <w:ind w:firstLine="482" w:firstLineChars="200"/>
        <w:rPr>
          <w:rFonts w:ascii="宋体" w:hAnsi="宋体" w:cs="宋体"/>
          <w:b/>
          <w:bCs/>
          <w:sz w:val="24"/>
        </w:rPr>
      </w:pPr>
      <w:r>
        <w:rPr>
          <w:rFonts w:hint="eastAsia" w:ascii="宋体" w:hAnsi="宋体" w:cs="宋体"/>
          <w:b/>
          <w:bCs/>
          <w:sz w:val="24"/>
        </w:rPr>
        <w:t>一、磋商原则</w:t>
      </w:r>
    </w:p>
    <w:p>
      <w:pPr>
        <w:spacing w:line="360" w:lineRule="auto"/>
        <w:ind w:firstLine="480" w:firstLineChars="200"/>
        <w:rPr>
          <w:rFonts w:ascii="宋体" w:hAnsi="宋体" w:cs="宋体"/>
          <w:b/>
          <w:bCs/>
          <w:sz w:val="24"/>
        </w:rPr>
      </w:pP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ascii="宋体" w:hAnsi="宋体" w:cs="宋体"/>
          <w:b/>
          <w:bCs/>
          <w:sz w:val="24"/>
        </w:rPr>
      </w:pPr>
      <w:r>
        <w:rPr>
          <w:rFonts w:hint="eastAsia" w:ascii="宋体" w:hAnsi="宋体" w:cs="宋体"/>
          <w:b/>
          <w:bCs/>
          <w:sz w:val="24"/>
        </w:rPr>
        <w:t>二、评审方法</w:t>
      </w:r>
    </w:p>
    <w:p>
      <w:pPr>
        <w:spacing w:line="360" w:lineRule="auto"/>
        <w:ind w:firstLine="480" w:firstLineChars="200"/>
        <w:rPr>
          <w:rFonts w:ascii="宋体" w:hAnsi="宋体" w:cs="宋体"/>
          <w:sz w:val="24"/>
        </w:rPr>
      </w:pPr>
      <w:r>
        <w:rPr>
          <w:rFonts w:hint="eastAsia" w:ascii="宋体" w:hAnsi="宋体" w:cs="宋体"/>
          <w:sz w:val="24"/>
        </w:rPr>
        <w:t>综合评分法,是指响应文件满足磋商文件全部实质性要求且按照评审因素的量化指标评审得分最高的供应商为成交候选人的评标方法。</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三、磋商小组</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hint="eastAsia" w:asciiTheme="minorEastAsia" w:hAnsiTheme="minorEastAsia" w:eastAsiaTheme="minorEastAsia" w:cstheme="minorBidi"/>
          <w:sz w:val="24"/>
        </w:rPr>
        <w:t>磋商小组</w:t>
      </w:r>
      <w:r>
        <w:rPr>
          <w:rFonts w:asciiTheme="minorEastAsia" w:hAnsiTheme="minorEastAsia" w:eastAsiaTheme="minorEastAsia"/>
          <w:sz w:val="24"/>
        </w:rPr>
        <w:t>由</w:t>
      </w:r>
      <w:r>
        <w:rPr>
          <w:rFonts w:hint="eastAsia" w:asciiTheme="minorEastAsia" w:hAnsiTheme="minorEastAsia" w:eastAsiaTheme="minorEastAsia"/>
          <w:sz w:val="24"/>
        </w:rPr>
        <w:t>采购人代表和评审专家共3人以上单数</w:t>
      </w:r>
      <w:r>
        <w:rPr>
          <w:rFonts w:asciiTheme="minorEastAsia" w:hAnsiTheme="minorEastAsia" w:eastAsiaTheme="minorEastAsia"/>
          <w:sz w:val="24"/>
        </w:rPr>
        <w:t>组成</w:t>
      </w:r>
      <w:r>
        <w:rPr>
          <w:rFonts w:hint="eastAsia" w:asciiTheme="minorEastAsia" w:hAnsiTheme="minorEastAsia" w:eastAsiaTheme="minorEastAsia"/>
          <w:sz w:val="24"/>
        </w:rPr>
        <w:t>，其中评审专家人数不得少于磋商小组成员总数的2/3。</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成员</w:t>
      </w:r>
      <w:r>
        <w:rPr>
          <w:rFonts w:hint="eastAsia" w:ascii="宋体" w:hAnsi="宋体" w:cs="宋体"/>
          <w:sz w:val="24"/>
          <w:szCs w:val="24"/>
        </w:rPr>
        <w:t>与参与磋商的供应商</w:t>
      </w:r>
      <w:r>
        <w:rPr>
          <w:rFonts w:hint="eastAsia" w:asciiTheme="minorEastAsia" w:hAnsiTheme="minorEastAsia" w:eastAsiaTheme="minorEastAsia"/>
          <w:sz w:val="24"/>
        </w:rPr>
        <w:t>有下列情形之一的，应当回避：</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负责具体评审事务，并独立履行下列职责：</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1.审查、评价响应文件是否符合磋商文件的商务、技术等实质性要求；</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2.要求供应商对响应文件有关事项作出澄清或者说明；</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3.对响应文件进行比较和评价；</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4.确定成交候选人名单，以及根据采购人委托直接确定成交供应商；</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机构或者有关部门报告评审中发现的违法行为；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spacing w:line="360" w:lineRule="auto"/>
        <w:ind w:firstLine="482" w:firstLineChars="200"/>
        <w:rPr>
          <w:rFonts w:ascii="宋体" w:hAnsi="宋体" w:cs="宋体"/>
          <w:b/>
          <w:sz w:val="24"/>
        </w:rPr>
      </w:pPr>
      <w:r>
        <w:rPr>
          <w:rFonts w:hint="eastAsia" w:ascii="宋体" w:hAnsi="宋体" w:cs="宋体"/>
          <w:b/>
          <w:sz w:val="24"/>
        </w:rPr>
        <w:t>四、磋商要求</w:t>
      </w:r>
    </w:p>
    <w:p>
      <w:pPr>
        <w:spacing w:line="360" w:lineRule="auto"/>
        <w:ind w:firstLine="480" w:firstLineChars="200"/>
        <w:rPr>
          <w:rFonts w:ascii="宋体" w:hAnsi="宋体" w:cs="宋体"/>
          <w:b/>
          <w:sz w:val="24"/>
        </w:rPr>
      </w:pPr>
      <w:r>
        <w:rPr>
          <w:rFonts w:hint="eastAsia" w:ascii="宋体" w:hAnsi="宋体" w:cs="宋体"/>
          <w:sz w:val="24"/>
        </w:rPr>
        <w:t>（一）采购人、采购代理机构不得对磋商小组中的评审专家作倾向性、误导性的解释或者说明。</w:t>
      </w:r>
    </w:p>
    <w:p>
      <w:pPr>
        <w:spacing w:line="360" w:lineRule="auto"/>
        <w:ind w:firstLine="480" w:firstLineChars="200"/>
        <w:rPr>
          <w:rFonts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pPr>
        <w:spacing w:line="360" w:lineRule="auto"/>
        <w:ind w:firstLine="480" w:firstLineChars="200"/>
        <w:rPr>
          <w:rFonts w:asciiTheme="minorEastAsia" w:hAnsiTheme="minorEastAsia" w:eastAsiaTheme="minorEastAsia"/>
          <w:sz w:val="24"/>
        </w:rPr>
      </w:pPr>
      <w:r>
        <w:rPr>
          <w:rFonts w:hint="eastAsia" w:ascii="宋体" w:hAnsi="宋体" w:cs="宋体"/>
          <w:sz w:val="24"/>
        </w:rPr>
        <w:t>（六）已提交响应文件的供应商，在提交最后报价之前，可以根据磋商情况退出磋商。</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五、无效响应情形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sz w:val="24"/>
          <w:szCs w:val="32"/>
        </w:rPr>
        <w:t>（一）</w:t>
      </w:r>
      <w:r>
        <w:rPr>
          <w:rFonts w:hint="eastAsia" w:asciiTheme="minorEastAsia" w:hAnsiTheme="minorEastAsia" w:eastAsiaTheme="minorEastAsia"/>
          <w:kern w:val="0"/>
          <w:sz w:val="24"/>
        </w:rPr>
        <w:t>在资格证明文件或商务与技术文件中出现响应报价的，或者报价文件中报价的货物跟商务与技术文件中的供应货物出现重大偏差的；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（二）</w:t>
      </w:r>
      <w:r>
        <w:rPr>
          <w:rFonts w:asciiTheme="minorEastAsia" w:hAnsiTheme="minorEastAsia" w:eastAsiaTheme="minorEastAsia"/>
        </w:rPr>
        <w:t>不具备磋商文件中规定的资格要求的；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（三）</w:t>
      </w:r>
      <w:r>
        <w:rPr>
          <w:rFonts w:asciiTheme="minorEastAsia" w:hAnsiTheme="minorEastAsia" w:eastAsiaTheme="minorEastAsia"/>
        </w:rPr>
        <w:t>响应文件含有采购人不能接受的附加条件的；</w:t>
      </w:r>
    </w:p>
    <w:p>
      <w:pPr>
        <w:pStyle w:val="6"/>
        <w:spacing w:line="360" w:lineRule="auto"/>
        <w:ind w:firstLine="480" w:firstLineChars="200"/>
        <w:jc w:val="both"/>
        <w:rPr>
          <w:rFonts w:asciiTheme="minorEastAsia" w:hAnsiTheme="minorEastAsia" w:eastAsiaTheme="minorEastAsia"/>
          <w:kern w:val="0"/>
          <w:sz w:val="24"/>
        </w:rPr>
      </w:pPr>
      <w:r>
        <w:rPr>
          <w:rFonts w:hint="eastAsia" w:asciiTheme="minorEastAsia" w:hAnsiTheme="minorEastAsia" w:eastAsiaTheme="minorEastAsia"/>
          <w:sz w:val="24"/>
          <w:szCs w:val="32"/>
        </w:rPr>
        <w:t>（四）</w:t>
      </w:r>
      <w:r>
        <w:rPr>
          <w:rFonts w:hint="eastAsia" w:asciiTheme="minorEastAsia" w:hAnsiTheme="minorEastAsia" w:eastAsiaTheme="minorEastAsia"/>
          <w:kern w:val="0"/>
          <w:sz w:val="24"/>
        </w:rPr>
        <w:t>磋商小组认为供应商的报价明显低于其他通过符合性审查供应商的报价，有可能影响产品质量或者不能诚信履约的，供应商在限定的时间内不能证明其报价合理性的，磋商小组应当将其作为无效标处理；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（五）</w:t>
      </w:r>
      <w:r>
        <w:rPr>
          <w:rFonts w:asciiTheme="minorEastAsia" w:hAnsiTheme="minorEastAsia" w:eastAsiaTheme="minorEastAsia"/>
        </w:rPr>
        <w:t xml:space="preserve">报价超过磋商文件中规定的预算金额/最高限价；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szCs w:val="32"/>
        </w:rPr>
        <w:t>（六）</w:t>
      </w:r>
      <w:r>
        <w:rPr>
          <w:rFonts w:hint="eastAsia" w:asciiTheme="minorEastAsia" w:hAnsiTheme="minorEastAsia" w:eastAsiaTheme="minorEastAsia"/>
          <w:kern w:val="0"/>
          <w:sz w:val="24"/>
        </w:rPr>
        <w:t>响应参数未如实填写，完全复制粘贴磋商需求参数的；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szCs w:val="32"/>
        </w:rPr>
        <w:t>（七）</w:t>
      </w:r>
      <w:r>
        <w:rPr>
          <w:rFonts w:hint="eastAsia" w:asciiTheme="minorEastAsia" w:hAnsiTheme="minorEastAsia" w:eastAsiaTheme="minorEastAsia"/>
          <w:sz w:val="24"/>
        </w:rPr>
        <w:t>响应文件</w:t>
      </w:r>
      <w:r>
        <w:rPr>
          <w:rFonts w:hint="eastAsia" w:asciiTheme="minorEastAsia" w:hAnsiTheme="minorEastAsia" w:eastAsiaTheme="minorEastAsia"/>
          <w:kern w:val="0"/>
          <w:sz w:val="24"/>
        </w:rPr>
        <w:t xml:space="preserve">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32"/>
        </w:rPr>
        <w:t>（八）</w:t>
      </w:r>
      <w:r>
        <w:rPr>
          <w:rFonts w:asciiTheme="minorEastAsia" w:hAnsiTheme="minorEastAsia" w:eastAsiaTheme="minorEastAsia"/>
          <w:sz w:val="24"/>
        </w:rPr>
        <w:t>不同</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响应文件</w:t>
      </w:r>
      <w:r>
        <w:rPr>
          <w:rFonts w:asciiTheme="minorEastAsia" w:hAnsiTheme="minorEastAsia" w:eastAsiaTheme="minorEastAsia"/>
          <w:sz w:val="24"/>
        </w:rPr>
        <w:t>由同一单位或者个人编制</w:t>
      </w:r>
      <w:r>
        <w:rPr>
          <w:rFonts w:hint="eastAsia" w:asciiTheme="minorEastAsia" w:hAnsiTheme="minorEastAsia" w:eastAsiaTheme="minorEastAsia"/>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九</w:t>
      </w:r>
      <w:r>
        <w:rPr>
          <w:rFonts w:asciiTheme="minorEastAsia" w:hAnsiTheme="minorEastAsia" w:eastAsiaTheme="minorEastAsia"/>
          <w:sz w:val="24"/>
        </w:rPr>
        <w:t>）不同供应商委托同一单位或者个人办理磋商事宜；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w:t>
      </w:r>
      <w:r>
        <w:rPr>
          <w:rFonts w:asciiTheme="minorEastAsia" w:hAnsiTheme="minorEastAsia" w:eastAsiaTheme="minorEastAsia"/>
        </w:rPr>
        <w:t>不同供应商的响应文件载明的项目管理成员或者联系人员为同一人；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（十一）</w:t>
      </w:r>
      <w:r>
        <w:rPr>
          <w:rFonts w:asciiTheme="minorEastAsia" w:hAnsiTheme="minorEastAsia" w:eastAsiaTheme="minorEastAsia"/>
        </w:rPr>
        <w:t>不同供应商的响应文件异常一致或者磋商报价呈规律性差异；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（十二）不同供应商的响应文件相互混装；</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（十三）</w:t>
      </w:r>
      <w:r>
        <w:rPr>
          <w:rFonts w:cs="宋体"/>
        </w:rPr>
        <w:t>实质性要求（磋商文件中打“▲”内容）不响应的；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（十四）</w:t>
      </w:r>
      <w:r>
        <w:rPr>
          <w:rFonts w:hint="eastAsia" w:asciiTheme="minorEastAsia" w:hAnsiTheme="minorEastAsia" w:eastAsiaTheme="minorEastAsia"/>
          <w:kern w:val="0"/>
          <w:sz w:val="24"/>
          <w:szCs w:val="24"/>
        </w:rPr>
        <w:t>商务条款</w:t>
      </w:r>
      <w:r>
        <w:rPr>
          <w:rFonts w:hint="eastAsia" w:asciiTheme="minorEastAsia" w:hAnsiTheme="minorEastAsia" w:eastAsiaTheme="minorEastAsia"/>
          <w:kern w:val="0"/>
          <w:sz w:val="24"/>
          <w:szCs w:val="24"/>
          <w:lang w:eastAsia="zh-CN"/>
        </w:rPr>
        <w:t>全部</w:t>
      </w:r>
      <w:r>
        <w:rPr>
          <w:rFonts w:hint="eastAsia" w:asciiTheme="minorEastAsia" w:hAnsiTheme="minorEastAsia" w:eastAsiaTheme="minorEastAsia"/>
          <w:kern w:val="0"/>
          <w:sz w:val="24"/>
          <w:szCs w:val="24"/>
        </w:rPr>
        <w:t>不响应；</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（十五）</w:t>
      </w:r>
      <w:r>
        <w:rPr>
          <w:rFonts w:hint="eastAsia" w:cs="宋体"/>
          <w:sz w:val="24"/>
          <w:szCs w:val="24"/>
        </w:rPr>
        <w:t>响应</w:t>
      </w:r>
      <w:r>
        <w:rPr>
          <w:rFonts w:hint="eastAsia" w:asciiTheme="minorEastAsia" w:hAnsiTheme="minorEastAsia" w:eastAsiaTheme="minorEastAsia"/>
          <w:kern w:val="0"/>
          <w:sz w:val="24"/>
          <w:szCs w:val="24"/>
        </w:rPr>
        <w:t>文件有效期不足的；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（十六）</w:t>
      </w:r>
      <w:r>
        <w:rPr>
          <w:rFonts w:hint="eastAsia" w:asciiTheme="minorEastAsia" w:hAnsiTheme="minorEastAsia" w:eastAsiaTheme="minorEastAsia"/>
          <w:kern w:val="0"/>
          <w:sz w:val="24"/>
          <w:szCs w:val="24"/>
        </w:rPr>
        <w:t>逾期或未按要求提交</w:t>
      </w:r>
      <w:r>
        <w:rPr>
          <w:rFonts w:hint="eastAsia" w:cs="宋体"/>
          <w:sz w:val="24"/>
          <w:szCs w:val="24"/>
        </w:rPr>
        <w:t>响应</w:t>
      </w:r>
      <w:r>
        <w:rPr>
          <w:rFonts w:hint="eastAsia" w:asciiTheme="minorEastAsia" w:hAnsiTheme="minorEastAsia" w:eastAsiaTheme="minorEastAsia"/>
          <w:kern w:val="0"/>
          <w:sz w:val="24"/>
          <w:szCs w:val="24"/>
        </w:rPr>
        <w:t>文件的。</w:t>
      </w:r>
    </w:p>
    <w:p>
      <w:pPr>
        <w:pStyle w:val="9"/>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sz w:val="24"/>
          <w:szCs w:val="32"/>
        </w:rPr>
        <w:t>（十七）</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Theme="minorEastAsia" w:hAnsiTheme="minorEastAsia" w:eastAsiaTheme="minorEastAsia"/>
          <w:kern w:val="0"/>
          <w:sz w:val="24"/>
        </w:rPr>
      </w:pPr>
      <w:r>
        <w:rPr>
          <w:rFonts w:hint="eastAsia" w:asciiTheme="minorEastAsia" w:hAnsiTheme="minorEastAsia" w:eastAsiaTheme="minorEastAsia"/>
          <w:b/>
          <w:kern w:val="0"/>
          <w:sz w:val="24"/>
        </w:rPr>
        <w:t>六、终止磋商情形</w:t>
      </w:r>
    </w:p>
    <w:p>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pPr>
        <w:spacing w:line="360" w:lineRule="auto"/>
        <w:ind w:firstLine="480" w:firstLineChars="200"/>
        <w:rPr>
          <w:rFonts w:ascii="宋体" w:hAnsi="宋体" w:cs="宋体"/>
          <w:b/>
          <w:bCs/>
          <w:sz w:val="24"/>
        </w:rPr>
      </w:pPr>
      <w:r>
        <w:rPr>
          <w:rFonts w:hint="eastAsia" w:ascii="宋体" w:hAnsi="宋体" w:cs="宋体"/>
          <w:sz w:val="24"/>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（五）法律、法规和磋商文件规定的其他导致评审结果无效的。</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七、磋商</w:t>
      </w:r>
      <w:r>
        <w:rPr>
          <w:rFonts w:asciiTheme="minorEastAsia" w:hAnsiTheme="minorEastAsia" w:eastAsiaTheme="minorEastAsia"/>
          <w:b/>
          <w:sz w:val="24"/>
        </w:rPr>
        <w:t>过程的监控</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本项目磋商过程实行全程录音、录像监控，政府采购监管部门视情进行现场监督，供应商在磋商过程中所进行的试图影响磋商结果的不公正活动，可能导致其磋商响应被拒绝。</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lang w:eastAsia="zh-CN"/>
        </w:rPr>
        <w:t>八</w:t>
      </w:r>
      <w:r>
        <w:rPr>
          <w:rFonts w:hint="eastAsia" w:asciiTheme="minorEastAsia" w:hAnsiTheme="minorEastAsia" w:eastAsiaTheme="minorEastAsia"/>
          <w:b/>
          <w:bCs/>
          <w:sz w:val="24"/>
        </w:rPr>
        <w:t>、评审</w:t>
      </w:r>
      <w:r>
        <w:rPr>
          <w:rFonts w:asciiTheme="minorEastAsia" w:hAnsiTheme="minorEastAsia" w:eastAsiaTheme="minorEastAsia"/>
          <w:b/>
          <w:bCs/>
          <w:sz w:val="24"/>
        </w:rPr>
        <w:t>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6"/>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响应文件解密后</w:t>
      </w:r>
      <w:r>
        <w:rPr>
          <w:rFonts w:asciiTheme="minorEastAsia" w:hAnsiTheme="minorEastAsia" w:eastAsiaTheme="minorEastAsia"/>
          <w:sz w:val="24"/>
        </w:rPr>
        <w:t>，采购人</w:t>
      </w:r>
      <w:r>
        <w:rPr>
          <w:rFonts w:hint="eastAsia" w:asciiTheme="minorEastAsia" w:hAnsiTheme="minorEastAsia" w:eastAsiaTheme="minorEastAsia"/>
          <w:sz w:val="24"/>
        </w:rPr>
        <w:t>或</w:t>
      </w:r>
      <w:r>
        <w:rPr>
          <w:rFonts w:asciiTheme="minorEastAsia" w:hAnsiTheme="minorEastAsia" w:eastAsiaTheme="minorEastAsia"/>
          <w:sz w:val="24"/>
        </w:rPr>
        <w:t>采购组织机构依法对</w:t>
      </w:r>
      <w:r>
        <w:rPr>
          <w:rFonts w:hint="eastAsia" w:asciiTheme="minorEastAsia" w:hAnsiTheme="minorEastAsia" w:eastAsiaTheme="minorEastAsia"/>
          <w:sz w:val="24"/>
        </w:rPr>
        <w:t>供应商</w:t>
      </w:r>
      <w:r>
        <w:rPr>
          <w:rFonts w:asciiTheme="minorEastAsia" w:hAnsiTheme="minorEastAsia" w:eastAsiaTheme="minorEastAsia"/>
          <w:sz w:val="24"/>
        </w:rPr>
        <w:t>的资格进行审查，对审查发现无效的进行必要的询标，</w:t>
      </w:r>
      <w:r>
        <w:rPr>
          <w:rFonts w:hint="eastAsia"/>
          <w:sz w:val="24"/>
        </w:rPr>
        <w:t>在政采云平台公布</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响应</w:t>
      </w:r>
      <w:r>
        <w:rPr>
          <w:rFonts w:asciiTheme="minorEastAsia" w:hAnsiTheme="minorEastAsia" w:eastAsiaTheme="minorEastAsia"/>
          <w:sz w:val="24"/>
        </w:rPr>
        <w:t>无效的原因。</w:t>
      </w:r>
    </w:p>
    <w:tbl>
      <w:tblPr>
        <w:tblStyle w:val="23"/>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956" w:type="dxa"/>
            <w:vAlign w:val="center"/>
          </w:tcPr>
          <w:p>
            <w:pPr>
              <w:pStyle w:val="46"/>
              <w:spacing w:before="1"/>
              <w:ind w:right="146"/>
              <w:rPr>
                <w:sz w:val="24"/>
              </w:rPr>
            </w:pPr>
            <w:r>
              <w:rPr>
                <w:rFonts w:hint="eastAsia"/>
                <w:sz w:val="24"/>
              </w:rPr>
              <w:t>具有独立承担民事责任的能力</w:t>
            </w:r>
          </w:p>
        </w:tc>
        <w:tc>
          <w:tcPr>
            <w:tcW w:w="6161" w:type="dxa"/>
            <w:vAlign w:val="center"/>
          </w:tcPr>
          <w:p>
            <w:pPr>
              <w:pStyle w:val="46"/>
              <w:ind w:left="64" w:right="63" w:firstLine="480" w:firstLineChars="200"/>
              <w:rPr>
                <w:sz w:val="24"/>
              </w:rPr>
            </w:pPr>
            <w:r>
              <w:rPr>
                <w:rFonts w:hint="eastAsia"/>
                <w:sz w:val="24"/>
              </w:rPr>
              <w:t>在中华人民共和国境内注册的法人或其他组织或自然人，磋商时提交有效的营业执照（或事业法人登记证或身份证等相关证明）副本扫描件。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2956" w:type="dxa"/>
            <w:shd w:val="clear" w:color="auto" w:fill="F6F6F6"/>
            <w:vAlign w:val="center"/>
          </w:tcPr>
          <w:p>
            <w:pPr>
              <w:pStyle w:val="46"/>
              <w:spacing w:before="1"/>
              <w:ind w:right="146"/>
              <w:rPr>
                <w:sz w:val="24"/>
              </w:rPr>
            </w:pPr>
            <w:r>
              <w:rPr>
                <w:rFonts w:hint="eastAsia"/>
                <w:sz w:val="24"/>
              </w:rPr>
              <w:t>有依法缴纳税收和社会保障资金的良好记录</w:t>
            </w:r>
          </w:p>
        </w:tc>
        <w:tc>
          <w:tcPr>
            <w:tcW w:w="6161" w:type="dxa"/>
            <w:shd w:val="clear" w:color="auto" w:fill="F6F6F6"/>
            <w:vAlign w:val="center"/>
          </w:tcPr>
          <w:p>
            <w:pPr>
              <w:pStyle w:val="46"/>
              <w:ind w:left="64" w:right="63" w:firstLine="480" w:firstLineChars="200"/>
              <w:rPr>
                <w:sz w:val="24"/>
              </w:rPr>
            </w:pPr>
            <w:r>
              <w:rPr>
                <w:rFonts w:hint="eastAsia"/>
                <w:sz w:val="24"/>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956" w:type="dxa"/>
            <w:vAlign w:val="center"/>
          </w:tcPr>
          <w:p>
            <w:pPr>
              <w:pStyle w:val="46"/>
              <w:spacing w:before="1"/>
              <w:ind w:right="146"/>
              <w:rPr>
                <w:sz w:val="24"/>
              </w:rPr>
            </w:pPr>
            <w:r>
              <w:rPr>
                <w:rFonts w:hint="eastAsia"/>
                <w:sz w:val="24"/>
              </w:rPr>
              <w:t>具有良好的商业信誉和健全的财务会计制度</w:t>
            </w:r>
          </w:p>
        </w:tc>
        <w:tc>
          <w:tcPr>
            <w:tcW w:w="6161" w:type="dxa"/>
            <w:vAlign w:val="center"/>
          </w:tcPr>
          <w:p>
            <w:pPr>
              <w:pStyle w:val="46"/>
              <w:ind w:left="64" w:right="63" w:firstLine="480" w:firstLineChars="200"/>
              <w:rPr>
                <w:rFonts w:hint="eastAsia" w:eastAsia="宋体"/>
                <w:b/>
                <w:bCs/>
                <w:sz w:val="24"/>
                <w:lang w:eastAsia="zh-CN"/>
              </w:rPr>
            </w:pPr>
            <w:r>
              <w:rPr>
                <w:rFonts w:hint="eastAsia"/>
                <w:sz w:val="24"/>
              </w:rPr>
              <w:t>具备良好的商业信誉和健全的财务会计制度的承诺函</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956" w:type="dxa"/>
            <w:shd w:val="clear" w:color="auto" w:fill="F6F6F6"/>
            <w:vAlign w:val="center"/>
          </w:tcPr>
          <w:p>
            <w:pPr>
              <w:pStyle w:val="46"/>
              <w:spacing w:before="1"/>
              <w:ind w:right="146"/>
              <w:rPr>
                <w:sz w:val="24"/>
              </w:rPr>
            </w:pPr>
            <w:r>
              <w:rPr>
                <w:rFonts w:hint="eastAsia"/>
                <w:sz w:val="24"/>
              </w:rPr>
              <w:t>履行合同所必需的设备和专业技术能力</w:t>
            </w:r>
          </w:p>
        </w:tc>
        <w:tc>
          <w:tcPr>
            <w:tcW w:w="6161" w:type="dxa"/>
            <w:shd w:val="clear" w:color="auto" w:fill="F6F6F6"/>
            <w:vAlign w:val="center"/>
          </w:tcPr>
          <w:p>
            <w:pPr>
              <w:pStyle w:val="46"/>
              <w:ind w:left="64" w:right="63" w:firstLine="480" w:firstLineChars="200"/>
              <w:rPr>
                <w:sz w:val="24"/>
              </w:rPr>
            </w:pPr>
            <w:r>
              <w:rPr>
                <w:rFonts w:hint="eastAsia"/>
                <w:sz w:val="24"/>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jc w:val="center"/>
        </w:trPr>
        <w:tc>
          <w:tcPr>
            <w:tcW w:w="2956" w:type="dxa"/>
            <w:vAlign w:val="center"/>
          </w:tcPr>
          <w:p>
            <w:pPr>
              <w:pStyle w:val="46"/>
              <w:ind w:right="146"/>
              <w:rPr>
                <w:sz w:val="24"/>
              </w:rPr>
            </w:pPr>
            <w:r>
              <w:rPr>
                <w:rFonts w:hint="eastAsia"/>
                <w:sz w:val="24"/>
              </w:rPr>
              <w:t>参加采购活动前</w:t>
            </w:r>
            <w:r>
              <w:rPr>
                <w:rFonts w:hint="eastAsia"/>
                <w:w w:val="110"/>
                <w:sz w:val="24"/>
              </w:rPr>
              <w:t>3</w:t>
            </w:r>
            <w:r>
              <w:rPr>
                <w:rFonts w:hint="eastAsia"/>
                <w:sz w:val="24"/>
              </w:rPr>
              <w:t>年内，在经营活动中没有重大违法记录</w:t>
            </w:r>
          </w:p>
        </w:tc>
        <w:tc>
          <w:tcPr>
            <w:tcW w:w="6161" w:type="dxa"/>
            <w:vAlign w:val="center"/>
          </w:tcPr>
          <w:p>
            <w:pPr>
              <w:pStyle w:val="46"/>
              <w:ind w:left="64" w:right="63" w:firstLine="480" w:firstLineChars="200"/>
              <w:rPr>
                <w:sz w:val="24"/>
              </w:rPr>
            </w:pPr>
            <w:r>
              <w:rPr>
                <w:rFonts w:hint="eastAsia"/>
                <w:sz w:val="24"/>
                <w:lang w:eastAsia="zh-CN"/>
              </w:rPr>
              <w:t>签署</w:t>
            </w:r>
            <w:r>
              <w:rPr>
                <w:rFonts w:hint="eastAsia"/>
                <w:sz w:val="24"/>
              </w:rPr>
              <w:t>磋商声明书。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2" w:hRule="atLeast"/>
          <w:jc w:val="center"/>
        </w:trPr>
        <w:tc>
          <w:tcPr>
            <w:tcW w:w="2956" w:type="dxa"/>
            <w:vAlign w:val="center"/>
          </w:tcPr>
          <w:p>
            <w:pPr>
              <w:pStyle w:val="46"/>
              <w:ind w:right="146"/>
              <w:rPr>
                <w:sz w:val="24"/>
              </w:rPr>
            </w:pPr>
            <w:r>
              <w:rPr>
                <w:rFonts w:hint="eastAsia"/>
                <w:sz w:val="24"/>
              </w:rPr>
              <w:t>供应商必须符合法律、行政法规规定的其他条件</w:t>
            </w:r>
          </w:p>
        </w:tc>
        <w:tc>
          <w:tcPr>
            <w:tcW w:w="6161" w:type="dxa"/>
            <w:vAlign w:val="center"/>
          </w:tcPr>
          <w:p>
            <w:pPr>
              <w:pStyle w:val="46"/>
              <w:ind w:left="64" w:right="63" w:firstLine="480" w:firstLineChars="200"/>
              <w:rPr>
                <w:sz w:val="24"/>
              </w:rPr>
            </w:pPr>
            <w:r>
              <w:rPr>
                <w:rFonts w:hint="eastAsia"/>
                <w:sz w:val="24"/>
              </w:rPr>
              <w:t>1.单位负责人为同一人或者存在直接控股、管理关系的不同供应商，不得参加同一合同项下的政府采购活动。</w:t>
            </w:r>
          </w:p>
          <w:p>
            <w:pPr>
              <w:pStyle w:val="46"/>
              <w:ind w:left="64" w:right="63" w:firstLine="480" w:firstLineChars="200"/>
              <w:rPr>
                <w:sz w:val="24"/>
              </w:rPr>
            </w:pPr>
            <w:r>
              <w:rPr>
                <w:rFonts w:hint="eastAsia"/>
                <w:sz w:val="24"/>
              </w:rPr>
              <w:t>2.为本项目提供整体设计、规范编制或者项目管理、监理、检测等服务的供应商，不得再参与本项目磋商。</w:t>
            </w:r>
          </w:p>
          <w:p>
            <w:pPr>
              <w:pStyle w:val="46"/>
              <w:ind w:left="64" w:right="63" w:firstLine="480" w:firstLineChars="200"/>
              <w:rPr>
                <w:sz w:val="24"/>
              </w:rPr>
            </w:pPr>
            <w:r>
              <w:rPr>
                <w:rFonts w:hint="eastAsia"/>
                <w:sz w:val="24"/>
              </w:rPr>
              <w:t>3.相关承诺要求内容。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jc w:val="center"/>
        </w:trPr>
        <w:tc>
          <w:tcPr>
            <w:tcW w:w="2956" w:type="dxa"/>
            <w:vAlign w:val="center"/>
          </w:tcPr>
          <w:p>
            <w:pPr>
              <w:pStyle w:val="46"/>
              <w:ind w:right="146" w:rightChars="0"/>
              <w:rPr>
                <w:rFonts w:hint="eastAsia"/>
                <w:sz w:val="24"/>
              </w:rPr>
            </w:pPr>
            <w:r>
              <w:rPr>
                <w:rFonts w:hint="eastAsia"/>
                <w:sz w:val="24"/>
              </w:rPr>
              <w:t>法定代表人/负责人资格证明书及授权委托书</w:t>
            </w:r>
          </w:p>
        </w:tc>
        <w:tc>
          <w:tcPr>
            <w:tcW w:w="6161" w:type="dxa"/>
            <w:vAlign w:val="center"/>
          </w:tcPr>
          <w:p>
            <w:pPr>
              <w:pStyle w:val="46"/>
              <w:ind w:left="64" w:leftChars="0" w:right="63" w:rightChars="0" w:firstLine="480" w:firstLineChars="200"/>
              <w:rPr>
                <w:rFonts w:hint="eastAsia"/>
                <w:sz w:val="24"/>
              </w:rPr>
            </w:pPr>
            <w:r>
              <w:rPr>
                <w:rFonts w:hint="eastAsia"/>
                <w:sz w:val="24"/>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956" w:type="dxa"/>
            <w:shd w:val="clear" w:color="auto" w:fill="F6F6F6"/>
            <w:vAlign w:val="center"/>
          </w:tcPr>
          <w:p>
            <w:pPr>
              <w:pStyle w:val="46"/>
              <w:spacing w:before="48"/>
              <w:rPr>
                <w:sz w:val="24"/>
              </w:rPr>
            </w:pPr>
            <w:r>
              <w:rPr>
                <w:rFonts w:hint="eastAsia"/>
                <w:sz w:val="24"/>
              </w:rPr>
              <w:t>联合体参与磋商</w:t>
            </w:r>
          </w:p>
        </w:tc>
        <w:tc>
          <w:tcPr>
            <w:tcW w:w="6161" w:type="dxa"/>
            <w:shd w:val="clear" w:color="auto" w:fill="F6F6F6"/>
            <w:vAlign w:val="center"/>
          </w:tcPr>
          <w:p>
            <w:pPr>
              <w:pStyle w:val="46"/>
              <w:ind w:left="64" w:right="63" w:firstLine="480" w:firstLineChars="200"/>
              <w:rPr>
                <w:sz w:val="24"/>
              </w:rPr>
            </w:pPr>
            <w:r>
              <w:rPr>
                <w:rFonts w:hint="eastAsia"/>
                <w:sz w:val="24"/>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2956" w:type="dxa"/>
            <w:vAlign w:val="center"/>
          </w:tcPr>
          <w:p>
            <w:pPr>
              <w:pStyle w:val="46"/>
              <w:ind w:right="146"/>
              <w:rPr>
                <w:sz w:val="24"/>
              </w:rPr>
            </w:pPr>
            <w:r>
              <w:rPr>
                <w:rFonts w:hint="eastAsia"/>
                <w:sz w:val="24"/>
              </w:rPr>
              <w:t>资质</w:t>
            </w:r>
          </w:p>
        </w:tc>
        <w:tc>
          <w:tcPr>
            <w:tcW w:w="6161" w:type="dxa"/>
            <w:vAlign w:val="center"/>
          </w:tcPr>
          <w:p>
            <w:pPr>
              <w:pStyle w:val="46"/>
              <w:ind w:left="64" w:right="63" w:firstLine="480" w:firstLineChars="200"/>
              <w:rPr>
                <w:rFonts w:hint="eastAsia" w:eastAsia="宋体"/>
                <w:sz w:val="24"/>
                <w:lang w:eastAsia="zh-CN"/>
              </w:rPr>
            </w:pPr>
            <w:r>
              <w:rPr>
                <w:rFonts w:hint="eastAsia"/>
                <w:sz w:val="24"/>
                <w:lang w:eastAsia="zh-CN"/>
              </w:rPr>
              <w:t>无</w:t>
            </w:r>
          </w:p>
        </w:tc>
      </w:tr>
    </w:tbl>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（二）符合性审查</w:t>
      </w:r>
    </w:p>
    <w:p>
      <w:pPr>
        <w:pStyle w:val="6"/>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cstheme="minorBidi"/>
          <w:sz w:val="24"/>
        </w:rPr>
        <w:t>磋商小组</w:t>
      </w:r>
      <w:r>
        <w:rPr>
          <w:rFonts w:asciiTheme="minorEastAsia" w:hAnsiTheme="minorEastAsia" w:eastAsiaTheme="minorEastAsia"/>
          <w:sz w:val="24"/>
        </w:rPr>
        <w:t>应当对符合资格的</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磋商响应</w:t>
      </w:r>
      <w:r>
        <w:rPr>
          <w:rFonts w:asciiTheme="minorEastAsia" w:hAnsiTheme="minorEastAsia" w:eastAsiaTheme="minorEastAsia"/>
          <w:sz w:val="24"/>
        </w:rPr>
        <w:t>文件进行符合性审查，以确定其是否满足</w:t>
      </w:r>
      <w:r>
        <w:rPr>
          <w:rFonts w:hint="eastAsia" w:asciiTheme="minorEastAsia" w:hAnsiTheme="minorEastAsia" w:eastAsiaTheme="minorEastAsia"/>
          <w:sz w:val="24"/>
        </w:rPr>
        <w:t>磋商</w:t>
      </w:r>
      <w:r>
        <w:rPr>
          <w:rFonts w:asciiTheme="minorEastAsia" w:hAnsiTheme="minorEastAsia" w:eastAsiaTheme="minorEastAsia"/>
          <w:sz w:val="24"/>
        </w:rPr>
        <w:t>文件的实质性要求，对审查发现无效的进行必要的询标，</w:t>
      </w:r>
      <w:r>
        <w:rPr>
          <w:rFonts w:hint="eastAsia"/>
          <w:sz w:val="24"/>
        </w:rPr>
        <w:t>对</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及响应</w:t>
      </w:r>
      <w:r>
        <w:rPr>
          <w:rFonts w:asciiTheme="minorEastAsia" w:hAnsiTheme="minorEastAsia" w:eastAsiaTheme="minorEastAsia"/>
          <w:sz w:val="24"/>
        </w:rPr>
        <w:t>无效原因</w:t>
      </w:r>
      <w:r>
        <w:rPr>
          <w:rFonts w:hint="eastAsia" w:asciiTheme="minorEastAsia" w:hAnsiTheme="minorEastAsia" w:eastAsiaTheme="minorEastAsia"/>
          <w:sz w:val="24"/>
        </w:rPr>
        <w:t>的公布方式同上。</w:t>
      </w:r>
    </w:p>
    <w:tbl>
      <w:tblPr>
        <w:tblStyle w:val="23"/>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jc w:val="center"/>
        </w:trPr>
        <w:tc>
          <w:tcPr>
            <w:tcW w:w="1952" w:type="dxa"/>
            <w:vAlign w:val="center"/>
          </w:tcPr>
          <w:p>
            <w:pPr>
              <w:pStyle w:val="46"/>
              <w:ind w:right="146"/>
              <w:rPr>
                <w:sz w:val="24"/>
              </w:rPr>
            </w:pPr>
            <w:r>
              <w:rPr>
                <w:rFonts w:hint="eastAsia"/>
                <w:sz w:val="24"/>
              </w:rPr>
              <w:t>磋商响应文件</w:t>
            </w:r>
          </w:p>
        </w:tc>
        <w:tc>
          <w:tcPr>
            <w:tcW w:w="7226" w:type="dxa"/>
            <w:vAlign w:val="center"/>
          </w:tcPr>
          <w:p>
            <w:pPr>
              <w:pStyle w:val="46"/>
              <w:ind w:left="64" w:right="63" w:firstLine="480" w:firstLineChars="200"/>
              <w:rPr>
                <w:sz w:val="24"/>
              </w:rPr>
            </w:pPr>
            <w:r>
              <w:rPr>
                <w:rFonts w:hint="eastAsia"/>
                <w:sz w:val="24"/>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952" w:type="dxa"/>
            <w:vAlign w:val="center"/>
          </w:tcPr>
          <w:p>
            <w:pPr>
              <w:pStyle w:val="46"/>
              <w:ind w:right="146"/>
              <w:rPr>
                <w:sz w:val="24"/>
              </w:rPr>
            </w:pPr>
            <w:r>
              <w:rPr>
                <w:rFonts w:hint="eastAsia"/>
                <w:sz w:val="24"/>
              </w:rPr>
              <w:t>“▲”实质性条款</w:t>
            </w:r>
          </w:p>
        </w:tc>
        <w:tc>
          <w:tcPr>
            <w:tcW w:w="7226" w:type="dxa"/>
            <w:vAlign w:val="center"/>
          </w:tcPr>
          <w:p>
            <w:pPr>
              <w:pStyle w:val="46"/>
              <w:ind w:left="64" w:right="63" w:firstLine="480" w:firstLineChars="200"/>
              <w:rPr>
                <w:sz w:val="24"/>
              </w:rPr>
            </w:pPr>
            <w:r>
              <w:rPr>
                <w:rFonts w:hint="eastAsia"/>
                <w:sz w:val="24"/>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952" w:type="dxa"/>
            <w:shd w:val="clear" w:color="auto" w:fill="F6F6F6"/>
            <w:vAlign w:val="center"/>
          </w:tcPr>
          <w:p>
            <w:pPr>
              <w:pStyle w:val="46"/>
              <w:ind w:right="146"/>
              <w:rPr>
                <w:sz w:val="24"/>
              </w:rPr>
            </w:pPr>
            <w:r>
              <w:rPr>
                <w:rFonts w:hint="eastAsia"/>
                <w:sz w:val="24"/>
              </w:rPr>
              <w:t>磋商响应有效期</w:t>
            </w:r>
          </w:p>
        </w:tc>
        <w:tc>
          <w:tcPr>
            <w:tcW w:w="7226" w:type="dxa"/>
            <w:shd w:val="clear" w:color="auto" w:fill="F6F6F6"/>
            <w:vAlign w:val="center"/>
          </w:tcPr>
          <w:p>
            <w:pPr>
              <w:pStyle w:val="46"/>
              <w:ind w:left="64" w:right="63" w:firstLine="480" w:firstLineChars="200"/>
              <w:rPr>
                <w:sz w:val="24"/>
              </w:rPr>
            </w:pPr>
            <w:r>
              <w:rPr>
                <w:rFonts w:hint="eastAsia"/>
                <w:sz w:val="24"/>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952" w:type="dxa"/>
            <w:vAlign w:val="center"/>
          </w:tcPr>
          <w:p>
            <w:pPr>
              <w:pStyle w:val="46"/>
              <w:ind w:right="146"/>
              <w:rPr>
                <w:sz w:val="24"/>
              </w:rPr>
            </w:pPr>
            <w:r>
              <w:rPr>
                <w:rFonts w:hint="eastAsia"/>
                <w:sz w:val="24"/>
              </w:rPr>
              <w:t>附加条件</w:t>
            </w:r>
          </w:p>
        </w:tc>
        <w:tc>
          <w:tcPr>
            <w:tcW w:w="7226" w:type="dxa"/>
            <w:vAlign w:val="center"/>
          </w:tcPr>
          <w:p>
            <w:pPr>
              <w:pStyle w:val="46"/>
              <w:ind w:left="64" w:right="63" w:firstLine="480" w:firstLineChars="200"/>
              <w:rPr>
                <w:sz w:val="24"/>
              </w:rPr>
            </w:pPr>
            <w:r>
              <w:rPr>
                <w:rFonts w:hint="eastAsia"/>
                <w:sz w:val="24"/>
              </w:rPr>
              <w:t>磋商响应文件未含有采购人不可接受的附加条件。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952" w:type="dxa"/>
            <w:vAlign w:val="center"/>
          </w:tcPr>
          <w:p>
            <w:pPr>
              <w:pStyle w:val="46"/>
              <w:ind w:right="146"/>
              <w:rPr>
                <w:rFonts w:hint="eastAsia" w:eastAsia="宋体"/>
                <w:sz w:val="24"/>
                <w:lang w:eastAsia="zh-CN"/>
              </w:rPr>
            </w:pPr>
            <w:r>
              <w:rPr>
                <w:rFonts w:hint="eastAsia"/>
                <w:sz w:val="24"/>
                <w:lang w:eastAsia="zh-CN"/>
              </w:rPr>
              <w:t>报价</w:t>
            </w:r>
          </w:p>
        </w:tc>
        <w:tc>
          <w:tcPr>
            <w:tcW w:w="7226" w:type="dxa"/>
            <w:vAlign w:val="center"/>
          </w:tcPr>
          <w:p>
            <w:pPr>
              <w:pStyle w:val="46"/>
              <w:ind w:left="64" w:right="63" w:firstLine="480" w:firstLineChars="200"/>
              <w:rPr>
                <w:rFonts w:hint="eastAsia" w:eastAsia="宋体"/>
                <w:sz w:val="24"/>
                <w:lang w:val="en-US" w:eastAsia="zh-CN"/>
              </w:rPr>
            </w:pPr>
            <w:r>
              <w:rPr>
                <w:rFonts w:hint="eastAsia"/>
                <w:sz w:val="24"/>
                <w:lang w:eastAsia="zh-CN"/>
              </w:rPr>
              <w:t>报价不超过磋商文件中规定的预算金额</w:t>
            </w:r>
            <w:r>
              <w:rPr>
                <w:rFonts w:hint="eastAsia"/>
                <w:sz w:val="24"/>
                <w:lang w:val="en-US" w:eastAsia="zh-CN"/>
              </w:rPr>
              <w:t>/最高限价。</w:t>
            </w:r>
          </w:p>
        </w:tc>
      </w:tr>
    </w:tbl>
    <w:p>
      <w:pPr>
        <w:autoSpaceDE w:val="0"/>
        <w:autoSpaceDN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（三）</w:t>
      </w:r>
      <w:r>
        <w:rPr>
          <w:rFonts w:hint="eastAsia" w:asciiTheme="minorEastAsia" w:hAnsiTheme="minorEastAsia" w:eastAsiaTheme="minorEastAsia"/>
          <w:b/>
          <w:bCs/>
          <w:sz w:val="24"/>
        </w:rPr>
        <w:t>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项目评审方法为综合评分法，总计100分，评</w:t>
      </w:r>
      <w:r>
        <w:rPr>
          <w:rFonts w:hint="eastAsia" w:asciiTheme="minorEastAsia" w:hAnsiTheme="minorEastAsia" w:eastAsiaTheme="minorEastAsia"/>
          <w:sz w:val="24"/>
        </w:rPr>
        <w:t>审</w:t>
      </w:r>
      <w:r>
        <w:rPr>
          <w:rFonts w:hint="eastAsia" w:asciiTheme="minorEastAsia" w:hAnsiTheme="minorEastAsia" w:eastAsiaTheme="minorEastAsia"/>
          <w:kern w:val="0"/>
          <w:sz w:val="24"/>
        </w:rPr>
        <w:t>按以下标准及要求进行：</w:t>
      </w:r>
    </w:p>
    <w:p>
      <w:pPr>
        <w:autoSpaceDE w:val="0"/>
        <w:autoSpaceDN w:val="0"/>
        <w:adjustRightInd w:val="0"/>
        <w:spacing w:line="360" w:lineRule="auto"/>
        <w:ind w:right="85" w:firstLine="482" w:firstLineChars="200"/>
        <w:rPr>
          <w:sz w:val="24"/>
        </w:rPr>
      </w:pPr>
      <w:r>
        <w:rPr>
          <w:rFonts w:hint="eastAsia" w:ascii="宋体"/>
          <w:b/>
          <w:bCs/>
          <w:sz w:val="24"/>
        </w:rPr>
        <w:t>1.评分标准</w:t>
      </w:r>
    </w:p>
    <w:tbl>
      <w:tblPr>
        <w:tblStyle w:val="23"/>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725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86" w:type="dxa"/>
            <w:shd w:val="clear" w:color="auto" w:fill="BEBEBE" w:themeFill="background1" w:themeFillShade="BF"/>
            <w:vAlign w:val="center"/>
          </w:tcPr>
          <w:p>
            <w:pPr>
              <w:jc w:val="center"/>
              <w:rPr>
                <w:b/>
                <w:szCs w:val="18"/>
              </w:rPr>
            </w:pPr>
            <w:r>
              <w:rPr>
                <w:rFonts w:hint="eastAsia"/>
                <w:b/>
                <w:szCs w:val="18"/>
              </w:rPr>
              <w:t>分值构成</w:t>
            </w:r>
          </w:p>
        </w:tc>
        <w:tc>
          <w:tcPr>
            <w:tcW w:w="8083" w:type="dxa"/>
            <w:gridSpan w:val="2"/>
            <w:shd w:val="clear" w:color="auto" w:fill="BEBEBE" w:themeFill="background1" w:themeFillShade="BF"/>
            <w:vAlign w:val="center"/>
          </w:tcPr>
          <w:p>
            <w:pPr>
              <w:jc w:val="center"/>
              <w:rPr>
                <w:b/>
                <w:szCs w:val="18"/>
              </w:rPr>
            </w:pPr>
            <w:r>
              <w:rPr>
                <w:rFonts w:hint="eastAsia" w:ascii="宋体" w:hAnsi="宋体" w:cs="Arial"/>
                <w:sz w:val="24"/>
              </w:rPr>
              <w:t>技术部分65分；商务部分5分；报价得分30分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86" w:type="dxa"/>
            <w:shd w:val="clear" w:color="auto" w:fill="BEBEBE" w:themeFill="background1" w:themeFillShade="BF"/>
            <w:vAlign w:val="center"/>
          </w:tcPr>
          <w:p>
            <w:pPr>
              <w:jc w:val="center"/>
              <w:rPr>
                <w:b/>
                <w:szCs w:val="18"/>
              </w:rPr>
            </w:pPr>
            <w:r>
              <w:rPr>
                <w:rFonts w:hint="eastAsia"/>
                <w:b/>
                <w:szCs w:val="18"/>
              </w:rPr>
              <w:t>评分项目</w:t>
            </w:r>
          </w:p>
        </w:tc>
        <w:tc>
          <w:tcPr>
            <w:tcW w:w="7251" w:type="dxa"/>
            <w:shd w:val="clear" w:color="auto" w:fill="BEBEBE" w:themeFill="background1" w:themeFillShade="BF"/>
            <w:vAlign w:val="center"/>
          </w:tcPr>
          <w:p>
            <w:pPr>
              <w:jc w:val="center"/>
              <w:rPr>
                <w:b/>
                <w:szCs w:val="18"/>
              </w:rPr>
            </w:pPr>
            <w:r>
              <w:rPr>
                <w:rFonts w:hint="eastAsia"/>
                <w:b/>
                <w:szCs w:val="18"/>
              </w:rPr>
              <w:t>评分细则</w:t>
            </w:r>
          </w:p>
        </w:tc>
        <w:tc>
          <w:tcPr>
            <w:tcW w:w="832" w:type="dxa"/>
            <w:shd w:val="clear" w:color="auto" w:fill="BEBEBE" w:themeFill="background1" w:themeFillShade="BF"/>
            <w:vAlign w:val="center"/>
          </w:tcPr>
          <w:p>
            <w:pPr>
              <w:jc w:val="center"/>
              <w:rPr>
                <w:b/>
                <w:szCs w:val="18"/>
              </w:rPr>
            </w:pPr>
            <w:r>
              <w:rPr>
                <w:rFonts w:hint="eastAsia"/>
                <w:b/>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286" w:type="dxa"/>
            <w:vMerge w:val="restart"/>
            <w:vAlign w:val="center"/>
          </w:tcPr>
          <w:p>
            <w:pPr>
              <w:jc w:val="center"/>
              <w:rPr>
                <w:rFonts w:ascii="宋体" w:hAnsi="宋体" w:cs="宋体"/>
                <w:b/>
                <w:bCs/>
                <w:sz w:val="24"/>
              </w:rPr>
            </w:pPr>
            <w:r>
              <w:rPr>
                <w:rFonts w:hint="eastAsia" w:ascii="宋体" w:hAnsi="宋体" w:cs="宋体"/>
                <w:b/>
                <w:bCs/>
                <w:sz w:val="24"/>
              </w:rPr>
              <w:t>技术评分</w:t>
            </w:r>
          </w:p>
          <w:p>
            <w:pPr>
              <w:jc w:val="center"/>
              <w:rPr>
                <w:rFonts w:ascii="宋体" w:hAnsi="宋体" w:cs="宋体"/>
                <w:b/>
                <w:bCs/>
                <w:sz w:val="24"/>
              </w:rPr>
            </w:pPr>
            <w:r>
              <w:rPr>
                <w:rFonts w:hint="eastAsia" w:ascii="宋体" w:hAnsi="宋体" w:cs="宋体"/>
                <w:b/>
                <w:bCs/>
                <w:sz w:val="24"/>
              </w:rPr>
              <w:t>65分</w:t>
            </w:r>
          </w:p>
        </w:tc>
        <w:tc>
          <w:tcPr>
            <w:tcW w:w="7251" w:type="dxa"/>
            <w:vAlign w:val="center"/>
          </w:tcPr>
          <w:p>
            <w:pPr>
              <w:widowControl/>
              <w:textAlignment w:val="center"/>
              <w:rPr>
                <w:rFonts w:ascii="宋体" w:hAnsi="宋体" w:cs="宋体"/>
                <w:sz w:val="24"/>
              </w:rPr>
            </w:pPr>
            <w:r>
              <w:rPr>
                <w:rFonts w:hint="eastAsia" w:ascii="宋体" w:hAnsi="宋体" w:cs="宋体"/>
                <w:color w:val="000000"/>
                <w:kern w:val="0"/>
                <w:sz w:val="24"/>
                <w:lang w:bidi="ar"/>
              </w:rPr>
              <w:t>根据项目前期准备情况、项目需求、项目现状的了解程度等进行评分，内容涵盖全面的得7分，内容有所缺失不够全面的，得4分，其他1分</w:t>
            </w:r>
            <w:r>
              <w:rPr>
                <w:rFonts w:hint="eastAsia" w:ascii="宋体" w:hAnsi="宋体" w:cs="宋体"/>
                <w:color w:val="000000"/>
                <w:kern w:val="0"/>
                <w:sz w:val="24"/>
                <w:lang w:eastAsia="zh-CN" w:bidi="ar"/>
              </w:rPr>
              <w:t>，未提供不得分</w:t>
            </w:r>
            <w:r>
              <w:rPr>
                <w:rFonts w:hint="eastAsia" w:ascii="宋体" w:hAnsi="宋体" w:cs="宋体"/>
                <w:color w:val="000000"/>
                <w:kern w:val="0"/>
                <w:sz w:val="24"/>
                <w:lang w:bidi="ar"/>
              </w:rPr>
              <w:t>。</w:t>
            </w:r>
          </w:p>
        </w:tc>
        <w:tc>
          <w:tcPr>
            <w:tcW w:w="832" w:type="dxa"/>
            <w:vAlign w:val="center"/>
          </w:tcPr>
          <w:p>
            <w:pPr>
              <w:widowControl/>
              <w:textAlignment w:val="center"/>
              <w:rPr>
                <w:rFonts w:ascii="宋体" w:hAnsi="宋体" w:cs="宋体"/>
                <w:szCs w:val="21"/>
              </w:rPr>
            </w:pPr>
            <w:r>
              <w:rPr>
                <w:rFonts w:hint="eastAsia" w:ascii="宋体" w:hAnsi="宋体" w:cs="宋体"/>
                <w:color w:val="000000"/>
                <w:kern w:val="0"/>
                <w:sz w:val="24"/>
                <w:lang w:bidi="ar"/>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286" w:type="dxa"/>
            <w:vMerge w:val="continue"/>
            <w:vAlign w:val="center"/>
          </w:tcPr>
          <w:p>
            <w:pPr>
              <w:jc w:val="center"/>
              <w:rPr>
                <w:rFonts w:ascii="宋体" w:hAnsi="宋体" w:cs="宋体"/>
                <w:b/>
                <w:bCs/>
                <w:szCs w:val="21"/>
              </w:rPr>
            </w:pPr>
          </w:p>
        </w:tc>
        <w:tc>
          <w:tcPr>
            <w:tcW w:w="7251"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根据供应商提供的项目实施方案部分按以下标准进行评分：</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有无针对本项目特点制定的实施组织方案，包括项目实施组织安排、资源调配、污染和安全防治标准、措施等，由评审小组综合后酌情打分，内容涵盖全面的，得15分，上述方面有所缺失不够全面的，得11分，较为片面的得7分，整体较差的得3分</w:t>
            </w:r>
            <w:r>
              <w:rPr>
                <w:rFonts w:hint="eastAsia" w:ascii="宋体" w:hAnsi="宋体" w:cs="宋体"/>
                <w:color w:val="000000"/>
                <w:kern w:val="0"/>
                <w:sz w:val="24"/>
                <w:lang w:eastAsia="zh-CN" w:bidi="ar"/>
              </w:rPr>
              <w:t>，不提供不得分</w:t>
            </w:r>
            <w:r>
              <w:rPr>
                <w:rFonts w:hint="eastAsia" w:ascii="宋体" w:hAnsi="宋体" w:cs="宋体"/>
                <w:color w:val="000000"/>
                <w:kern w:val="0"/>
                <w:sz w:val="24"/>
                <w:lang w:bidi="ar"/>
              </w:rPr>
              <w:t>。</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286" w:type="dxa"/>
            <w:vMerge w:val="continue"/>
            <w:vAlign w:val="center"/>
          </w:tcPr>
          <w:p>
            <w:pPr>
              <w:jc w:val="center"/>
              <w:rPr>
                <w:rFonts w:ascii="宋体" w:hAnsi="宋体" w:cs="宋体"/>
                <w:b/>
                <w:bCs/>
                <w:szCs w:val="21"/>
              </w:rPr>
            </w:pPr>
          </w:p>
        </w:tc>
        <w:tc>
          <w:tcPr>
            <w:tcW w:w="7251" w:type="dxa"/>
            <w:vAlign w:val="center"/>
          </w:tcPr>
          <w:p>
            <w:pPr>
              <w:widowControl/>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bidi="ar"/>
              </w:rPr>
              <w:t>根据供应商提供的拟投入本项目的人员情况。</w:t>
            </w:r>
            <w:r>
              <w:rPr>
                <w:rFonts w:hint="eastAsia" w:ascii="宋体" w:hAnsi="宋体" w:cs="宋体"/>
                <w:color w:val="000000"/>
                <w:kern w:val="0"/>
                <w:sz w:val="24"/>
                <w:lang w:eastAsia="zh-CN" w:bidi="ar"/>
              </w:rPr>
              <w:t>有无列出</w:t>
            </w:r>
            <w:r>
              <w:rPr>
                <w:rFonts w:hint="eastAsia" w:ascii="宋体" w:hAnsi="宋体" w:cs="宋体"/>
                <w:color w:val="000000"/>
                <w:kern w:val="0"/>
                <w:sz w:val="24"/>
                <w:lang w:bidi="ar"/>
              </w:rPr>
              <w:t>人员数量</w:t>
            </w:r>
            <w:r>
              <w:rPr>
                <w:rFonts w:hint="eastAsia" w:ascii="宋体" w:hAnsi="宋体" w:cs="宋体"/>
                <w:color w:val="000000"/>
                <w:kern w:val="0"/>
                <w:sz w:val="24"/>
                <w:lang w:eastAsia="zh-CN" w:bidi="ar"/>
              </w:rPr>
              <w:t>及</w:t>
            </w:r>
            <w:r>
              <w:rPr>
                <w:rFonts w:hint="eastAsia" w:ascii="宋体" w:hAnsi="宋体" w:cs="宋体"/>
                <w:color w:val="000000"/>
                <w:kern w:val="0"/>
                <w:sz w:val="24"/>
                <w:lang w:bidi="ar"/>
              </w:rPr>
              <w:t>人员专业、从事与本项目相关类型行业的年份</w:t>
            </w:r>
            <w:r>
              <w:rPr>
                <w:rFonts w:hint="eastAsia" w:ascii="宋体" w:hAnsi="宋体" w:cs="宋体"/>
                <w:color w:val="000000"/>
                <w:kern w:val="0"/>
                <w:sz w:val="24"/>
                <w:lang w:eastAsia="zh-CN" w:bidi="ar"/>
              </w:rPr>
              <w:t>，并提供人员最近</w:t>
            </w:r>
            <w:r>
              <w:rPr>
                <w:rFonts w:hint="eastAsia" w:ascii="宋体" w:hAnsi="宋体" w:cs="宋体"/>
                <w:color w:val="000000"/>
                <w:kern w:val="0"/>
                <w:sz w:val="24"/>
                <w:lang w:val="en-US" w:eastAsia="zh-CN" w:bidi="ar"/>
              </w:rPr>
              <w:t>3个月内任一月的相关</w:t>
            </w:r>
            <w:r>
              <w:rPr>
                <w:rFonts w:hint="eastAsia" w:ascii="宋体" w:hAnsi="宋体" w:cs="宋体"/>
                <w:color w:val="000000"/>
                <w:kern w:val="0"/>
                <w:sz w:val="24"/>
                <w:lang w:eastAsia="zh-CN" w:bidi="ar"/>
              </w:rPr>
              <w:t>社保证明</w:t>
            </w:r>
            <w:r>
              <w:rPr>
                <w:rFonts w:hint="eastAsia" w:ascii="宋体" w:hAnsi="宋体" w:cs="宋体"/>
                <w:color w:val="000000"/>
                <w:kern w:val="0"/>
                <w:sz w:val="24"/>
                <w:lang w:bidi="ar"/>
              </w:rPr>
              <w:t>进行打分。</w:t>
            </w:r>
            <w:r>
              <w:rPr>
                <w:rFonts w:hint="eastAsia" w:ascii="宋体" w:hAnsi="宋体" w:cs="宋体"/>
                <w:color w:val="000000"/>
                <w:kern w:val="0"/>
                <w:sz w:val="24"/>
                <w:lang w:eastAsia="zh-CN" w:bidi="ar"/>
              </w:rPr>
              <w:t>每列全一人信息得</w:t>
            </w:r>
            <w:r>
              <w:rPr>
                <w:rFonts w:hint="eastAsia" w:ascii="宋体" w:hAnsi="宋体" w:cs="宋体"/>
                <w:color w:val="000000"/>
                <w:kern w:val="0"/>
                <w:sz w:val="24"/>
                <w:lang w:val="en-US" w:eastAsia="zh-CN" w:bidi="ar"/>
              </w:rPr>
              <w:t>2分，最高10分。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10</w:t>
            </w:r>
            <w:r>
              <w:rPr>
                <w:rFonts w:hint="eastAsia" w:ascii="宋体" w:hAnsi="宋体" w:cs="宋体"/>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286" w:type="dxa"/>
            <w:vMerge w:val="continue"/>
            <w:vAlign w:val="center"/>
          </w:tcPr>
          <w:p>
            <w:pPr>
              <w:jc w:val="center"/>
              <w:rPr>
                <w:rFonts w:ascii="宋体" w:hAnsi="宋体" w:cs="宋体"/>
                <w:b/>
                <w:bCs/>
                <w:szCs w:val="21"/>
              </w:rPr>
            </w:pPr>
          </w:p>
        </w:tc>
        <w:tc>
          <w:tcPr>
            <w:tcW w:w="7251" w:type="dxa"/>
            <w:vAlign w:val="center"/>
          </w:tcPr>
          <w:p>
            <w:pPr>
              <w:widowControl/>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bidi="ar"/>
              </w:rPr>
              <w:t>根据供应商拟投入本项目的设备、专业工具等情况，</w:t>
            </w:r>
            <w:r>
              <w:rPr>
                <w:rFonts w:hint="eastAsia" w:ascii="宋体" w:hAnsi="宋体" w:cs="宋体"/>
                <w:color w:val="000000"/>
                <w:kern w:val="0"/>
                <w:sz w:val="24"/>
                <w:lang w:eastAsia="zh-CN" w:bidi="ar"/>
              </w:rPr>
              <w:t>每提供一组照片及文字说明得</w:t>
            </w:r>
            <w:r>
              <w:rPr>
                <w:rFonts w:hint="eastAsia" w:ascii="宋体" w:hAnsi="宋体" w:cs="宋体"/>
                <w:color w:val="000000"/>
                <w:kern w:val="0"/>
                <w:sz w:val="24"/>
                <w:lang w:val="en-US" w:eastAsia="zh-CN" w:bidi="ar"/>
              </w:rPr>
              <w:t>3分，最高得9分。</w:t>
            </w:r>
          </w:p>
          <w:p>
            <w:pPr>
              <w:pStyle w:val="10"/>
              <w:rPr>
                <w:rFonts w:ascii="宋体" w:hAnsi="宋体" w:cs="宋体"/>
                <w:color w:val="000000"/>
                <w:kern w:val="0"/>
                <w:sz w:val="24"/>
                <w:lang w:bidi="ar"/>
              </w:rPr>
            </w:pPr>
            <w:r>
              <w:rPr>
                <w:rFonts w:hint="eastAsia"/>
                <w:lang w:bidi="ar"/>
              </w:rPr>
              <w:t>（应当</w:t>
            </w:r>
            <w:r>
              <w:rPr>
                <w:rFonts w:hint="eastAsia" w:ascii="宋体" w:hAnsi="宋体" w:cs="宋体"/>
                <w:color w:val="000000"/>
                <w:kern w:val="0"/>
                <w:lang w:bidi="ar"/>
              </w:rPr>
              <w:t>提供相应的设备工具照片</w:t>
            </w:r>
            <w:r>
              <w:rPr>
                <w:rFonts w:hint="eastAsia" w:ascii="宋体" w:hAnsi="宋体" w:cs="宋体"/>
                <w:color w:val="000000"/>
                <w:kern w:val="0"/>
                <w:lang w:eastAsia="zh-CN" w:bidi="ar"/>
              </w:rPr>
              <w:t>及附文字说明</w:t>
            </w:r>
            <w:r>
              <w:rPr>
                <w:rFonts w:hint="eastAsia"/>
                <w:lang w:bidi="ar"/>
              </w:rPr>
              <w:t>，未提供的不得分）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9</w:t>
            </w:r>
            <w:r>
              <w:rPr>
                <w:rFonts w:hint="eastAsia" w:ascii="宋体" w:hAnsi="宋体" w:cs="宋体"/>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286" w:type="dxa"/>
            <w:vMerge w:val="continue"/>
            <w:vAlign w:val="center"/>
          </w:tcPr>
          <w:p>
            <w:pPr>
              <w:jc w:val="center"/>
              <w:rPr>
                <w:rFonts w:ascii="宋体" w:hAnsi="宋体" w:cs="宋体"/>
                <w:b/>
                <w:bCs/>
                <w:szCs w:val="21"/>
              </w:rPr>
            </w:pPr>
          </w:p>
        </w:tc>
        <w:tc>
          <w:tcPr>
            <w:tcW w:w="7251"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根据供应商拟投入本项目的车辆情况。供应商投入一辆自有专用运送废弃物车辆得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分，最高得</w:t>
            </w:r>
            <w:r>
              <w:rPr>
                <w:rFonts w:hint="eastAsia" w:ascii="宋体" w:hAnsi="宋体" w:cs="宋体"/>
                <w:color w:val="000000"/>
                <w:kern w:val="0"/>
                <w:sz w:val="24"/>
                <w:lang w:val="en-US" w:eastAsia="zh-CN" w:bidi="ar"/>
              </w:rPr>
              <w:t>18</w:t>
            </w:r>
            <w:r>
              <w:rPr>
                <w:rFonts w:hint="eastAsia" w:ascii="宋体" w:hAnsi="宋体" w:cs="宋体"/>
                <w:color w:val="000000"/>
                <w:kern w:val="0"/>
                <w:sz w:val="24"/>
                <w:lang w:bidi="ar"/>
              </w:rPr>
              <w:t>分。须在磋商响应文件中提供车辆行驶证复印件及车辆照片证明，未提供的不得分。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8</w:t>
            </w:r>
            <w:r>
              <w:rPr>
                <w:rFonts w:hint="eastAsia" w:ascii="宋体" w:hAnsi="宋体" w:cs="宋体"/>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286" w:type="dxa"/>
            <w:vMerge w:val="continue"/>
            <w:vAlign w:val="center"/>
          </w:tcPr>
          <w:p>
            <w:pPr>
              <w:jc w:val="center"/>
              <w:rPr>
                <w:rFonts w:ascii="宋体" w:hAnsi="宋体" w:cs="宋体"/>
                <w:b/>
                <w:bCs/>
                <w:szCs w:val="21"/>
              </w:rPr>
            </w:pPr>
          </w:p>
        </w:tc>
        <w:tc>
          <w:tcPr>
            <w:tcW w:w="7251"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根据供应商提供的农药包装废弃物集中处置过程中的突发事件应急措施进行打分，内容涵盖全面的得</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分，内容有所缺失不够全面的，得</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分，其他</w:t>
            </w: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分</w:t>
            </w:r>
            <w:r>
              <w:rPr>
                <w:rFonts w:hint="eastAsia" w:ascii="宋体" w:hAnsi="宋体" w:cs="宋体"/>
                <w:color w:val="000000"/>
                <w:kern w:val="0"/>
                <w:sz w:val="24"/>
                <w:lang w:eastAsia="zh-CN" w:bidi="ar"/>
              </w:rPr>
              <w:t>，不提供不得分</w:t>
            </w:r>
            <w:r>
              <w:rPr>
                <w:rFonts w:hint="eastAsia" w:ascii="宋体" w:hAnsi="宋体" w:cs="宋体"/>
                <w:color w:val="000000"/>
                <w:kern w:val="0"/>
                <w:sz w:val="24"/>
                <w:lang w:bidi="ar"/>
              </w:rPr>
              <w:t>。</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286" w:type="dxa"/>
            <w:vMerge w:val="restart"/>
            <w:vAlign w:val="center"/>
          </w:tcPr>
          <w:p>
            <w:pPr>
              <w:adjustRightInd w:val="0"/>
              <w:snapToGrid w:val="0"/>
              <w:jc w:val="center"/>
              <w:rPr>
                <w:rFonts w:ascii="宋体" w:hAnsi="宋体" w:cs="Arial"/>
                <w:b/>
                <w:bCs/>
                <w:sz w:val="24"/>
              </w:rPr>
            </w:pPr>
            <w:r>
              <w:rPr>
                <w:rFonts w:hint="eastAsia" w:ascii="宋体" w:hAnsi="宋体" w:cs="Arial"/>
                <w:b/>
                <w:bCs/>
                <w:sz w:val="24"/>
              </w:rPr>
              <w:t>商务评分 5分</w:t>
            </w:r>
          </w:p>
        </w:tc>
        <w:tc>
          <w:tcPr>
            <w:tcW w:w="7251"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企业通过</w:t>
            </w:r>
            <w:r>
              <w:rPr>
                <w:rFonts w:hint="eastAsia" w:ascii="宋体" w:hAnsi="宋体" w:cs="宋体"/>
                <w:color w:val="000000"/>
                <w:kern w:val="0"/>
                <w:sz w:val="24"/>
                <w:lang w:eastAsia="zh-CN" w:bidi="ar"/>
              </w:rPr>
              <w:t>环境</w:t>
            </w:r>
            <w:r>
              <w:rPr>
                <w:rFonts w:hint="eastAsia" w:ascii="宋体" w:hAnsi="宋体" w:cs="宋体"/>
                <w:color w:val="000000"/>
                <w:kern w:val="0"/>
                <w:sz w:val="24"/>
                <w:lang w:bidi="ar"/>
              </w:rPr>
              <w:t>管理体系认证的得1分；</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企业通过职业健康安全管理体系认证的得1分；</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须提供复印件，未提供相关证书复印件或超出有效期的不计分。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86" w:type="dxa"/>
            <w:vMerge w:val="continue"/>
            <w:vAlign w:val="center"/>
          </w:tcPr>
          <w:p>
            <w:pPr>
              <w:adjustRightInd w:val="0"/>
              <w:snapToGrid w:val="0"/>
              <w:jc w:val="center"/>
              <w:rPr>
                <w:rFonts w:ascii="宋体" w:hAnsi="宋体" w:cs="Arial"/>
                <w:b/>
                <w:bCs/>
                <w:sz w:val="24"/>
              </w:rPr>
            </w:pPr>
          </w:p>
        </w:tc>
        <w:tc>
          <w:tcPr>
            <w:tcW w:w="7251" w:type="dxa"/>
            <w:vAlign w:val="center"/>
          </w:tcPr>
          <w:p>
            <w:pPr>
              <w:widowControl/>
              <w:textAlignment w:val="center"/>
              <w:rPr>
                <w:rFonts w:ascii="宋体" w:hAnsi="宋体" w:cs="宋体"/>
                <w:szCs w:val="21"/>
                <w:lang w:bidi="ar"/>
              </w:rPr>
            </w:pPr>
            <w:r>
              <w:rPr>
                <w:rFonts w:hint="eastAsia" w:ascii="宋体" w:hAnsi="宋体" w:cs="宋体"/>
                <w:color w:val="000000"/>
                <w:kern w:val="0"/>
                <w:sz w:val="24"/>
                <w:lang w:bidi="ar"/>
              </w:rPr>
              <w:t>供应商自20</w:t>
            </w: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年3月1日（以签订时间为准）以来</w:t>
            </w:r>
            <w:r>
              <w:rPr>
                <w:rFonts w:hint="eastAsia" w:ascii="宋体" w:hAnsi="宋体" w:cs="宋体"/>
                <w:color w:val="000000"/>
                <w:kern w:val="0"/>
                <w:sz w:val="24"/>
                <w:lang w:eastAsia="zh-CN" w:bidi="ar"/>
              </w:rPr>
              <w:t>类似</w:t>
            </w:r>
            <w:r>
              <w:rPr>
                <w:rFonts w:hint="eastAsia" w:ascii="宋体" w:hAnsi="宋体" w:cs="宋体"/>
                <w:color w:val="000000"/>
                <w:kern w:val="0"/>
                <w:sz w:val="24"/>
                <w:lang w:bidi="ar"/>
              </w:rPr>
              <w:t>农药废物处置</w:t>
            </w:r>
            <w:r>
              <w:rPr>
                <w:rFonts w:hint="eastAsia" w:ascii="宋体" w:hAnsi="宋体" w:cs="宋体"/>
                <w:color w:val="000000"/>
                <w:kern w:val="0"/>
                <w:sz w:val="24"/>
                <w:lang w:eastAsia="zh-CN" w:bidi="ar"/>
              </w:rPr>
              <w:t>类业绩</w:t>
            </w:r>
            <w:r>
              <w:rPr>
                <w:rFonts w:hint="eastAsia" w:ascii="宋体" w:hAnsi="宋体" w:cs="宋体"/>
                <w:color w:val="000000"/>
                <w:kern w:val="0"/>
                <w:sz w:val="24"/>
                <w:lang w:bidi="ar"/>
              </w:rPr>
              <w:t>的</w:t>
            </w:r>
            <w:r>
              <w:rPr>
                <w:rFonts w:hint="eastAsia" w:ascii="宋体" w:hAnsi="宋体" w:cs="宋体"/>
                <w:color w:val="000000"/>
                <w:kern w:val="0"/>
                <w:sz w:val="24"/>
                <w:lang w:eastAsia="zh-CN" w:bidi="ar"/>
              </w:rPr>
              <w:t>合同</w:t>
            </w:r>
            <w:r>
              <w:rPr>
                <w:rFonts w:hint="eastAsia" w:ascii="宋体" w:hAnsi="宋体" w:cs="宋体"/>
                <w:color w:val="000000"/>
                <w:kern w:val="0"/>
                <w:sz w:val="24"/>
                <w:lang w:bidi="ar"/>
              </w:rPr>
              <w:t>，每个1分，最高3分。</w:t>
            </w:r>
            <w:r>
              <w:rPr>
                <w:rFonts w:hint="eastAsia"/>
                <w:lang w:bidi="ar"/>
              </w:rPr>
              <w:t>（提供</w:t>
            </w:r>
            <w:r>
              <w:rPr>
                <w:rFonts w:hint="eastAsia" w:ascii="宋体" w:hAnsi="宋体" w:cs="宋体"/>
                <w:color w:val="000000"/>
                <w:kern w:val="0"/>
                <w:lang w:bidi="ar"/>
              </w:rPr>
              <w:t>合同复印件</w:t>
            </w:r>
            <w:r>
              <w:rPr>
                <w:rFonts w:hint="eastAsia"/>
                <w:lang w:bidi="ar"/>
              </w:rPr>
              <w:t>，未提供的不得分）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286" w:type="dxa"/>
            <w:vAlign w:val="center"/>
          </w:tcPr>
          <w:p>
            <w:pPr>
              <w:widowControl/>
              <w:jc w:val="center"/>
              <w:rPr>
                <w:rFonts w:ascii="宋体" w:hAnsi="宋体" w:cs="宋体"/>
                <w:b/>
                <w:bCs/>
                <w:sz w:val="24"/>
              </w:rPr>
            </w:pPr>
            <w:r>
              <w:rPr>
                <w:rFonts w:hint="eastAsia" w:ascii="宋体" w:hAnsi="宋体" w:cs="Arial"/>
                <w:sz w:val="24"/>
              </w:rPr>
              <w:t>报价得分</w:t>
            </w:r>
            <w:r>
              <w:rPr>
                <w:rFonts w:hint="eastAsia" w:ascii="宋体" w:hAnsi="宋体" w:cs="宋体"/>
                <w:b/>
                <w:sz w:val="24"/>
              </w:rPr>
              <w:t>30分</w:t>
            </w:r>
          </w:p>
        </w:tc>
        <w:tc>
          <w:tcPr>
            <w:tcW w:w="7251" w:type="dxa"/>
            <w:vAlign w:val="center"/>
          </w:tcPr>
          <w:p>
            <w:pPr>
              <w:jc w:val="left"/>
              <w:rPr>
                <w:rFonts w:ascii="宋体" w:hAnsi="宋体" w:cs="宋体"/>
                <w:sz w:val="24"/>
              </w:rPr>
            </w:pPr>
            <w:r>
              <w:rPr>
                <w:rFonts w:hint="eastAsia" w:ascii="宋体" w:hAnsi="宋体" w:cs="宋体"/>
                <w:sz w:val="24"/>
              </w:rPr>
              <w:t>以合格供应商</w:t>
            </w:r>
            <w:r>
              <w:rPr>
                <w:rFonts w:hint="eastAsia" w:ascii="宋体" w:hAnsi="宋体" w:cs="宋体"/>
                <w:sz w:val="24"/>
                <w:lang w:eastAsia="zh-CN"/>
              </w:rPr>
              <w:t>最终</w:t>
            </w:r>
            <w:r>
              <w:rPr>
                <w:rFonts w:hint="eastAsia" w:ascii="宋体" w:hAnsi="宋体" w:cs="宋体"/>
                <w:sz w:val="24"/>
              </w:rPr>
              <w:t>有效总报价中的最低价为基准价，基准价为30分。报价得分＝（评标基准价/最终磋商响应报价）×</w:t>
            </w:r>
            <w:r>
              <w:rPr>
                <w:rFonts w:hint="eastAsia" w:ascii="宋体" w:hAnsi="宋体" w:cs="宋体"/>
                <w:kern w:val="0"/>
                <w:sz w:val="24"/>
              </w:rPr>
              <w:t>30%</w:t>
            </w:r>
            <w:r>
              <w:rPr>
                <w:rFonts w:hint="eastAsia" w:ascii="宋体" w:hAnsi="宋体" w:cs="宋体"/>
                <w:sz w:val="24"/>
              </w:rPr>
              <w:t>×</w:t>
            </w:r>
            <w:r>
              <w:rPr>
                <w:rFonts w:hint="eastAsia" w:ascii="宋体" w:hAnsi="宋体" w:cs="宋体"/>
                <w:kern w:val="0"/>
                <w:sz w:val="24"/>
              </w:rPr>
              <w:t>100</w:t>
            </w:r>
            <w:r>
              <w:rPr>
                <w:rFonts w:hint="eastAsia" w:asciiTheme="minorEastAsia" w:hAnsiTheme="minorEastAsia" w:eastAsiaTheme="minorEastAsia" w:cstheme="minorEastAsia"/>
                <w:sz w:val="24"/>
              </w:rPr>
              <w:t>（小数点后保留2位小数）。</w:t>
            </w:r>
          </w:p>
        </w:tc>
        <w:tc>
          <w:tcPr>
            <w:tcW w:w="832" w:type="dxa"/>
            <w:vAlign w:val="center"/>
          </w:tcPr>
          <w:p>
            <w:pPr>
              <w:autoSpaceDE w:val="0"/>
              <w:autoSpaceDN w:val="0"/>
              <w:adjustRightInd w:val="0"/>
              <w:jc w:val="center"/>
              <w:rPr>
                <w:rFonts w:ascii="宋体" w:hAnsi="宋体" w:cs="宋体"/>
                <w:sz w:val="24"/>
              </w:rPr>
            </w:pPr>
            <w:r>
              <w:rPr>
                <w:rFonts w:hint="eastAsia" w:ascii="宋体" w:hAnsi="宋体" w:cs="宋体"/>
                <w:sz w:val="24"/>
              </w:rPr>
              <w:t>30分</w:t>
            </w:r>
          </w:p>
        </w:tc>
      </w:tr>
    </w:tbl>
    <w:p>
      <w:r>
        <w:rPr>
          <w:rFonts w:hint="eastAsia"/>
          <w:b/>
        </w:rPr>
        <w:t>注：</w:t>
      </w:r>
      <w:r>
        <w:rPr>
          <w:rFonts w:hint="eastAsia"/>
        </w:rPr>
        <w:t>①合同、证书、报告及其他相关证明材料，将原件扫描上传至响应文件，并加盖电子印章。</w:t>
      </w:r>
    </w:p>
    <w:p>
      <w:pPr>
        <w:spacing w:line="360" w:lineRule="auto"/>
        <w:ind w:firstLine="482" w:firstLineChars="200"/>
        <w:rPr>
          <w:rFonts w:ascii="宋体" w:hAnsi="宋体" w:cs="宋体"/>
          <w:sz w:val="24"/>
        </w:rPr>
      </w:pPr>
      <w:r>
        <w:rPr>
          <w:rFonts w:hint="eastAsia" w:ascii="宋体" w:hAnsi="宋体" w:cs="宋体"/>
          <w:b/>
          <w:bCs/>
          <w:sz w:val="24"/>
        </w:rPr>
        <w:t>2.最后报价</w:t>
      </w:r>
    </w:p>
    <w:p>
      <w:pPr>
        <w:spacing w:line="360" w:lineRule="auto"/>
        <w:ind w:firstLine="480" w:firstLineChars="200"/>
        <w:rPr>
          <w:rFonts w:ascii="宋体" w:hAnsi="宋体" w:cs="宋体"/>
          <w:sz w:val="24"/>
        </w:rPr>
      </w:pPr>
      <w:r>
        <w:rPr>
          <w:rFonts w:hint="eastAsia" w:ascii="宋体" w:hAnsi="宋体" w:cs="宋体"/>
          <w:sz w:val="24"/>
        </w:rPr>
        <w:t>（1）磋商文件能够详细列明采购标的的技术、服务要求的，磋商结束后，磋商小组将要求所有实质性响应的供应商在规定时间内提交最后报价，最后报价是供应商响应文件的有效组成部分</w:t>
      </w:r>
      <w:r>
        <w:rPr>
          <w:rFonts w:hint="eastAsia" w:ascii="宋体" w:hAnsi="宋体" w:cs="宋体"/>
          <w:sz w:val="24"/>
          <w:lang w:eastAsia="zh-CN"/>
        </w:rPr>
        <w:t>，最后报价不得高于首次报价</w:t>
      </w:r>
      <w:r>
        <w:rPr>
          <w:rFonts w:hint="eastAsia" w:ascii="宋体" w:hAnsi="宋体" w:cs="宋体"/>
          <w:sz w:val="24"/>
        </w:rPr>
        <w:t>。</w:t>
      </w:r>
    </w:p>
    <w:p>
      <w:pPr>
        <w:pStyle w:val="26"/>
        <w:spacing w:line="360" w:lineRule="auto"/>
        <w:ind w:firstLine="480" w:firstLineChars="200"/>
        <w:jc w:val="both"/>
      </w:pPr>
      <w:r>
        <w:rPr>
          <w:rFonts w:hint="eastAsia" w:ascii="宋体" w:hAnsi="宋体" w:eastAsia="宋体" w:cs="宋体"/>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3.评审要求</w:t>
      </w:r>
    </w:p>
    <w:p>
      <w:pPr>
        <w:spacing w:line="360" w:lineRule="auto"/>
        <w:ind w:firstLine="480" w:firstLineChars="200"/>
        <w:rPr>
          <w:rFonts w:ascii="宋体" w:hAnsi="宋体" w:cs="宋体"/>
          <w:sz w:val="24"/>
        </w:rPr>
      </w:pPr>
      <w:r>
        <w:rPr>
          <w:rFonts w:hint="eastAsia" w:ascii="宋体" w:hAnsi="宋体" w:cs="宋体"/>
          <w:sz w:val="24"/>
        </w:rPr>
        <w:t>(1)磋商小组应当按照磋商文件中规定的评标方法和标准，对符合性审查合格的响应文件的商务部分和技术部分进行综合比较与评价，其中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（2）对于磋商响应文件中含义不明确、同类问题表述不一致或者有明显文字和计算错误的内容，磋商小组应当要求供应商作出必要的澄清、说明或者补正。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w:t>
      </w:r>
      <w:r>
        <w:rPr>
          <w:rFonts w:hint="eastAsia" w:ascii="宋体" w:hAnsi="宋体" w:cs="宋体"/>
          <w:sz w:val="24"/>
          <w:lang w:eastAsia="zh-CN"/>
        </w:rPr>
        <w:t>低</w:t>
      </w:r>
      <w:r>
        <w:rPr>
          <w:rFonts w:hint="eastAsia" w:ascii="宋体" w:hAnsi="宋体" w:cs="宋体"/>
          <w:sz w:val="24"/>
        </w:rPr>
        <w:t>到</w:t>
      </w:r>
      <w:r>
        <w:rPr>
          <w:rFonts w:hint="eastAsia" w:ascii="宋体" w:hAnsi="宋体" w:cs="宋体"/>
          <w:sz w:val="24"/>
          <w:lang w:eastAsia="zh-CN"/>
        </w:rPr>
        <w:t>高</w:t>
      </w:r>
      <w:r>
        <w:rPr>
          <w:rFonts w:hint="eastAsia" w:ascii="宋体" w:hAnsi="宋体" w:cs="宋体"/>
          <w:sz w:val="24"/>
        </w:rPr>
        <w:t>的顺序推荐。评审得分且最后磋商响应报价相同的，按照技术</w:t>
      </w:r>
      <w:r>
        <w:rPr>
          <w:rFonts w:hint="eastAsia" w:ascii="宋体" w:hAnsi="宋体" w:cs="宋体"/>
          <w:sz w:val="24"/>
          <w:lang w:eastAsia="zh-CN"/>
        </w:rPr>
        <w:t>得分较高者进行</w:t>
      </w:r>
      <w:r>
        <w:rPr>
          <w:rFonts w:hint="eastAsia" w:ascii="宋体" w:hAnsi="宋体" w:cs="宋体"/>
          <w:sz w:val="24"/>
        </w:rPr>
        <w:t>推荐。</w:t>
      </w:r>
    </w:p>
    <w:p>
      <w:pPr>
        <w:spacing w:line="360" w:lineRule="auto"/>
        <w:ind w:firstLine="482" w:firstLineChars="200"/>
        <w:rPr>
          <w:rFonts w:ascii="宋体" w:hAnsi="宋体" w:cs="宋体"/>
          <w:b/>
          <w:bCs/>
          <w:sz w:val="24"/>
        </w:rPr>
      </w:pPr>
      <w:r>
        <w:rPr>
          <w:rFonts w:hint="eastAsia" w:ascii="宋体" w:hAnsi="宋体" w:cs="宋体"/>
          <w:b/>
          <w:bCs/>
          <w:sz w:val="24"/>
        </w:rPr>
        <w:t>（五）编写评审报告</w:t>
      </w:r>
    </w:p>
    <w:p>
      <w:pPr>
        <w:spacing w:line="360" w:lineRule="auto"/>
        <w:ind w:firstLine="480" w:firstLineChars="200"/>
        <w:rPr>
          <w:rFonts w:ascii="宋体" w:hAnsi="宋体" w:cs="宋体"/>
          <w:sz w:val="24"/>
        </w:rPr>
      </w:pPr>
      <w:r>
        <w:rPr>
          <w:rFonts w:hint="eastAsia" w:ascii="宋体" w:hAnsi="宋体" w:cs="宋体"/>
          <w:sz w:val="24"/>
        </w:rPr>
        <w:t>磋商小组根据全体评审人员签字的原始记录和得分情况编写评审报告。</w:t>
      </w:r>
    </w:p>
    <w:p>
      <w:pPr>
        <w:spacing w:line="360" w:lineRule="auto"/>
        <w:jc w:val="center"/>
        <w:outlineLvl w:val="0"/>
        <w:rPr>
          <w:rFonts w:hint="eastAsia" w:asciiTheme="minorEastAsia" w:hAnsiTheme="minorEastAsia" w:eastAsiaTheme="minorEastAsia"/>
          <w:b/>
          <w:sz w:val="36"/>
          <w:szCs w:val="36"/>
        </w:rPr>
      </w:pPr>
      <w:bookmarkStart w:id="37" w:name="_Toc21781"/>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pStyle w:val="2"/>
        <w:numPr>
          <w:ilvl w:val="0"/>
          <w:numId w:val="0"/>
        </w:numPr>
        <w:jc w:val="both"/>
        <w:rPr>
          <w:rFonts w:hint="eastAsia"/>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hint="eastAsia" w:asciiTheme="minorEastAsia" w:hAnsiTheme="minorEastAsia" w:eastAsiaTheme="minorEastAsia"/>
          <w:b/>
          <w:sz w:val="36"/>
          <w:szCs w:val="36"/>
        </w:rPr>
      </w:pPr>
    </w:p>
    <w:p>
      <w:pPr>
        <w:spacing w:line="360" w:lineRule="auto"/>
        <w:jc w:val="center"/>
        <w:outlineLvl w:val="0"/>
        <w:rPr>
          <w:rFonts w:asciiTheme="minorEastAsia" w:hAnsiTheme="minorEastAsia" w:eastAsiaTheme="minorEastAsia"/>
          <w:sz w:val="24"/>
        </w:rPr>
      </w:pPr>
      <w:r>
        <w:rPr>
          <w:rFonts w:hint="eastAsia" w:asciiTheme="minorEastAsia" w:hAnsiTheme="minorEastAsia" w:eastAsiaTheme="minorEastAsia"/>
          <w:b/>
          <w:sz w:val="36"/>
          <w:szCs w:val="36"/>
        </w:rPr>
        <w:t xml:space="preserve">第五章  </w:t>
      </w:r>
      <w:bookmarkEnd w:id="37"/>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本项目合同的通用条款，成交供应商不得提出实质性的修改，关于专用条款将由采购人与成交供应商结合本项目具体情况协商后签订。</w:t>
      </w:r>
    </w:p>
    <w:p>
      <w:pPr>
        <w:pStyle w:val="12"/>
        <w:snapToGrid w:val="0"/>
        <w:spacing w:line="360" w:lineRule="auto"/>
        <w:rPr>
          <w:rFonts w:hAnsi="宋体"/>
          <w:sz w:val="24"/>
        </w:rPr>
      </w:pPr>
      <w:r>
        <w:rPr>
          <w:rFonts w:hAnsi="宋体"/>
          <w:sz w:val="24"/>
        </w:rPr>
        <w:t xml:space="preserve">项目名称：                                     </w:t>
      </w:r>
    </w:p>
    <w:p>
      <w:pPr>
        <w:pStyle w:val="12"/>
        <w:snapToGrid w:val="0"/>
        <w:spacing w:line="360" w:lineRule="auto"/>
        <w:rPr>
          <w:rFonts w:hAnsi="宋体"/>
          <w:sz w:val="24"/>
        </w:rPr>
      </w:pPr>
      <w:r>
        <w:rPr>
          <w:rFonts w:hAnsi="宋体"/>
          <w:sz w:val="24"/>
        </w:rPr>
        <w:t>项目编号：</w:t>
      </w:r>
    </w:p>
    <w:p>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w:t>
      </w:r>
    </w:p>
    <w:p>
      <w:pPr>
        <w:pStyle w:val="12"/>
        <w:snapToGrid w:val="0"/>
        <w:spacing w:line="360" w:lineRule="auto"/>
        <w:rPr>
          <w:rFonts w:hAnsi="宋体"/>
          <w:sz w:val="24"/>
        </w:rPr>
      </w:pPr>
      <w:r>
        <w:rPr>
          <w:rFonts w:hAnsi="宋体"/>
          <w:sz w:val="24"/>
        </w:rPr>
        <w:t>乙方（</w:t>
      </w:r>
      <w:r>
        <w:rPr>
          <w:rFonts w:hint="eastAsia" w:hAnsi="宋体"/>
          <w:sz w:val="24"/>
        </w:rPr>
        <w:t>成交供应商</w:t>
      </w:r>
      <w:r>
        <w:rPr>
          <w:rFonts w:hAnsi="宋体"/>
          <w:sz w:val="24"/>
        </w:rPr>
        <w:t>）：</w:t>
      </w:r>
      <w:r>
        <w:rPr>
          <w:rFonts w:hint="eastAsia" w:hAnsi="宋体"/>
          <w:sz w:val="24"/>
        </w:rPr>
        <w:t xml:space="preserve">                          </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u w:val="single"/>
        </w:rPr>
        <w:t>台州天兴工程管理咨询有限公司</w:t>
      </w:r>
      <w:r>
        <w:rPr>
          <w:rFonts w:ascii="宋体" w:hAnsi="宋体"/>
          <w:sz w:val="24"/>
        </w:rPr>
        <w:t>关于</w:t>
      </w:r>
      <w:r>
        <w:rPr>
          <w:rFonts w:hint="eastAsia" w:cs="Arial" w:asciiTheme="minorEastAsia" w:hAnsiTheme="minorEastAsia" w:eastAsiaTheme="minorEastAsia"/>
          <w:sz w:val="24"/>
          <w:u w:val="single"/>
        </w:rPr>
        <w:t>台州市椒江区农业农村和水利局农药包装废弃物集中处置项目</w:t>
      </w:r>
      <w:r>
        <w:rPr>
          <w:rFonts w:hint="eastAsia" w:ascii="宋体" w:hAnsi="宋体"/>
          <w:sz w:val="24"/>
        </w:rPr>
        <w:t>竞争性磋商</w:t>
      </w:r>
      <w:r>
        <w:rPr>
          <w:rFonts w:ascii="宋体" w:hAnsi="宋体"/>
          <w:sz w:val="24"/>
        </w:rPr>
        <w:t>的结果，签署本合同。</w:t>
      </w:r>
    </w:p>
    <w:p>
      <w:pPr>
        <w:spacing w:line="480" w:lineRule="exact"/>
        <w:ind w:firstLine="480" w:firstLineChars="200"/>
        <w:rPr>
          <w:rFonts w:ascii="宋体" w:hAnsi="宋体"/>
          <w:sz w:val="24"/>
        </w:rPr>
      </w:pPr>
      <w:r>
        <w:rPr>
          <w:rFonts w:hint="eastAsia" w:ascii="宋体" w:hAnsi="宋体"/>
          <w:sz w:val="24"/>
        </w:rPr>
        <w:t>乙方是专业从事危险固体废物处置的企业，为有效防止危险固体废物对环境造成污染，保障生态环境及人民群众的生命健康，根据《中华人民共和国固体废物污染环境防治法》和《台州市固体废物污染环境防治管理暂行办法》等有关法律、法规规定，经甲乙双方平等协商，达成如下协议：</w:t>
      </w:r>
    </w:p>
    <w:p>
      <w:pPr>
        <w:spacing w:line="480" w:lineRule="exact"/>
        <w:ind w:firstLine="540"/>
        <w:rPr>
          <w:rFonts w:ascii="宋体" w:hAnsi="宋体"/>
          <w:sz w:val="24"/>
        </w:rPr>
      </w:pPr>
      <w:r>
        <w:rPr>
          <w:rFonts w:hint="eastAsia" w:ascii="宋体" w:hAnsi="宋体"/>
          <w:sz w:val="24"/>
        </w:rPr>
        <w:t>一、危险废物的数量和价格</w:t>
      </w:r>
    </w:p>
    <w:p>
      <w:pPr>
        <w:spacing w:line="480" w:lineRule="exact"/>
        <w:ind w:firstLine="480" w:firstLineChars="200"/>
        <w:rPr>
          <w:rFonts w:ascii="宋体" w:hAnsi="宋体"/>
          <w:sz w:val="24"/>
        </w:rPr>
      </w:pPr>
      <w:r>
        <w:rPr>
          <w:rFonts w:hint="eastAsia" w:ascii="宋体" w:hAnsi="宋体"/>
          <w:sz w:val="24"/>
        </w:rPr>
        <w:t>甲方应按台州市生态环境局（或环境影响评价报告书）核实的数量委托乙方进行处置，乙方按下表的收费标准向甲方收取处置费。</w:t>
      </w:r>
    </w:p>
    <w:p>
      <w:pPr>
        <w:numPr>
          <w:ilvl w:val="0"/>
          <w:numId w:val="10"/>
        </w:numPr>
        <w:spacing w:line="480" w:lineRule="exact"/>
        <w:rPr>
          <w:rFonts w:ascii="宋体" w:hAnsi="宋体"/>
          <w:sz w:val="24"/>
        </w:rPr>
      </w:pPr>
      <w:r>
        <w:rPr>
          <w:rFonts w:hint="eastAsia" w:ascii="宋体" w:hAnsi="宋体"/>
          <w:sz w:val="24"/>
        </w:rPr>
        <w:t>乙双方商定的各类危险废物数量及处置价格（含税含运费）如下：</w:t>
      </w:r>
    </w:p>
    <w:tbl>
      <w:tblPr>
        <w:tblStyle w:val="23"/>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27"/>
        <w:gridCol w:w="212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376" w:type="dxa"/>
            <w:vAlign w:val="center"/>
          </w:tcPr>
          <w:p>
            <w:pPr>
              <w:spacing w:line="480" w:lineRule="exact"/>
              <w:jc w:val="center"/>
              <w:rPr>
                <w:rFonts w:ascii="宋体" w:hAnsi="宋体"/>
                <w:sz w:val="24"/>
              </w:rPr>
            </w:pPr>
            <w:r>
              <w:rPr>
                <w:rFonts w:hint="eastAsia" w:ascii="宋体" w:hAnsi="宋体"/>
                <w:sz w:val="24"/>
              </w:rPr>
              <w:t>危险废物名称</w:t>
            </w:r>
          </w:p>
        </w:tc>
        <w:tc>
          <w:tcPr>
            <w:tcW w:w="2127" w:type="dxa"/>
            <w:vAlign w:val="center"/>
          </w:tcPr>
          <w:p>
            <w:pPr>
              <w:spacing w:line="480" w:lineRule="exact"/>
              <w:jc w:val="center"/>
              <w:rPr>
                <w:rFonts w:ascii="宋体" w:hAnsi="宋体"/>
                <w:sz w:val="24"/>
              </w:rPr>
            </w:pPr>
            <w:r>
              <w:rPr>
                <w:rFonts w:hint="eastAsia" w:ascii="宋体" w:hAnsi="宋体"/>
                <w:sz w:val="24"/>
              </w:rPr>
              <w:t>废物代码</w:t>
            </w:r>
          </w:p>
        </w:tc>
        <w:tc>
          <w:tcPr>
            <w:tcW w:w="2126" w:type="dxa"/>
            <w:vAlign w:val="center"/>
          </w:tcPr>
          <w:p>
            <w:pPr>
              <w:spacing w:line="480" w:lineRule="exact"/>
              <w:jc w:val="center"/>
              <w:rPr>
                <w:rFonts w:ascii="宋体" w:hAnsi="宋体"/>
                <w:sz w:val="24"/>
              </w:rPr>
            </w:pPr>
            <w:r>
              <w:rPr>
                <w:rFonts w:hint="eastAsia" w:ascii="宋体" w:hAnsi="宋体"/>
                <w:sz w:val="24"/>
              </w:rPr>
              <w:t>数量（吨）</w:t>
            </w:r>
          </w:p>
        </w:tc>
        <w:tc>
          <w:tcPr>
            <w:tcW w:w="2015" w:type="dxa"/>
            <w:vAlign w:val="center"/>
          </w:tcPr>
          <w:p>
            <w:pPr>
              <w:spacing w:line="480" w:lineRule="exact"/>
              <w:jc w:val="center"/>
              <w:rPr>
                <w:rFonts w:ascii="宋体" w:hAnsi="宋体"/>
                <w:sz w:val="24"/>
              </w:rPr>
            </w:pPr>
            <w:r>
              <w:rPr>
                <w:rFonts w:hint="eastAsia" w:ascii="宋体" w:hAnsi="宋体"/>
                <w:sz w:val="24"/>
              </w:rPr>
              <w:t>价格（元/吨）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376" w:type="dxa"/>
            <w:vAlign w:val="center"/>
          </w:tcPr>
          <w:p>
            <w:pPr>
              <w:spacing w:line="480" w:lineRule="exact"/>
              <w:jc w:val="center"/>
              <w:rPr>
                <w:rFonts w:ascii="宋体" w:hAnsi="宋体"/>
                <w:sz w:val="24"/>
              </w:rPr>
            </w:pPr>
            <w:r>
              <w:rPr>
                <w:rFonts w:hint="eastAsia" w:ascii="宋体" w:hAnsi="宋体"/>
                <w:sz w:val="24"/>
              </w:rPr>
              <w:t>农药包装废弃物</w:t>
            </w:r>
          </w:p>
        </w:tc>
        <w:tc>
          <w:tcPr>
            <w:tcW w:w="2127" w:type="dxa"/>
            <w:vAlign w:val="center"/>
          </w:tcPr>
          <w:p>
            <w:pPr>
              <w:spacing w:line="480" w:lineRule="exact"/>
              <w:jc w:val="center"/>
              <w:rPr>
                <w:rFonts w:ascii="宋体" w:hAnsi="宋体"/>
                <w:sz w:val="24"/>
              </w:rPr>
            </w:pPr>
            <w:r>
              <w:rPr>
                <w:rFonts w:hint="eastAsia" w:ascii="宋体" w:hAnsi="宋体"/>
                <w:sz w:val="24"/>
              </w:rPr>
              <w:t>900-003-04</w:t>
            </w:r>
          </w:p>
        </w:tc>
        <w:tc>
          <w:tcPr>
            <w:tcW w:w="2126" w:type="dxa"/>
            <w:vAlign w:val="center"/>
          </w:tcPr>
          <w:p>
            <w:pPr>
              <w:spacing w:line="480" w:lineRule="exact"/>
              <w:jc w:val="center"/>
              <w:rPr>
                <w:rFonts w:hint="eastAsia" w:ascii="宋体" w:hAnsi="宋体" w:eastAsia="宋体"/>
                <w:sz w:val="24"/>
                <w:lang w:val="en-US" w:eastAsia="zh-CN"/>
              </w:rPr>
            </w:pPr>
            <w:r>
              <w:rPr>
                <w:rFonts w:hint="eastAsia" w:ascii="宋体" w:hAnsi="宋体"/>
                <w:sz w:val="24"/>
                <w:lang w:val="en-US" w:eastAsia="zh-CN"/>
              </w:rPr>
              <w:t>80</w:t>
            </w:r>
          </w:p>
        </w:tc>
        <w:tc>
          <w:tcPr>
            <w:tcW w:w="2015" w:type="dxa"/>
            <w:vAlign w:val="center"/>
          </w:tcPr>
          <w:p>
            <w:pPr>
              <w:spacing w:line="480" w:lineRule="exact"/>
              <w:jc w:val="center"/>
              <w:rPr>
                <w:rFonts w:ascii="宋体" w:hAnsi="宋体"/>
                <w:sz w:val="24"/>
              </w:rPr>
            </w:pPr>
          </w:p>
        </w:tc>
      </w:tr>
    </w:tbl>
    <w:p>
      <w:pPr>
        <w:tabs>
          <w:tab w:val="center" w:pos="4537"/>
        </w:tabs>
        <w:spacing w:line="480" w:lineRule="exact"/>
        <w:ind w:firstLine="480" w:firstLineChars="200"/>
        <w:rPr>
          <w:rFonts w:ascii="宋体" w:hAnsi="宋体"/>
          <w:sz w:val="24"/>
        </w:rPr>
      </w:pPr>
      <w:r>
        <w:rPr>
          <w:rFonts w:hint="eastAsia" w:ascii="宋体" w:hAnsi="宋体"/>
          <w:sz w:val="24"/>
        </w:rPr>
        <w:t>二、甲、乙双方责任义务</w:t>
      </w:r>
    </w:p>
    <w:p>
      <w:pPr>
        <w:spacing w:line="480" w:lineRule="exact"/>
        <w:ind w:left="435"/>
        <w:rPr>
          <w:rFonts w:ascii="宋体" w:hAnsi="宋体"/>
          <w:sz w:val="24"/>
        </w:rPr>
      </w:pPr>
      <w:r>
        <w:rPr>
          <w:rFonts w:hint="eastAsia" w:ascii="宋体" w:hAnsi="宋体"/>
          <w:sz w:val="24"/>
        </w:rPr>
        <w:t>（</w:t>
      </w:r>
      <w:r>
        <w:rPr>
          <w:rFonts w:hint="eastAsia" w:ascii="宋体" w:hAnsi="宋体"/>
          <w:sz w:val="24"/>
          <w:lang w:eastAsia="zh-CN"/>
        </w:rPr>
        <w:t>一</w:t>
      </w:r>
      <w:r>
        <w:rPr>
          <w:rFonts w:hint="eastAsia" w:ascii="宋体" w:hAnsi="宋体"/>
          <w:sz w:val="24"/>
        </w:rPr>
        <w:t>）甲方责任义务</w:t>
      </w:r>
    </w:p>
    <w:p>
      <w:pPr>
        <w:spacing w:line="480" w:lineRule="exact"/>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、甲方应确保所提供的危险废物必须符合本合同所规定的种类。如甲方在生产过程中产生新的危险废物需处置的，甲乙双方另行商定解决。</w:t>
      </w:r>
    </w:p>
    <w:p>
      <w:pPr>
        <w:spacing w:line="48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、甲方须按照危险废物种类、特性分类贮存，并贴好危险废物标签，不可混入其他杂物，以方便乙方处理及保障操作安全。</w:t>
      </w:r>
    </w:p>
    <w:p>
      <w:pPr>
        <w:spacing w:line="48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、甲方必须严格按照</w:t>
      </w:r>
      <w:r>
        <w:rPr>
          <w:rFonts w:hint="eastAsia" w:ascii="宋体" w:hAnsi="宋体"/>
          <w:sz w:val="24"/>
          <w:lang w:eastAsia="zh-CN"/>
        </w:rPr>
        <w:t>生态环境</w:t>
      </w:r>
      <w:r>
        <w:rPr>
          <w:rFonts w:hint="eastAsia" w:ascii="宋体" w:hAnsi="宋体"/>
          <w:sz w:val="24"/>
        </w:rPr>
        <w:t>法律法规的要求做好危险废物的包装工作，因甲方原因导致发生跑冒滴漏情况的，乙方有权拒绝处置。</w:t>
      </w:r>
    </w:p>
    <w:p>
      <w:pPr>
        <w:spacing w:line="48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甲方必须就所提供的危险废物向乙方出具详细的组分说明，同时应确保所提供的废物不得携带爆炸品和具有放射性等物质夹带。乙方在危险废物处置过程中，由于甲方隐瞒危险废物化学成分或在危险废物中夹带不明物质而发生事故，由此所引发的一切责任及后果由甲方承担。</w:t>
      </w:r>
    </w:p>
    <w:p>
      <w:pPr>
        <w:spacing w:line="480" w:lineRule="exact"/>
        <w:ind w:left="-105" w:leftChars="-50" w:firstLine="480" w:firstLineChars="200"/>
        <w:rPr>
          <w:rFonts w:ascii="宋体" w:hAnsi="宋体"/>
          <w:sz w:val="24"/>
        </w:rPr>
      </w:pPr>
      <w:r>
        <w:rPr>
          <w:rFonts w:hint="eastAsia" w:ascii="宋体" w:hAnsi="宋体"/>
          <w:sz w:val="24"/>
          <w:lang w:val="en-US" w:eastAsia="zh-CN"/>
        </w:rPr>
        <w:t>5</w:t>
      </w:r>
      <w:r>
        <w:rPr>
          <w:rFonts w:hint="eastAsia" w:ascii="宋体" w:hAnsi="宋体"/>
          <w:sz w:val="24"/>
        </w:rPr>
        <w:t>、在甲方场地内装货由甲方负责。</w:t>
      </w:r>
    </w:p>
    <w:p>
      <w:pPr>
        <w:spacing w:line="480" w:lineRule="exact"/>
        <w:ind w:left="-105" w:leftChars="-50" w:firstLine="480" w:firstLineChars="200"/>
        <w:rPr>
          <w:rFonts w:ascii="宋体" w:hAnsi="宋体"/>
          <w:sz w:val="24"/>
        </w:rPr>
      </w:pPr>
      <w:r>
        <w:rPr>
          <w:rFonts w:hint="eastAsia" w:ascii="宋体" w:hAnsi="宋体"/>
          <w:sz w:val="24"/>
          <w:lang w:val="en-US" w:eastAsia="zh-CN"/>
        </w:rPr>
        <w:t>6</w:t>
      </w:r>
      <w:r>
        <w:rPr>
          <w:rFonts w:hint="eastAsia" w:ascii="宋体" w:hAnsi="宋体"/>
          <w:sz w:val="24"/>
        </w:rPr>
        <w:t>、甲方转移危险废物前，必须在《浙江省固体废物监管信息系统》完成管理计划备案，并在转移时开具危险废物转移电子联单。</w:t>
      </w:r>
    </w:p>
    <w:p>
      <w:pPr>
        <w:spacing w:line="480" w:lineRule="exact"/>
        <w:ind w:left="-105" w:leftChars="-50" w:firstLine="480" w:firstLineChars="200"/>
        <w:rPr>
          <w:rFonts w:ascii="宋体" w:hAnsi="宋体"/>
          <w:sz w:val="24"/>
        </w:rPr>
      </w:pPr>
      <w:r>
        <w:rPr>
          <w:rFonts w:hint="eastAsia" w:ascii="宋体" w:hAnsi="宋体"/>
          <w:sz w:val="24"/>
          <w:lang w:val="en-US" w:eastAsia="zh-CN"/>
        </w:rPr>
        <w:t>7</w:t>
      </w:r>
      <w:r>
        <w:rPr>
          <w:rFonts w:hint="eastAsia" w:ascii="宋体" w:hAnsi="宋体"/>
          <w:sz w:val="24"/>
        </w:rPr>
        <w:t>、甲方承诺并保证提供给乙方的危险废物不出现下列异常情况：</w:t>
      </w:r>
    </w:p>
    <w:p>
      <w:pPr>
        <w:spacing w:line="480" w:lineRule="exact"/>
        <w:ind w:left="-105" w:leftChars="-50" w:firstLine="480" w:firstLineChars="200"/>
        <w:rPr>
          <w:rFonts w:ascii="宋体" w:hAnsi="宋体"/>
          <w:sz w:val="24"/>
        </w:rPr>
      </w:pPr>
      <w:r>
        <w:rPr>
          <w:rFonts w:hint="eastAsia" w:ascii="宋体" w:hAnsi="宋体"/>
          <w:sz w:val="24"/>
        </w:rPr>
        <w:t>1）危险废物中存在未列入本合同约定的品种，[特别是含有易爆物质、放射性物质、多氯联苯以及氰化物等剧毒物质的危险废物]；</w:t>
      </w:r>
    </w:p>
    <w:p>
      <w:pPr>
        <w:spacing w:line="480" w:lineRule="exact"/>
        <w:ind w:left="-105" w:leftChars="-50" w:firstLine="480" w:firstLineChars="200"/>
        <w:rPr>
          <w:rFonts w:ascii="宋体" w:hAnsi="宋体"/>
          <w:sz w:val="24"/>
        </w:rPr>
      </w:pPr>
      <w:r>
        <w:rPr>
          <w:rFonts w:hint="eastAsia" w:ascii="宋体" w:hAnsi="宋体"/>
          <w:sz w:val="24"/>
        </w:rPr>
        <w:t>2）标识不规范或者错误；包装破损或者密封不严；跑冒滴漏现象；</w:t>
      </w:r>
    </w:p>
    <w:p>
      <w:pPr>
        <w:spacing w:line="480" w:lineRule="exact"/>
        <w:ind w:left="-105" w:leftChars="-50" w:firstLine="480" w:firstLineChars="200"/>
        <w:rPr>
          <w:rFonts w:ascii="宋体" w:hAnsi="宋体"/>
          <w:sz w:val="24"/>
        </w:rPr>
      </w:pPr>
      <w:r>
        <w:rPr>
          <w:rFonts w:hint="eastAsia" w:ascii="宋体" w:hAnsi="宋体"/>
          <w:sz w:val="24"/>
        </w:rPr>
        <w:t>3）两类及以上危险废物人为混合装入同一容器内，或者将危险废物与非危险废物混合装入同一容器；</w:t>
      </w:r>
    </w:p>
    <w:p>
      <w:pPr>
        <w:spacing w:line="480" w:lineRule="exact"/>
        <w:ind w:left="-105" w:leftChars="-50" w:firstLine="480" w:firstLineChars="200"/>
        <w:rPr>
          <w:rFonts w:ascii="宋体" w:hAnsi="宋体"/>
          <w:sz w:val="24"/>
        </w:rPr>
      </w:pPr>
      <w:r>
        <w:rPr>
          <w:rFonts w:hint="eastAsia" w:ascii="宋体" w:hAnsi="宋体"/>
          <w:sz w:val="24"/>
        </w:rPr>
        <w:t>4）其他违反危险废物运输包装的国家标准、行业标准及通用技术条件的异常情况。</w:t>
      </w:r>
    </w:p>
    <w:p>
      <w:pPr>
        <w:spacing w:line="480" w:lineRule="exact"/>
        <w:ind w:left="-105" w:leftChars="-50" w:firstLine="480" w:firstLineChars="200"/>
        <w:rPr>
          <w:rFonts w:ascii="宋体" w:hAnsi="宋体"/>
          <w:sz w:val="24"/>
        </w:rPr>
      </w:pPr>
      <w:r>
        <w:rPr>
          <w:rFonts w:hint="eastAsia" w:ascii="宋体" w:hAnsi="宋体"/>
          <w:sz w:val="24"/>
        </w:rPr>
        <w:t>如甲方出现以上情形之一的，乙方有权拒绝接收而无需承担任何违约责任。</w:t>
      </w:r>
    </w:p>
    <w:p>
      <w:pPr>
        <w:spacing w:line="480" w:lineRule="exact"/>
        <w:ind w:left="435"/>
        <w:rPr>
          <w:rFonts w:ascii="宋体" w:hAnsi="宋体"/>
          <w:sz w:val="24"/>
        </w:rPr>
      </w:pPr>
      <w:r>
        <w:rPr>
          <w:rFonts w:hint="eastAsia" w:ascii="宋体" w:hAnsi="宋体"/>
          <w:sz w:val="24"/>
        </w:rPr>
        <w:t>（</w:t>
      </w:r>
      <w:r>
        <w:rPr>
          <w:rFonts w:hint="eastAsia" w:ascii="宋体" w:hAnsi="宋体"/>
          <w:sz w:val="24"/>
          <w:lang w:eastAsia="zh-CN"/>
        </w:rPr>
        <w:t>二</w:t>
      </w:r>
      <w:r>
        <w:rPr>
          <w:rFonts w:hint="eastAsia" w:ascii="宋体" w:hAnsi="宋体"/>
          <w:sz w:val="24"/>
        </w:rPr>
        <w:t>）乙方责任义务</w:t>
      </w:r>
    </w:p>
    <w:p>
      <w:pPr>
        <w:spacing w:line="480" w:lineRule="exact"/>
        <w:ind w:firstLine="480" w:firstLineChars="200"/>
        <w:rPr>
          <w:rFonts w:ascii="宋体" w:hAnsi="宋体"/>
          <w:sz w:val="24"/>
        </w:rPr>
      </w:pPr>
      <w:r>
        <w:rPr>
          <w:rFonts w:hint="eastAsia" w:ascii="宋体" w:hAnsi="宋体"/>
          <w:sz w:val="24"/>
        </w:rPr>
        <w:t>1、乙方在合同有效期内，乙方应具备处理危险废物所需的资质、条件和设施，并保证所持有许可证、营业执照等相关证件合法有效。</w:t>
      </w:r>
    </w:p>
    <w:p>
      <w:pPr>
        <w:spacing w:line="480" w:lineRule="exact"/>
        <w:ind w:firstLine="480" w:firstLineChars="200"/>
        <w:rPr>
          <w:rFonts w:ascii="宋体" w:hAnsi="宋体"/>
          <w:sz w:val="24"/>
        </w:rPr>
      </w:pPr>
      <w:r>
        <w:rPr>
          <w:rFonts w:hint="eastAsia" w:ascii="宋体" w:hAnsi="宋体"/>
          <w:sz w:val="24"/>
        </w:rPr>
        <w:t>2、危险废物转移处置前，乙方有权对甲方的危险废物进行分析化验，以确保危险废物符合安全处置工艺要求。</w:t>
      </w:r>
    </w:p>
    <w:p>
      <w:pPr>
        <w:spacing w:line="480" w:lineRule="exact"/>
        <w:ind w:firstLine="480" w:firstLineChars="200"/>
        <w:rPr>
          <w:rFonts w:ascii="宋体" w:hAnsi="宋体"/>
          <w:sz w:val="24"/>
        </w:rPr>
      </w:pPr>
      <w:r>
        <w:rPr>
          <w:rFonts w:hint="eastAsia" w:ascii="宋体" w:hAnsi="宋体"/>
          <w:sz w:val="24"/>
        </w:rPr>
        <w:t>3、乙方必须按国家及地方有关法律法规处置甲方产生的危险废物，并接受甲方的监督。</w:t>
      </w:r>
    </w:p>
    <w:p>
      <w:pPr>
        <w:spacing w:line="480" w:lineRule="exact"/>
        <w:ind w:firstLine="480" w:firstLineChars="200"/>
        <w:rPr>
          <w:rFonts w:ascii="宋体" w:hAnsi="宋体"/>
          <w:sz w:val="24"/>
        </w:rPr>
      </w:pPr>
      <w:r>
        <w:rPr>
          <w:rFonts w:hint="eastAsia" w:ascii="宋体" w:hAnsi="宋体"/>
          <w:sz w:val="24"/>
        </w:rPr>
        <w:t>4、在乙方场地内卸货由乙方负责。</w:t>
      </w:r>
    </w:p>
    <w:p>
      <w:pPr>
        <w:spacing w:line="480" w:lineRule="exact"/>
        <w:ind w:firstLine="480" w:firstLineChars="200"/>
        <w:rPr>
          <w:rFonts w:hint="eastAsia" w:ascii="宋体" w:hAnsi="宋体"/>
          <w:sz w:val="24"/>
        </w:rPr>
      </w:pPr>
      <w:r>
        <w:rPr>
          <w:rFonts w:hint="eastAsia" w:ascii="宋体" w:hAnsi="宋体"/>
          <w:sz w:val="24"/>
        </w:rPr>
        <w:t>5、运输由乙方统一安排。</w:t>
      </w:r>
    </w:p>
    <w:p>
      <w:pPr>
        <w:spacing w:line="480" w:lineRule="exact"/>
        <w:ind w:firstLine="480" w:firstLineChars="200"/>
        <w:rPr>
          <w:rFonts w:hint="eastAsia" w:ascii="宋体" w:hAnsi="宋体"/>
          <w:sz w:val="24"/>
          <w:lang w:eastAsia="zh-CN"/>
        </w:rPr>
      </w:pPr>
      <w:r>
        <w:rPr>
          <w:rFonts w:hint="eastAsia" w:ascii="宋体" w:hAnsi="宋体"/>
          <w:sz w:val="24"/>
          <w:lang w:eastAsia="zh-CN"/>
        </w:rPr>
        <w:t>三、环境污染责任</w:t>
      </w:r>
    </w:p>
    <w:p>
      <w:pPr>
        <w:spacing w:line="480" w:lineRule="exact"/>
        <w:ind w:firstLine="480" w:firstLineChars="200"/>
        <w:rPr>
          <w:rFonts w:hint="eastAsia" w:ascii="宋体" w:hAnsi="宋体"/>
          <w:sz w:val="24"/>
          <w:lang w:val="en-US" w:eastAsia="zh-CN"/>
        </w:rPr>
      </w:pPr>
      <w:r>
        <w:rPr>
          <w:rFonts w:hint="eastAsia" w:ascii="宋体" w:hAnsi="宋体"/>
          <w:sz w:val="24"/>
          <w:lang w:eastAsia="zh-CN"/>
        </w:rPr>
        <w:t>危险废物在出甲方厂区</w:t>
      </w:r>
      <w:r>
        <w:rPr>
          <w:rFonts w:hint="eastAsia" w:ascii="宋体" w:hAnsi="宋体"/>
          <w:sz w:val="24"/>
          <w:lang w:val="en-US" w:eastAsia="zh-CN"/>
        </w:rPr>
        <w:t>之前，危险废物所引起的任何环境污染问题由甲方自行承担。待处置危险废物在运输转移离开甲方厂区后，对其可能引起的任何环境污染问题由乙方承担全部责任，但因甲方违反告知义务、隐瞒危险废物物质种类或含量、包装不适引起废物泄露等情况除外。</w:t>
      </w:r>
    </w:p>
    <w:p>
      <w:pPr>
        <w:spacing w:line="480" w:lineRule="exact"/>
        <w:ind w:left="-105" w:leftChars="-50" w:firstLine="448" w:firstLineChars="187"/>
        <w:rPr>
          <w:rFonts w:ascii="宋体" w:hAnsi="宋体"/>
          <w:sz w:val="24"/>
        </w:rPr>
      </w:pPr>
      <w:r>
        <w:rPr>
          <w:rFonts w:hint="eastAsia" w:ascii="宋体" w:hAnsi="宋体"/>
          <w:sz w:val="24"/>
          <w:lang w:eastAsia="zh-CN"/>
        </w:rPr>
        <w:t>四</w:t>
      </w:r>
      <w:r>
        <w:rPr>
          <w:rFonts w:hint="eastAsia" w:ascii="宋体" w:hAnsi="宋体"/>
          <w:sz w:val="24"/>
        </w:rPr>
        <w:t>、结算方式</w:t>
      </w:r>
    </w:p>
    <w:p>
      <w:pPr>
        <w:spacing w:line="480" w:lineRule="exact"/>
        <w:ind w:left="-105" w:leftChars="-50" w:firstLine="480" w:firstLineChars="200"/>
        <w:rPr>
          <w:rFonts w:ascii="宋体" w:hAnsi="宋体"/>
          <w:sz w:val="24"/>
        </w:rPr>
      </w:pPr>
      <w:r>
        <w:rPr>
          <w:rFonts w:hint="eastAsia" w:ascii="宋体" w:hAnsi="宋体"/>
          <w:sz w:val="24"/>
        </w:rPr>
        <w:t>1、甲方委托乙方处置的危险废物重量以乙方的地磅称量为准，且数量与《浙江省固体废物监管信息系统》电子联单乙方接收量相一致。</w:t>
      </w:r>
    </w:p>
    <w:p>
      <w:pPr>
        <w:spacing w:line="480" w:lineRule="exact"/>
        <w:ind w:left="-105" w:leftChars="-50" w:firstLine="480" w:firstLineChars="200"/>
        <w:rPr>
          <w:rFonts w:ascii="宋体" w:hAnsi="宋体"/>
          <w:sz w:val="24"/>
        </w:rPr>
      </w:pPr>
      <w:r>
        <w:rPr>
          <w:rFonts w:hint="eastAsia" w:ascii="宋体" w:hAnsi="宋体"/>
          <w:sz w:val="24"/>
        </w:rPr>
        <w:t>2、危险废物处置费在甲方废物转移到乙方场地后，乙方开具危险废物处置费发票，甲方收到乙方危险废物处置费发票</w:t>
      </w:r>
      <w:r>
        <w:rPr>
          <w:rFonts w:hint="eastAsia" w:ascii="宋体" w:hAnsi="宋体"/>
          <w:sz w:val="24"/>
          <w:u w:val="single"/>
        </w:rPr>
        <w:t xml:space="preserve"> 30 </w:t>
      </w:r>
      <w:r>
        <w:rPr>
          <w:rFonts w:hint="eastAsia" w:ascii="宋体" w:hAnsi="宋体"/>
          <w:sz w:val="24"/>
        </w:rPr>
        <w:t>天内结清。</w:t>
      </w:r>
    </w:p>
    <w:p>
      <w:pPr>
        <w:spacing w:line="480" w:lineRule="exact"/>
        <w:ind w:left="-105" w:leftChars="-50" w:firstLine="480" w:firstLineChars="200"/>
        <w:rPr>
          <w:rFonts w:hint="eastAsia" w:ascii="宋体" w:hAnsi="宋体"/>
          <w:sz w:val="24"/>
        </w:rPr>
      </w:pPr>
      <w:r>
        <w:rPr>
          <w:rFonts w:hint="eastAsia" w:ascii="宋体" w:hAnsi="宋体"/>
          <w:sz w:val="24"/>
        </w:rPr>
        <w:t>3、危险废物处置费开具增值税专用发票，税率6%。如遇国家政策税率调整，危险废物处置单价仍按照合同约定价格执行。</w:t>
      </w:r>
    </w:p>
    <w:p>
      <w:pPr>
        <w:spacing w:line="480" w:lineRule="exact"/>
        <w:ind w:left="-105" w:leftChars="-50" w:firstLine="482" w:firstLineChars="200"/>
        <w:rPr>
          <w:rFonts w:hint="eastAsia" w:ascii="宋体" w:hAnsi="宋体" w:cs="Times New Roman"/>
          <w:b/>
          <w:bCs/>
          <w:sz w:val="24"/>
          <w:lang w:val="en-US" w:eastAsia="zh-CN"/>
        </w:rPr>
      </w:pPr>
      <w:r>
        <w:rPr>
          <w:rFonts w:hint="eastAsia" w:ascii="宋体" w:hAnsi="宋体" w:cs="Times New Roman"/>
          <w:b/>
          <w:bCs/>
          <w:sz w:val="24"/>
          <w:lang w:val="en-US" w:eastAsia="zh-CN"/>
        </w:rPr>
        <w:t>4、</w:t>
      </w:r>
      <w:r>
        <w:rPr>
          <w:rFonts w:hint="eastAsia" w:ascii="宋体" w:hAnsi="宋体" w:cs="Times New Roman"/>
          <w:b/>
          <w:bCs/>
          <w:sz w:val="24"/>
        </w:rPr>
        <w:t>根据《浙江省财政厅关于进一步发挥政府采购政策功能全力推动经济稳进提质的通知》(浙财采监[2022]3号)的规定，</w:t>
      </w:r>
      <w:r>
        <w:rPr>
          <w:rFonts w:hint="eastAsia" w:ascii="宋体" w:hAnsi="宋体" w:cs="Times New Roman"/>
          <w:b/>
          <w:bCs/>
          <w:sz w:val="24"/>
          <w:lang w:eastAsia="zh-CN"/>
        </w:rPr>
        <w:t>本项目预付款比例为</w:t>
      </w:r>
      <w:r>
        <w:rPr>
          <w:rFonts w:hint="eastAsia" w:ascii="宋体" w:hAnsi="宋体" w:cs="Times New Roman"/>
          <w:b/>
          <w:bCs/>
          <w:sz w:val="24"/>
          <w:u w:val="single"/>
          <w:lang w:val="en-US" w:eastAsia="zh-CN"/>
        </w:rPr>
        <w:t xml:space="preserve">    </w:t>
      </w:r>
      <w:r>
        <w:rPr>
          <w:rFonts w:hint="eastAsia" w:ascii="宋体" w:hAnsi="宋体" w:cs="Times New Roman"/>
          <w:b/>
          <w:bCs/>
          <w:sz w:val="24"/>
          <w:lang w:eastAsia="zh-CN"/>
        </w:rPr>
        <w:t>。预付款应于合同签订且乙方按要求提供银行、保险公司等金融机构出具的预付款保函及正规等额发票后</w:t>
      </w:r>
      <w:r>
        <w:rPr>
          <w:rFonts w:hint="eastAsia" w:ascii="宋体" w:hAnsi="宋体" w:cs="Times New Roman"/>
          <w:b/>
          <w:bCs/>
          <w:sz w:val="24"/>
          <w:lang w:val="en-US" w:eastAsia="zh-CN"/>
        </w:rPr>
        <w:t>7个工作日内按约定比例支付。</w:t>
      </w:r>
    </w:p>
    <w:p>
      <w:pPr>
        <w:spacing w:line="480" w:lineRule="exact"/>
        <w:ind w:left="-105" w:leftChars="-50" w:firstLine="480" w:firstLineChars="200"/>
        <w:rPr>
          <w:rFonts w:ascii="宋体" w:hAnsi="宋体"/>
          <w:sz w:val="24"/>
        </w:rPr>
      </w:pPr>
      <w:r>
        <w:rPr>
          <w:rFonts w:hint="eastAsia" w:ascii="宋体" w:hAnsi="宋体"/>
          <w:sz w:val="24"/>
          <w:lang w:eastAsia="zh-CN"/>
        </w:rPr>
        <w:t>五</w:t>
      </w:r>
      <w:r>
        <w:rPr>
          <w:rFonts w:hint="eastAsia" w:ascii="宋体" w:hAnsi="宋体"/>
          <w:sz w:val="24"/>
        </w:rPr>
        <w:t>、违约责任</w:t>
      </w:r>
    </w:p>
    <w:p>
      <w:pPr>
        <w:spacing w:line="480" w:lineRule="exact"/>
        <w:ind w:left="-105" w:leftChars="-50"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甲方应当及时付款，延迟付款五个月以上的，乙方有权解除本合同，并拒绝接受甲方的危险废物。同时延迟付款应当按照未付金额日千分之一承担违约责任。</w:t>
      </w:r>
    </w:p>
    <w:p>
      <w:pPr>
        <w:spacing w:line="480" w:lineRule="exact"/>
        <w:ind w:left="-105" w:leftChars="-50"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因甲方提供的危险废物超出本合同约定或未按照合同约定履行本合同，造成乙方遭受额外损失的，应当由甲方全部承担。承担范围包括但不限于员工工资、车辆费用、委托专业公司处理超标危险废弃物的费用、鉴定费用、政府罚款等等。</w:t>
      </w:r>
    </w:p>
    <w:p>
      <w:pPr>
        <w:spacing w:line="480" w:lineRule="exact"/>
        <w:ind w:left="-105" w:leftChars="-50"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合同范围的服务，应由乙方直接供应，不得转让他人供应。除非得到甲方的同意，乙方不得将本合同范围的服务全部或部分分包给他人供应。如有转让和未经甲方同意的分包行为，甲方有权解除合同，并追究乙方的违约责任。乙方未经甲方的书面同意，将本合同范围的服务全部转包或部分分包给他人供应的，乙方应向甲方支付分包项目金额的</w:t>
      </w:r>
      <w:r>
        <w:rPr>
          <w:rFonts w:hint="eastAsia" w:ascii="宋体" w:hAnsi="宋体"/>
          <w:sz w:val="24"/>
          <w:u w:val="single"/>
          <w:lang w:val="en-US" w:eastAsia="zh-CN"/>
        </w:rPr>
        <w:t xml:space="preserve"> </w:t>
      </w:r>
      <w:r>
        <w:rPr>
          <w:rFonts w:hint="eastAsia" w:ascii="宋体" w:hAnsi="宋体"/>
          <w:sz w:val="24"/>
          <w:u w:val="single"/>
        </w:rPr>
        <w:t>10%</w:t>
      </w:r>
      <w:r>
        <w:rPr>
          <w:rFonts w:hint="eastAsia" w:ascii="宋体" w:hAnsi="宋体"/>
          <w:sz w:val="24"/>
          <w:u w:val="single"/>
          <w:lang w:val="en-US" w:eastAsia="zh-CN"/>
        </w:rPr>
        <w:t xml:space="preserve"> </w:t>
      </w:r>
      <w:r>
        <w:rPr>
          <w:rFonts w:hint="eastAsia" w:ascii="宋体" w:hAnsi="宋体"/>
          <w:sz w:val="24"/>
        </w:rPr>
        <w:t>作为违约金，且甲方有权解除合同。</w:t>
      </w:r>
    </w:p>
    <w:p>
      <w:pPr>
        <w:spacing w:line="480" w:lineRule="exact"/>
        <w:ind w:left="-105" w:leftChars="-50" w:firstLine="480" w:firstLineChars="200"/>
        <w:rPr>
          <w:rFonts w:hint="eastAsia" w:ascii="宋体" w:hAnsi="宋体"/>
          <w:sz w:val="24"/>
          <w:lang w:val="en-US" w:eastAsia="zh-CN"/>
        </w:rPr>
      </w:pPr>
      <w:r>
        <w:rPr>
          <w:rFonts w:hint="eastAsia" w:ascii="宋体" w:hAnsi="宋体"/>
          <w:sz w:val="24"/>
          <w:lang w:val="en-US" w:eastAsia="zh-CN"/>
        </w:rPr>
        <w:t>4、如发生乙方</w:t>
      </w:r>
      <w:r>
        <w:rPr>
          <w:rFonts w:hint="eastAsia" w:ascii="宋体" w:hAnsi="宋体"/>
          <w:sz w:val="24"/>
          <w:lang w:val="en-US" w:eastAsia="zh-Hans"/>
        </w:rPr>
        <w:t>逾期处理</w:t>
      </w:r>
      <w:r>
        <w:rPr>
          <w:rFonts w:hint="eastAsia" w:ascii="宋体" w:hAnsi="宋体"/>
          <w:sz w:val="24"/>
          <w:lang w:val="en-US" w:eastAsia="zh-CN"/>
        </w:rPr>
        <w:t>或</w:t>
      </w:r>
      <w:r>
        <w:rPr>
          <w:rFonts w:hint="eastAsia" w:ascii="宋体" w:hAnsi="宋体"/>
          <w:sz w:val="24"/>
          <w:lang w:val="en-US" w:eastAsia="zh-Hans"/>
        </w:rPr>
        <w:t>乙方未妥善处理</w:t>
      </w:r>
      <w:r>
        <w:rPr>
          <w:rFonts w:hint="eastAsia" w:ascii="宋体" w:hAnsi="宋体"/>
          <w:sz w:val="24"/>
          <w:lang w:val="en-US" w:eastAsia="zh-CN"/>
        </w:rPr>
        <w:t>等情况，甲方有权终止合同并主张合同价款10%的违约金，如造成甲方其他损失的，由乙方承担。</w:t>
      </w:r>
    </w:p>
    <w:p>
      <w:pPr>
        <w:spacing w:line="480" w:lineRule="exact"/>
        <w:ind w:left="-105" w:leftChars="-50" w:firstLine="480" w:firstLineChars="200"/>
        <w:rPr>
          <w:rFonts w:ascii="宋体" w:hAnsi="宋体"/>
          <w:sz w:val="24"/>
        </w:rPr>
      </w:pPr>
      <w:r>
        <w:rPr>
          <w:rFonts w:hint="eastAsia" w:ascii="宋体" w:hAnsi="宋体"/>
          <w:sz w:val="24"/>
          <w:lang w:eastAsia="zh-CN"/>
        </w:rPr>
        <w:t>六</w:t>
      </w:r>
      <w:r>
        <w:rPr>
          <w:rFonts w:hint="eastAsia" w:ascii="宋体" w:hAnsi="宋体"/>
          <w:sz w:val="24"/>
        </w:rPr>
        <w:t>、合同解除</w:t>
      </w:r>
    </w:p>
    <w:p>
      <w:pPr>
        <w:spacing w:line="480" w:lineRule="exact"/>
        <w:ind w:left="-105" w:leftChars="-50" w:firstLine="480" w:firstLineChars="200"/>
        <w:rPr>
          <w:rFonts w:ascii="宋体" w:hAnsi="宋体"/>
          <w:sz w:val="24"/>
        </w:rPr>
      </w:pPr>
      <w:r>
        <w:rPr>
          <w:rFonts w:hint="eastAsia" w:ascii="宋体" w:hAnsi="宋体"/>
          <w:sz w:val="24"/>
        </w:rPr>
        <w:t>当出现以下情况时，乙方可以解除合同、拒绝接受危险废物，并无需承担违约责任。</w:t>
      </w:r>
    </w:p>
    <w:p>
      <w:pPr>
        <w:spacing w:line="480" w:lineRule="exact"/>
        <w:ind w:left="-105" w:leftChars="-50" w:firstLine="480" w:firstLineChars="200"/>
        <w:rPr>
          <w:rFonts w:ascii="宋体" w:hAnsi="宋体"/>
          <w:sz w:val="24"/>
        </w:rPr>
      </w:pPr>
      <w:r>
        <w:rPr>
          <w:rFonts w:hint="eastAsia" w:ascii="宋体" w:hAnsi="宋体"/>
          <w:sz w:val="24"/>
        </w:rPr>
        <w:t>1）甲方延迟付款五个月以上的；</w:t>
      </w:r>
    </w:p>
    <w:p>
      <w:pPr>
        <w:spacing w:line="480" w:lineRule="exact"/>
        <w:ind w:left="-105" w:leftChars="-50" w:firstLine="480" w:firstLineChars="200"/>
        <w:rPr>
          <w:rFonts w:ascii="宋体" w:hAnsi="宋体"/>
          <w:sz w:val="24"/>
        </w:rPr>
      </w:pPr>
      <w:r>
        <w:rPr>
          <w:rFonts w:hint="eastAsia" w:ascii="宋体" w:hAnsi="宋体" w:cs="宋体"/>
          <w:sz w:val="24"/>
        </w:rPr>
        <w:t>2）甲方要求处置的危险废物范围超出本合同约定；</w:t>
      </w:r>
    </w:p>
    <w:p>
      <w:pPr>
        <w:spacing w:line="480" w:lineRule="exact"/>
        <w:ind w:left="-105" w:leftChars="-50" w:firstLine="480" w:firstLineChars="200"/>
        <w:rPr>
          <w:rFonts w:ascii="宋体" w:hAnsi="宋体"/>
          <w:sz w:val="24"/>
        </w:rPr>
      </w:pPr>
      <w:r>
        <w:rPr>
          <w:rFonts w:hint="eastAsia" w:ascii="宋体" w:hAnsi="宋体"/>
          <w:sz w:val="24"/>
        </w:rPr>
        <w:t>3）其它违反合同约定的事项；</w:t>
      </w:r>
    </w:p>
    <w:p>
      <w:pPr>
        <w:spacing w:line="480" w:lineRule="exact"/>
        <w:ind w:left="-105" w:leftChars="-50" w:firstLine="480" w:firstLineChars="200"/>
        <w:rPr>
          <w:rFonts w:ascii="宋体" w:hAnsi="宋体"/>
          <w:sz w:val="24"/>
        </w:rPr>
      </w:pPr>
      <w:r>
        <w:rPr>
          <w:rFonts w:hint="eastAsia" w:ascii="宋体" w:hAnsi="宋体"/>
          <w:sz w:val="24"/>
        </w:rPr>
        <w:t>4）因发生不可抗力事件导致本合同不能履行时，受到不可抗力影响的一方应在不可抗力的事件发生之后，向对方通知不能履行或者需要延期履行、部分履行的理由。</w:t>
      </w:r>
    </w:p>
    <w:p>
      <w:pPr>
        <w:spacing w:line="480" w:lineRule="exact"/>
        <w:ind w:left="-105" w:leftChars="-50" w:firstLine="480" w:firstLineChars="200"/>
        <w:rPr>
          <w:rFonts w:ascii="宋体" w:hAnsi="宋体"/>
          <w:sz w:val="24"/>
        </w:rPr>
      </w:pPr>
      <w:r>
        <w:rPr>
          <w:rFonts w:hint="eastAsia" w:ascii="宋体" w:hAnsi="宋体"/>
          <w:sz w:val="24"/>
          <w:lang w:eastAsia="zh-CN"/>
        </w:rPr>
        <w:t>七</w:t>
      </w:r>
      <w:r>
        <w:rPr>
          <w:rFonts w:hint="eastAsia" w:ascii="宋体" w:hAnsi="宋体"/>
          <w:sz w:val="24"/>
        </w:rPr>
        <w:t>、本合同未尽事宜，双方友好协商解决。协商无果的，由市环保局或相关单位调解处理，调解不成的，依法通过</w:t>
      </w:r>
      <w:r>
        <w:rPr>
          <w:rFonts w:hint="eastAsia" w:ascii="宋体" w:hAnsi="宋体"/>
          <w:sz w:val="24"/>
          <w:lang w:eastAsia="zh-CN"/>
        </w:rPr>
        <w:t>甲</w:t>
      </w:r>
      <w:r>
        <w:rPr>
          <w:rFonts w:hint="eastAsia" w:ascii="宋体" w:hAnsi="宋体"/>
          <w:sz w:val="24"/>
        </w:rPr>
        <w:t>方住所地人民法院诉讼解决。</w:t>
      </w:r>
    </w:p>
    <w:p>
      <w:pPr>
        <w:spacing w:line="480" w:lineRule="exact"/>
        <w:ind w:left="-105" w:leftChars="-50" w:firstLine="480" w:firstLineChars="200"/>
        <w:rPr>
          <w:rFonts w:ascii="宋体" w:hAnsi="宋体"/>
          <w:sz w:val="24"/>
        </w:rPr>
      </w:pPr>
      <w:r>
        <w:rPr>
          <w:rFonts w:hint="eastAsia" w:ascii="宋体" w:hAnsi="宋体"/>
          <w:sz w:val="24"/>
          <w:lang w:eastAsia="zh-CN"/>
        </w:rPr>
        <w:t>八</w:t>
      </w:r>
      <w:r>
        <w:rPr>
          <w:rFonts w:hint="eastAsia" w:ascii="宋体" w:hAnsi="宋体"/>
          <w:sz w:val="24"/>
        </w:rPr>
        <w:t>、本合同经双方签订盖章后即生效，合同一式伍份，</w:t>
      </w:r>
      <w:r>
        <w:rPr>
          <w:rFonts w:hint="eastAsia" w:ascii="宋体" w:hAnsi="宋体"/>
          <w:sz w:val="24"/>
          <w:lang w:eastAsia="zh-CN"/>
        </w:rPr>
        <w:t>甲、</w:t>
      </w:r>
      <w:r>
        <w:rPr>
          <w:rFonts w:hint="eastAsia" w:ascii="宋体" w:hAnsi="宋体"/>
          <w:sz w:val="24"/>
        </w:rPr>
        <w:t>乙</w:t>
      </w:r>
      <w:r>
        <w:rPr>
          <w:rFonts w:hint="eastAsia" w:ascii="宋体" w:hAnsi="宋体"/>
          <w:sz w:val="24"/>
          <w:lang w:eastAsia="zh-CN"/>
        </w:rPr>
        <w:t>双</w:t>
      </w:r>
      <w:r>
        <w:rPr>
          <w:rFonts w:hint="eastAsia" w:ascii="宋体" w:hAnsi="宋体"/>
          <w:sz w:val="24"/>
        </w:rPr>
        <w:t>方</w:t>
      </w:r>
      <w:r>
        <w:rPr>
          <w:rFonts w:hint="eastAsia" w:ascii="宋体" w:hAnsi="宋体"/>
          <w:sz w:val="24"/>
          <w:lang w:eastAsia="zh-CN"/>
        </w:rPr>
        <w:t>各</w:t>
      </w:r>
      <w:r>
        <w:rPr>
          <w:rFonts w:hint="eastAsia" w:ascii="宋体" w:hAnsi="宋体"/>
          <w:sz w:val="24"/>
        </w:rPr>
        <w:t>执贰份，采购代理机构执壹份。</w:t>
      </w:r>
    </w:p>
    <w:p>
      <w:pPr>
        <w:spacing w:line="480" w:lineRule="exact"/>
        <w:ind w:left="-105" w:leftChars="-50" w:firstLine="480" w:firstLineChars="200"/>
        <w:rPr>
          <w:rFonts w:ascii="宋体" w:hAnsi="宋体"/>
          <w:sz w:val="24"/>
        </w:rPr>
      </w:pPr>
      <w:r>
        <w:rPr>
          <w:rFonts w:hint="eastAsia" w:ascii="宋体" w:hAnsi="宋体"/>
          <w:sz w:val="24"/>
          <w:lang w:eastAsia="zh-CN"/>
        </w:rPr>
        <w:t>九</w:t>
      </w:r>
      <w:r>
        <w:rPr>
          <w:rFonts w:hint="eastAsia" w:ascii="宋体" w:hAnsi="宋体"/>
          <w:sz w:val="24"/>
        </w:rPr>
        <w:t>、本合同有效期，自</w:t>
      </w:r>
      <w:r>
        <w:rPr>
          <w:rFonts w:hint="eastAsia" w:ascii="宋体" w:hAnsi="宋体"/>
          <w:sz w:val="24"/>
          <w:u w:val="single"/>
        </w:rPr>
        <w:t xml:space="preserve"> </w:t>
      </w:r>
      <w:r>
        <w:rPr>
          <w:rFonts w:hint="eastAsia" w:ascii="宋体" w:hAnsi="宋体"/>
          <w:sz w:val="24"/>
          <w:u w:val="single"/>
          <w:lang w:eastAsia="zh-CN"/>
        </w:rPr>
        <w:t>2024</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lang w:eastAsia="zh-CN"/>
        </w:rPr>
        <w:t>2024</w:t>
      </w:r>
      <w:r>
        <w:rPr>
          <w:rFonts w:hint="eastAsia" w:ascii="宋体" w:hAnsi="宋体"/>
          <w:sz w:val="24"/>
        </w:rPr>
        <w:t>年</w:t>
      </w:r>
      <w:r>
        <w:rPr>
          <w:rFonts w:hint="eastAsia" w:ascii="宋体" w:hAnsi="宋体"/>
          <w:sz w:val="24"/>
          <w:u w:val="single"/>
        </w:rPr>
        <w:t xml:space="preserve">12 </w:t>
      </w:r>
      <w:r>
        <w:rPr>
          <w:rFonts w:hint="eastAsia" w:ascii="宋体" w:hAnsi="宋体"/>
          <w:sz w:val="24"/>
        </w:rPr>
        <w:t>月</w:t>
      </w:r>
      <w:r>
        <w:rPr>
          <w:rFonts w:hint="eastAsia" w:ascii="宋体" w:hAnsi="宋体"/>
          <w:sz w:val="24"/>
          <w:u w:val="single"/>
        </w:rPr>
        <w:t xml:space="preserve"> 31 </w:t>
      </w:r>
      <w:r>
        <w:rPr>
          <w:rFonts w:hint="eastAsia" w:ascii="宋体" w:hAnsi="宋体"/>
          <w:sz w:val="24"/>
        </w:rPr>
        <w:t>日止。</w:t>
      </w:r>
    </w:p>
    <w:p>
      <w:pPr>
        <w:spacing w:line="360" w:lineRule="auto"/>
        <w:rPr>
          <w:rFonts w:ascii="宋体" w:hAnsi="宋体"/>
          <w:sz w:val="24"/>
        </w:rPr>
      </w:pPr>
    </w:p>
    <w:p>
      <w:pPr>
        <w:spacing w:line="360" w:lineRule="auto"/>
        <w:rPr>
          <w:rFonts w:ascii="宋体" w:hAnsi="宋体" w:cs="宋体"/>
          <w:sz w:val="24"/>
        </w:rPr>
      </w:pPr>
      <w:r>
        <w:rPr>
          <w:rFonts w:hint="eastAsia" w:ascii="宋体" w:hAnsi="宋体" w:cs="宋体"/>
          <w:sz w:val="24"/>
          <w:lang w:bidi="ar"/>
        </w:rPr>
        <w:t>甲方（公章）                                     乙方（公章）</w:t>
      </w:r>
    </w:p>
    <w:p>
      <w:pPr>
        <w:spacing w:line="360" w:lineRule="auto"/>
        <w:rPr>
          <w:rFonts w:ascii="宋体" w:hAnsi="宋体" w:cs="宋体"/>
          <w:sz w:val="24"/>
        </w:rPr>
      </w:pPr>
      <w:r>
        <w:rPr>
          <w:rFonts w:hint="eastAsia" w:ascii="宋体" w:hAnsi="宋体" w:cs="宋体"/>
          <w:sz w:val="24"/>
          <w:lang w:bidi="ar"/>
        </w:rPr>
        <w:t>联系电话：                                       联系电话：</w:t>
      </w:r>
    </w:p>
    <w:p>
      <w:pPr>
        <w:spacing w:line="360" w:lineRule="auto"/>
        <w:rPr>
          <w:rFonts w:ascii="宋体" w:hAnsi="宋体" w:cs="宋体"/>
          <w:sz w:val="24"/>
          <w:lang w:bidi="ar"/>
        </w:rPr>
      </w:pPr>
      <w:r>
        <w:rPr>
          <w:rFonts w:hint="eastAsia" w:ascii="宋体" w:hAnsi="宋体" w:cs="宋体"/>
          <w:sz w:val="24"/>
          <w:lang w:bidi="ar"/>
        </w:rPr>
        <w:t>开户银行：                                       开户银行：</w:t>
      </w:r>
    </w:p>
    <w:p>
      <w:pPr>
        <w:spacing w:line="360" w:lineRule="auto"/>
        <w:rPr>
          <w:rFonts w:ascii="宋体" w:hAnsi="宋体" w:cs="宋体"/>
          <w:sz w:val="24"/>
          <w:lang w:bidi="ar"/>
        </w:rPr>
      </w:pPr>
      <w:r>
        <w:rPr>
          <w:rFonts w:hint="eastAsia" w:ascii="宋体" w:hAnsi="宋体" w:cs="宋体"/>
          <w:sz w:val="24"/>
          <w:lang w:bidi="ar"/>
        </w:rPr>
        <w:t>帐号：                                           帐号：</w:t>
      </w:r>
    </w:p>
    <w:p>
      <w:pPr>
        <w:spacing w:line="360" w:lineRule="auto"/>
        <w:rPr>
          <w:rFonts w:ascii="宋体" w:hAnsi="宋体" w:cs="宋体"/>
          <w:sz w:val="24"/>
          <w:lang w:bidi="ar"/>
        </w:rPr>
      </w:pPr>
      <w:r>
        <w:rPr>
          <w:rFonts w:hint="eastAsia" w:ascii="宋体" w:hAnsi="宋体" w:cs="宋体"/>
          <w:sz w:val="24"/>
          <w:lang w:bidi="ar"/>
        </w:rPr>
        <w:t>地址：                                           地址：</w:t>
      </w:r>
    </w:p>
    <w:p>
      <w:pPr>
        <w:spacing w:line="360" w:lineRule="auto"/>
        <w:ind w:firstLine="4920" w:firstLineChars="2050"/>
        <w:rPr>
          <w:rFonts w:ascii="宋体" w:hAnsi="宋体" w:cs="宋体"/>
          <w:sz w:val="24"/>
          <w:lang w:bidi="ar"/>
        </w:rPr>
      </w:pPr>
    </w:p>
    <w:p>
      <w:pPr>
        <w:spacing w:line="360" w:lineRule="auto"/>
        <w:jc w:val="center"/>
        <w:rPr>
          <w:rFonts w:ascii="宋体" w:hAnsi="宋体"/>
          <w:sz w:val="28"/>
          <w:szCs w:val="28"/>
        </w:rPr>
      </w:pPr>
      <w:r>
        <w:rPr>
          <w:rFonts w:hint="eastAsia" w:ascii="宋体" w:hAnsi="宋体" w:cs="宋体"/>
          <w:sz w:val="24"/>
          <w:lang w:bidi="ar"/>
        </w:rPr>
        <w:t>签订时间：    年   月    日</w:t>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bookmarkStart w:id="38" w:name="_Toc5481_WPSOffice_Level1"/>
      <w:r>
        <w:rPr>
          <w:rFonts w:hint="eastAsia" w:asciiTheme="minorEastAsia" w:hAnsiTheme="minorEastAsia" w:eastAsiaTheme="minorEastAsia"/>
          <w:b/>
          <w:sz w:val="36"/>
          <w:szCs w:val="36"/>
        </w:rPr>
        <w:t>第六章  磋商响应文件格式</w:t>
      </w:r>
      <w:bookmarkEnd w:id="38"/>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jc w:val="center"/>
        <w:rPr>
          <w:sz w:val="52"/>
          <w:szCs w:val="52"/>
        </w:rPr>
      </w:pPr>
      <w:r>
        <w:rPr>
          <w:rFonts w:hint="eastAsia"/>
          <w:sz w:val="52"/>
          <w:szCs w:val="52"/>
        </w:rPr>
        <w:t>台州市椒江区农业农村和水利局农药包装废弃物集中处置项目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lang w:eastAsia="zh-CN"/>
        </w:rPr>
        <w:t>TZTX-2024-CS024</w:t>
      </w:r>
      <w:r>
        <w:rPr>
          <w:rFonts w:hint="eastAsia" w:ascii="宋体" w:hAnsi="宋体"/>
          <w:sz w:val="36"/>
          <w:szCs w:val="36"/>
        </w:rPr>
        <w:t>（标项一）</w:t>
      </w:r>
    </w:p>
    <w:p>
      <w:pPr>
        <w:pStyle w:val="9"/>
      </w:pPr>
    </w:p>
    <w:p>
      <w:pPr>
        <w:jc w:val="center"/>
        <w:rPr>
          <w:sz w:val="84"/>
          <w:szCs w:val="84"/>
          <w:lang w:val="zh-CN"/>
        </w:rPr>
      </w:pPr>
      <w:r>
        <w:rPr>
          <w:rFonts w:hint="eastAsia"/>
          <w:sz w:val="84"/>
          <w:szCs w:val="84"/>
          <w:lang w:val="zh-CN"/>
        </w:rPr>
        <w:t>磋</w:t>
      </w:r>
    </w:p>
    <w:p>
      <w:pPr>
        <w:jc w:val="center"/>
        <w:rPr>
          <w:sz w:val="84"/>
          <w:szCs w:val="84"/>
          <w:lang w:val="zh-CN"/>
        </w:rPr>
      </w:pPr>
      <w:r>
        <w:rPr>
          <w:rFonts w:hint="eastAsia"/>
          <w:sz w:val="84"/>
          <w:szCs w:val="84"/>
          <w:lang w:val="zh-CN"/>
        </w:rPr>
        <w:t>商</w:t>
      </w:r>
    </w:p>
    <w:p>
      <w:pPr>
        <w:jc w:val="center"/>
        <w:rPr>
          <w:sz w:val="84"/>
          <w:szCs w:val="84"/>
          <w:lang w:val="zh-CN"/>
        </w:rPr>
      </w:pPr>
      <w:r>
        <w:rPr>
          <w:rFonts w:hint="eastAsia"/>
          <w:sz w:val="84"/>
          <w:szCs w:val="84"/>
          <w:lang w:val="zh-CN"/>
        </w:rPr>
        <w:t>响</w:t>
      </w:r>
    </w:p>
    <w:p>
      <w:pPr>
        <w:jc w:val="center"/>
        <w:rPr>
          <w:sz w:val="84"/>
          <w:szCs w:val="84"/>
          <w:lang w:val="zh-CN"/>
        </w:rPr>
      </w:pPr>
      <w:r>
        <w:rPr>
          <w:rFonts w:hint="eastAsia"/>
          <w:sz w:val="84"/>
          <w:szCs w:val="84"/>
          <w:lang w:val="zh-CN"/>
        </w:rPr>
        <w:t>应</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pStyle w:val="9"/>
        <w:rPr>
          <w:rFonts w:ascii="宋体" w:hAnsi="宋体"/>
          <w:sz w:val="32"/>
          <w:szCs w:val="32"/>
        </w:rPr>
      </w:pPr>
      <w:r>
        <w:rPr>
          <w:rFonts w:hint="eastAsia" w:ascii="宋体" w:hAnsi="宋体" w:cs="宋体"/>
          <w:sz w:val="28"/>
          <w:szCs w:val="28"/>
        </w:rPr>
        <w:t xml:space="preserve"> </w:t>
      </w:r>
      <w:r>
        <w:rPr>
          <w:rFonts w:hint="eastAsia" w:ascii="宋体" w:hAnsi="宋体"/>
          <w:sz w:val="32"/>
          <w:szCs w:val="32"/>
        </w:rPr>
        <w:t>供应商全称（电子印章）：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pacing w:line="360" w:lineRule="auto"/>
        <w:jc w:val="center"/>
        <w:rPr>
          <w:b/>
          <w:bCs/>
          <w:sz w:val="32"/>
          <w:szCs w:val="40"/>
        </w:rPr>
      </w:pPr>
    </w:p>
    <w:p>
      <w:pPr>
        <w:spacing w:line="360" w:lineRule="auto"/>
        <w:jc w:val="center"/>
        <w:rPr>
          <w:b/>
          <w:bCs/>
          <w:sz w:val="32"/>
          <w:szCs w:val="40"/>
        </w:rPr>
      </w:pPr>
      <w:r>
        <w:rPr>
          <w:rFonts w:hint="eastAsia"/>
          <w:b/>
          <w:bCs/>
          <w:sz w:val="32"/>
          <w:szCs w:val="40"/>
        </w:rPr>
        <w:t>资格证明内容目录</w:t>
      </w:r>
    </w:p>
    <w:p>
      <w:pPr>
        <w:spacing w:line="360" w:lineRule="auto"/>
      </w:pPr>
    </w:p>
    <w:p>
      <w:pPr>
        <w:spacing w:line="360" w:lineRule="auto"/>
        <w:rPr>
          <w:sz w:val="24"/>
        </w:rPr>
      </w:pPr>
      <w:bookmarkStart w:id="39" w:name="_Toc27049_WPSOffice_Level1"/>
      <w:bookmarkStart w:id="40" w:name="_Toc12587_WPSOffice_Level1"/>
      <w:r>
        <w:rPr>
          <w:rFonts w:hint="eastAsia"/>
          <w:sz w:val="24"/>
        </w:rPr>
        <w:t>1、磋商声明书（附件2）</w:t>
      </w:r>
      <w:bookmarkEnd w:id="39"/>
      <w:bookmarkEnd w:id="40"/>
    </w:p>
    <w:p>
      <w:pPr>
        <w:spacing w:line="360" w:lineRule="auto"/>
        <w:rPr>
          <w:sz w:val="24"/>
        </w:rPr>
      </w:pPr>
      <w:bookmarkStart w:id="41" w:name="_Toc28306_WPSOffice_Level1"/>
      <w:bookmarkStart w:id="42" w:name="_Toc25574_WPSOffice_Level1"/>
      <w:r>
        <w:rPr>
          <w:rFonts w:hint="eastAsia"/>
          <w:sz w:val="24"/>
        </w:rPr>
        <w:t>2、</w:t>
      </w:r>
      <w:r>
        <w:rPr>
          <w:sz w:val="24"/>
        </w:rPr>
        <w:t>授权</w:t>
      </w:r>
      <w:r>
        <w:rPr>
          <w:rFonts w:hint="eastAsia"/>
          <w:sz w:val="24"/>
        </w:rPr>
        <w:t>委托</w:t>
      </w:r>
      <w:r>
        <w:rPr>
          <w:sz w:val="24"/>
        </w:rPr>
        <w:t>书</w:t>
      </w:r>
      <w:r>
        <w:rPr>
          <w:rFonts w:hint="eastAsia"/>
          <w:sz w:val="24"/>
        </w:rPr>
        <w:t>（法定代表人办理磋商响应事宜的，则无需提交)（附件3）</w:t>
      </w:r>
      <w:bookmarkEnd w:id="41"/>
      <w:bookmarkEnd w:id="42"/>
    </w:p>
    <w:p>
      <w:pPr>
        <w:spacing w:line="360" w:lineRule="auto"/>
        <w:rPr>
          <w:sz w:val="24"/>
        </w:rPr>
      </w:pPr>
      <w:bookmarkStart w:id="43" w:name="_Toc29616_WPSOffice_Level1"/>
      <w:bookmarkStart w:id="44" w:name="_Toc32100_WPSOffice_Level1"/>
      <w:r>
        <w:rPr>
          <w:rFonts w:hint="eastAsia"/>
          <w:sz w:val="24"/>
        </w:rPr>
        <w:t>3、</w:t>
      </w:r>
      <w:r>
        <w:rPr>
          <w:sz w:val="24"/>
        </w:rPr>
        <w:t>法人或者其他组织的营业执照等证明文件，自然人的身份证明</w:t>
      </w:r>
      <w:bookmarkEnd w:id="43"/>
      <w:bookmarkEnd w:id="44"/>
    </w:p>
    <w:p>
      <w:pPr>
        <w:spacing w:line="360" w:lineRule="auto"/>
        <w:rPr>
          <w:rFonts w:hint="eastAsia" w:eastAsia="宋体"/>
          <w:sz w:val="24"/>
          <w:lang w:eastAsia="zh-CN"/>
        </w:rPr>
      </w:pPr>
      <w:bookmarkStart w:id="45" w:name="_Toc25807_WPSOffice_Level1"/>
      <w:bookmarkStart w:id="46" w:name="_Toc9981_WPSOffice_Level1"/>
      <w:r>
        <w:rPr>
          <w:rFonts w:hint="eastAsia"/>
          <w:sz w:val="24"/>
        </w:rPr>
        <w:t>4、</w:t>
      </w:r>
      <w:bookmarkEnd w:id="45"/>
      <w:bookmarkEnd w:id="46"/>
      <w:r>
        <w:rPr>
          <w:rFonts w:hint="eastAsia" w:ascii="宋体" w:hAnsi="宋体" w:cs="宋体"/>
          <w:sz w:val="24"/>
        </w:rPr>
        <w:t>具备良好的商业信誉和健全的财务会计制度并且没有税收缴纳、社会保障等方面的失信记录的承诺函。</w:t>
      </w:r>
    </w:p>
    <w:p>
      <w:pPr>
        <w:spacing w:line="360" w:lineRule="auto"/>
        <w:rPr>
          <w:sz w:val="24"/>
        </w:rPr>
      </w:pPr>
      <w:bookmarkStart w:id="47" w:name="_Toc30751_WPSOffice_Level1"/>
      <w:bookmarkStart w:id="48" w:name="_Toc2696_WPSOffice_Level1"/>
      <w:r>
        <w:rPr>
          <w:rFonts w:hint="eastAsia"/>
          <w:sz w:val="24"/>
        </w:rPr>
        <w:t>5、</w:t>
      </w:r>
      <w:r>
        <w:rPr>
          <w:sz w:val="24"/>
        </w:rPr>
        <w:t>具备履行合同所必需的设备和专业技术能力的</w:t>
      </w:r>
      <w:bookmarkEnd w:id="47"/>
      <w:bookmarkEnd w:id="48"/>
      <w:r>
        <w:rPr>
          <w:rFonts w:hint="eastAsia"/>
          <w:sz w:val="24"/>
        </w:rPr>
        <w:t>承诺函</w:t>
      </w:r>
    </w:p>
    <w:p>
      <w:pPr>
        <w:spacing w:line="360" w:lineRule="auto"/>
        <w:rPr>
          <w:rFonts w:hint="eastAsia" w:eastAsia="宋体"/>
          <w:sz w:val="24"/>
          <w:lang w:eastAsia="zh-CN"/>
        </w:rPr>
      </w:pPr>
      <w:bookmarkStart w:id="49" w:name="_Toc14150_WPSOffice_Level1"/>
      <w:bookmarkStart w:id="50" w:name="_Toc4587_WPSOffice_Level1"/>
      <w:r>
        <w:rPr>
          <w:rFonts w:hint="eastAsia"/>
          <w:sz w:val="24"/>
        </w:rPr>
        <w:t>6、</w:t>
      </w:r>
      <w:bookmarkEnd w:id="49"/>
      <w:bookmarkEnd w:id="50"/>
      <w:r>
        <w:rPr>
          <w:rFonts w:hint="eastAsia" w:ascii="宋体" w:hAnsi="宋体" w:cs="宋体"/>
          <w:color w:val="auto"/>
          <w:sz w:val="24"/>
          <w:lang w:eastAsia="zh-CN"/>
        </w:rPr>
        <w:t>《中小企业声明函》</w:t>
      </w:r>
      <w:r>
        <w:rPr>
          <w:rFonts w:hint="eastAsia"/>
          <w:sz w:val="24"/>
          <w:lang w:eastAsia="zh-CN"/>
        </w:rPr>
        <w:t>（附件</w:t>
      </w:r>
      <w:r>
        <w:rPr>
          <w:rFonts w:hint="eastAsia"/>
          <w:sz w:val="24"/>
          <w:lang w:val="en-US" w:eastAsia="zh-CN"/>
        </w:rPr>
        <w:t>4</w:t>
      </w:r>
      <w:r>
        <w:rPr>
          <w:rFonts w:hint="eastAsia"/>
          <w:sz w:val="24"/>
          <w:lang w:eastAsia="zh-CN"/>
        </w:rPr>
        <w:t>）</w:t>
      </w:r>
    </w:p>
    <w:p>
      <w:pPr>
        <w:spacing w:line="360" w:lineRule="auto"/>
        <w:rPr>
          <w:rFonts w:ascii="宋体" w:hAnsi="宋体"/>
          <w:b/>
          <w:sz w:val="28"/>
        </w:rPr>
      </w:pPr>
    </w:p>
    <w:p>
      <w:pPr>
        <w:pStyle w:val="10"/>
        <w:rPr>
          <w:rFonts w:ascii="宋体" w:hAnsi="宋体"/>
          <w:b/>
          <w:sz w:val="28"/>
        </w:rPr>
      </w:pPr>
    </w:p>
    <w:p>
      <w:pPr>
        <w:pStyle w:val="10"/>
        <w:rPr>
          <w:rFonts w:ascii="宋体" w:hAnsi="宋体"/>
          <w:b/>
          <w:sz w:val="28"/>
        </w:rPr>
      </w:pPr>
    </w:p>
    <w:p>
      <w:pPr>
        <w:spacing w:line="360" w:lineRule="auto"/>
        <w:ind w:left="420"/>
        <w:rPr>
          <w:rFonts w:ascii="宋体" w:hAnsi="宋体"/>
          <w:b/>
          <w:sz w:val="28"/>
        </w:rPr>
      </w:pPr>
    </w:p>
    <w:p>
      <w:pPr>
        <w:pStyle w:val="26"/>
        <w:rPr>
          <w:rFonts w:ascii="宋体" w:hAnsi="宋体"/>
          <w:b/>
          <w:sz w:val="28"/>
        </w:rPr>
      </w:pPr>
    </w:p>
    <w:p>
      <w:pPr>
        <w:pStyle w:val="2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9"/>
      </w:pPr>
    </w:p>
    <w:p>
      <w:pPr>
        <w:pStyle w:val="9"/>
      </w:pPr>
    </w:p>
    <w:p>
      <w:pPr>
        <w:pStyle w:val="9"/>
      </w:pPr>
    </w:p>
    <w:p>
      <w:pPr>
        <w:pStyle w:val="9"/>
      </w:pPr>
    </w:p>
    <w:p>
      <w:pPr>
        <w:pStyle w:val="9"/>
      </w:pPr>
    </w:p>
    <w:p>
      <w:pPr>
        <w:spacing w:line="360" w:lineRule="auto"/>
        <w:ind w:left="420"/>
        <w:rPr>
          <w:rFonts w:ascii="宋体" w:hAnsi="宋体"/>
          <w:b/>
          <w:sz w:val="28"/>
        </w:rPr>
      </w:pPr>
    </w:p>
    <w:p>
      <w:pPr>
        <w:pStyle w:val="9"/>
        <w:ind w:left="0" w:leftChars="0" w:firstLine="0" w:firstLineChars="0"/>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51" w:name="_Toc30723_WPSOffice_Level1"/>
      <w:bookmarkStart w:id="52" w:name="_Toc31708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51"/>
      <w:bookmarkEnd w:id="52"/>
    </w:p>
    <w:p>
      <w:pPr>
        <w:snapToGrid w:val="0"/>
        <w:spacing w:line="300" w:lineRule="auto"/>
        <w:rPr>
          <w:rFonts w:ascii="Arial" w:hAnsi="Arial" w:cs="Arial"/>
          <w:color w:val="000000"/>
          <w:sz w:val="24"/>
        </w:rPr>
      </w:pPr>
      <w:r>
        <w:rPr>
          <w:rFonts w:hint="eastAsia" w:ascii="Arial" w:hAnsi="Arial" w:cs="Arial"/>
          <w:color w:val="000000"/>
          <w:sz w:val="24"/>
        </w:rPr>
        <w:t>台州天兴工程管理咨询有限公司：</w:t>
      </w:r>
    </w:p>
    <w:p>
      <w:pPr>
        <w:snapToGrid w:val="0"/>
        <w:spacing w:line="300"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line="30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）的法定代表人，我公司自愿参加贵方组织的××（磋商</w:t>
      </w:r>
      <w:r>
        <w:rPr>
          <w:rFonts w:hint="eastAsia" w:ascii="宋体" w:hAnsi="宋体" w:cs="宋体"/>
          <w:kern w:val="0"/>
          <w:sz w:val="24"/>
          <w:u w:val="single"/>
        </w:rPr>
        <w:t>项目名称</w:t>
      </w:r>
      <w:r>
        <w:rPr>
          <w:rFonts w:hint="eastAsia" w:ascii="宋体" w:hAnsi="宋体" w:cs="宋体"/>
          <w:kern w:val="0"/>
          <w:sz w:val="24"/>
        </w:rPr>
        <w:t>）（编号为××）的磋商，为此，我公司就本次磋商有关事项郑重声明如下：</w:t>
      </w:r>
    </w:p>
    <w:p>
      <w:pPr>
        <w:snapToGrid w:val="0"/>
        <w:spacing w:line="300" w:lineRule="auto"/>
        <w:ind w:firstLine="480" w:firstLineChars="200"/>
        <w:rPr>
          <w:rFonts w:ascii="宋体" w:hAnsi="宋体" w:cs="宋体"/>
          <w:b/>
          <w:kern w:val="0"/>
          <w:sz w:val="24"/>
        </w:rPr>
      </w:pPr>
      <w:r>
        <w:rPr>
          <w:rFonts w:hint="eastAsia" w:ascii="宋体" w:hAnsi="宋体" w:cs="宋体"/>
          <w:kern w:val="0"/>
          <w:sz w:val="24"/>
        </w:rPr>
        <w:t>1、我</w:t>
      </w:r>
      <w:r>
        <w:rPr>
          <w:rFonts w:hint="eastAsia" w:ascii="Arial" w:hAnsi="Arial" w:cs="Arial"/>
          <w:sz w:val="24"/>
        </w:rPr>
        <w:t>公司声明截止磋商时间近三年以来：在参加本次采购活动前无重大违法记录（重大违法记录是指供应商因违法经营受到刑事处罚或者责令停产停业、吊销许可证或者执照、较大数额罚款等行政处罚）。</w:t>
      </w:r>
    </w:p>
    <w:p>
      <w:pPr>
        <w:snapToGrid w:val="0"/>
        <w:spacing w:line="30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line="30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line="300" w:lineRule="auto"/>
        <w:ind w:firstLine="480" w:firstLineChars="200"/>
        <w:rPr>
          <w:rFonts w:hint="eastAsia" w:ascii="宋体" w:hAnsi="宋体" w:eastAsia="宋体" w:cs="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w:t>
      </w:r>
      <w:r>
        <w:rPr>
          <w:rFonts w:hint="eastAsia" w:ascii="宋体" w:hAnsi="宋体" w:eastAsia="宋体" w:cs="宋体"/>
          <w:kern w:val="0"/>
          <w:sz w:val="24"/>
          <w:lang w:val="af-ZA"/>
        </w:rPr>
        <w:t>一切相关费用。</w:t>
      </w:r>
    </w:p>
    <w:p>
      <w:pPr>
        <w:snapToGrid w:val="0"/>
        <w:spacing w:line="300" w:lineRule="auto"/>
        <w:ind w:firstLine="480" w:firstLineChars="200"/>
        <w:rPr>
          <w:rFonts w:hint="eastAsia" w:ascii="宋体" w:hAnsi="宋体" w:eastAsia="宋体" w:cs="宋体"/>
          <w:kern w:val="0"/>
          <w:sz w:val="24"/>
          <w:lang w:val="af-ZA"/>
        </w:rPr>
      </w:pPr>
      <w:r>
        <w:rPr>
          <w:rFonts w:hint="eastAsia" w:ascii="宋体" w:hAnsi="宋体" w:eastAsia="宋体" w:cs="宋体"/>
          <w:kern w:val="0"/>
          <w:sz w:val="24"/>
          <w:lang w:val="af-ZA"/>
        </w:rPr>
        <w:t>5、我</w:t>
      </w:r>
      <w:r>
        <w:rPr>
          <w:rFonts w:hint="eastAsia" w:ascii="宋体" w:hAnsi="宋体" w:eastAsia="宋体" w:cs="宋体"/>
          <w:kern w:val="0"/>
          <w:sz w:val="24"/>
          <w:lang w:val="zh-CN"/>
        </w:rPr>
        <w:t>公司</w:t>
      </w:r>
      <w:r>
        <w:rPr>
          <w:rFonts w:hint="eastAsia" w:ascii="宋体" w:hAnsi="宋体" w:eastAsia="宋体" w:cs="宋体"/>
          <w:kern w:val="0"/>
          <w:sz w:val="24"/>
          <w:lang w:val="af-ZA"/>
        </w:rPr>
        <w:t>严格履行采购合同，除在响应文件中明确拒绝的之外，均接受磋商文件中的全部条件，不降低合同约定的产品质量和服务，不擅自变更、中止、终止合同，或拒绝履行合同义务；</w:t>
      </w:r>
    </w:p>
    <w:p>
      <w:pPr>
        <w:snapToGrid w:val="0"/>
        <w:spacing w:line="300" w:lineRule="auto"/>
        <w:ind w:firstLine="480" w:firstLineChars="200"/>
        <w:rPr>
          <w:rFonts w:hint="eastAsia" w:ascii="宋体" w:hAnsi="宋体" w:eastAsia="宋体" w:cs="宋体"/>
          <w:kern w:val="0"/>
          <w:sz w:val="24"/>
          <w:lang w:val="af-ZA"/>
        </w:rPr>
      </w:pPr>
      <w:r>
        <w:rPr>
          <w:rFonts w:hint="eastAsia" w:ascii="宋体" w:hAnsi="宋体" w:eastAsia="宋体" w:cs="宋体"/>
          <w:kern w:val="0"/>
          <w:sz w:val="24"/>
          <w:lang w:val="af-ZA"/>
        </w:rPr>
        <w:t>6、我公司如被确定为成交供应商，保证在成交结果公示后五个工作日内缴纳</w:t>
      </w:r>
      <w:r>
        <w:rPr>
          <w:rFonts w:hint="eastAsia" w:ascii="宋体" w:hAnsi="宋体" w:eastAsia="宋体" w:cs="宋体"/>
          <w:kern w:val="0"/>
          <w:sz w:val="24"/>
          <w:lang w:val="af-ZA" w:eastAsia="zh-CN"/>
        </w:rPr>
        <w:t>采购</w:t>
      </w:r>
      <w:r>
        <w:rPr>
          <w:rFonts w:hint="eastAsia" w:ascii="宋体" w:hAnsi="宋体" w:eastAsia="宋体" w:cs="宋体"/>
          <w:kern w:val="0"/>
          <w:sz w:val="24"/>
          <w:lang w:val="af-ZA"/>
        </w:rPr>
        <w:t>服务费人民币</w:t>
      </w:r>
      <w:r>
        <w:rPr>
          <w:rFonts w:hint="eastAsia" w:ascii="宋体" w:hAnsi="宋体" w:eastAsia="宋体" w:cs="宋体"/>
          <w:kern w:val="0"/>
          <w:sz w:val="24"/>
          <w:lang w:eastAsia="zh-CN"/>
        </w:rPr>
        <w:t>伍仟元整</w:t>
      </w:r>
      <w:r>
        <w:rPr>
          <w:rFonts w:hint="eastAsia" w:ascii="宋体" w:hAnsi="宋体" w:eastAsia="宋体" w:cs="宋体"/>
          <w:kern w:val="0"/>
          <w:sz w:val="24"/>
          <w:lang w:val="af-ZA"/>
        </w:rPr>
        <w:t>（小写￥</w:t>
      </w:r>
      <w:r>
        <w:rPr>
          <w:rFonts w:hint="eastAsia" w:ascii="宋体" w:hAnsi="宋体" w:eastAsia="宋体" w:cs="宋体"/>
          <w:kern w:val="0"/>
          <w:sz w:val="24"/>
          <w:lang w:val="en-US" w:eastAsia="zh-CN"/>
        </w:rPr>
        <w:t>5000</w:t>
      </w:r>
      <w:r>
        <w:rPr>
          <w:rFonts w:hint="eastAsia" w:ascii="宋体" w:hAnsi="宋体" w:eastAsia="宋体" w:cs="宋体"/>
          <w:kern w:val="0"/>
          <w:sz w:val="24"/>
          <w:lang w:val="af-ZA"/>
        </w:rPr>
        <w:t>.00）。</w:t>
      </w:r>
    </w:p>
    <w:p>
      <w:pPr>
        <w:snapToGrid w:val="0"/>
        <w:spacing w:line="300" w:lineRule="auto"/>
        <w:ind w:firstLine="480" w:firstLineChars="200"/>
        <w:rPr>
          <w:rFonts w:hint="eastAsia" w:ascii="宋体" w:hAnsi="宋体" w:eastAsia="宋体" w:cs="宋体"/>
          <w:kern w:val="0"/>
          <w:sz w:val="24"/>
          <w:lang w:val="af-ZA"/>
        </w:rPr>
      </w:pPr>
      <w:r>
        <w:rPr>
          <w:rFonts w:hint="eastAsia" w:ascii="宋体" w:hAnsi="宋体" w:eastAsia="宋体" w:cs="宋体"/>
          <w:kern w:val="0"/>
          <w:sz w:val="24"/>
          <w:lang w:val="en-US" w:eastAsia="zh-CN"/>
        </w:rPr>
        <w:t>7</w:t>
      </w:r>
      <w:r>
        <w:rPr>
          <w:rFonts w:hint="eastAsia" w:ascii="宋体" w:hAnsi="宋体" w:eastAsia="宋体" w:cs="宋体"/>
          <w:kern w:val="0"/>
          <w:sz w:val="24"/>
        </w:rPr>
        <w:t>、以上事项如有虚假或隐瞒，我</w:t>
      </w:r>
      <w:r>
        <w:rPr>
          <w:rFonts w:hint="eastAsia" w:ascii="宋体" w:hAnsi="宋体" w:eastAsia="宋体" w:cs="宋体"/>
          <w:kern w:val="0"/>
          <w:sz w:val="24"/>
          <w:lang w:val="zh-CN"/>
        </w:rPr>
        <w:t>公司</w:t>
      </w:r>
      <w:r>
        <w:rPr>
          <w:rFonts w:hint="eastAsia" w:ascii="宋体" w:hAnsi="宋体" w:eastAsia="宋体" w:cs="宋体"/>
          <w:kern w:val="0"/>
          <w:sz w:val="24"/>
        </w:rPr>
        <w:t>愿意承担一切后果，并不再寻求任何旨在减轻或免除法律责任的辩解。</w:t>
      </w:r>
    </w:p>
    <w:p>
      <w:pPr>
        <w:snapToGrid w:val="0"/>
        <w:spacing w:line="300" w:lineRule="auto"/>
        <w:ind w:firstLine="480" w:firstLineChars="200"/>
        <w:jc w:val="right"/>
        <w:rPr>
          <w:rFonts w:ascii="宋体" w:hAnsi="宋体" w:cs="宋体"/>
          <w:kern w:val="0"/>
          <w:sz w:val="24"/>
          <w:lang w:val="zh-CN"/>
        </w:rPr>
      </w:pPr>
      <w:r>
        <w:rPr>
          <w:rFonts w:hint="eastAsia" w:ascii="宋体" w:hAnsi="宋体" w:cs="宋体"/>
          <w:kern w:val="0"/>
          <w:sz w:val="24"/>
          <w:lang w:val="zh-CN"/>
        </w:rPr>
        <w:t xml:space="preserve">    供应商名称(公章)：</w:t>
      </w:r>
    </w:p>
    <w:p>
      <w:pPr>
        <w:snapToGrid w:val="0"/>
        <w:spacing w:line="300" w:lineRule="auto"/>
        <w:ind w:firstLine="480" w:firstLineChars="200"/>
        <w:jc w:val="right"/>
        <w:rPr>
          <w:rFonts w:ascii="宋体" w:hAnsi="宋体" w:cs="宋体"/>
          <w:kern w:val="0"/>
          <w:sz w:val="24"/>
          <w:lang w:val="zh-CN"/>
        </w:rPr>
      </w:pPr>
      <w:r>
        <w:rPr>
          <w:rFonts w:hint="eastAsia" w:ascii="宋体" w:hAnsi="宋体" w:cs="宋体"/>
          <w:kern w:val="0"/>
          <w:sz w:val="24"/>
          <w:lang w:val="zh-CN"/>
        </w:rPr>
        <w:t xml:space="preserve">                                   法定代表人或授权委托人(签字)：</w:t>
      </w:r>
    </w:p>
    <w:p>
      <w:pPr>
        <w:snapToGrid w:val="0"/>
        <w:spacing w:line="300" w:lineRule="auto"/>
        <w:ind w:firstLine="480" w:firstLineChars="200"/>
        <w:jc w:val="right"/>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w:t>
      </w:r>
      <w:r>
        <w:rPr>
          <w:rFonts w:hint="eastAsia" w:ascii="宋体" w:hAnsi="宋体" w:cs="宋体"/>
          <w:kern w:val="0"/>
          <w:sz w:val="24"/>
          <w:lang w:val="zh-CN"/>
        </w:rPr>
        <w:t>年  月   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53" w:name="_Toc24373_WPSOffice_Level1"/>
      <w:bookmarkStart w:id="54" w:name="_Toc6870_WPSOffice_Level1"/>
      <w:r>
        <w:rPr>
          <w:b/>
          <w:sz w:val="32"/>
          <w:szCs w:val="32"/>
        </w:rPr>
        <w:t>授权</w:t>
      </w:r>
      <w:r>
        <w:rPr>
          <w:rFonts w:hint="eastAsia"/>
          <w:b/>
          <w:sz w:val="32"/>
          <w:szCs w:val="32"/>
        </w:rPr>
        <w:t>委托</w:t>
      </w:r>
      <w:r>
        <w:rPr>
          <w:b/>
          <w:sz w:val="32"/>
          <w:szCs w:val="32"/>
        </w:rPr>
        <w:t>书</w:t>
      </w:r>
      <w:bookmarkEnd w:id="53"/>
      <w:bookmarkEnd w:id="54"/>
    </w:p>
    <w:p>
      <w:pPr>
        <w:spacing w:line="360" w:lineRule="auto"/>
        <w:rPr>
          <w:rFonts w:hAnsi="宋体"/>
          <w:b/>
          <w:sz w:val="24"/>
        </w:rPr>
      </w:pPr>
      <w:r>
        <w:rPr>
          <w:rFonts w:hint="eastAsia" w:ascii="Arial" w:hAnsi="Arial" w:cs="Arial"/>
          <w:color w:val="000000"/>
          <w:sz w:val="24"/>
        </w:rPr>
        <w:t>台州天兴工程管理咨询有限公司：</w:t>
      </w:r>
    </w:p>
    <w:p>
      <w:pPr>
        <w:pStyle w:val="12"/>
        <w:spacing w:line="500" w:lineRule="exact"/>
        <w:ind w:left="240" w:hanging="240" w:hangingChars="100"/>
        <w:rPr>
          <w:rFonts w:hAnsi="宋体"/>
          <w:sz w:val="24"/>
        </w:rPr>
      </w:pPr>
      <w:r>
        <w:rPr>
          <w:rFonts w:hAnsi="宋体"/>
          <w:sz w:val="24"/>
        </w:rPr>
        <w:t xml:space="preserve">    </w:t>
      </w:r>
      <w:r>
        <w:rPr>
          <w:rFonts w:hAnsi="宋体"/>
          <w:sz w:val="24"/>
          <w:u w:val="single"/>
        </w:rPr>
        <w:t>（</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（授权代表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授权代表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我方对授权代表的签字事项负全部责任。</w:t>
      </w:r>
    </w:p>
    <w:p>
      <w:pPr>
        <w:pStyle w:val="12"/>
        <w:spacing w:line="500" w:lineRule="exact"/>
        <w:ind w:left="139" w:leftChars="66" w:firstLine="480" w:firstLineChars="200"/>
        <w:rPr>
          <w:rFonts w:hAnsi="宋体"/>
          <w:sz w:val="24"/>
        </w:rPr>
      </w:pPr>
      <w:r>
        <w:rPr>
          <w:rFonts w:hint="eastAsia" w:hAnsi="宋体"/>
          <w:sz w:val="24"/>
        </w:rPr>
        <w:t>在撤销授权的书面通知以前，本授权书一直有效。授权代表在授权委托书有效期内签署的所有文件不因授权的撤销而失效。</w:t>
      </w:r>
    </w:p>
    <w:p>
      <w:pPr>
        <w:pStyle w:val="12"/>
        <w:spacing w:line="500" w:lineRule="exact"/>
        <w:ind w:left="139" w:leftChars="66" w:firstLine="480" w:firstLineChars="200"/>
        <w:rPr>
          <w:sz w:val="24"/>
        </w:rPr>
      </w:pPr>
      <w:r>
        <w:rPr>
          <w:rFonts w:hint="eastAsia" w:hAnsi="宋体"/>
          <w:sz w:val="24"/>
        </w:rPr>
        <w:t>授权代表无转委托权，特此委托。</w:t>
      </w: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授权代表身份证复印件粘帖处</w:t>
            </w:r>
          </w:p>
        </w:tc>
      </w:tr>
    </w:tbl>
    <w:p>
      <w:pPr>
        <w:spacing w:line="360" w:lineRule="auto"/>
        <w:rPr>
          <w:rFonts w:ascii="宋体"/>
          <w:sz w:val="24"/>
        </w:rPr>
      </w:pPr>
      <w:r>
        <w:rPr>
          <w:rFonts w:hint="eastAsia" w:ascii="宋体"/>
          <w:sz w:val="24"/>
        </w:rPr>
        <w:t xml:space="preserve">授权代表姓名：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color w:val="000000"/>
          <w:sz w:val="28"/>
        </w:rPr>
      </w:pPr>
      <w:r>
        <w:rPr>
          <w:rFonts w:hint="eastAsia" w:ascii="宋体"/>
          <w:sz w:val="24"/>
        </w:rPr>
        <w:t>邮政编码：</w:t>
      </w:r>
    </w:p>
    <w:p>
      <w:pPr>
        <w:rPr>
          <w:rFonts w:ascii="宋体" w:hAnsi="宋体" w:cs="宋体"/>
          <w:sz w:val="24"/>
        </w:rPr>
      </w:pPr>
      <w:r>
        <w:rPr>
          <w:rFonts w:hint="eastAsia" w:ascii="宋体" w:hAnsi="宋体"/>
          <w:b/>
          <w:sz w:val="28"/>
        </w:rPr>
        <w:br w:type="page"/>
      </w:r>
    </w:p>
    <w:p>
      <w:pPr>
        <w:adjustRightInd w:val="0"/>
        <w:snapToGrid w:val="0"/>
        <w:spacing w:line="360" w:lineRule="auto"/>
        <w:ind w:right="480"/>
        <w:rPr>
          <w:rFonts w:hint="eastAsia" w:ascii="宋体" w:eastAsia="宋体"/>
          <w:b/>
          <w:sz w:val="30"/>
          <w:szCs w:val="30"/>
          <w:lang w:eastAsia="zh-CN"/>
        </w:rPr>
      </w:pPr>
      <w:r>
        <w:rPr>
          <w:rFonts w:hint="eastAsia" w:ascii="宋体" w:hAnsi="宋体"/>
          <w:b/>
          <w:sz w:val="28"/>
        </w:rPr>
        <w:t>附件</w:t>
      </w:r>
      <w:r>
        <w:rPr>
          <w:rFonts w:hint="eastAsia" w:ascii="宋体" w:hAnsi="宋体"/>
          <w:b/>
          <w:sz w:val="28"/>
          <w:lang w:val="en-US" w:eastAsia="zh-CN"/>
        </w:rPr>
        <w:t>4</w:t>
      </w:r>
    </w:p>
    <w:p>
      <w:pPr>
        <w:pStyle w:val="40"/>
        <w:spacing w:line="360" w:lineRule="auto"/>
        <w:jc w:val="center"/>
        <w:rPr>
          <w:rFonts w:ascii="宋体" w:hAnsi="宋体" w:cs="宋体"/>
          <w:b/>
          <w:bCs/>
          <w:sz w:val="30"/>
          <w:szCs w:val="30"/>
        </w:rPr>
      </w:pPr>
      <w:bookmarkStart w:id="55" w:name="_Toc11308_WPSOffice_Level1"/>
      <w:bookmarkStart w:id="56" w:name="_Toc5889_WPSOffice_Level1"/>
      <w:r>
        <w:rPr>
          <w:rFonts w:hint="eastAsia" w:ascii="宋体" w:hAnsi="宋体" w:cs="宋体"/>
          <w:b/>
          <w:bCs/>
          <w:sz w:val="30"/>
          <w:szCs w:val="30"/>
        </w:rPr>
        <w:t>中小企业声明函（工程、服务）</w:t>
      </w:r>
    </w:p>
    <w:p>
      <w:pPr>
        <w:pStyle w:val="10"/>
        <w:spacing w:before="6"/>
        <w:rPr>
          <w:rFonts w:ascii="Noto Sans CJK JP Medium"/>
          <w:sz w:val="21"/>
        </w:rPr>
      </w:pPr>
    </w:p>
    <w:p>
      <w:pPr>
        <w:pStyle w:val="10"/>
        <w:autoSpaceDE w:val="0"/>
        <w:autoSpaceDN w:val="0"/>
        <w:spacing w:before="14" w:line="360" w:lineRule="auto"/>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i/>
          <w:iCs/>
          <w:u w:val="single"/>
        </w:rPr>
        <w:t>（单位名称）</w:t>
      </w:r>
      <w:r>
        <w:rPr>
          <w:rFonts w:hint="eastAsia" w:ascii="宋体" w:hAnsi="宋体" w:cs="宋体"/>
          <w:spacing w:val="-2"/>
        </w:rPr>
        <w:t>的</w:t>
      </w:r>
      <w:r>
        <w:rPr>
          <w:rFonts w:hint="eastAsia" w:ascii="宋体" w:hAnsi="宋体" w:cs="宋体"/>
          <w:i/>
          <w:iCs/>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10"/>
        <w:autoSpaceDE w:val="0"/>
        <w:autoSpaceDN w:val="0"/>
        <w:spacing w:line="360" w:lineRule="auto"/>
        <w:ind w:firstLine="480" w:firstLineChars="200"/>
        <w:rPr>
          <w:rFonts w:ascii="宋体" w:hAnsi="宋体" w:cs="宋体"/>
        </w:rPr>
      </w:pPr>
      <w:r>
        <w:rPr>
          <w:rFonts w:hint="eastAsia" w:ascii="宋体" w:hAnsi="宋体" w:cs="宋体"/>
        </w:rPr>
        <mc:AlternateContent>
          <mc:Choice Requires="wps">
            <w:drawing>
              <wp:anchor distT="0" distB="0" distL="114300" distR="114300" simplePos="0" relativeHeight="251658240" behindDoc="0" locked="0" layoutInCell="1" allowOverlap="1">
                <wp:simplePos x="0" y="0"/>
                <wp:positionH relativeFrom="page">
                  <wp:posOffset>3701415</wp:posOffset>
                </wp:positionH>
                <wp:positionV relativeFrom="paragraph">
                  <wp:posOffset>250825</wp:posOffset>
                </wp:positionV>
                <wp:extent cx="27152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7152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1.45pt;margin-top:19.75pt;height:0pt;width:213.8pt;mso-position-horizontal-relative:page;z-index:251658240;mso-width-relative:page;mso-height-relative:page;" filled="f" stroked="t" coordsize="21600,21600" o:gfxdata="UEsDBAoAAAAAAIdO4kAAAAAAAAAAAAAAAAAEAAAAZHJzL1BLAwQUAAAACACHTuJAAVyfuNYAAAAK&#10;AQAADwAAAGRycy9kb3ducmV2LnhtbE2PTU7DMBBG90jcwRokdtROUUsb4nRRhQ1iUQIHmMZDHBGP&#10;o9htSk+Pqy5gNz9P37wpNifXiyONofOsIZspEMSNNx23Gj4/Xh5WIEJENth7Jg0/FGBT3t4UmBs/&#10;8Tsd69iKFMIhRw02xiGXMjSWHIaZH4jT7suPDmNqx1aaEacU7no5V2opHXacLlgcaGup+a4PTkO9&#10;e5uWr+fzVD3VHYYYO1tVW63v7zL1DCLSKf7BcNFP6lAmp70/sAmi17BYzdcJ1fC4XoC4ACpTqdpf&#10;J7Is5P8Xyl9QSwMEFAAAAAgAh07iQIxjB77SAQAAigMAAA4AAABkcnMvZTJvRG9jLnhtbK1TS44T&#10;MRDdI3EHy3vSSWsYmFY6s5gwbBBEgjlAxZ+0Jf/kMunkElwAiR2sWLLnNgzHoOxkMnw2CNGL6nK5&#10;6lW919Xzy52zbKsSmuB7PptMOVNeBGn8puc3b64fPeUMM3gJNnjV871Cfrl4+GA+xk61YQhWqsQI&#10;xGM3xp4POceuaVAMygFOQlSeLnVIDjId06aRCUZCd7Zpp9PzZgxJxhSEQqTo8nDJFxVfayXyK61R&#10;ZWZ7TrPlalO162KbxRy6TYI4GHEcA/5hCgfGU9MT1BIysLfJ/AHljEgBg84TEVwTtDZCVQ7EZjb9&#10;jc3rAaKqXEgcjCeZ8P/BipfbVWJG9rzlzIOjT3T7/su3dx+/f/1A9vbzJ9YWkcaIHeVe+VU6njCu&#10;UmG808mVN3Fhuyrs/iSs2mUmKNg+mT1uz0l/cXfX3BfGhPm5Co4Vp+fW+MIZOti+wEzNKPUupYSt&#10;Z2PPL2ZnZwQHtDLaQibXRSKBflNrMVgjr421pQLTZn1lE9tCWYL6FEqE+0taabIEHA559eqwHoMC&#10;+cxLlveR5PG0x7yM4JTkzCpa++IRIHQZjP2bTGptPU1QVD3oWLx1kPsqb43TB68zHpezbNTP51p9&#10;/wst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BXJ+41gAAAAoBAAAPAAAAAAAAAAEAIAAAACIA&#10;AABkcnMvZG93bnJldi54bWxQSwECFAAUAAAACACHTuJAjGMHvtIBAACKAwAADgAAAAAAAAABACAA&#10;AAAlAQAAZHJzL2Uyb0RvYy54bWxQSwUGAAAAAAYABgBZAQAAaQUAAAAA&#10;">
                <v:fill on="f" focussize="0,0"/>
                <v:stroke weight="0.72pt" color="#000000" joinstyle="round"/>
                <v:imagedata o:title=""/>
                <o:lock v:ext="edit" aspectratio="f"/>
              </v:line>
            </w:pict>
          </mc:Fallback>
        </mc:AlternateContent>
      </w:r>
      <w:r>
        <w:rPr>
          <w:rFonts w:hint="eastAsia" w:ascii="宋体" w:hAnsi="宋体" w:cs="宋体"/>
        </w:rPr>
        <w:t>1.</w:t>
      </w:r>
      <w:r>
        <w:rPr>
          <w:rFonts w:hint="eastAsia" w:ascii="宋体" w:hAnsi="宋体" w:cs="宋体"/>
          <w:i/>
          <w:iCs/>
          <w:u w:val="single"/>
        </w:rPr>
        <w:t>（标的名称）</w:t>
      </w:r>
      <w:r>
        <w:rPr>
          <w:rFonts w:hint="eastAsia" w:ascii="宋体" w:hAnsi="宋体" w:cs="宋体"/>
        </w:rPr>
        <w:t>，属于</w:t>
      </w:r>
      <w:r>
        <w:rPr>
          <w:rFonts w:hint="eastAsia" w:ascii="宋体" w:hAnsi="宋体" w:cs="宋体"/>
          <w:i/>
          <w:iCs/>
        </w:rPr>
        <w:t>（采购文件中明确的所属行业）</w:t>
      </w:r>
      <w:r>
        <w:rPr>
          <w:rFonts w:hint="eastAsia" w:ascii="宋体" w:hAnsi="宋体" w:cs="宋体"/>
        </w:rPr>
        <w:t>行业；制造商为</w:t>
      </w:r>
      <w:r>
        <w:rPr>
          <w:rFonts w:hint="eastAsia" w:ascii="宋体" w:hAnsi="宋体" w:cs="宋体"/>
          <w:i/>
          <w:iCs/>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万元</w:t>
      </w:r>
      <w:r>
        <w:rPr>
          <w:rFonts w:hint="eastAsia" w:ascii="宋体" w:hAnsi="宋体" w:cs="宋体"/>
          <w:vertAlign w:val="superscript"/>
        </w:rPr>
        <w:t>1</w:t>
      </w:r>
      <w:r>
        <w:rPr>
          <w:rFonts w:hint="eastAsia" w:ascii="宋体" w:hAnsi="宋体" w:cs="宋体"/>
        </w:rPr>
        <w:t>，资产总额为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万元，属于</w:t>
      </w:r>
      <w:r>
        <w:rPr>
          <w:rFonts w:hint="eastAsia" w:ascii="宋体" w:hAnsi="宋体" w:cs="宋体"/>
          <w:i/>
          <w:iCs/>
          <w:u w:val="single"/>
        </w:rPr>
        <w:t>（中型企业、小型企业、微型企业）</w:t>
      </w:r>
      <w:r>
        <w:rPr>
          <w:rFonts w:hint="eastAsia" w:ascii="宋体" w:hAnsi="宋体" w:cs="宋体"/>
        </w:rPr>
        <w:t>；</w:t>
      </w:r>
    </w:p>
    <w:p>
      <w:pPr>
        <w:pStyle w:val="10"/>
        <w:autoSpaceDE w:val="0"/>
        <w:autoSpaceDN w:val="0"/>
        <w:spacing w:line="360" w:lineRule="auto"/>
        <w:ind w:firstLine="480" w:firstLineChars="200"/>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page">
                  <wp:posOffset>3701415</wp:posOffset>
                </wp:positionH>
                <wp:positionV relativeFrom="paragraph">
                  <wp:posOffset>254635</wp:posOffset>
                </wp:positionV>
                <wp:extent cx="271526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7152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1.45pt;margin-top:20.05pt;height:0pt;width:213.8pt;mso-position-horizontal-relative:page;z-index:251659264;mso-width-relative:page;mso-height-relative:page;" filled="f" stroked="t" coordsize="21600,21600" o:gfxdata="UEsDBAoAAAAAAIdO4kAAAAAAAAAAAAAAAAAEAAAAZHJzL1BLAwQUAAAACACHTuJAml/YptYAAAAK&#10;AQAADwAAAGRycy9kb3ducmV2LnhtbE2PwU7DMAyG70i8Q2QkbizpxMbomu4wlQviAIUH8FqviWic&#10;qsnWsacnEwd2tP3p9/cXm5PrxZHGYD1ryGYKBHHjW8udhq/Pl4cViBCRW+w9k4YfCrApb28KzFs/&#10;8Qcd69iJFMIhRw0mxiGXMjSGHIaZH4jTbe9HhzGNYyfbEacU7no5V2opHVpOHwwOtDXUfNcHp6F+&#10;f5uWr+fzVD3VFkOM1lTVVuv7u0ytQUQ6xX8YLvpJHcrktPMHboPoNSxW8+eEanhUGYgLoDK1ALH7&#10;28iykNcVyl9QSwMEFAAAAAgAh07iQIRY057SAQAAigMAAA4AAABkcnMvZTJvRG9jLnhtbK1TS44T&#10;MRDdI3EHy3vSSTQZmFY6s5gwbBBEAg5Q8SdtyT+5TDq5BBdAYgcrluy5zQzHoOxkMgNsEKIX1eVy&#10;1at6r6vnlztn2VYlNMF3fDIac6a8CNL4Tcffvb1+8owzzOAl2OBVx/cK+eXi8aP5EFs1DX2wUiVG&#10;IB7bIXa8zzm2TYOiVw5wFKLydKlDcpDpmDaNTDAQurPNdDw+b4aQZExBKESKLg+XfFHxtVYiv9Ya&#10;VWa24zRbrjZVuy62Wcyh3SSIvRHHMeAfpnBgPDU9QS0hA3ufzB9QzogUMOg8EsE1QWsjVOVAbCbj&#10;39i86SGqyoXEwXiSCf8frHi1XSVmZMdnnHlw9IluP367+fD5x/dPZG+/fmGzItIQsaXcK79KxxPG&#10;VSqMdzq58iYubFeF3Z+EVbvMBAWnTyez6TnpL+7umvvCmDC/UMGx4nTcGl84Qwvbl5ipGaXepZSw&#10;9Wzo+MXk7IzggFZGW8jkukgk0G9qLQZr5LWxtlRg2qyvbGJbKEtQn0KJcH9JK02WgP0hr14d1qNX&#10;IJ97yfI+kjye9piXEZySnFlFa188AoQ2g7F/k0mtracJiqoHHYu3DnJf5a1x+uB1xuNylo16eK7V&#10;97/Q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X9im1gAAAAoBAAAPAAAAAAAAAAEAIAAAACIA&#10;AABkcnMvZG93bnJldi54bWxQSwECFAAUAAAACACHTuJAhFjTntIBAACKAwAADgAAAAAAAAABACAA&#10;AAAlAQAAZHJzL2Uyb0RvYy54bWxQSwUGAAAAAAYABgBZAQAAaQUAAAAA&#10;">
                <v:fill on="f" focussize="0,0"/>
                <v:stroke weight="0.72pt" color="#000000" joinstyle="round"/>
                <v:imagedata o:title=""/>
                <o:lock v:ext="edit" aspectratio="f"/>
              </v:line>
            </w:pict>
          </mc:Fallback>
        </mc:AlternateContent>
      </w:r>
      <w:r>
        <w:rPr>
          <w:rFonts w:hint="eastAsia" w:ascii="宋体" w:hAnsi="宋体" w:cs="宋体"/>
        </w:rPr>
        <w:t xml:space="preserve">2. </w:t>
      </w:r>
      <w:r>
        <w:rPr>
          <w:rFonts w:hint="eastAsia" w:ascii="宋体" w:hAnsi="宋体" w:cs="宋体"/>
          <w:i/>
          <w:iCs/>
          <w:u w:val="single"/>
        </w:rPr>
        <w:t>（标的名称）</w:t>
      </w:r>
      <w:r>
        <w:rPr>
          <w:rFonts w:hint="eastAsia" w:ascii="宋体" w:hAnsi="宋体" w:cs="宋体"/>
        </w:rPr>
        <w:t>，属于</w:t>
      </w:r>
      <w:r>
        <w:rPr>
          <w:rFonts w:hint="eastAsia" w:ascii="宋体" w:hAnsi="宋体" w:cs="宋体"/>
          <w:i/>
          <w:iCs/>
        </w:rPr>
        <w:t>（采购文件中明确的所属行业）</w:t>
      </w:r>
      <w:r>
        <w:rPr>
          <w:rFonts w:hint="eastAsia" w:ascii="宋体" w:hAnsi="宋体" w:cs="宋体"/>
        </w:rPr>
        <w:t>行业；制造商为</w:t>
      </w:r>
      <w:r>
        <w:rPr>
          <w:rFonts w:hint="eastAsia" w:ascii="宋体" w:hAnsi="宋体" w:cs="宋体"/>
          <w:i/>
          <w:iCs/>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万元，属于</w:t>
      </w:r>
      <w:r>
        <w:rPr>
          <w:rFonts w:hint="eastAsia" w:ascii="宋体" w:hAnsi="宋体" w:cs="宋体"/>
          <w:i/>
          <w:iCs/>
          <w:u w:val="single"/>
        </w:rPr>
        <w:t>（中型企业、小型企业、微型企业）</w:t>
      </w:r>
      <w:r>
        <w:rPr>
          <w:rFonts w:hint="eastAsia" w:ascii="宋体" w:hAnsi="宋体" w:cs="宋体"/>
        </w:rPr>
        <w:t>；</w:t>
      </w:r>
    </w:p>
    <w:p>
      <w:pPr>
        <w:pStyle w:val="10"/>
        <w:autoSpaceDE w:val="0"/>
        <w:autoSpaceDN w:val="0"/>
        <w:spacing w:line="360" w:lineRule="auto"/>
        <w:ind w:firstLine="480" w:firstLineChars="200"/>
        <w:rPr>
          <w:rFonts w:ascii="宋体" w:hAnsi="宋体" w:cs="宋体"/>
        </w:rPr>
      </w:pPr>
      <w:r>
        <w:rPr>
          <w:rFonts w:hint="eastAsia" w:ascii="宋体" w:hAnsi="宋体" w:cs="宋体"/>
        </w:rPr>
        <w:t>……</w:t>
      </w:r>
    </w:p>
    <w:p>
      <w:pPr>
        <w:pStyle w:val="10"/>
        <w:autoSpaceDE w:val="0"/>
        <w:autoSpaceDN w:val="0"/>
        <w:spacing w:before="30" w:line="360" w:lineRule="auto"/>
        <w:ind w:firstLine="468" w:firstLineChars="200"/>
      </w:pPr>
      <w:r>
        <w:rPr>
          <w:spacing w:val="-3"/>
        </w:rPr>
        <w:t>以上企业，</w:t>
      </w:r>
      <w:r>
        <w:rPr>
          <w:b/>
          <w:bCs/>
          <w:spacing w:val="-3"/>
        </w:rPr>
        <w:t>不属于大企业的分支机构</w:t>
      </w:r>
      <w:r>
        <w:rPr>
          <w:spacing w:val="-3"/>
        </w:rPr>
        <w:t>，不存在控股股东</w:t>
      </w:r>
      <w:r>
        <w:rPr>
          <w:spacing w:val="-5"/>
        </w:rPr>
        <w:t>为大企业的情形，也不存在与大企业的负责人为同一人的情形。</w:t>
      </w:r>
    </w:p>
    <w:p>
      <w:pPr>
        <w:pStyle w:val="10"/>
        <w:autoSpaceDE w:val="0"/>
        <w:autoSpaceDN w:val="0"/>
        <w:spacing w:line="360" w:lineRule="auto"/>
        <w:ind w:firstLine="480" w:firstLineChars="200"/>
      </w:pPr>
      <w:r>
        <w:t>本企业对上述声明内容的真实性负责。如有虚假，将依法承担相应责任。</w:t>
      </w:r>
    </w:p>
    <w:p>
      <w:pPr>
        <w:pStyle w:val="10"/>
        <w:autoSpaceDE w:val="0"/>
        <w:autoSpaceDN w:val="0"/>
        <w:spacing w:before="18" w:line="240" w:lineRule="auto"/>
        <w:ind w:firstLine="576" w:firstLineChars="200"/>
        <w:jc w:val="right"/>
        <w:rPr>
          <w:rFonts w:ascii="宋体" w:hAnsi="宋体" w:cs="宋体"/>
          <w:spacing w:val="24"/>
        </w:rPr>
      </w:pPr>
    </w:p>
    <w:p>
      <w:pPr>
        <w:pStyle w:val="10"/>
        <w:autoSpaceDE w:val="0"/>
        <w:autoSpaceDN w:val="0"/>
        <w:spacing w:before="18" w:line="240" w:lineRule="auto"/>
        <w:ind w:firstLine="576" w:firstLineChars="200"/>
        <w:jc w:val="right"/>
        <w:rPr>
          <w:rFonts w:ascii="宋体" w:hAnsi="宋体" w:cs="宋体"/>
          <w:spacing w:val="24"/>
        </w:rPr>
      </w:pPr>
    </w:p>
    <w:p>
      <w:pPr>
        <w:pStyle w:val="10"/>
        <w:wordWrap w:val="0"/>
        <w:autoSpaceDE w:val="0"/>
        <w:autoSpaceDN w:val="0"/>
        <w:spacing w:line="360" w:lineRule="auto"/>
        <w:ind w:firstLine="576" w:firstLineChars="200"/>
        <w:jc w:val="right"/>
        <w:rPr>
          <w:rFonts w:ascii="宋体" w:hAnsi="宋体" w:cs="宋体"/>
          <w:spacing w:val="24"/>
        </w:rPr>
      </w:pPr>
      <w:r>
        <w:rPr>
          <w:rFonts w:hint="eastAsia" w:ascii="宋体" w:hAnsi="宋体" w:cs="宋体"/>
          <w:spacing w:val="24"/>
        </w:rPr>
        <w:t xml:space="preserve">    企业名称（盖章）：          </w:t>
      </w:r>
    </w:p>
    <w:p>
      <w:pPr>
        <w:pStyle w:val="10"/>
        <w:autoSpaceDE w:val="0"/>
        <w:autoSpaceDN w:val="0"/>
        <w:spacing w:line="360" w:lineRule="auto"/>
        <w:ind w:firstLine="576" w:firstLineChars="200"/>
        <w:jc w:val="center"/>
      </w:pPr>
      <w:r>
        <w:rPr>
          <w:rFonts w:hint="eastAsia" w:ascii="宋体" w:hAnsi="宋体" w:cs="宋体"/>
          <w:spacing w:val="24"/>
        </w:rPr>
        <w:t xml:space="preserve">        日期：</w:t>
      </w:r>
    </w:p>
    <w:p>
      <w:pPr>
        <w:pStyle w:val="9"/>
        <w:rPr>
          <w:rFonts w:ascii="宋体" w:hAnsi="宋体" w:cs="宋体"/>
          <w:sz w:val="24"/>
          <w:szCs w:val="24"/>
        </w:rPr>
      </w:pPr>
    </w:p>
    <w:p>
      <w:pPr>
        <w:pStyle w:val="9"/>
        <w:rPr>
          <w:rFonts w:ascii="宋体" w:hAnsi="宋体" w:cs="宋体"/>
          <w:sz w:val="24"/>
          <w:szCs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10"/>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Oc6j4vbAQAAhgMAAA4AAABkcnMvZTJvRG9jLnhtbK1TzW4TMRC+&#10;I/UdLN+bTaM2DatsemjUXhBEojzA1GvvWvKfPG42eQleAIkbnDhy520oj8HYSdMUbogcnBmP5/N8&#10;n7+dX22sYWsZUXvX8LPRmDPphG+16xr+4e7mdMYZJnAtGO9kw7cS+dXi5NV8CLWc+N6bVkZGIA7r&#10;ITS8TynUVYWilxZw5IN0VFQ+WkiUxq5qIwyEbk01GY+n1eBjG6IXEpF2l7siXxR8paRI75RCmZhp&#10;OM2WyhrLep/XajGHuosQei32Y8A/TGFBO7r0ALWEBOwh6r+grBbRo1dpJLytvFJayMKB2JyN/2Dz&#10;vocgCxcSB8NBJvx/sOLtehWZbhs+5cyBpSd6/PT958cvv358pvXx21c2zSINAWs6e+1WcZ9hWMXM&#10;eKOizf/EhW2KsNuDsHKTmKDNyevZ+eU56S+eatVzY4iYbqW3LAcNN9plzlDD+g0muoyOPh3J287f&#10;aGPKuxnHBjLdxezygqCB7KMMJAptIELoOs7AdORLkWKBRG90m9szEG7x2kS2BrIGOar1wx3Ny5kB&#10;TFQgEuWX2dMIL1rzPEvAftdcSjsnWZ3Izkbbhs+Ou43LN8piyD2rrOhOwxzd+3ZbpK1yRo9dLt0b&#10;M7vpOKf4+PNZ/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FKqV0wAAAAYBAAAPAAAAAAAAAAEA&#10;IAAAACIAAABkcnMvZG93bnJldi54bWxQSwECFAAUAAAACACHTuJA5zqPi9sBAACGAwAADgAAAAAA&#10;AAABACAAAAAiAQAAZHJzL2Uyb0RvYy54bWxQSwUGAAAAAAYABgBZAQAAbwUAAAAA&#10;">
                <v:fill on="f" focussize="0,0"/>
                <v:stroke weight="1.25pt" color="#000000" miterlimit="8" joinstyle="miter"/>
                <v:imagedata o:title=""/>
                <o:lock v:ext="edit" aspectratio="f"/>
              </v:line>
            </w:pict>
          </mc:Fallback>
        </mc:AlternateContent>
      </w:r>
    </w:p>
    <w:p>
      <w:pPr>
        <w:rPr>
          <w:rFonts w:hint="eastAsia"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 1 \* GB3 </w:instrText>
      </w:r>
      <w:r>
        <w:rPr>
          <w:rFonts w:hint="eastAsia" w:ascii="宋体" w:hAnsi="宋体" w:cs="宋体"/>
          <w:sz w:val="18"/>
          <w:szCs w:val="18"/>
        </w:rPr>
        <w:fldChar w:fldCharType="separate"/>
      </w:r>
      <w:r>
        <w:rPr>
          <w:rFonts w:hint="eastAsia" w:ascii="宋体" w:hAnsi="宋体" w:cs="宋体"/>
          <w:sz w:val="18"/>
          <w:szCs w:val="18"/>
        </w:rPr>
        <w:t>①</w:t>
      </w:r>
      <w:r>
        <w:rPr>
          <w:rFonts w:hint="eastAsia" w:ascii="宋体" w:hAnsi="宋体" w:cs="宋体"/>
          <w:sz w:val="18"/>
          <w:szCs w:val="18"/>
        </w:rPr>
        <w:fldChar w:fldCharType="end"/>
      </w:r>
      <w:r>
        <w:rPr>
          <w:rFonts w:hint="eastAsia" w:ascii="宋体" w:hAnsi="宋体" w:cs="宋体"/>
          <w:sz w:val="18"/>
          <w:szCs w:val="18"/>
        </w:rPr>
        <w:t>从业人员、营业收入、资产总额填报上一年度数据，无上一年度数据的新成立企业可不填报。</w:t>
      </w:r>
    </w:p>
    <w:p>
      <w:pPr>
        <w:pStyle w:val="16"/>
        <w:ind w:left="0" w:leftChars="0" w:firstLine="0" w:firstLineChars="0"/>
        <w:rPr>
          <w:rFonts w:hint="eastAsia" w:eastAsia="宋体"/>
          <w:lang w:val="en-US" w:eastAsia="zh-CN"/>
        </w:rPr>
      </w:pPr>
      <w:r>
        <w:rPr>
          <w:rFonts w:hint="eastAsia" w:ascii="宋体" w:hAnsi="宋体" w:cs="宋体"/>
          <w:sz w:val="18"/>
          <w:szCs w:val="18"/>
          <w:lang w:eastAsia="zh-CN"/>
        </w:rPr>
        <w:t>②标的名称及所属行业请按照第二章供应商须知—前附表—项目属性及中小企业划分中所列内容填写。</w:t>
      </w:r>
    </w:p>
    <w:p>
      <w:pPr>
        <w:pStyle w:val="16"/>
        <w:rPr>
          <w:rFonts w:hint="eastAsia"/>
        </w:rPr>
      </w:pPr>
    </w:p>
    <w:p>
      <w:pPr>
        <w:pStyle w:val="12"/>
        <w:spacing w:line="360" w:lineRule="auto"/>
        <w:jc w:val="center"/>
        <w:outlineLvl w:val="1"/>
        <w:rPr>
          <w:rFonts w:hint="eastAsia" w:hAnsi="宋体" w:cs="宋体"/>
          <w:b/>
          <w:sz w:val="32"/>
          <w:szCs w:val="32"/>
          <w:lang w:val="en-GB"/>
        </w:rPr>
      </w:pPr>
      <w:bookmarkStart w:id="57" w:name="_Toc17646_WPSOffice_Level1"/>
      <w:bookmarkStart w:id="58" w:name="_Toc27483_WPSOffice_Level1"/>
      <w:r>
        <w:rPr>
          <w:rFonts w:hint="eastAsia" w:hAnsi="宋体" w:cs="宋体"/>
          <w:b/>
          <w:sz w:val="32"/>
          <w:szCs w:val="32"/>
          <w:lang w:val="en-GB"/>
        </w:rPr>
        <w:t>残疾人福利性单位声明函</w:t>
      </w:r>
      <w:bookmarkEnd w:id="57"/>
      <w:bookmarkEnd w:id="58"/>
    </w:p>
    <w:p>
      <w:pPr>
        <w:pStyle w:val="13"/>
        <w:ind w:left="5250"/>
        <w:rPr>
          <w:sz w:val="24"/>
          <w:szCs w:val="24"/>
          <w:lang w:val="en-GB"/>
        </w:rPr>
      </w:pP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 xml:space="preserve">    政府采购中心    </w:t>
      </w:r>
      <w:r>
        <w:rPr>
          <w:rFonts w:hint="eastAsia" w:ascii="宋体" w:hAnsi="宋体" w:cs="宋体"/>
          <w:spacing w:val="6"/>
          <w:sz w:val="24"/>
        </w:rPr>
        <w:t>单位的</w:t>
      </w:r>
    </w:p>
    <w:p>
      <w:pPr>
        <w:spacing w:line="588" w:lineRule="exact"/>
        <w:rPr>
          <w:rFonts w:ascii="宋体" w:hAnsi="宋体" w:cs="宋体"/>
          <w:spacing w:val="6"/>
          <w:sz w:val="24"/>
        </w:rPr>
      </w:pP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tabs>
          <w:tab w:val="left" w:pos="4860"/>
        </w:tabs>
        <w:spacing w:line="588" w:lineRule="exact"/>
        <w:ind w:right="1560" w:firstLine="504" w:firstLineChars="200"/>
        <w:jc w:val="center"/>
        <w:rPr>
          <w:rFonts w:ascii="宋体" w:hAnsi="宋体" w:cs="宋体"/>
          <w:sz w:val="24"/>
        </w:rPr>
      </w:pPr>
      <w:r>
        <w:rPr>
          <w:rFonts w:hint="eastAsia" w:ascii="宋体" w:hAnsi="宋体" w:cs="宋体"/>
          <w:spacing w:val="6"/>
          <w:sz w:val="24"/>
        </w:rPr>
        <w:t xml:space="preserve">                                  日  期  ：</w:t>
      </w:r>
    </w:p>
    <w:p/>
    <w:p>
      <w:pPr>
        <w:jc w:val="center"/>
        <w:rPr>
          <w:rFonts w:hint="eastAsia"/>
          <w:b/>
          <w:bCs/>
          <w:sz w:val="32"/>
          <w:szCs w:val="32"/>
          <w:lang w:val="zh-CN"/>
        </w:rPr>
      </w:pPr>
    </w:p>
    <w:p>
      <w:pPr>
        <w:pStyle w:val="16"/>
        <w:rPr>
          <w:rFonts w:hint="eastAsia"/>
          <w:b/>
          <w:bCs/>
          <w:sz w:val="32"/>
          <w:szCs w:val="32"/>
          <w:lang w:val="zh-CN"/>
        </w:rPr>
      </w:pPr>
    </w:p>
    <w:p>
      <w:pPr>
        <w:pStyle w:val="16"/>
        <w:rPr>
          <w:rFonts w:hint="eastAsia"/>
          <w:b/>
          <w:bCs/>
          <w:sz w:val="32"/>
          <w:szCs w:val="32"/>
          <w:lang w:val="zh-CN"/>
        </w:rPr>
      </w:pPr>
    </w:p>
    <w:p>
      <w:pPr>
        <w:pStyle w:val="16"/>
        <w:rPr>
          <w:rFonts w:hint="eastAsia"/>
          <w:b/>
          <w:bCs/>
          <w:sz w:val="32"/>
          <w:szCs w:val="32"/>
          <w:lang w:val="zh-CN"/>
        </w:rPr>
      </w:pPr>
    </w:p>
    <w:p>
      <w:pPr>
        <w:pStyle w:val="16"/>
        <w:rPr>
          <w:rFonts w:hint="eastAsia"/>
          <w:b/>
          <w:bCs/>
          <w:sz w:val="32"/>
          <w:szCs w:val="32"/>
          <w:lang w:val="zh-CN"/>
        </w:rPr>
      </w:pPr>
    </w:p>
    <w:p>
      <w:pPr>
        <w:pStyle w:val="16"/>
        <w:rPr>
          <w:rFonts w:hint="eastAsia"/>
          <w:b/>
          <w:bCs/>
          <w:sz w:val="32"/>
          <w:szCs w:val="32"/>
          <w:lang w:val="zh-CN"/>
        </w:rPr>
      </w:pPr>
    </w:p>
    <w:p>
      <w:pPr>
        <w:pStyle w:val="16"/>
        <w:rPr>
          <w:rFonts w:hint="eastAsia"/>
          <w:b/>
          <w:bCs/>
          <w:sz w:val="32"/>
          <w:szCs w:val="32"/>
          <w:lang w:val="zh-CN"/>
        </w:rPr>
      </w:pPr>
    </w:p>
    <w:p>
      <w:pPr>
        <w:pStyle w:val="16"/>
        <w:rPr>
          <w:rFonts w:hint="eastAsia"/>
          <w:b/>
          <w:bCs/>
          <w:sz w:val="32"/>
          <w:szCs w:val="32"/>
          <w:lang w:val="zh-CN"/>
        </w:rPr>
      </w:pPr>
    </w:p>
    <w:p>
      <w:pPr>
        <w:jc w:val="center"/>
        <w:rPr>
          <w:rFonts w:hint="eastAsia"/>
          <w:b/>
          <w:bCs/>
          <w:sz w:val="32"/>
          <w:szCs w:val="32"/>
          <w:lang w:val="zh-CN"/>
        </w:rPr>
      </w:pPr>
    </w:p>
    <w:p>
      <w:pPr>
        <w:jc w:val="center"/>
        <w:rPr>
          <w:b/>
          <w:bCs/>
          <w:sz w:val="32"/>
          <w:szCs w:val="32"/>
        </w:rPr>
      </w:pPr>
      <w:r>
        <w:rPr>
          <w:rFonts w:hint="eastAsia"/>
          <w:b/>
          <w:bCs/>
          <w:sz w:val="32"/>
          <w:szCs w:val="32"/>
          <w:lang w:val="zh-CN"/>
        </w:rPr>
        <w:t>商务与技术文件</w:t>
      </w:r>
      <w:r>
        <w:rPr>
          <w:rFonts w:hint="eastAsia"/>
          <w:b/>
          <w:bCs/>
          <w:sz w:val="32"/>
          <w:szCs w:val="32"/>
        </w:rPr>
        <w:t>目录</w:t>
      </w:r>
      <w:bookmarkEnd w:id="55"/>
      <w:bookmarkEnd w:id="56"/>
    </w:p>
    <w:p>
      <w:pPr>
        <w:pStyle w:val="9"/>
        <w:spacing w:line="360" w:lineRule="auto"/>
        <w:ind w:firstLine="480" w:firstLineChars="200"/>
        <w:rPr>
          <w:sz w:val="24"/>
          <w:szCs w:val="24"/>
        </w:rPr>
      </w:pPr>
    </w:p>
    <w:p>
      <w:pPr>
        <w:spacing w:line="360" w:lineRule="auto"/>
        <w:ind w:firstLine="482" w:firstLineChars="200"/>
        <w:rPr>
          <w:b/>
          <w:bCs/>
          <w:sz w:val="24"/>
        </w:rPr>
      </w:pPr>
      <w:bookmarkStart w:id="59" w:name="_Toc20529_WPSOffice_Level1"/>
      <w:bookmarkStart w:id="60" w:name="_Toc21250_WPSOffice_Level1"/>
      <w:r>
        <w:rPr>
          <w:rFonts w:hint="eastAsia"/>
          <w:b/>
          <w:bCs/>
          <w:sz w:val="24"/>
        </w:rPr>
        <w:t>第一部分  技术方案描述部分</w:t>
      </w:r>
      <w:bookmarkEnd w:id="59"/>
      <w:bookmarkEnd w:id="60"/>
    </w:p>
    <w:p>
      <w:pPr>
        <w:spacing w:line="360" w:lineRule="auto"/>
        <w:ind w:firstLine="480" w:firstLineChars="200"/>
        <w:rPr>
          <w:sz w:val="24"/>
        </w:rPr>
      </w:pPr>
      <w:bookmarkStart w:id="61" w:name="_Toc30029_WPSOffice_Level1"/>
      <w:bookmarkStart w:id="62" w:name="_Toc20986_WPSOffice_Level1"/>
      <w:r>
        <w:rPr>
          <w:rFonts w:hint="eastAsia"/>
          <w:sz w:val="24"/>
        </w:rPr>
        <w:t>①　供应商基本情况（附件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②　项目需求的理解与分析。</w:t>
      </w:r>
    </w:p>
    <w:p>
      <w:pPr>
        <w:spacing w:line="360" w:lineRule="auto"/>
        <w:ind w:firstLine="480" w:firstLineChars="200"/>
        <w:rPr>
          <w:sz w:val="24"/>
        </w:rPr>
      </w:pPr>
      <w:r>
        <w:rPr>
          <w:rFonts w:hint="eastAsia"/>
          <w:sz w:val="24"/>
        </w:rPr>
        <w:t>③　项目实施方案。</w:t>
      </w:r>
    </w:p>
    <w:p>
      <w:pPr>
        <w:spacing w:line="360" w:lineRule="auto"/>
        <w:ind w:firstLine="480" w:firstLineChars="200"/>
        <w:rPr>
          <w:sz w:val="24"/>
        </w:rPr>
      </w:pPr>
      <w:r>
        <w:rPr>
          <w:rFonts w:hint="eastAsia"/>
          <w:sz w:val="24"/>
        </w:rPr>
        <w:t>④　技术需求响应表（附件</w:t>
      </w:r>
      <w:r>
        <w:rPr>
          <w:rFonts w:hint="eastAsia"/>
          <w:sz w:val="24"/>
          <w:lang w:val="en-US" w:eastAsia="zh-CN"/>
        </w:rPr>
        <w:t>6</w:t>
      </w:r>
      <w:r>
        <w:rPr>
          <w:rFonts w:hint="eastAsia"/>
          <w:sz w:val="24"/>
        </w:rPr>
        <w:t>）。</w:t>
      </w:r>
    </w:p>
    <w:p>
      <w:pPr>
        <w:spacing w:line="360" w:lineRule="auto"/>
        <w:ind w:firstLine="480" w:firstLineChars="200"/>
        <w:rPr>
          <w:sz w:val="24"/>
        </w:rPr>
      </w:pPr>
      <w:r>
        <w:rPr>
          <w:rFonts w:hint="eastAsia"/>
          <w:sz w:val="24"/>
        </w:rPr>
        <w:t>⑤　项目实施人员一览表（附件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⑥　项目负责人资格情况表（附件</w:t>
      </w:r>
      <w:r>
        <w:rPr>
          <w:rFonts w:hint="eastAsia"/>
          <w:sz w:val="24"/>
          <w:lang w:val="en-US" w:eastAsia="zh-CN"/>
        </w:rPr>
        <w:t>8</w:t>
      </w:r>
      <w:r>
        <w:rPr>
          <w:rFonts w:hint="eastAsia"/>
          <w:sz w:val="24"/>
        </w:rPr>
        <w:t>）。</w:t>
      </w:r>
    </w:p>
    <w:p>
      <w:pPr>
        <w:spacing w:line="360" w:lineRule="auto"/>
        <w:ind w:firstLine="480" w:firstLineChars="200"/>
        <w:rPr>
          <w:sz w:val="24"/>
        </w:rPr>
      </w:pPr>
      <w:r>
        <w:rPr>
          <w:rFonts w:hint="eastAsia"/>
          <w:sz w:val="24"/>
        </w:rPr>
        <w:t>⑦  拟投入设备、工具、车辆等情况。</w:t>
      </w:r>
    </w:p>
    <w:p>
      <w:pPr>
        <w:spacing w:line="360" w:lineRule="auto"/>
        <w:ind w:firstLine="480" w:firstLineChars="200"/>
        <w:rPr>
          <w:sz w:val="24"/>
        </w:rPr>
      </w:pPr>
      <w:r>
        <w:rPr>
          <w:rFonts w:hint="eastAsia"/>
          <w:sz w:val="24"/>
        </w:rPr>
        <w:t>⑧  突发事件应急措施。</w:t>
      </w:r>
    </w:p>
    <w:p>
      <w:pPr>
        <w:spacing w:line="360" w:lineRule="auto"/>
        <w:ind w:firstLine="480" w:firstLineChars="200"/>
        <w:rPr>
          <w:sz w:val="24"/>
        </w:rPr>
      </w:pPr>
      <w:r>
        <w:rPr>
          <w:rFonts w:hint="eastAsia"/>
          <w:sz w:val="24"/>
        </w:rPr>
        <w:t>⑨  供应商需要说明的其他内容；（包括可能影响供应商技术性能评分项的各类证明材料）。</w:t>
      </w:r>
    </w:p>
    <w:p>
      <w:pPr>
        <w:spacing w:line="360" w:lineRule="auto"/>
        <w:ind w:firstLine="482" w:firstLineChars="200"/>
        <w:rPr>
          <w:b/>
          <w:bCs/>
          <w:sz w:val="24"/>
        </w:rPr>
      </w:pPr>
      <w:r>
        <w:rPr>
          <w:rFonts w:hint="eastAsia"/>
          <w:b/>
          <w:bCs/>
          <w:sz w:val="24"/>
        </w:rPr>
        <w:t>第二部分  商务响应及其他部分</w:t>
      </w:r>
      <w:bookmarkEnd w:id="61"/>
      <w:bookmarkEnd w:id="62"/>
    </w:p>
    <w:p>
      <w:pPr>
        <w:spacing w:line="360" w:lineRule="auto"/>
        <w:ind w:firstLine="480" w:firstLineChars="200"/>
        <w:rPr>
          <w:sz w:val="24"/>
        </w:rPr>
      </w:pPr>
      <w:r>
        <w:rPr>
          <w:rFonts w:hint="eastAsia"/>
          <w:sz w:val="24"/>
        </w:rPr>
        <w:t>①　商务需求响应表（附件</w:t>
      </w:r>
      <w:r>
        <w:rPr>
          <w:rFonts w:hint="eastAsia"/>
          <w:sz w:val="24"/>
          <w:lang w:val="en-US" w:eastAsia="zh-CN"/>
        </w:rPr>
        <w:t>11</w:t>
      </w:r>
      <w:r>
        <w:rPr>
          <w:rFonts w:hint="eastAsia"/>
          <w:sz w:val="24"/>
        </w:rPr>
        <w:t>）。</w:t>
      </w:r>
    </w:p>
    <w:p>
      <w:pPr>
        <w:spacing w:line="360" w:lineRule="auto"/>
        <w:ind w:firstLine="480" w:firstLineChars="200"/>
        <w:rPr>
          <w:sz w:val="24"/>
        </w:rPr>
      </w:pPr>
      <w:r>
        <w:rPr>
          <w:rFonts w:hint="eastAsia"/>
          <w:sz w:val="24"/>
        </w:rPr>
        <w:t>②　证书一览表（附件</w:t>
      </w:r>
      <w:r>
        <w:rPr>
          <w:rFonts w:hint="eastAsia"/>
          <w:sz w:val="24"/>
          <w:lang w:val="en-US" w:eastAsia="zh-CN"/>
        </w:rPr>
        <w:t>9</w:t>
      </w:r>
      <w:r>
        <w:rPr>
          <w:rFonts w:hint="eastAsia"/>
          <w:sz w:val="24"/>
        </w:rPr>
        <w:t>）。</w:t>
      </w:r>
    </w:p>
    <w:p>
      <w:pPr>
        <w:spacing w:line="360" w:lineRule="auto"/>
        <w:ind w:firstLine="480" w:firstLineChars="200"/>
        <w:rPr>
          <w:sz w:val="24"/>
        </w:rPr>
      </w:pPr>
      <w:r>
        <w:rPr>
          <w:rFonts w:hint="eastAsia"/>
          <w:sz w:val="24"/>
        </w:rPr>
        <w:t>③  近三年来类似项目的成功案例及相关材料（附件</w:t>
      </w:r>
      <w:r>
        <w:rPr>
          <w:rFonts w:hint="eastAsia"/>
          <w:sz w:val="24"/>
          <w:lang w:val="en-US" w:eastAsia="zh-CN"/>
        </w:rPr>
        <w:t>10</w:t>
      </w:r>
      <w:r>
        <w:rPr>
          <w:rFonts w:hint="eastAsia"/>
          <w:sz w:val="24"/>
        </w:rPr>
        <w:t>）。</w:t>
      </w:r>
    </w:p>
    <w:p>
      <w:pPr>
        <w:pStyle w:val="9"/>
        <w:spacing w:line="360" w:lineRule="auto"/>
        <w:ind w:firstLine="480" w:firstLineChars="200"/>
        <w:rPr>
          <w:sz w:val="24"/>
          <w:szCs w:val="24"/>
        </w:rPr>
      </w:pPr>
    </w:p>
    <w:p>
      <w:pPr>
        <w:pStyle w:val="9"/>
        <w:spacing w:line="360" w:lineRule="auto"/>
        <w:ind w:firstLine="480" w:firstLineChars="200"/>
        <w:rPr>
          <w:sz w:val="24"/>
          <w:szCs w:val="24"/>
        </w:rPr>
      </w:pPr>
    </w:p>
    <w:p>
      <w:pPr>
        <w:pStyle w:val="9"/>
        <w:rPr>
          <w:sz w:val="28"/>
          <w:szCs w:val="28"/>
        </w:rPr>
      </w:pPr>
    </w:p>
    <w:p>
      <w:pPr>
        <w:pStyle w:val="9"/>
        <w:rPr>
          <w:sz w:val="28"/>
          <w:szCs w:val="28"/>
        </w:rPr>
      </w:pPr>
    </w:p>
    <w:p>
      <w:pPr>
        <w:pStyle w:val="9"/>
        <w:rPr>
          <w:sz w:val="28"/>
          <w:szCs w:val="28"/>
        </w:rPr>
      </w:pPr>
    </w:p>
    <w:p>
      <w:pPr>
        <w:pStyle w:val="9"/>
        <w:rPr>
          <w:sz w:val="28"/>
          <w:szCs w:val="28"/>
        </w:rPr>
      </w:pPr>
    </w:p>
    <w:p>
      <w:pPr>
        <w:pStyle w:val="9"/>
        <w:rPr>
          <w:sz w:val="28"/>
          <w:szCs w:val="28"/>
        </w:rPr>
      </w:pPr>
    </w:p>
    <w:p>
      <w:pPr>
        <w:pStyle w:val="9"/>
        <w:rPr>
          <w:sz w:val="28"/>
          <w:szCs w:val="28"/>
        </w:rPr>
      </w:pPr>
    </w:p>
    <w:p>
      <w:pPr>
        <w:pStyle w:val="9"/>
        <w:rPr>
          <w:sz w:val="28"/>
          <w:szCs w:val="28"/>
        </w:rPr>
      </w:pPr>
    </w:p>
    <w:p>
      <w:pPr>
        <w:pStyle w:val="30"/>
        <w:shd w:val="clear" w:color="auto" w:fill="FFFFFF"/>
        <w:spacing w:before="0" w:beforeAutospacing="0" w:after="0" w:afterAutospacing="0" w:line="360" w:lineRule="auto"/>
        <w:rPr>
          <w:rFonts w:hint="eastAsia" w:eastAsia="宋体"/>
          <w:b/>
          <w:sz w:val="28"/>
          <w:lang w:val="en-US" w:eastAsia="zh-CN"/>
        </w:rPr>
      </w:pPr>
      <w:r>
        <w:rPr>
          <w:rFonts w:hint="eastAsia"/>
          <w:b/>
          <w:sz w:val="28"/>
        </w:rPr>
        <w:t>附件</w:t>
      </w:r>
      <w:r>
        <w:rPr>
          <w:rFonts w:hint="eastAsia"/>
          <w:b/>
          <w:sz w:val="28"/>
          <w:lang w:val="en-US" w:eastAsia="zh-CN"/>
        </w:rPr>
        <w:t>5</w:t>
      </w:r>
    </w:p>
    <w:p>
      <w:pPr>
        <w:pStyle w:val="30"/>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3" w:name="_Toc13307_WPSOffice_Level1"/>
      <w:bookmarkStart w:id="64" w:name="_Toc14261_WPSOffice_Level1"/>
      <w:r>
        <w:rPr>
          <w:rFonts w:hint="eastAsia"/>
          <w:b/>
          <w:sz w:val="32"/>
          <w:szCs w:val="32"/>
        </w:rPr>
        <w:t>供应商</w:t>
      </w:r>
      <w:r>
        <w:rPr>
          <w:rFonts w:hint="eastAsia"/>
          <w:b/>
          <w:bCs/>
          <w:spacing w:val="21"/>
          <w:sz w:val="32"/>
          <w:szCs w:val="32"/>
        </w:rPr>
        <w:t>基本情况表</w:t>
      </w:r>
      <w:bookmarkEnd w:id="63"/>
      <w:bookmarkEnd w:id="64"/>
    </w:p>
    <w:tbl>
      <w:tblPr>
        <w:tblStyle w:val="23"/>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3" w:type="dxa"/>
            <w:vAlign w:val="center"/>
          </w:tcPr>
          <w:p>
            <w:pPr>
              <w:pStyle w:val="30"/>
              <w:shd w:val="clear" w:color="auto" w:fill="FFFFFF"/>
              <w:spacing w:before="0" w:beforeAutospacing="0" w:after="0" w:afterAutospacing="0"/>
              <w:jc w:val="center"/>
              <w:rPr>
                <w:bCs/>
              </w:rPr>
            </w:pPr>
            <w:r>
              <w:rPr>
                <w:rFonts w:hint="eastAsia"/>
                <w:bCs/>
                <w:spacing w:val="27"/>
              </w:rPr>
              <w:t>企业名称</w:t>
            </w:r>
          </w:p>
        </w:tc>
        <w:tc>
          <w:tcPr>
            <w:tcW w:w="4098" w:type="dxa"/>
            <w:gridSpan w:val="6"/>
            <w:vAlign w:val="center"/>
          </w:tcPr>
          <w:p>
            <w:pPr>
              <w:pStyle w:val="30"/>
              <w:shd w:val="clear" w:color="auto" w:fill="FFFFFF"/>
              <w:spacing w:before="0" w:beforeAutospacing="0" w:after="0" w:afterAutospacing="0"/>
              <w:jc w:val="center"/>
              <w:rPr>
                <w:bCs/>
              </w:rPr>
            </w:pPr>
          </w:p>
        </w:tc>
        <w:tc>
          <w:tcPr>
            <w:tcW w:w="2001" w:type="dxa"/>
            <w:gridSpan w:val="3"/>
            <w:vAlign w:val="center"/>
          </w:tcPr>
          <w:p>
            <w:pPr>
              <w:pStyle w:val="30"/>
              <w:shd w:val="clear" w:color="auto" w:fill="FFFFFF"/>
              <w:spacing w:before="0" w:beforeAutospacing="0" w:after="0" w:afterAutospacing="0"/>
              <w:jc w:val="center"/>
              <w:rPr>
                <w:bCs/>
              </w:rPr>
            </w:pPr>
            <w:r>
              <w:rPr>
                <w:rFonts w:hint="eastAsia"/>
                <w:bCs/>
                <w:spacing w:val="16"/>
              </w:rPr>
              <w:t>法人代表</w:t>
            </w:r>
          </w:p>
        </w:tc>
        <w:tc>
          <w:tcPr>
            <w:tcW w:w="2151" w:type="dxa"/>
            <w:gridSpan w:val="2"/>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23" w:type="dxa"/>
            <w:vAlign w:val="center"/>
          </w:tcPr>
          <w:p>
            <w:pPr>
              <w:pStyle w:val="30"/>
              <w:shd w:val="clear" w:color="auto" w:fill="FFFFFF"/>
              <w:spacing w:before="0" w:beforeAutospacing="0" w:after="0" w:afterAutospacing="0"/>
              <w:jc w:val="center"/>
              <w:rPr>
                <w:bCs/>
                <w:spacing w:val="16"/>
              </w:rPr>
            </w:pPr>
            <w:r>
              <w:rPr>
                <w:rFonts w:hint="eastAsia"/>
                <w:bCs/>
                <w:spacing w:val="27"/>
              </w:rPr>
              <w:t>地址</w:t>
            </w:r>
          </w:p>
        </w:tc>
        <w:tc>
          <w:tcPr>
            <w:tcW w:w="4098" w:type="dxa"/>
            <w:gridSpan w:val="6"/>
            <w:tcBorders>
              <w:bottom w:val="single" w:color="auto" w:sz="4" w:space="0"/>
            </w:tcBorders>
            <w:vAlign w:val="center"/>
          </w:tcPr>
          <w:p>
            <w:pPr>
              <w:pStyle w:val="30"/>
              <w:shd w:val="clear" w:color="auto" w:fill="FFFFFF"/>
              <w:spacing w:before="0" w:beforeAutospacing="0" w:after="0" w:afterAutospacing="0"/>
              <w:jc w:val="center"/>
              <w:rPr>
                <w:bCs/>
                <w:spacing w:val="16"/>
              </w:rPr>
            </w:pPr>
          </w:p>
        </w:tc>
        <w:tc>
          <w:tcPr>
            <w:tcW w:w="2001" w:type="dxa"/>
            <w:gridSpan w:val="3"/>
            <w:vAlign w:val="center"/>
          </w:tcPr>
          <w:p>
            <w:pPr>
              <w:pStyle w:val="30"/>
              <w:shd w:val="clear" w:color="auto" w:fill="FFFFFF"/>
              <w:spacing w:before="0" w:beforeAutospacing="0" w:after="0" w:afterAutospacing="0"/>
              <w:jc w:val="center"/>
              <w:rPr>
                <w:bCs/>
                <w:spacing w:val="16"/>
              </w:rPr>
            </w:pPr>
            <w:r>
              <w:rPr>
                <w:rFonts w:hint="eastAsia"/>
                <w:bCs/>
                <w:spacing w:val="16"/>
              </w:rPr>
              <w:t>企业性质</w:t>
            </w:r>
          </w:p>
        </w:tc>
        <w:tc>
          <w:tcPr>
            <w:tcW w:w="2151" w:type="dxa"/>
            <w:gridSpan w:val="2"/>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3" w:type="dxa"/>
            <w:tcBorders>
              <w:bottom w:val="single" w:color="auto" w:sz="4" w:space="0"/>
            </w:tcBorders>
            <w:vAlign w:val="center"/>
          </w:tcPr>
          <w:p>
            <w:pPr>
              <w:pStyle w:val="30"/>
              <w:shd w:val="clear" w:color="auto" w:fill="FFFFFF"/>
              <w:spacing w:before="0" w:beforeAutospacing="0" w:after="0" w:afterAutospacing="0"/>
              <w:jc w:val="center"/>
              <w:rPr>
                <w:bCs/>
                <w:spacing w:val="16"/>
              </w:rPr>
            </w:pPr>
            <w:r>
              <w:rPr>
                <w:rFonts w:hint="eastAsia"/>
                <w:bCs/>
                <w:spacing w:val="27"/>
              </w:rPr>
              <w:t>股东姓名</w:t>
            </w:r>
          </w:p>
        </w:tc>
        <w:tc>
          <w:tcPr>
            <w:tcW w:w="820" w:type="dxa"/>
            <w:tcBorders>
              <w:bottom w:val="single" w:color="auto" w:sz="4" w:space="0"/>
            </w:tcBorders>
            <w:vAlign w:val="center"/>
          </w:tcPr>
          <w:p>
            <w:pPr>
              <w:pStyle w:val="30"/>
              <w:shd w:val="clear" w:color="auto" w:fill="FFFFFF"/>
              <w:spacing w:before="0" w:beforeAutospacing="0" w:after="0" w:afterAutospacing="0"/>
              <w:jc w:val="center"/>
              <w:rPr>
                <w:bCs/>
                <w:spacing w:val="16"/>
              </w:rPr>
            </w:pPr>
          </w:p>
        </w:tc>
        <w:tc>
          <w:tcPr>
            <w:tcW w:w="910" w:type="dxa"/>
            <w:gridSpan w:val="2"/>
            <w:tcBorders>
              <w:bottom w:val="single" w:color="auto" w:sz="4" w:space="0"/>
            </w:tcBorders>
            <w:vAlign w:val="center"/>
          </w:tcPr>
          <w:p>
            <w:pPr>
              <w:pStyle w:val="30"/>
              <w:shd w:val="clear" w:color="auto" w:fill="FFFFFF"/>
              <w:spacing w:before="0" w:beforeAutospacing="0" w:after="0" w:afterAutospacing="0"/>
              <w:jc w:val="center"/>
              <w:rPr>
                <w:bCs/>
                <w:spacing w:val="16"/>
              </w:rPr>
            </w:pPr>
            <w:r>
              <w:rPr>
                <w:rFonts w:hint="eastAsia"/>
                <w:bCs/>
                <w:spacing w:val="16"/>
              </w:rPr>
              <w:t>股权结构（%）</w:t>
            </w:r>
          </w:p>
        </w:tc>
        <w:tc>
          <w:tcPr>
            <w:tcW w:w="2368" w:type="dxa"/>
            <w:gridSpan w:val="3"/>
            <w:tcBorders>
              <w:bottom w:val="single" w:color="auto" w:sz="4" w:space="0"/>
            </w:tcBorders>
            <w:vAlign w:val="center"/>
          </w:tcPr>
          <w:p>
            <w:pPr>
              <w:widowControl/>
              <w:jc w:val="center"/>
              <w:rPr>
                <w:rFonts w:ascii="宋体" w:hAnsi="宋体" w:cs="宋体"/>
                <w:bCs/>
                <w:spacing w:val="16"/>
                <w:kern w:val="0"/>
                <w:sz w:val="24"/>
              </w:rPr>
            </w:pPr>
          </w:p>
          <w:p>
            <w:pPr>
              <w:pStyle w:val="30"/>
              <w:shd w:val="clear" w:color="auto" w:fill="FFFFFF"/>
              <w:spacing w:before="0" w:beforeAutospacing="0" w:after="0" w:afterAutospacing="0"/>
              <w:jc w:val="center"/>
              <w:rPr>
                <w:bCs/>
                <w:spacing w:val="16"/>
              </w:rPr>
            </w:pPr>
          </w:p>
        </w:tc>
        <w:tc>
          <w:tcPr>
            <w:tcW w:w="2001" w:type="dxa"/>
            <w:gridSpan w:val="3"/>
            <w:vAlign w:val="center"/>
          </w:tcPr>
          <w:p>
            <w:pPr>
              <w:pStyle w:val="30"/>
              <w:shd w:val="clear" w:color="auto" w:fill="FFFFFF"/>
              <w:spacing w:before="0" w:beforeAutospacing="0" w:after="0" w:afterAutospacing="0"/>
              <w:jc w:val="center"/>
              <w:rPr>
                <w:bCs/>
                <w:spacing w:val="16"/>
              </w:rPr>
            </w:pPr>
            <w:r>
              <w:rPr>
                <w:rFonts w:hint="eastAsia"/>
                <w:bCs/>
                <w:spacing w:val="16"/>
              </w:rPr>
              <w:t>股东关系</w:t>
            </w:r>
          </w:p>
        </w:tc>
        <w:tc>
          <w:tcPr>
            <w:tcW w:w="2151" w:type="dxa"/>
            <w:gridSpan w:val="2"/>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23" w:type="dxa"/>
            <w:vMerge w:val="restart"/>
            <w:vAlign w:val="center"/>
          </w:tcPr>
          <w:p>
            <w:pPr>
              <w:pStyle w:val="30"/>
              <w:shd w:val="clear" w:color="auto" w:fill="FFFFFF"/>
              <w:spacing w:before="0" w:beforeAutospacing="0" w:after="0" w:afterAutospacing="0"/>
              <w:jc w:val="center"/>
              <w:rPr>
                <w:bCs/>
                <w:spacing w:val="16"/>
              </w:rPr>
            </w:pPr>
            <w:r>
              <w:rPr>
                <w:rFonts w:hint="eastAsia"/>
                <w:bCs/>
                <w:spacing w:val="12"/>
              </w:rPr>
              <w:t>联系人</w:t>
            </w:r>
            <w:r>
              <w:rPr>
                <w:rFonts w:hint="eastAsia"/>
                <w:bCs/>
                <w:spacing w:val="27"/>
              </w:rPr>
              <w:t>姓名</w:t>
            </w:r>
          </w:p>
        </w:tc>
        <w:tc>
          <w:tcPr>
            <w:tcW w:w="820" w:type="dxa"/>
            <w:vMerge w:val="restart"/>
            <w:tcBorders>
              <w:top w:val="nil"/>
            </w:tcBorders>
            <w:vAlign w:val="center"/>
          </w:tcPr>
          <w:p>
            <w:pPr>
              <w:pStyle w:val="30"/>
              <w:shd w:val="clear" w:color="auto" w:fill="FFFFFF"/>
              <w:spacing w:before="0" w:beforeAutospacing="0" w:after="0" w:afterAutospacing="0"/>
              <w:jc w:val="center"/>
              <w:rPr>
                <w:bCs/>
                <w:spacing w:val="16"/>
              </w:rPr>
            </w:pPr>
          </w:p>
        </w:tc>
        <w:tc>
          <w:tcPr>
            <w:tcW w:w="910" w:type="dxa"/>
            <w:gridSpan w:val="2"/>
            <w:tcBorders>
              <w:top w:val="nil"/>
              <w:bottom w:val="single" w:color="auto" w:sz="4" w:space="0"/>
            </w:tcBorders>
            <w:vAlign w:val="center"/>
          </w:tcPr>
          <w:p>
            <w:pPr>
              <w:pStyle w:val="30"/>
              <w:shd w:val="clear" w:color="auto" w:fill="FFFFFF"/>
              <w:spacing w:before="0" w:beforeAutospacing="0" w:after="0" w:afterAutospacing="0"/>
              <w:jc w:val="center"/>
              <w:rPr>
                <w:bCs/>
                <w:spacing w:val="16"/>
              </w:rPr>
            </w:pPr>
            <w:r>
              <w:rPr>
                <w:rFonts w:hint="eastAsia"/>
                <w:bCs/>
                <w:spacing w:val="16"/>
              </w:rPr>
              <w:t>固定电话</w:t>
            </w:r>
          </w:p>
        </w:tc>
        <w:tc>
          <w:tcPr>
            <w:tcW w:w="2368" w:type="dxa"/>
            <w:gridSpan w:val="3"/>
            <w:tcBorders>
              <w:top w:val="nil"/>
              <w:bottom w:val="single" w:color="auto" w:sz="4" w:space="0"/>
            </w:tcBorders>
            <w:vAlign w:val="center"/>
          </w:tcPr>
          <w:p>
            <w:pPr>
              <w:widowControl/>
              <w:jc w:val="center"/>
              <w:rPr>
                <w:rFonts w:ascii="宋体" w:hAnsi="宋体" w:cs="宋体"/>
                <w:bCs/>
                <w:spacing w:val="16"/>
                <w:kern w:val="0"/>
                <w:sz w:val="24"/>
              </w:rPr>
            </w:pPr>
          </w:p>
          <w:p>
            <w:pPr>
              <w:pStyle w:val="30"/>
              <w:shd w:val="clear" w:color="auto" w:fill="FFFFFF"/>
              <w:spacing w:before="0" w:beforeAutospacing="0" w:after="0" w:afterAutospacing="0"/>
              <w:jc w:val="center"/>
              <w:rPr>
                <w:bCs/>
                <w:spacing w:val="16"/>
              </w:rPr>
            </w:pPr>
          </w:p>
        </w:tc>
        <w:tc>
          <w:tcPr>
            <w:tcW w:w="2001" w:type="dxa"/>
            <w:gridSpan w:val="3"/>
            <w:vMerge w:val="restart"/>
            <w:vAlign w:val="center"/>
          </w:tcPr>
          <w:p>
            <w:pPr>
              <w:pStyle w:val="30"/>
              <w:shd w:val="clear" w:color="auto" w:fill="FFFFFF"/>
              <w:spacing w:before="0" w:beforeAutospacing="0" w:after="0" w:afterAutospacing="0"/>
              <w:jc w:val="center"/>
              <w:rPr>
                <w:bCs/>
                <w:spacing w:val="16"/>
              </w:rPr>
            </w:pPr>
            <w:r>
              <w:rPr>
                <w:rFonts w:hint="eastAsia"/>
                <w:bCs/>
                <w:spacing w:val="16"/>
              </w:rPr>
              <w:t>传真</w:t>
            </w:r>
          </w:p>
        </w:tc>
        <w:tc>
          <w:tcPr>
            <w:tcW w:w="2151" w:type="dxa"/>
            <w:gridSpan w:val="2"/>
            <w:vMerge w:val="restart"/>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23" w:type="dxa"/>
            <w:vMerge w:val="continue"/>
            <w:tcBorders>
              <w:bottom w:val="single" w:color="auto" w:sz="4" w:space="0"/>
            </w:tcBorders>
            <w:vAlign w:val="center"/>
          </w:tcPr>
          <w:p>
            <w:pPr>
              <w:pStyle w:val="30"/>
              <w:shd w:val="clear" w:color="auto" w:fill="FFFFFF"/>
              <w:spacing w:before="0" w:beforeAutospacing="0" w:after="0" w:afterAutospacing="0"/>
              <w:jc w:val="center"/>
              <w:rPr>
                <w:bCs/>
              </w:rPr>
            </w:pPr>
          </w:p>
        </w:tc>
        <w:tc>
          <w:tcPr>
            <w:tcW w:w="820" w:type="dxa"/>
            <w:vMerge w:val="continue"/>
            <w:tcBorders>
              <w:bottom w:val="single" w:color="auto" w:sz="4" w:space="0"/>
            </w:tcBorders>
            <w:vAlign w:val="center"/>
          </w:tcPr>
          <w:p>
            <w:pPr>
              <w:pStyle w:val="30"/>
              <w:shd w:val="clear" w:color="auto" w:fill="FFFFFF"/>
              <w:spacing w:before="0" w:beforeAutospacing="0" w:after="0" w:afterAutospacing="0"/>
              <w:jc w:val="center"/>
              <w:rPr>
                <w:bCs/>
                <w:spacing w:val="16"/>
              </w:rPr>
            </w:pPr>
          </w:p>
        </w:tc>
        <w:tc>
          <w:tcPr>
            <w:tcW w:w="910" w:type="dxa"/>
            <w:gridSpan w:val="2"/>
            <w:tcBorders>
              <w:bottom w:val="single" w:color="auto" w:sz="4" w:space="0"/>
            </w:tcBorders>
            <w:vAlign w:val="center"/>
          </w:tcPr>
          <w:p>
            <w:pPr>
              <w:pStyle w:val="30"/>
              <w:shd w:val="clear" w:color="auto" w:fill="FFFFFF"/>
              <w:spacing w:before="0" w:beforeAutospacing="0" w:after="0" w:afterAutospacing="0"/>
              <w:jc w:val="center"/>
              <w:rPr>
                <w:bCs/>
                <w:spacing w:val="16"/>
              </w:rPr>
            </w:pPr>
            <w:r>
              <w:rPr>
                <w:rFonts w:hint="eastAsia"/>
                <w:bCs/>
                <w:spacing w:val="27"/>
              </w:rPr>
              <w:t>手机</w:t>
            </w:r>
          </w:p>
        </w:tc>
        <w:tc>
          <w:tcPr>
            <w:tcW w:w="2368" w:type="dxa"/>
            <w:gridSpan w:val="3"/>
            <w:tcBorders>
              <w:bottom w:val="single" w:color="auto" w:sz="4" w:space="0"/>
            </w:tcBorders>
            <w:vAlign w:val="center"/>
          </w:tcPr>
          <w:p>
            <w:pPr>
              <w:pStyle w:val="30"/>
              <w:shd w:val="clear" w:color="auto" w:fill="FFFFFF"/>
              <w:spacing w:before="0" w:beforeAutospacing="0" w:after="0" w:afterAutospacing="0"/>
              <w:jc w:val="center"/>
              <w:rPr>
                <w:bCs/>
                <w:spacing w:val="16"/>
              </w:rPr>
            </w:pPr>
          </w:p>
        </w:tc>
        <w:tc>
          <w:tcPr>
            <w:tcW w:w="2001" w:type="dxa"/>
            <w:gridSpan w:val="3"/>
            <w:vMerge w:val="continue"/>
            <w:vAlign w:val="center"/>
          </w:tcPr>
          <w:p>
            <w:pPr>
              <w:pStyle w:val="30"/>
              <w:shd w:val="clear" w:color="auto" w:fill="FFFFFF"/>
              <w:spacing w:before="0" w:beforeAutospacing="0" w:after="0" w:afterAutospacing="0"/>
              <w:jc w:val="center"/>
              <w:rPr>
                <w:bCs/>
                <w:spacing w:val="16"/>
              </w:rPr>
            </w:pPr>
          </w:p>
        </w:tc>
        <w:tc>
          <w:tcPr>
            <w:tcW w:w="2151" w:type="dxa"/>
            <w:gridSpan w:val="2"/>
            <w:vMerge w:val="continue"/>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23" w:type="dxa"/>
            <w:vMerge w:val="restart"/>
            <w:vAlign w:val="center"/>
          </w:tcPr>
          <w:p>
            <w:pPr>
              <w:pStyle w:val="30"/>
              <w:shd w:val="clear" w:color="auto" w:fill="FFFFFF"/>
              <w:spacing w:before="0" w:beforeAutospacing="0" w:after="0" w:afterAutospacing="0"/>
              <w:jc w:val="center"/>
              <w:rPr>
                <w:bCs/>
              </w:rPr>
            </w:pPr>
            <w:r>
              <w:rPr>
                <w:bCs/>
              </w:rPr>
              <w:t>1</w:t>
            </w:r>
            <w:r>
              <w:rPr>
                <w:rFonts w:hint="eastAsia"/>
                <w:bCs/>
              </w:rPr>
              <w:t>.</w:t>
            </w:r>
          </w:p>
          <w:p>
            <w:pPr>
              <w:pStyle w:val="30"/>
              <w:shd w:val="clear" w:color="auto" w:fill="FFFFFF"/>
              <w:spacing w:before="0" w:beforeAutospacing="0" w:after="0" w:afterAutospacing="0"/>
              <w:jc w:val="center"/>
              <w:rPr>
                <w:bCs/>
              </w:rPr>
            </w:pPr>
            <w:r>
              <w:rPr>
                <w:rFonts w:hint="eastAsia"/>
                <w:bCs/>
              </w:rPr>
              <w:t>企</w:t>
            </w:r>
          </w:p>
          <w:p>
            <w:pPr>
              <w:pStyle w:val="30"/>
              <w:shd w:val="clear" w:color="auto" w:fill="FFFFFF"/>
              <w:spacing w:before="0" w:beforeAutospacing="0" w:after="0" w:afterAutospacing="0"/>
              <w:jc w:val="center"/>
              <w:rPr>
                <w:bCs/>
              </w:rPr>
            </w:pPr>
            <w:r>
              <w:rPr>
                <w:rFonts w:hint="eastAsia"/>
                <w:bCs/>
              </w:rPr>
              <w:t>业</w:t>
            </w:r>
          </w:p>
          <w:p>
            <w:pPr>
              <w:pStyle w:val="30"/>
              <w:shd w:val="clear" w:color="auto" w:fill="FFFFFF"/>
              <w:spacing w:before="0" w:beforeAutospacing="0" w:after="0" w:afterAutospacing="0"/>
              <w:jc w:val="center"/>
              <w:rPr>
                <w:bCs/>
                <w:spacing w:val="27"/>
              </w:rPr>
            </w:pPr>
            <w:r>
              <w:rPr>
                <w:rFonts w:hint="eastAsia"/>
                <w:bCs/>
                <w:spacing w:val="27"/>
              </w:rPr>
              <w:t>概</w:t>
            </w:r>
          </w:p>
          <w:p>
            <w:pPr>
              <w:pStyle w:val="30"/>
              <w:shd w:val="clear" w:color="auto" w:fill="FFFFFF"/>
              <w:spacing w:before="0" w:beforeAutospacing="0" w:after="0" w:afterAutospacing="0"/>
              <w:jc w:val="center"/>
              <w:rPr>
                <w:bCs/>
              </w:rPr>
            </w:pPr>
            <w:r>
              <w:rPr>
                <w:rFonts w:hint="eastAsia"/>
                <w:bCs/>
                <w:spacing w:val="27"/>
              </w:rPr>
              <w:t>况</w:t>
            </w:r>
          </w:p>
        </w:tc>
        <w:tc>
          <w:tcPr>
            <w:tcW w:w="820" w:type="dxa"/>
            <w:tcBorders>
              <w:top w:val="nil"/>
            </w:tcBorders>
            <w:vAlign w:val="center"/>
          </w:tcPr>
          <w:p>
            <w:pPr>
              <w:pStyle w:val="30"/>
              <w:shd w:val="clear" w:color="auto" w:fill="FFFFFF"/>
              <w:spacing w:before="0" w:beforeAutospacing="0" w:after="0" w:afterAutospacing="0"/>
              <w:jc w:val="center"/>
              <w:rPr>
                <w:bCs/>
                <w:spacing w:val="16"/>
              </w:rPr>
            </w:pPr>
            <w:r>
              <w:rPr>
                <w:rFonts w:hint="eastAsia"/>
                <w:bCs/>
                <w:spacing w:val="16"/>
              </w:rPr>
              <w:t>职工人数</w:t>
            </w:r>
          </w:p>
        </w:tc>
        <w:tc>
          <w:tcPr>
            <w:tcW w:w="910" w:type="dxa"/>
            <w:gridSpan w:val="2"/>
            <w:tcBorders>
              <w:top w:val="nil"/>
            </w:tcBorders>
            <w:vAlign w:val="center"/>
          </w:tcPr>
          <w:p>
            <w:pPr>
              <w:pStyle w:val="30"/>
              <w:shd w:val="clear" w:color="auto" w:fill="FFFFFF"/>
              <w:spacing w:before="0" w:beforeAutospacing="0" w:after="0" w:afterAutospacing="0"/>
              <w:jc w:val="center"/>
              <w:rPr>
                <w:bCs/>
                <w:spacing w:val="16"/>
              </w:rPr>
            </w:pPr>
          </w:p>
        </w:tc>
        <w:tc>
          <w:tcPr>
            <w:tcW w:w="1163" w:type="dxa"/>
            <w:tcBorders>
              <w:top w:val="nil"/>
            </w:tcBorders>
            <w:vAlign w:val="center"/>
          </w:tcPr>
          <w:p>
            <w:pPr>
              <w:pStyle w:val="30"/>
              <w:shd w:val="clear" w:color="auto" w:fill="FFFFFF"/>
              <w:spacing w:before="0" w:beforeAutospacing="0" w:after="0" w:afterAutospacing="0"/>
              <w:jc w:val="center"/>
              <w:rPr>
                <w:bCs/>
              </w:rPr>
            </w:pPr>
            <w:r>
              <w:rPr>
                <w:rFonts w:hint="eastAsia"/>
                <w:bCs/>
                <w:spacing w:val="18"/>
              </w:rPr>
              <w:t>具备大专以</w:t>
            </w:r>
            <w:r>
              <w:rPr>
                <w:rFonts w:hint="eastAsia"/>
                <w:bCs/>
                <w:spacing w:val="12"/>
              </w:rPr>
              <w:t>上学历人数</w:t>
            </w:r>
          </w:p>
        </w:tc>
        <w:tc>
          <w:tcPr>
            <w:tcW w:w="1205" w:type="dxa"/>
            <w:gridSpan w:val="2"/>
            <w:tcBorders>
              <w:top w:val="nil"/>
            </w:tcBorders>
            <w:vAlign w:val="center"/>
          </w:tcPr>
          <w:p>
            <w:pPr>
              <w:widowControl/>
              <w:jc w:val="center"/>
              <w:rPr>
                <w:rFonts w:ascii="宋体" w:hAnsi="宋体" w:cs="宋体"/>
                <w:bCs/>
                <w:spacing w:val="16"/>
                <w:kern w:val="0"/>
                <w:sz w:val="24"/>
              </w:rPr>
            </w:pPr>
          </w:p>
          <w:p>
            <w:pPr>
              <w:widowControl/>
              <w:jc w:val="center"/>
              <w:rPr>
                <w:rFonts w:ascii="宋体" w:hAnsi="宋体" w:cs="宋体"/>
                <w:bCs/>
                <w:spacing w:val="16"/>
                <w:kern w:val="0"/>
                <w:sz w:val="24"/>
              </w:rPr>
            </w:pPr>
          </w:p>
          <w:p>
            <w:pPr>
              <w:pStyle w:val="30"/>
              <w:shd w:val="clear" w:color="auto" w:fill="FFFFFF"/>
              <w:spacing w:before="0" w:beforeAutospacing="0" w:after="0" w:afterAutospacing="0"/>
              <w:jc w:val="center"/>
              <w:rPr>
                <w:bCs/>
                <w:spacing w:val="16"/>
              </w:rPr>
            </w:pPr>
          </w:p>
        </w:tc>
        <w:tc>
          <w:tcPr>
            <w:tcW w:w="2001" w:type="dxa"/>
            <w:gridSpan w:val="3"/>
            <w:vAlign w:val="center"/>
          </w:tcPr>
          <w:p>
            <w:pPr>
              <w:pStyle w:val="30"/>
              <w:shd w:val="clear" w:color="auto" w:fill="FFFFFF"/>
              <w:spacing w:before="0" w:beforeAutospacing="0" w:after="0" w:afterAutospacing="0"/>
              <w:jc w:val="center"/>
              <w:rPr>
                <w:bCs/>
                <w:spacing w:val="16"/>
              </w:rPr>
            </w:pPr>
            <w:r>
              <w:rPr>
                <w:rFonts w:hint="eastAsia"/>
                <w:bCs/>
                <w:spacing w:val="65"/>
              </w:rPr>
              <w:t>国家授予技</w:t>
            </w:r>
            <w:r>
              <w:rPr>
                <w:rFonts w:hint="eastAsia"/>
                <w:bCs/>
                <w:spacing w:val="12"/>
              </w:rPr>
              <w:t>术职称人数</w:t>
            </w:r>
          </w:p>
        </w:tc>
        <w:tc>
          <w:tcPr>
            <w:tcW w:w="2151" w:type="dxa"/>
            <w:gridSpan w:val="2"/>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23" w:type="dxa"/>
            <w:vMerge w:val="continue"/>
            <w:vAlign w:val="center"/>
          </w:tcPr>
          <w:p>
            <w:pPr>
              <w:pStyle w:val="30"/>
              <w:shd w:val="clear" w:color="auto" w:fill="FFFFFF"/>
              <w:spacing w:before="0" w:beforeAutospacing="0" w:after="0" w:afterAutospacing="0"/>
              <w:jc w:val="center"/>
              <w:rPr>
                <w:bCs/>
              </w:rPr>
            </w:pPr>
          </w:p>
        </w:tc>
        <w:tc>
          <w:tcPr>
            <w:tcW w:w="820" w:type="dxa"/>
            <w:vAlign w:val="center"/>
          </w:tcPr>
          <w:p>
            <w:pPr>
              <w:pStyle w:val="30"/>
              <w:shd w:val="clear" w:color="auto" w:fill="FFFFFF"/>
              <w:spacing w:before="0" w:beforeAutospacing="0" w:after="0" w:afterAutospacing="0"/>
              <w:jc w:val="center"/>
              <w:rPr>
                <w:bCs/>
              </w:rPr>
            </w:pPr>
            <w:r>
              <w:rPr>
                <w:rFonts w:hint="eastAsia"/>
                <w:bCs/>
                <w:spacing w:val="16"/>
              </w:rPr>
              <w:t>占地面积</w:t>
            </w:r>
          </w:p>
        </w:tc>
        <w:tc>
          <w:tcPr>
            <w:tcW w:w="910" w:type="dxa"/>
            <w:gridSpan w:val="2"/>
            <w:vAlign w:val="center"/>
          </w:tcPr>
          <w:p>
            <w:pPr>
              <w:pStyle w:val="30"/>
              <w:shd w:val="clear" w:color="auto" w:fill="FFFFFF"/>
              <w:spacing w:before="0" w:beforeAutospacing="0" w:after="0" w:afterAutospacing="0"/>
              <w:jc w:val="center"/>
              <w:rPr>
                <w:bCs/>
              </w:rPr>
            </w:pPr>
          </w:p>
        </w:tc>
        <w:tc>
          <w:tcPr>
            <w:tcW w:w="1163" w:type="dxa"/>
            <w:vAlign w:val="center"/>
          </w:tcPr>
          <w:p>
            <w:pPr>
              <w:pStyle w:val="30"/>
              <w:shd w:val="clear" w:color="auto" w:fill="FFFFFF"/>
              <w:spacing w:before="0" w:beforeAutospacing="0" w:after="0" w:afterAutospacing="0"/>
              <w:jc w:val="center"/>
              <w:rPr>
                <w:bCs/>
              </w:rPr>
            </w:pPr>
            <w:r>
              <w:rPr>
                <w:rFonts w:hint="eastAsia"/>
                <w:bCs/>
                <w:spacing w:val="16"/>
              </w:rPr>
              <w:t>建筑面积</w:t>
            </w:r>
          </w:p>
        </w:tc>
        <w:tc>
          <w:tcPr>
            <w:tcW w:w="1205" w:type="dxa"/>
            <w:gridSpan w:val="2"/>
            <w:vAlign w:val="center"/>
          </w:tcPr>
          <w:p>
            <w:pPr>
              <w:pStyle w:val="30"/>
              <w:shd w:val="clear" w:color="auto" w:fill="FFFFFF"/>
              <w:spacing w:before="0" w:beforeAutospacing="0" w:after="0" w:afterAutospacing="0"/>
              <w:jc w:val="center"/>
              <w:rPr>
                <w:bCs/>
              </w:rPr>
            </w:pPr>
            <w:r>
              <w:rPr>
                <w:rFonts w:hint="eastAsia"/>
                <w:bCs/>
              </w:rPr>
              <w:t>平方米</w:t>
            </w:r>
          </w:p>
          <w:p>
            <w:pPr>
              <w:pStyle w:val="30"/>
              <w:shd w:val="clear" w:color="auto" w:fill="FFFFFF"/>
              <w:spacing w:before="0" w:beforeAutospacing="0" w:after="0" w:afterAutospacing="0"/>
              <w:jc w:val="center"/>
              <w:rPr>
                <w:bCs/>
              </w:rPr>
            </w:pPr>
            <w:r>
              <w:rPr>
                <w:rFonts w:hint="eastAsia"/>
                <w:bCs/>
                <w:spacing w:val="16"/>
              </w:rPr>
              <w:t>□自有□租赁</w:t>
            </w:r>
          </w:p>
        </w:tc>
        <w:tc>
          <w:tcPr>
            <w:tcW w:w="2001" w:type="dxa"/>
            <w:gridSpan w:val="3"/>
            <w:vAlign w:val="center"/>
          </w:tcPr>
          <w:p>
            <w:pPr>
              <w:pStyle w:val="30"/>
              <w:shd w:val="clear" w:color="auto" w:fill="FFFFFF"/>
              <w:spacing w:before="0" w:beforeAutospacing="0" w:after="0" w:afterAutospacing="0"/>
              <w:jc w:val="center"/>
              <w:rPr>
                <w:bCs/>
              </w:rPr>
            </w:pPr>
            <w:r>
              <w:rPr>
                <w:rFonts w:hint="eastAsia"/>
                <w:bCs/>
                <w:spacing w:val="16"/>
              </w:rPr>
              <w:t>生产经营场所及场所的设施与设备</w:t>
            </w:r>
          </w:p>
        </w:tc>
        <w:tc>
          <w:tcPr>
            <w:tcW w:w="2151" w:type="dxa"/>
            <w:gridSpan w:val="2"/>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23" w:type="dxa"/>
            <w:vMerge w:val="continue"/>
            <w:vAlign w:val="center"/>
          </w:tcPr>
          <w:p>
            <w:pPr>
              <w:pStyle w:val="30"/>
              <w:shd w:val="clear" w:color="auto" w:fill="FFFFFF"/>
              <w:spacing w:before="0" w:beforeAutospacing="0" w:after="0" w:afterAutospacing="0"/>
              <w:jc w:val="center"/>
              <w:rPr>
                <w:bCs/>
              </w:rPr>
            </w:pPr>
          </w:p>
        </w:tc>
        <w:tc>
          <w:tcPr>
            <w:tcW w:w="820" w:type="dxa"/>
            <w:vAlign w:val="center"/>
          </w:tcPr>
          <w:p>
            <w:pPr>
              <w:pStyle w:val="30"/>
              <w:shd w:val="clear" w:color="auto" w:fill="FFFFFF"/>
              <w:spacing w:before="0" w:beforeAutospacing="0" w:after="0" w:afterAutospacing="0"/>
              <w:jc w:val="center"/>
              <w:rPr>
                <w:bCs/>
                <w:spacing w:val="16"/>
              </w:rPr>
            </w:pPr>
            <w:r>
              <w:rPr>
                <w:rFonts w:hint="eastAsia"/>
                <w:bCs/>
                <w:spacing w:val="16"/>
              </w:rPr>
              <w:t>注册资金</w:t>
            </w:r>
          </w:p>
        </w:tc>
        <w:tc>
          <w:tcPr>
            <w:tcW w:w="910" w:type="dxa"/>
            <w:gridSpan w:val="2"/>
            <w:vAlign w:val="center"/>
          </w:tcPr>
          <w:p>
            <w:pPr>
              <w:pStyle w:val="30"/>
              <w:shd w:val="clear" w:color="auto" w:fill="FFFFFF"/>
              <w:spacing w:before="0" w:beforeAutospacing="0" w:after="0" w:afterAutospacing="0"/>
              <w:jc w:val="center"/>
              <w:rPr>
                <w:bCs/>
              </w:rPr>
            </w:pPr>
          </w:p>
        </w:tc>
        <w:tc>
          <w:tcPr>
            <w:tcW w:w="1163" w:type="dxa"/>
            <w:vAlign w:val="center"/>
          </w:tcPr>
          <w:p>
            <w:pPr>
              <w:pStyle w:val="30"/>
              <w:shd w:val="clear" w:color="auto" w:fill="FFFFFF"/>
              <w:spacing w:before="0" w:beforeAutospacing="0" w:after="0" w:afterAutospacing="0"/>
              <w:jc w:val="center"/>
              <w:rPr>
                <w:bCs/>
              </w:rPr>
            </w:pPr>
            <w:r>
              <w:rPr>
                <w:rFonts w:hint="eastAsia"/>
                <w:bCs/>
                <w:spacing w:val="16"/>
              </w:rPr>
              <w:t>注册发证</w:t>
            </w:r>
            <w:r>
              <w:rPr>
                <w:rFonts w:hint="eastAsia"/>
                <w:bCs/>
                <w:spacing w:val="27"/>
              </w:rPr>
              <w:t>机关</w:t>
            </w:r>
          </w:p>
        </w:tc>
        <w:tc>
          <w:tcPr>
            <w:tcW w:w="3206" w:type="dxa"/>
            <w:gridSpan w:val="5"/>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1218" w:type="dxa"/>
            <w:vAlign w:val="center"/>
          </w:tcPr>
          <w:p>
            <w:pPr>
              <w:pStyle w:val="30"/>
              <w:shd w:val="clear" w:color="auto" w:fill="FFFFFF"/>
              <w:spacing w:before="0" w:beforeAutospacing="0" w:after="0" w:afterAutospacing="0"/>
              <w:jc w:val="center"/>
              <w:rPr>
                <w:bCs/>
              </w:rPr>
            </w:pPr>
            <w:r>
              <w:rPr>
                <w:rFonts w:hint="eastAsia"/>
                <w:bCs/>
              </w:rPr>
              <w:t>公司成</w:t>
            </w:r>
            <w:r>
              <w:rPr>
                <w:rFonts w:hint="eastAsia"/>
                <w:bCs/>
                <w:spacing w:val="12"/>
              </w:rPr>
              <w:t>立时间</w:t>
            </w:r>
          </w:p>
        </w:tc>
        <w:tc>
          <w:tcPr>
            <w:tcW w:w="933" w:type="dxa"/>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823" w:type="dxa"/>
            <w:vMerge w:val="continue"/>
            <w:vAlign w:val="center"/>
          </w:tcPr>
          <w:p>
            <w:pPr>
              <w:pStyle w:val="30"/>
              <w:shd w:val="clear" w:color="auto" w:fill="FFFFFF"/>
              <w:spacing w:before="0" w:beforeAutospacing="0" w:after="0" w:afterAutospacing="0"/>
              <w:jc w:val="center"/>
              <w:rPr>
                <w:bCs/>
              </w:rPr>
            </w:pPr>
          </w:p>
        </w:tc>
        <w:tc>
          <w:tcPr>
            <w:tcW w:w="820" w:type="dxa"/>
            <w:vAlign w:val="center"/>
          </w:tcPr>
          <w:p>
            <w:pPr>
              <w:pStyle w:val="30"/>
              <w:shd w:val="clear" w:color="auto" w:fill="FFFFFF"/>
              <w:spacing w:before="0" w:beforeAutospacing="0" w:after="0" w:afterAutospacing="0"/>
              <w:jc w:val="center"/>
              <w:rPr>
                <w:bCs/>
              </w:rPr>
            </w:pPr>
            <w:r>
              <w:rPr>
                <w:rFonts w:hint="eastAsia"/>
                <w:bCs/>
              </w:rPr>
              <w:t>核准经营范围</w:t>
            </w:r>
          </w:p>
        </w:tc>
        <w:tc>
          <w:tcPr>
            <w:tcW w:w="7430" w:type="dxa"/>
            <w:gridSpan w:val="10"/>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23" w:type="dxa"/>
            <w:vMerge w:val="continue"/>
            <w:vAlign w:val="center"/>
          </w:tcPr>
          <w:p>
            <w:pPr>
              <w:pStyle w:val="30"/>
              <w:shd w:val="clear" w:color="auto" w:fill="FFFFFF"/>
              <w:spacing w:before="0" w:beforeAutospacing="0" w:after="0" w:afterAutospacing="0"/>
              <w:jc w:val="center"/>
              <w:rPr>
                <w:bCs/>
              </w:rPr>
            </w:pPr>
          </w:p>
        </w:tc>
        <w:tc>
          <w:tcPr>
            <w:tcW w:w="8250" w:type="dxa"/>
            <w:gridSpan w:val="11"/>
            <w:vAlign w:val="center"/>
          </w:tcPr>
          <w:p>
            <w:pPr>
              <w:pStyle w:val="30"/>
              <w:shd w:val="clear" w:color="auto" w:fill="FFFFFF"/>
              <w:spacing w:before="0" w:beforeAutospacing="0" w:after="0" w:afterAutospacing="0"/>
              <w:jc w:val="center"/>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23" w:type="dxa"/>
            <w:vMerge w:val="restart"/>
            <w:vAlign w:val="center"/>
          </w:tcPr>
          <w:p>
            <w:pPr>
              <w:pStyle w:val="30"/>
              <w:shd w:val="clear" w:color="auto" w:fill="FFFFFF"/>
              <w:spacing w:before="0" w:beforeAutospacing="0" w:after="0" w:afterAutospacing="0"/>
              <w:jc w:val="center"/>
              <w:rPr>
                <w:bCs/>
              </w:rPr>
            </w:pPr>
            <w:r>
              <w:rPr>
                <w:bCs/>
              </w:rPr>
              <w:t>2</w:t>
            </w:r>
            <w:r>
              <w:rPr>
                <w:rFonts w:hint="eastAsia"/>
                <w:bCs/>
              </w:rPr>
              <w:t>．</w:t>
            </w:r>
          </w:p>
          <w:p>
            <w:pPr>
              <w:pStyle w:val="30"/>
              <w:shd w:val="clear" w:color="auto" w:fill="FFFFFF"/>
              <w:spacing w:before="0" w:beforeAutospacing="0" w:after="0" w:afterAutospacing="0"/>
              <w:jc w:val="center"/>
              <w:rPr>
                <w:bCs/>
                <w:spacing w:val="16"/>
              </w:rPr>
            </w:pPr>
            <w:r>
              <w:rPr>
                <w:rFonts w:hint="eastAsia"/>
                <w:bCs/>
              </w:rPr>
              <w:t>企</w:t>
            </w:r>
            <w:r>
              <w:rPr>
                <w:rFonts w:hint="eastAsia"/>
                <w:bCs/>
                <w:spacing w:val="12"/>
              </w:rPr>
              <w:t>业有关资质获证情况</w:t>
            </w:r>
          </w:p>
        </w:tc>
        <w:tc>
          <w:tcPr>
            <w:tcW w:w="1672" w:type="dxa"/>
            <w:gridSpan w:val="2"/>
            <w:vMerge w:val="restart"/>
            <w:vAlign w:val="center"/>
          </w:tcPr>
          <w:p>
            <w:pPr>
              <w:pStyle w:val="30"/>
              <w:shd w:val="clear" w:color="auto" w:fill="FFFFFF"/>
              <w:spacing w:before="0" w:beforeAutospacing="0" w:after="0" w:afterAutospacing="0"/>
              <w:jc w:val="center"/>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vAlign w:val="center"/>
          </w:tcPr>
          <w:p>
            <w:pPr>
              <w:pStyle w:val="30"/>
              <w:shd w:val="clear" w:color="auto" w:fill="FFFFFF"/>
              <w:spacing w:before="0" w:beforeAutospacing="0" w:after="0" w:afterAutospacing="0"/>
              <w:jc w:val="center"/>
              <w:rPr>
                <w:bCs/>
                <w:spacing w:val="16"/>
              </w:rPr>
            </w:pPr>
            <w:r>
              <w:rPr>
                <w:rFonts w:hint="eastAsia"/>
                <w:bCs/>
                <w:spacing w:val="16"/>
              </w:rPr>
              <w:t>产品名称</w:t>
            </w:r>
          </w:p>
        </w:tc>
        <w:tc>
          <w:tcPr>
            <w:tcW w:w="1418" w:type="dxa"/>
            <w:gridSpan w:val="2"/>
            <w:vAlign w:val="center"/>
          </w:tcPr>
          <w:p>
            <w:pPr>
              <w:pStyle w:val="30"/>
              <w:shd w:val="clear" w:color="auto" w:fill="FFFFFF"/>
              <w:spacing w:before="0" w:beforeAutospacing="0" w:after="0" w:afterAutospacing="0"/>
              <w:jc w:val="center"/>
              <w:rPr>
                <w:bCs/>
              </w:rPr>
            </w:pPr>
            <w:r>
              <w:rPr>
                <w:rFonts w:hint="eastAsia"/>
                <w:bCs/>
                <w:spacing w:val="16"/>
              </w:rPr>
              <w:t>发证机关</w:t>
            </w:r>
          </w:p>
        </w:tc>
        <w:tc>
          <w:tcPr>
            <w:tcW w:w="1276" w:type="dxa"/>
            <w:vAlign w:val="center"/>
          </w:tcPr>
          <w:p>
            <w:pPr>
              <w:pStyle w:val="30"/>
              <w:shd w:val="clear" w:color="auto" w:fill="FFFFFF"/>
              <w:spacing w:before="0" w:beforeAutospacing="0" w:after="0" w:afterAutospacing="0"/>
              <w:jc w:val="center"/>
              <w:rPr>
                <w:bCs/>
              </w:rPr>
            </w:pPr>
            <w:r>
              <w:rPr>
                <w:rFonts w:hint="eastAsia"/>
                <w:bCs/>
                <w:spacing w:val="27"/>
              </w:rPr>
              <w:t>编号</w:t>
            </w:r>
          </w:p>
        </w:tc>
        <w:tc>
          <w:tcPr>
            <w:tcW w:w="1618" w:type="dxa"/>
            <w:gridSpan w:val="2"/>
            <w:vAlign w:val="center"/>
          </w:tcPr>
          <w:p>
            <w:pPr>
              <w:pStyle w:val="30"/>
              <w:shd w:val="clear" w:color="auto" w:fill="FFFFFF"/>
              <w:spacing w:before="0" w:beforeAutospacing="0" w:after="0" w:afterAutospacing="0"/>
              <w:jc w:val="center"/>
              <w:rPr>
                <w:bCs/>
              </w:rPr>
            </w:pPr>
            <w:r>
              <w:rPr>
                <w:rFonts w:hint="eastAsia"/>
                <w:bCs/>
                <w:spacing w:val="16"/>
              </w:rPr>
              <w:t>发证时间</w:t>
            </w:r>
          </w:p>
        </w:tc>
        <w:tc>
          <w:tcPr>
            <w:tcW w:w="933" w:type="dxa"/>
            <w:vAlign w:val="center"/>
          </w:tcPr>
          <w:p>
            <w:pPr>
              <w:pStyle w:val="30"/>
              <w:shd w:val="clear" w:color="auto" w:fill="FFFFFF"/>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823" w:type="dxa"/>
            <w:vMerge w:val="continue"/>
            <w:vAlign w:val="center"/>
          </w:tcPr>
          <w:p>
            <w:pPr>
              <w:pStyle w:val="30"/>
              <w:shd w:val="clear" w:color="auto" w:fill="FFFFFF"/>
              <w:spacing w:before="0" w:beforeAutospacing="0" w:after="0" w:afterAutospacing="0"/>
              <w:jc w:val="center"/>
              <w:rPr>
                <w:bCs/>
              </w:rPr>
            </w:pPr>
          </w:p>
        </w:tc>
        <w:tc>
          <w:tcPr>
            <w:tcW w:w="1672" w:type="dxa"/>
            <w:gridSpan w:val="2"/>
            <w:vMerge w:val="continue"/>
            <w:vAlign w:val="center"/>
          </w:tcPr>
          <w:p>
            <w:pPr>
              <w:pStyle w:val="30"/>
              <w:shd w:val="clear" w:color="auto" w:fill="FFFFFF"/>
              <w:spacing w:before="0" w:beforeAutospacing="0" w:after="0" w:afterAutospacing="0"/>
              <w:jc w:val="center"/>
              <w:rPr>
                <w:bCs/>
              </w:rPr>
            </w:pPr>
          </w:p>
        </w:tc>
        <w:tc>
          <w:tcPr>
            <w:tcW w:w="1333" w:type="dxa"/>
            <w:gridSpan w:val="3"/>
            <w:vAlign w:val="center"/>
          </w:tcPr>
          <w:p>
            <w:pPr>
              <w:pStyle w:val="30"/>
              <w:shd w:val="clear" w:color="auto" w:fill="FFFFFF"/>
              <w:spacing w:before="0" w:beforeAutospacing="0" w:after="0" w:afterAutospacing="0"/>
              <w:jc w:val="center"/>
              <w:rPr>
                <w:bCs/>
              </w:rPr>
            </w:pPr>
          </w:p>
        </w:tc>
        <w:tc>
          <w:tcPr>
            <w:tcW w:w="1418" w:type="dxa"/>
            <w:gridSpan w:val="2"/>
            <w:vAlign w:val="center"/>
          </w:tcPr>
          <w:p>
            <w:pPr>
              <w:pStyle w:val="30"/>
              <w:shd w:val="clear" w:color="auto" w:fill="FFFFFF"/>
              <w:spacing w:before="0" w:beforeAutospacing="0" w:after="0" w:afterAutospacing="0"/>
              <w:jc w:val="center"/>
              <w:rPr>
                <w:bCs/>
              </w:rPr>
            </w:pPr>
          </w:p>
        </w:tc>
        <w:tc>
          <w:tcPr>
            <w:tcW w:w="1276" w:type="dxa"/>
            <w:vAlign w:val="center"/>
          </w:tcPr>
          <w:p>
            <w:pPr>
              <w:pStyle w:val="30"/>
              <w:shd w:val="clear" w:color="auto" w:fill="FFFFFF"/>
              <w:spacing w:before="0" w:beforeAutospacing="0" w:after="0" w:afterAutospacing="0"/>
              <w:jc w:val="center"/>
              <w:rPr>
                <w:bCs/>
              </w:rPr>
            </w:pPr>
          </w:p>
        </w:tc>
        <w:tc>
          <w:tcPr>
            <w:tcW w:w="2551" w:type="dxa"/>
            <w:gridSpan w:val="3"/>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23" w:type="dxa"/>
            <w:vMerge w:val="continue"/>
            <w:vAlign w:val="center"/>
          </w:tcPr>
          <w:p>
            <w:pPr>
              <w:pStyle w:val="30"/>
              <w:shd w:val="clear" w:color="auto" w:fill="FFFFFF"/>
              <w:spacing w:before="0" w:beforeAutospacing="0" w:after="0" w:afterAutospacing="0"/>
              <w:jc w:val="center"/>
              <w:rPr>
                <w:bCs/>
                <w:spacing w:val="16"/>
              </w:rPr>
            </w:pPr>
          </w:p>
        </w:tc>
        <w:tc>
          <w:tcPr>
            <w:tcW w:w="1672" w:type="dxa"/>
            <w:gridSpan w:val="2"/>
            <w:vAlign w:val="center"/>
          </w:tcPr>
          <w:p>
            <w:pPr>
              <w:pStyle w:val="30"/>
              <w:shd w:val="clear" w:color="auto" w:fill="FFFFFF"/>
              <w:spacing w:before="0" w:beforeAutospacing="0" w:after="0" w:afterAutospacing="0"/>
              <w:jc w:val="center"/>
              <w:rPr>
                <w:bCs/>
                <w:spacing w:val="41"/>
              </w:rPr>
            </w:pPr>
            <w:r>
              <w:rPr>
                <w:rFonts w:hint="eastAsia"/>
                <w:bCs/>
                <w:spacing w:val="41"/>
              </w:rPr>
              <w:t>企业通过质量体系、环保</w:t>
            </w:r>
            <w:r>
              <w:rPr>
                <w:rFonts w:hint="eastAsia"/>
                <w:bCs/>
                <w:spacing w:val="11"/>
              </w:rPr>
              <w:t>体系、计量等认证情况</w:t>
            </w:r>
          </w:p>
        </w:tc>
        <w:tc>
          <w:tcPr>
            <w:tcW w:w="6578" w:type="dxa"/>
            <w:gridSpan w:val="9"/>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23" w:type="dxa"/>
            <w:vMerge w:val="continue"/>
            <w:vAlign w:val="center"/>
          </w:tcPr>
          <w:p>
            <w:pPr>
              <w:pStyle w:val="30"/>
              <w:shd w:val="clear" w:color="auto" w:fill="FFFFFF"/>
              <w:spacing w:before="0" w:beforeAutospacing="0" w:after="0" w:afterAutospacing="0"/>
              <w:jc w:val="center"/>
              <w:rPr>
                <w:bCs/>
                <w:spacing w:val="27"/>
              </w:rPr>
            </w:pPr>
          </w:p>
        </w:tc>
        <w:tc>
          <w:tcPr>
            <w:tcW w:w="1672" w:type="dxa"/>
            <w:gridSpan w:val="2"/>
            <w:vAlign w:val="center"/>
          </w:tcPr>
          <w:p>
            <w:pPr>
              <w:pStyle w:val="30"/>
              <w:shd w:val="clear" w:color="auto" w:fill="FFFFFF"/>
              <w:spacing w:before="0" w:beforeAutospacing="0" w:after="0" w:afterAutospacing="0"/>
              <w:jc w:val="center"/>
              <w:rPr>
                <w:bCs/>
                <w:spacing w:val="16"/>
              </w:rPr>
            </w:pPr>
            <w:r>
              <w:rPr>
                <w:rFonts w:hint="eastAsia"/>
                <w:bCs/>
                <w:spacing w:val="10"/>
              </w:rPr>
              <w:t>企业获得专利情况</w:t>
            </w:r>
          </w:p>
        </w:tc>
        <w:tc>
          <w:tcPr>
            <w:tcW w:w="6578" w:type="dxa"/>
            <w:gridSpan w:val="9"/>
            <w:vAlign w:val="center"/>
          </w:tcPr>
          <w:p>
            <w:pPr>
              <w:pStyle w:val="30"/>
              <w:shd w:val="clear" w:color="auto" w:fill="FFFFFF"/>
              <w:spacing w:before="0" w:beforeAutospacing="0" w:after="0" w:afterAutospacing="0"/>
              <w:jc w:val="center"/>
              <w:rPr>
                <w:bCs/>
                <w:spacing w:val="16"/>
              </w:rPr>
            </w:pPr>
          </w:p>
        </w:tc>
      </w:tr>
    </w:tbl>
    <w:p>
      <w:pPr>
        <w:pStyle w:val="30"/>
        <w:shd w:val="clear" w:color="auto" w:fill="FFFFFF"/>
        <w:spacing w:before="0" w:beforeAutospacing="0" w:after="0" w:afterAutospacing="0" w:line="360" w:lineRule="auto"/>
        <w:rPr>
          <w:rFonts w:ascii="仿宋_GB2312" w:eastAsia="仿宋_GB2312"/>
        </w:rPr>
      </w:pPr>
    </w:p>
    <w:p>
      <w:pPr>
        <w:pStyle w:val="30"/>
        <w:shd w:val="clear" w:color="auto" w:fill="FFFFFF"/>
        <w:spacing w:before="0" w:beforeAutospacing="0" w:after="0" w:afterAutospacing="0" w:line="360" w:lineRule="auto"/>
        <w:rPr>
          <w:b/>
          <w:sz w:val="21"/>
          <w:szCs w:val="21"/>
        </w:rPr>
      </w:pPr>
      <w:r>
        <w:rPr>
          <w:rFonts w:hint="eastAsia"/>
          <w:b/>
          <w:sz w:val="21"/>
          <w:szCs w:val="21"/>
        </w:rPr>
        <w:t>要求：</w:t>
      </w:r>
    </w:p>
    <w:p>
      <w:pPr>
        <w:pStyle w:val="30"/>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4"/>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6</w:t>
      </w:r>
    </w:p>
    <w:p>
      <w:pPr>
        <w:spacing w:line="360" w:lineRule="auto"/>
        <w:ind w:left="480"/>
        <w:jc w:val="center"/>
        <w:rPr>
          <w:rFonts w:ascii="宋体" w:hAnsi="宋体"/>
          <w:b/>
          <w:sz w:val="32"/>
          <w:szCs w:val="32"/>
        </w:rPr>
      </w:pPr>
      <w:bookmarkStart w:id="65" w:name="_Toc12856_WPSOffice_Level1"/>
      <w:bookmarkStart w:id="66" w:name="_Toc26601_WPSOffice_Level1"/>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bookmarkEnd w:id="65"/>
      <w:bookmarkEnd w:id="66"/>
    </w:p>
    <w:p>
      <w:pPr>
        <w:spacing w:line="360" w:lineRule="auto"/>
        <w:rPr>
          <w:rFonts w:ascii="宋体" w:hAnsi="宋体"/>
          <w:sz w:val="24"/>
        </w:rPr>
      </w:pPr>
    </w:p>
    <w:tbl>
      <w:tblPr>
        <w:tblStyle w:val="23"/>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348"/>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926" w:type="dxa"/>
            <w:vAlign w:val="center"/>
          </w:tcPr>
          <w:p>
            <w:pPr>
              <w:jc w:val="center"/>
              <w:rPr>
                <w:rFonts w:ascii="宋体" w:hAnsi="宋体"/>
                <w:b/>
                <w:sz w:val="24"/>
              </w:rPr>
            </w:pPr>
            <w:r>
              <w:rPr>
                <w:rFonts w:hint="eastAsia" w:ascii="宋体" w:hAnsi="宋体"/>
                <w:b/>
                <w:sz w:val="24"/>
              </w:rPr>
              <w:t>序号</w:t>
            </w:r>
          </w:p>
        </w:tc>
        <w:tc>
          <w:tcPr>
            <w:tcW w:w="3348" w:type="dxa"/>
            <w:vAlign w:val="center"/>
          </w:tcPr>
          <w:p>
            <w:pPr>
              <w:jc w:val="center"/>
              <w:rPr>
                <w:rFonts w:ascii="宋体" w:hAnsi="宋体"/>
                <w:b/>
                <w:sz w:val="24"/>
              </w:rPr>
            </w:pPr>
            <w:r>
              <w:rPr>
                <w:rFonts w:hint="eastAsia" w:ascii="宋体" w:hAnsi="宋体"/>
                <w:b/>
                <w:sz w:val="24"/>
              </w:rPr>
              <w:t>内容</w:t>
            </w:r>
          </w:p>
        </w:tc>
        <w:tc>
          <w:tcPr>
            <w:tcW w:w="1560" w:type="dxa"/>
            <w:vAlign w:val="center"/>
          </w:tcPr>
          <w:p>
            <w:pPr>
              <w:jc w:val="center"/>
              <w:rPr>
                <w:rFonts w:ascii="宋体" w:hAnsi="宋体"/>
                <w:b/>
                <w:sz w:val="24"/>
              </w:rPr>
            </w:pPr>
            <w:r>
              <w:rPr>
                <w:rFonts w:hint="eastAsia" w:ascii="宋体" w:hAnsi="宋体"/>
                <w:b/>
                <w:sz w:val="24"/>
              </w:rPr>
              <w:t>采购需求</w:t>
            </w:r>
          </w:p>
        </w:tc>
        <w:tc>
          <w:tcPr>
            <w:tcW w:w="1401" w:type="dxa"/>
            <w:vAlign w:val="center"/>
          </w:tcPr>
          <w:p>
            <w:pPr>
              <w:jc w:val="center"/>
              <w:rPr>
                <w:rFonts w:ascii="宋体" w:hAnsi="宋体"/>
                <w:b/>
                <w:sz w:val="24"/>
              </w:rPr>
            </w:pPr>
            <w:r>
              <w:rPr>
                <w:rFonts w:hint="eastAsia" w:ascii="宋体" w:hAnsi="宋体"/>
                <w:b/>
                <w:sz w:val="24"/>
              </w:rPr>
              <w:t>磋商响应</w:t>
            </w:r>
          </w:p>
        </w:tc>
        <w:tc>
          <w:tcPr>
            <w:tcW w:w="1365" w:type="dxa"/>
            <w:vAlign w:val="center"/>
          </w:tcPr>
          <w:p>
            <w:pPr>
              <w:jc w:val="center"/>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bl>
    <w:p>
      <w:pPr>
        <w:pStyle w:val="32"/>
        <w:tabs>
          <w:tab w:val="left" w:pos="360"/>
        </w:tabs>
        <w:spacing w:line="360" w:lineRule="auto"/>
        <w:ind w:right="84" w:rightChars="40"/>
        <w:rPr>
          <w:rFonts w:ascii="宋体"/>
          <w:b/>
          <w:szCs w:val="21"/>
        </w:rPr>
      </w:pPr>
      <w:r>
        <w:rPr>
          <w:rFonts w:hint="eastAsia" w:ascii="宋体"/>
          <w:b/>
          <w:szCs w:val="21"/>
        </w:rPr>
        <w:t>要求：</w:t>
      </w:r>
    </w:p>
    <w:p>
      <w:pPr>
        <w:pStyle w:val="32"/>
        <w:spacing w:line="360" w:lineRule="auto"/>
        <w:ind w:right="84" w:rightChars="40" w:firstLine="420" w:firstLineChars="200"/>
        <w:rPr>
          <w:rFonts w:ascii="宋体"/>
          <w:szCs w:val="21"/>
        </w:rPr>
      </w:pPr>
      <w:r>
        <w:rPr>
          <w:rFonts w:hint="eastAsia" w:ascii="宋体"/>
          <w:szCs w:val="21"/>
        </w:rPr>
        <w:t>1.本表参照本采购文件第三章“项目需求”内第二条“技术需求”填制，供应商应根据磋商响应指标，对照采购文件要求在“偏离情况”栏注明“正偏离”、“负偏离”或“无偏离”。</w:t>
      </w:r>
    </w:p>
    <w:p>
      <w:pPr>
        <w:pStyle w:val="32"/>
        <w:spacing w:line="360" w:lineRule="auto"/>
        <w:ind w:right="84" w:rightChars="40" w:firstLine="420" w:firstLineChars="200"/>
        <w:rPr>
          <w:rFonts w:ascii="宋体"/>
          <w:szCs w:val="21"/>
        </w:rPr>
      </w:pPr>
      <w:r>
        <w:rPr>
          <w:rFonts w:hint="eastAsia" w:ascii="宋体"/>
          <w:szCs w:val="21"/>
        </w:rPr>
        <w:t>2.对于磋商响应标的的技术偏离情况需严格按照采购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7</w:t>
      </w:r>
    </w:p>
    <w:p>
      <w:pPr>
        <w:snapToGrid w:val="0"/>
        <w:spacing w:before="156" w:beforeLines="50" w:after="50" w:line="360" w:lineRule="auto"/>
        <w:jc w:val="center"/>
        <w:rPr>
          <w:rFonts w:ascii="宋体" w:hAnsi="宋体"/>
          <w:b/>
          <w:sz w:val="36"/>
          <w:szCs w:val="36"/>
        </w:rPr>
      </w:pPr>
      <w:bookmarkStart w:id="67" w:name="_Toc20569_WPSOffice_Level1"/>
      <w:bookmarkStart w:id="68" w:name="_Toc23671_WPSOffice_Level1"/>
      <w:r>
        <w:rPr>
          <w:rFonts w:hint="eastAsia" w:ascii="宋体" w:hAnsi="宋体"/>
          <w:b/>
          <w:sz w:val="32"/>
          <w:szCs w:val="32"/>
        </w:rPr>
        <w:t>项目实施人员一览表</w:t>
      </w:r>
      <w:bookmarkEnd w:id="67"/>
      <w:bookmarkEnd w:id="68"/>
    </w:p>
    <w:p>
      <w:pPr>
        <w:snapToGrid w:val="0"/>
        <w:spacing w:before="156" w:beforeLines="50" w:after="50" w:line="360" w:lineRule="auto"/>
        <w:jc w:val="center"/>
        <w:rPr>
          <w:rFonts w:ascii="宋体" w:hAnsi="宋体"/>
          <w:sz w:val="24"/>
        </w:rPr>
      </w:pPr>
      <w:r>
        <w:rPr>
          <w:rFonts w:hint="eastAsia" w:ascii="宋体" w:hAnsi="宋体"/>
          <w:sz w:val="24"/>
        </w:rPr>
        <w:t>（主要从业人员及其技术资格）</w:t>
      </w:r>
    </w:p>
    <w:tbl>
      <w:tblPr>
        <w:tblStyle w:val="23"/>
        <w:tblW w:w="889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pStyle w:val="32"/>
        <w:spacing w:line="360" w:lineRule="auto"/>
        <w:ind w:right="84" w:rightChars="40" w:firstLine="420" w:firstLineChars="200"/>
        <w:rPr>
          <w:rFonts w:ascii="宋体"/>
          <w:szCs w:val="21"/>
        </w:rPr>
      </w:pPr>
      <w:r>
        <w:rPr>
          <w:rFonts w:hint="eastAsia" w:ascii="宋体"/>
          <w:szCs w:val="21"/>
        </w:rPr>
        <w:t>1.在填写时，如本表格不适合磋商响应单位的实际情况，可根据本表格式自行划表填写。</w:t>
      </w:r>
    </w:p>
    <w:p>
      <w:pPr>
        <w:pStyle w:val="32"/>
        <w:spacing w:line="360" w:lineRule="auto"/>
        <w:ind w:right="84" w:rightChars="40" w:firstLine="420" w:firstLineChars="200"/>
        <w:rPr>
          <w:rFonts w:ascii="宋体"/>
          <w:szCs w:val="21"/>
        </w:rPr>
      </w:pPr>
      <w:r>
        <w:rPr>
          <w:rFonts w:hint="eastAsia" w:ascii="宋体"/>
          <w:szCs w:val="21"/>
        </w:rPr>
        <w:t>2.附人员证书复印件；</w:t>
      </w:r>
    </w:p>
    <w:p>
      <w:pPr>
        <w:pStyle w:val="32"/>
        <w:spacing w:line="360" w:lineRule="auto"/>
        <w:ind w:right="84" w:rightChars="40" w:firstLine="420" w:firstLineChars="200"/>
        <w:rPr>
          <w:rFonts w:ascii="宋体"/>
          <w:szCs w:val="21"/>
        </w:rPr>
      </w:pPr>
      <w:r>
        <w:rPr>
          <w:rFonts w:hint="eastAsia" w:ascii="宋体"/>
          <w:szCs w:val="21"/>
        </w:rPr>
        <w:t>3.出具上述人员在本单位服务的外部证明，如：磋商响应截止日之前3个月以内的社保证明。</w:t>
      </w:r>
    </w:p>
    <w:p>
      <w:pPr>
        <w:snapToGrid w:val="0"/>
        <w:spacing w:before="50" w:after="156" w:afterLines="50" w:line="360" w:lineRule="auto"/>
        <w:jc w:val="left"/>
        <w:rPr>
          <w:rFonts w:ascii="宋体" w:hAnsi="宋体"/>
          <w:sz w:val="24"/>
          <w:szCs w:val="20"/>
        </w:rPr>
      </w:pP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8</w:t>
      </w:r>
    </w:p>
    <w:p>
      <w:pPr>
        <w:spacing w:before="156" w:beforeLines="50" w:after="156" w:afterLines="50" w:line="360" w:lineRule="auto"/>
        <w:ind w:right="-10"/>
        <w:jc w:val="center"/>
        <w:rPr>
          <w:rFonts w:ascii="宋体" w:hAnsi="宋体"/>
          <w:b/>
          <w:bCs/>
          <w:sz w:val="32"/>
          <w:szCs w:val="32"/>
        </w:rPr>
      </w:pPr>
      <w:bookmarkStart w:id="69" w:name="_Toc23055_WPSOffice_Level1"/>
      <w:bookmarkStart w:id="70" w:name="_Toc12710_WPSOffice_Level1"/>
      <w:r>
        <w:rPr>
          <w:rFonts w:hint="eastAsia" w:ascii="宋体" w:hAnsi="宋体"/>
          <w:b/>
          <w:bCs/>
          <w:sz w:val="32"/>
          <w:szCs w:val="32"/>
        </w:rPr>
        <w:t>项目负责人资格情况表</w:t>
      </w:r>
      <w:bookmarkEnd w:id="69"/>
      <w:bookmarkEnd w:id="70"/>
    </w:p>
    <w:p>
      <w:pPr>
        <w:spacing w:line="360" w:lineRule="auto"/>
        <w:rPr>
          <w:rFonts w:ascii="宋体" w:hAnsi="宋体"/>
        </w:rPr>
      </w:pPr>
      <w:r>
        <w:rPr>
          <w:rFonts w:hint="eastAsia" w:ascii="宋体" w:hAnsi="宋体"/>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4"/>
        <w:spacing w:line="360" w:lineRule="auto"/>
        <w:jc w:val="center"/>
        <w:rPr>
          <w:rFonts w:ascii="宋体" w:hAnsi="宋体"/>
          <w:b/>
          <w:sz w:val="32"/>
          <w:szCs w:val="32"/>
        </w:rPr>
      </w:pPr>
      <w:bookmarkStart w:id="71" w:name="_Toc17604_WPSOffice_Level1"/>
      <w:bookmarkStart w:id="72" w:name="_Toc11030_WPSOffice_Level1"/>
    </w:p>
    <w:p>
      <w:pPr>
        <w:pStyle w:val="34"/>
        <w:spacing w:line="360" w:lineRule="auto"/>
        <w:jc w:val="center"/>
        <w:rPr>
          <w:rFonts w:ascii="宋体" w:hAnsi="宋体"/>
          <w:b/>
          <w:sz w:val="32"/>
          <w:szCs w:val="32"/>
        </w:rPr>
      </w:pPr>
      <w:r>
        <w:rPr>
          <w:rFonts w:hint="eastAsia" w:ascii="宋体" w:hAnsi="宋体"/>
          <w:b/>
          <w:sz w:val="32"/>
          <w:szCs w:val="32"/>
        </w:rPr>
        <w:t>证书一览表</w:t>
      </w:r>
      <w:bookmarkEnd w:id="71"/>
      <w:bookmarkEnd w:id="72"/>
    </w:p>
    <w:p>
      <w:pPr>
        <w:pStyle w:val="34"/>
        <w:spacing w:line="360" w:lineRule="auto"/>
        <w:jc w:val="center"/>
        <w:rPr>
          <w:rFonts w:ascii="宋体" w:hAnsi="宋体" w:cs="Arial"/>
          <w:sz w:val="28"/>
          <w:szCs w:val="28"/>
        </w:rPr>
      </w:pPr>
    </w:p>
    <w:tbl>
      <w:tblPr>
        <w:tblStyle w:val="23"/>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4"/>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34"/>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34"/>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34"/>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4"/>
              <w:spacing w:line="360" w:lineRule="auto"/>
              <w:jc w:val="center"/>
              <w:rPr>
                <w:rFonts w:ascii="宋体" w:hAnsi="宋体" w:cs="Arial"/>
                <w:szCs w:val="21"/>
              </w:rPr>
            </w:pPr>
          </w:p>
        </w:tc>
        <w:tc>
          <w:tcPr>
            <w:tcW w:w="2258" w:type="dxa"/>
            <w:tcBorders>
              <w:top w:val="single" w:color="auto" w:sz="4" w:space="0"/>
            </w:tcBorders>
          </w:tcPr>
          <w:p>
            <w:pPr>
              <w:pStyle w:val="34"/>
              <w:spacing w:line="360" w:lineRule="auto"/>
              <w:jc w:val="center"/>
              <w:rPr>
                <w:rFonts w:ascii="宋体" w:hAnsi="宋体" w:cs="Arial"/>
                <w:szCs w:val="21"/>
              </w:rPr>
            </w:pPr>
          </w:p>
        </w:tc>
        <w:tc>
          <w:tcPr>
            <w:tcW w:w="2260" w:type="dxa"/>
            <w:tcBorders>
              <w:top w:val="single" w:color="auto" w:sz="4" w:space="0"/>
            </w:tcBorders>
          </w:tcPr>
          <w:p>
            <w:pPr>
              <w:pStyle w:val="34"/>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szCs w:val="21"/>
              </w:rPr>
            </w:pPr>
          </w:p>
        </w:tc>
        <w:tc>
          <w:tcPr>
            <w:tcW w:w="2258" w:type="dxa"/>
          </w:tcPr>
          <w:p>
            <w:pPr>
              <w:pStyle w:val="34"/>
              <w:spacing w:line="360" w:lineRule="auto"/>
              <w:jc w:val="center"/>
              <w:rPr>
                <w:rFonts w:ascii="宋体" w:hAnsi="宋体" w:cs="Arial"/>
                <w:szCs w:val="21"/>
              </w:rPr>
            </w:pPr>
          </w:p>
        </w:tc>
        <w:tc>
          <w:tcPr>
            <w:tcW w:w="2260" w:type="dxa"/>
          </w:tcPr>
          <w:p>
            <w:pPr>
              <w:pStyle w:val="34"/>
              <w:spacing w:line="360" w:lineRule="auto"/>
              <w:jc w:val="center"/>
              <w:rPr>
                <w:rFonts w:ascii="宋体" w:hAnsi="宋体" w:cs="Arial"/>
                <w:szCs w:val="21"/>
              </w:rPr>
            </w:pPr>
          </w:p>
        </w:tc>
        <w:tc>
          <w:tcPr>
            <w:tcW w:w="2047" w:type="dxa"/>
            <w:tcBorders>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szCs w:val="21"/>
              </w:rPr>
            </w:pPr>
          </w:p>
        </w:tc>
        <w:tc>
          <w:tcPr>
            <w:tcW w:w="2258" w:type="dxa"/>
          </w:tcPr>
          <w:p>
            <w:pPr>
              <w:pStyle w:val="34"/>
              <w:spacing w:line="360" w:lineRule="auto"/>
              <w:jc w:val="center"/>
              <w:rPr>
                <w:rFonts w:ascii="宋体" w:hAnsi="宋体" w:cs="Arial"/>
                <w:szCs w:val="21"/>
              </w:rPr>
            </w:pPr>
          </w:p>
        </w:tc>
        <w:tc>
          <w:tcPr>
            <w:tcW w:w="2260" w:type="dxa"/>
          </w:tcPr>
          <w:p>
            <w:pPr>
              <w:pStyle w:val="34"/>
              <w:spacing w:line="360" w:lineRule="auto"/>
              <w:jc w:val="center"/>
              <w:rPr>
                <w:rFonts w:ascii="宋体" w:hAnsi="宋体" w:cs="Arial"/>
                <w:szCs w:val="21"/>
              </w:rPr>
            </w:pPr>
          </w:p>
        </w:tc>
        <w:tc>
          <w:tcPr>
            <w:tcW w:w="2047" w:type="dxa"/>
            <w:tcBorders>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szCs w:val="21"/>
              </w:rPr>
            </w:pPr>
          </w:p>
        </w:tc>
        <w:tc>
          <w:tcPr>
            <w:tcW w:w="2258" w:type="dxa"/>
          </w:tcPr>
          <w:p>
            <w:pPr>
              <w:pStyle w:val="34"/>
              <w:spacing w:line="360" w:lineRule="auto"/>
              <w:jc w:val="center"/>
              <w:rPr>
                <w:rFonts w:ascii="宋体" w:hAnsi="宋体" w:cs="Arial"/>
                <w:szCs w:val="21"/>
              </w:rPr>
            </w:pPr>
          </w:p>
        </w:tc>
        <w:tc>
          <w:tcPr>
            <w:tcW w:w="2260" w:type="dxa"/>
          </w:tcPr>
          <w:p>
            <w:pPr>
              <w:pStyle w:val="34"/>
              <w:spacing w:line="360" w:lineRule="auto"/>
              <w:jc w:val="center"/>
              <w:rPr>
                <w:rFonts w:ascii="宋体" w:hAnsi="宋体" w:cs="Arial"/>
                <w:szCs w:val="21"/>
              </w:rPr>
            </w:pPr>
          </w:p>
        </w:tc>
        <w:tc>
          <w:tcPr>
            <w:tcW w:w="2047" w:type="dxa"/>
            <w:tcBorders>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szCs w:val="21"/>
              </w:rPr>
            </w:pPr>
          </w:p>
        </w:tc>
        <w:tc>
          <w:tcPr>
            <w:tcW w:w="2258" w:type="dxa"/>
          </w:tcPr>
          <w:p>
            <w:pPr>
              <w:pStyle w:val="34"/>
              <w:spacing w:line="360" w:lineRule="auto"/>
              <w:jc w:val="center"/>
              <w:rPr>
                <w:rFonts w:ascii="宋体" w:hAnsi="宋体" w:cs="Arial"/>
                <w:szCs w:val="21"/>
              </w:rPr>
            </w:pPr>
          </w:p>
        </w:tc>
        <w:tc>
          <w:tcPr>
            <w:tcW w:w="2260" w:type="dxa"/>
          </w:tcPr>
          <w:p>
            <w:pPr>
              <w:pStyle w:val="34"/>
              <w:spacing w:line="360" w:lineRule="auto"/>
              <w:jc w:val="center"/>
              <w:rPr>
                <w:rFonts w:ascii="宋体" w:hAnsi="宋体" w:cs="Arial"/>
                <w:szCs w:val="21"/>
              </w:rPr>
            </w:pPr>
          </w:p>
        </w:tc>
        <w:tc>
          <w:tcPr>
            <w:tcW w:w="2047" w:type="dxa"/>
            <w:tcBorders>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szCs w:val="21"/>
              </w:rPr>
            </w:pPr>
          </w:p>
        </w:tc>
        <w:tc>
          <w:tcPr>
            <w:tcW w:w="2258" w:type="dxa"/>
          </w:tcPr>
          <w:p>
            <w:pPr>
              <w:pStyle w:val="34"/>
              <w:spacing w:line="360" w:lineRule="auto"/>
              <w:jc w:val="center"/>
              <w:rPr>
                <w:rFonts w:ascii="宋体" w:hAnsi="宋体" w:cs="Arial"/>
                <w:szCs w:val="21"/>
              </w:rPr>
            </w:pPr>
          </w:p>
        </w:tc>
        <w:tc>
          <w:tcPr>
            <w:tcW w:w="2260" w:type="dxa"/>
          </w:tcPr>
          <w:p>
            <w:pPr>
              <w:pStyle w:val="34"/>
              <w:spacing w:line="360" w:lineRule="auto"/>
              <w:jc w:val="center"/>
              <w:rPr>
                <w:rFonts w:ascii="宋体" w:hAnsi="宋体" w:cs="Arial"/>
                <w:szCs w:val="21"/>
              </w:rPr>
            </w:pPr>
          </w:p>
        </w:tc>
        <w:tc>
          <w:tcPr>
            <w:tcW w:w="2047" w:type="dxa"/>
            <w:tcBorders>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4"/>
              <w:spacing w:line="360" w:lineRule="auto"/>
              <w:jc w:val="center"/>
              <w:rPr>
                <w:rFonts w:ascii="宋体" w:hAnsi="宋体" w:cs="Arial"/>
                <w:szCs w:val="21"/>
              </w:rPr>
            </w:pPr>
          </w:p>
        </w:tc>
        <w:tc>
          <w:tcPr>
            <w:tcW w:w="2258" w:type="dxa"/>
            <w:tcBorders>
              <w:bottom w:val="single" w:color="auto" w:sz="4" w:space="0"/>
            </w:tcBorders>
          </w:tcPr>
          <w:p>
            <w:pPr>
              <w:pStyle w:val="34"/>
              <w:spacing w:line="360" w:lineRule="auto"/>
              <w:jc w:val="center"/>
              <w:rPr>
                <w:rFonts w:ascii="宋体" w:hAnsi="宋体" w:cs="Arial"/>
                <w:szCs w:val="21"/>
              </w:rPr>
            </w:pPr>
          </w:p>
        </w:tc>
        <w:tc>
          <w:tcPr>
            <w:tcW w:w="2260" w:type="dxa"/>
            <w:tcBorders>
              <w:bottom w:val="single" w:color="auto" w:sz="4" w:space="0"/>
            </w:tcBorders>
          </w:tcPr>
          <w:p>
            <w:pPr>
              <w:pStyle w:val="34"/>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34"/>
              <w:spacing w:line="360" w:lineRule="auto"/>
              <w:jc w:val="center"/>
              <w:rPr>
                <w:rFonts w:ascii="宋体" w:hAnsi="宋体" w:cs="Arial"/>
                <w:szCs w:val="21"/>
              </w:rPr>
            </w:pPr>
          </w:p>
        </w:tc>
      </w:tr>
    </w:tbl>
    <w:p>
      <w:pPr>
        <w:pStyle w:val="34"/>
        <w:tabs>
          <w:tab w:val="left" w:pos="1050"/>
        </w:tabs>
        <w:spacing w:line="360" w:lineRule="auto"/>
        <w:rPr>
          <w:rFonts w:ascii="仿宋_GB2312" w:hAnsi="宋体" w:eastAsia="仿宋_GB2312"/>
          <w:sz w:val="24"/>
        </w:rPr>
      </w:pPr>
    </w:p>
    <w:p>
      <w:pPr>
        <w:pStyle w:val="34"/>
        <w:tabs>
          <w:tab w:val="left" w:pos="1050"/>
        </w:tabs>
        <w:spacing w:line="360" w:lineRule="auto"/>
        <w:rPr>
          <w:rFonts w:ascii="宋体" w:hAnsi="宋体"/>
          <w:szCs w:val="21"/>
        </w:rPr>
      </w:pPr>
      <w:r>
        <w:rPr>
          <w:rFonts w:hint="eastAsia" w:ascii="宋体" w:hAnsi="宋体"/>
          <w:b/>
          <w:szCs w:val="21"/>
        </w:rPr>
        <w:t>要求：</w:t>
      </w:r>
    </w:p>
    <w:p>
      <w:pPr>
        <w:pStyle w:val="34"/>
        <w:tabs>
          <w:tab w:val="left" w:pos="1050"/>
        </w:tabs>
        <w:spacing w:line="360" w:lineRule="auto"/>
        <w:ind w:firstLine="424" w:firstLineChars="202"/>
        <w:rPr>
          <w:rFonts w:ascii="宋体" w:hAnsi="宋体"/>
          <w:szCs w:val="21"/>
        </w:rPr>
      </w:pPr>
      <w:r>
        <w:rPr>
          <w:rFonts w:hint="eastAsia" w:ascii="宋体" w:hAnsi="宋体"/>
          <w:szCs w:val="21"/>
        </w:rPr>
        <w:t>1.填写供应商获得资质、认证或企业信誉证书；</w:t>
      </w:r>
    </w:p>
    <w:p>
      <w:pPr>
        <w:pStyle w:val="34"/>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4"/>
        <w:tabs>
          <w:tab w:val="left" w:pos="1050"/>
        </w:tabs>
        <w:spacing w:line="360" w:lineRule="auto"/>
        <w:ind w:firstLine="720" w:firstLineChars="300"/>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8"/>
        </w:rPr>
      </w:pPr>
    </w:p>
    <w:p>
      <w:pPr>
        <w:spacing w:line="360" w:lineRule="auto"/>
        <w:rPr>
          <w:rFonts w:hint="eastAsia"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3"/>
        <w:spacing w:line="360" w:lineRule="auto"/>
        <w:jc w:val="center"/>
        <w:rPr>
          <w:rFonts w:ascii="宋体" w:hAnsi="宋体"/>
          <w:b/>
          <w:sz w:val="32"/>
          <w:szCs w:val="32"/>
        </w:rPr>
      </w:pPr>
      <w:bookmarkStart w:id="73" w:name="_Toc7134_WPSOffice_Level1"/>
      <w:bookmarkStart w:id="74" w:name="_Toc19231_WPSOffice_Level1"/>
      <w:r>
        <w:rPr>
          <w:rFonts w:hint="eastAsia" w:ascii="宋体" w:hAnsi="宋体"/>
          <w:b/>
          <w:sz w:val="32"/>
          <w:szCs w:val="32"/>
        </w:rPr>
        <w:t>供应商类似项目实施情况一览表</w:t>
      </w:r>
      <w:bookmarkEnd w:id="73"/>
      <w:bookmarkEnd w:id="74"/>
    </w:p>
    <w:p>
      <w:pPr>
        <w:pStyle w:val="33"/>
        <w:spacing w:line="360" w:lineRule="auto"/>
        <w:jc w:val="center"/>
        <w:rPr>
          <w:rFonts w:ascii="仿宋_GB2312" w:eastAsia="仿宋_GB2312"/>
          <w:b/>
          <w:sz w:val="28"/>
          <w:szCs w:val="28"/>
        </w:rPr>
      </w:pPr>
    </w:p>
    <w:tbl>
      <w:tblPr>
        <w:tblStyle w:val="23"/>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复印件可只提供首页、含金额页、盖章页并加盖供应商电子印章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4"/>
        <w:tabs>
          <w:tab w:val="left" w:pos="1050"/>
        </w:tabs>
        <w:spacing w:line="360" w:lineRule="auto"/>
        <w:rPr>
          <w:rFonts w:hint="eastAsia" w:ascii="仿宋_GB2312" w:hAnsi="宋体" w:eastAsia="宋体"/>
          <w:sz w:val="24"/>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549" w:hanging="549" w:hangingChars="171"/>
        <w:jc w:val="center"/>
        <w:rPr>
          <w:rFonts w:ascii="宋体" w:hAnsi="宋体"/>
          <w:b/>
          <w:sz w:val="32"/>
          <w:szCs w:val="32"/>
        </w:rPr>
      </w:pPr>
      <w:bookmarkStart w:id="75" w:name="_Toc21582_WPSOffice_Level1"/>
      <w:bookmarkStart w:id="76" w:name="_Toc3068_WPSOffice_Level1"/>
      <w:r>
        <w:rPr>
          <w:rFonts w:hint="eastAsia" w:ascii="宋体" w:hAnsi="宋体"/>
          <w:b/>
          <w:sz w:val="32"/>
          <w:szCs w:val="32"/>
        </w:rPr>
        <w:t>商务需求响应表</w:t>
      </w:r>
      <w:bookmarkEnd w:id="75"/>
      <w:bookmarkEnd w:id="76"/>
    </w:p>
    <w:p>
      <w:pPr>
        <w:spacing w:line="360" w:lineRule="auto"/>
        <w:ind w:left="481" w:leftChars="229" w:firstLine="813" w:firstLineChars="450"/>
        <w:rPr>
          <w:rFonts w:ascii="宋体" w:hAnsi="宋体"/>
          <w:b/>
          <w:sz w:val="18"/>
          <w:szCs w:val="18"/>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采购需求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pStyle w:val="9"/>
      </w:pPr>
    </w:p>
    <w:p>
      <w:pPr>
        <w:tabs>
          <w:tab w:val="left" w:pos="2460"/>
        </w:tabs>
        <w:spacing w:line="360" w:lineRule="auto"/>
        <w:ind w:firstLine="435"/>
        <w:rPr>
          <w:rFonts w:ascii="宋体" w:hAnsi="宋体"/>
          <w:b/>
          <w:sz w:val="28"/>
        </w:rPr>
      </w:pPr>
    </w:p>
    <w:p>
      <w:pPr>
        <w:pStyle w:val="9"/>
        <w:rPr>
          <w:rFonts w:ascii="宋体" w:hAnsi="宋体"/>
          <w:sz w:val="24"/>
          <w:u w:val="single"/>
        </w:rPr>
      </w:pPr>
    </w:p>
    <w:p>
      <w:pPr>
        <w:rPr>
          <w:rFonts w:hint="eastAsia" w:ascii="宋体" w:hAnsi="宋体"/>
          <w:b/>
          <w:sz w:val="28"/>
        </w:rPr>
      </w:pPr>
    </w:p>
    <w:p>
      <w:pPr>
        <w:jc w:val="center"/>
        <w:rPr>
          <w:b/>
          <w:bCs/>
          <w:sz w:val="32"/>
          <w:szCs w:val="32"/>
        </w:rPr>
      </w:pPr>
      <w:bookmarkStart w:id="77" w:name="_Toc19972_WPSOffice_Level1"/>
      <w:bookmarkStart w:id="78" w:name="_Toc29537_WPSOffice_Level1"/>
      <w:r>
        <w:rPr>
          <w:rFonts w:hint="eastAsia"/>
          <w:b/>
          <w:bCs/>
          <w:sz w:val="32"/>
          <w:szCs w:val="32"/>
        </w:rPr>
        <w:t>报价内容目录</w:t>
      </w:r>
      <w:bookmarkEnd w:id="77"/>
      <w:bookmarkEnd w:id="78"/>
    </w:p>
    <w:p>
      <w:pPr>
        <w:rPr>
          <w:sz w:val="28"/>
          <w:szCs w:val="28"/>
        </w:rPr>
      </w:pPr>
    </w:p>
    <w:p>
      <w:pPr>
        <w:rPr>
          <w:sz w:val="28"/>
          <w:szCs w:val="28"/>
        </w:rPr>
      </w:pPr>
    </w:p>
    <w:p>
      <w:pPr>
        <w:spacing w:line="360" w:lineRule="auto"/>
        <w:ind w:firstLine="480" w:firstLineChars="200"/>
        <w:rPr>
          <w:sz w:val="24"/>
        </w:rPr>
      </w:pPr>
      <w:bookmarkStart w:id="79" w:name="_Toc6778_WPSOffice_Level1"/>
      <w:bookmarkStart w:id="80" w:name="_Toc29988_WPSOffice_Level1"/>
      <w:r>
        <w:rPr>
          <w:rFonts w:hint="eastAsia"/>
          <w:sz w:val="24"/>
        </w:rPr>
        <w:t>1、开标一览表（附件1</w:t>
      </w:r>
      <w:r>
        <w:rPr>
          <w:rFonts w:hint="eastAsia"/>
          <w:sz w:val="24"/>
          <w:lang w:val="en-US" w:eastAsia="zh-CN"/>
        </w:rPr>
        <w:t>2</w:t>
      </w:r>
      <w:r>
        <w:rPr>
          <w:rFonts w:hint="eastAsia"/>
          <w:sz w:val="24"/>
        </w:rPr>
        <w:t>）；</w:t>
      </w:r>
      <w:bookmarkEnd w:id="79"/>
      <w:bookmarkEnd w:id="80"/>
    </w:p>
    <w:p>
      <w:pPr>
        <w:spacing w:line="360" w:lineRule="auto"/>
        <w:ind w:firstLine="480" w:firstLineChars="200"/>
        <w:rPr>
          <w:sz w:val="24"/>
        </w:rPr>
      </w:pPr>
      <w:bookmarkStart w:id="81" w:name="_Toc15601_WPSOffice_Level1"/>
      <w:bookmarkStart w:id="82" w:name="_Toc11601_WPSOffice_Level1"/>
      <w:r>
        <w:rPr>
          <w:rFonts w:hint="eastAsia"/>
          <w:sz w:val="24"/>
        </w:rPr>
        <w:t>2、报价明细表（附件1</w:t>
      </w:r>
      <w:r>
        <w:rPr>
          <w:rFonts w:hint="eastAsia"/>
          <w:sz w:val="24"/>
          <w:lang w:val="en-US" w:eastAsia="zh-CN"/>
        </w:rPr>
        <w:t>3</w:t>
      </w:r>
      <w:r>
        <w:rPr>
          <w:rFonts w:hint="eastAsia"/>
          <w:sz w:val="24"/>
        </w:rPr>
        <w:t>）；</w:t>
      </w:r>
      <w:bookmarkEnd w:id="81"/>
      <w:bookmarkEnd w:id="82"/>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16"/>
        <w:rPr>
          <w:rFonts w:ascii="宋体" w:hAnsi="宋体"/>
          <w:b/>
          <w:sz w:val="28"/>
        </w:rPr>
      </w:pPr>
    </w:p>
    <w:p>
      <w:pPr>
        <w:pStyle w:val="16"/>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ascii="宋体" w:hAnsi="宋体"/>
          <w:b/>
          <w:sz w:val="32"/>
          <w:szCs w:val="32"/>
        </w:rPr>
      </w:pPr>
      <w:bookmarkStart w:id="83" w:name="_Toc16144_WPSOffice_Level1"/>
      <w:bookmarkStart w:id="84" w:name="_Toc30363_WPSOffice_Level1"/>
      <w:r>
        <w:rPr>
          <w:rFonts w:hint="eastAsia" w:ascii="宋体" w:hAnsi="宋体"/>
          <w:b/>
          <w:sz w:val="32"/>
          <w:szCs w:val="32"/>
        </w:rPr>
        <w:t>首次报价一览表</w:t>
      </w:r>
      <w:bookmarkEnd w:id="83"/>
      <w:bookmarkEnd w:id="84"/>
    </w:p>
    <w:p>
      <w:pPr>
        <w:spacing w:line="360" w:lineRule="auto"/>
        <w:ind w:left="-2" w:hanging="2"/>
        <w:jc w:val="center"/>
        <w:rPr>
          <w:rFonts w:ascii="宋体" w:hAnsi="宋体"/>
          <w:b/>
          <w:sz w:val="32"/>
          <w:szCs w:val="32"/>
        </w:rPr>
      </w:pPr>
    </w:p>
    <w:p>
      <w:pPr>
        <w:pStyle w:val="12"/>
        <w:spacing w:line="320" w:lineRule="exact"/>
        <w:rPr>
          <w:rFonts w:hAnsi="宋体"/>
          <w:b/>
          <w:sz w:val="24"/>
        </w:rPr>
      </w:pPr>
      <w:r>
        <w:rPr>
          <w:rFonts w:hAnsi="宋体"/>
          <w:b/>
          <w:sz w:val="24"/>
        </w:rPr>
        <w:t>项目编号：</w:t>
      </w:r>
    </w:p>
    <w:p>
      <w:pPr>
        <w:pStyle w:val="39"/>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08"/>
        <w:gridCol w:w="1453"/>
        <w:gridCol w:w="1002"/>
        <w:gridCol w:w="190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spacing w:line="360" w:lineRule="auto"/>
              <w:jc w:val="center"/>
              <w:rPr>
                <w:rFonts w:ascii="宋体" w:hAnsi="宋体"/>
                <w:b/>
                <w:sz w:val="24"/>
                <w:szCs w:val="21"/>
              </w:rPr>
            </w:pPr>
            <w:r>
              <w:rPr>
                <w:rFonts w:hint="eastAsia" w:ascii="宋体" w:hAnsi="宋体"/>
                <w:b/>
                <w:sz w:val="24"/>
                <w:szCs w:val="21"/>
              </w:rPr>
              <w:t>标项</w:t>
            </w:r>
          </w:p>
        </w:tc>
        <w:tc>
          <w:tcPr>
            <w:tcW w:w="2208" w:type="dxa"/>
            <w:vAlign w:val="center"/>
          </w:tcPr>
          <w:p>
            <w:pPr>
              <w:spacing w:line="360" w:lineRule="auto"/>
              <w:jc w:val="center"/>
              <w:rPr>
                <w:rFonts w:ascii="宋体" w:hAnsi="宋体"/>
                <w:b/>
                <w:sz w:val="24"/>
                <w:szCs w:val="21"/>
              </w:rPr>
            </w:pPr>
            <w:r>
              <w:rPr>
                <w:rFonts w:hint="eastAsia" w:ascii="宋体" w:hAnsi="宋体"/>
                <w:b/>
                <w:sz w:val="24"/>
                <w:szCs w:val="21"/>
              </w:rPr>
              <w:t>项目名称</w:t>
            </w:r>
          </w:p>
        </w:tc>
        <w:tc>
          <w:tcPr>
            <w:tcW w:w="1453" w:type="dxa"/>
            <w:vAlign w:val="center"/>
          </w:tcPr>
          <w:p>
            <w:pPr>
              <w:spacing w:line="360" w:lineRule="auto"/>
              <w:jc w:val="center"/>
              <w:rPr>
                <w:rFonts w:ascii="宋体" w:hAnsi="宋体"/>
                <w:b/>
                <w:sz w:val="24"/>
                <w:szCs w:val="21"/>
              </w:rPr>
            </w:pPr>
            <w:r>
              <w:rPr>
                <w:rFonts w:hint="eastAsia" w:ascii="宋体" w:hAnsi="宋体"/>
                <w:b/>
                <w:sz w:val="24"/>
                <w:szCs w:val="21"/>
              </w:rPr>
              <w:t>数量</w:t>
            </w:r>
          </w:p>
        </w:tc>
        <w:tc>
          <w:tcPr>
            <w:tcW w:w="1002" w:type="dxa"/>
            <w:vAlign w:val="center"/>
          </w:tcPr>
          <w:p>
            <w:pPr>
              <w:spacing w:line="360" w:lineRule="auto"/>
              <w:jc w:val="center"/>
              <w:rPr>
                <w:rFonts w:ascii="宋体" w:hAnsi="宋体"/>
                <w:b/>
                <w:sz w:val="24"/>
                <w:szCs w:val="21"/>
              </w:rPr>
            </w:pPr>
            <w:r>
              <w:rPr>
                <w:rFonts w:hint="eastAsia" w:ascii="宋体" w:hAnsi="宋体"/>
                <w:b/>
                <w:sz w:val="24"/>
                <w:szCs w:val="21"/>
              </w:rPr>
              <w:t>单位</w:t>
            </w:r>
          </w:p>
        </w:tc>
        <w:tc>
          <w:tcPr>
            <w:tcW w:w="1905" w:type="dxa"/>
            <w:vAlign w:val="center"/>
          </w:tcPr>
          <w:p>
            <w:pPr>
              <w:spacing w:line="360" w:lineRule="auto"/>
              <w:jc w:val="center"/>
              <w:rPr>
                <w:rFonts w:ascii="宋体" w:hAnsi="宋体"/>
                <w:b/>
                <w:sz w:val="24"/>
                <w:szCs w:val="21"/>
              </w:rPr>
            </w:pPr>
            <w:r>
              <w:rPr>
                <w:rFonts w:hint="eastAsia" w:ascii="宋体" w:hAnsi="宋体"/>
                <w:b/>
                <w:sz w:val="24"/>
                <w:szCs w:val="21"/>
              </w:rPr>
              <w:t>单价（元/吨）</w:t>
            </w:r>
          </w:p>
        </w:tc>
        <w:tc>
          <w:tcPr>
            <w:tcW w:w="1454" w:type="dxa"/>
            <w:vAlign w:val="center"/>
          </w:tcPr>
          <w:p>
            <w:pPr>
              <w:spacing w:line="360" w:lineRule="auto"/>
              <w:jc w:val="center"/>
              <w:rPr>
                <w:rFonts w:ascii="宋体" w:hAnsi="宋体"/>
                <w:b/>
                <w:sz w:val="24"/>
                <w:szCs w:val="21"/>
              </w:rPr>
            </w:pPr>
            <w:r>
              <w:rPr>
                <w:rFonts w:hint="eastAsia" w:ascii="宋体" w:hAnsi="宋体"/>
                <w:b/>
                <w:sz w:val="24"/>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spacing w:line="360" w:lineRule="auto"/>
              <w:jc w:val="center"/>
              <w:rPr>
                <w:rFonts w:ascii="宋体" w:hAnsi="宋体"/>
                <w:bCs/>
                <w:sz w:val="24"/>
                <w:szCs w:val="21"/>
              </w:rPr>
            </w:pPr>
            <w:r>
              <w:rPr>
                <w:rFonts w:hint="eastAsia" w:ascii="宋体" w:hAnsi="宋体"/>
                <w:bCs/>
                <w:sz w:val="24"/>
                <w:szCs w:val="21"/>
              </w:rPr>
              <w:t>一</w:t>
            </w:r>
          </w:p>
        </w:tc>
        <w:tc>
          <w:tcPr>
            <w:tcW w:w="2208" w:type="dxa"/>
            <w:vAlign w:val="center"/>
          </w:tcPr>
          <w:p>
            <w:pPr>
              <w:spacing w:line="360" w:lineRule="auto"/>
              <w:jc w:val="center"/>
              <w:rPr>
                <w:rFonts w:ascii="宋体" w:hAnsi="宋体"/>
                <w:bCs/>
                <w:sz w:val="24"/>
                <w:szCs w:val="21"/>
              </w:rPr>
            </w:pPr>
            <w:r>
              <w:rPr>
                <w:rFonts w:hint="eastAsia" w:ascii="宋体" w:hAnsi="宋体"/>
                <w:bCs/>
                <w:sz w:val="24"/>
                <w:szCs w:val="21"/>
              </w:rPr>
              <w:t>农药包装废弃物集中处置</w:t>
            </w:r>
          </w:p>
        </w:tc>
        <w:tc>
          <w:tcPr>
            <w:tcW w:w="1453" w:type="dxa"/>
            <w:vAlign w:val="center"/>
          </w:tcPr>
          <w:p>
            <w:pPr>
              <w:spacing w:line="360" w:lineRule="auto"/>
              <w:jc w:val="center"/>
              <w:rPr>
                <w:rFonts w:hint="eastAsia" w:ascii="宋体" w:hAnsi="宋体" w:eastAsia="宋体"/>
                <w:bCs/>
                <w:sz w:val="24"/>
                <w:szCs w:val="21"/>
                <w:lang w:val="en-US" w:eastAsia="zh-CN"/>
              </w:rPr>
            </w:pPr>
            <w:r>
              <w:rPr>
                <w:rFonts w:hint="eastAsia" w:ascii="宋体" w:hAnsi="宋体"/>
                <w:bCs/>
                <w:sz w:val="24"/>
                <w:szCs w:val="21"/>
                <w:lang w:val="en-US" w:eastAsia="zh-CN"/>
              </w:rPr>
              <w:t>80</w:t>
            </w:r>
          </w:p>
        </w:tc>
        <w:tc>
          <w:tcPr>
            <w:tcW w:w="1002" w:type="dxa"/>
            <w:vAlign w:val="center"/>
          </w:tcPr>
          <w:p>
            <w:pPr>
              <w:spacing w:line="360" w:lineRule="auto"/>
              <w:jc w:val="center"/>
              <w:rPr>
                <w:rFonts w:ascii="宋体" w:hAnsi="宋体"/>
                <w:bCs/>
                <w:sz w:val="24"/>
                <w:szCs w:val="21"/>
              </w:rPr>
            </w:pPr>
            <w:r>
              <w:rPr>
                <w:rFonts w:hint="eastAsia" w:ascii="宋体" w:hAnsi="宋体"/>
                <w:bCs/>
                <w:sz w:val="24"/>
                <w:szCs w:val="21"/>
              </w:rPr>
              <w:t>吨</w:t>
            </w:r>
          </w:p>
        </w:tc>
        <w:tc>
          <w:tcPr>
            <w:tcW w:w="1905" w:type="dxa"/>
            <w:vAlign w:val="center"/>
          </w:tcPr>
          <w:p>
            <w:pPr>
              <w:spacing w:line="360" w:lineRule="auto"/>
              <w:jc w:val="center"/>
              <w:rPr>
                <w:rFonts w:ascii="宋体" w:hAnsi="宋体"/>
                <w:bCs/>
                <w:sz w:val="24"/>
                <w:szCs w:val="21"/>
              </w:rPr>
            </w:pPr>
          </w:p>
        </w:tc>
        <w:tc>
          <w:tcPr>
            <w:tcW w:w="1454" w:type="dxa"/>
            <w:vAlign w:val="center"/>
          </w:tcPr>
          <w:p>
            <w:pPr>
              <w:spacing w:line="360" w:lineRule="auto"/>
              <w:jc w:val="center"/>
              <w:rPr>
                <w:rFonts w:ascii="宋体" w:hAnsi="宋体"/>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1" w:type="dxa"/>
            <w:gridSpan w:val="4"/>
            <w:vAlign w:val="center"/>
          </w:tcPr>
          <w:p>
            <w:pPr>
              <w:spacing w:line="360" w:lineRule="auto"/>
              <w:rPr>
                <w:rFonts w:ascii="Arial" w:hAnsi="Arial"/>
              </w:rPr>
            </w:pPr>
            <w:r>
              <w:rPr>
                <w:rFonts w:hint="eastAsia" w:ascii="宋体" w:hAnsi="宋体"/>
                <w:bCs/>
                <w:sz w:val="24"/>
                <w:szCs w:val="21"/>
              </w:rPr>
              <w:t>合计金额大写：</w:t>
            </w:r>
          </w:p>
        </w:tc>
        <w:tc>
          <w:tcPr>
            <w:tcW w:w="3359" w:type="dxa"/>
            <w:gridSpan w:val="2"/>
            <w:vAlign w:val="center"/>
          </w:tcPr>
          <w:p>
            <w:pPr>
              <w:pStyle w:val="9"/>
              <w:ind w:firstLine="0"/>
              <w:rPr>
                <w:rFonts w:ascii="宋体" w:hAnsi="宋体"/>
                <w:bCs/>
                <w:sz w:val="24"/>
                <w:szCs w:val="21"/>
              </w:rPr>
            </w:pPr>
            <w:r>
              <w:rPr>
                <w:rFonts w:hint="eastAsia" w:ascii="宋体" w:hAnsi="宋体"/>
                <w:bCs/>
                <w:sz w:val="24"/>
                <w:szCs w:val="21"/>
              </w:rPr>
              <w:t>合计金额小写：￥</w:t>
            </w:r>
            <w:r>
              <w:rPr>
                <w:rFonts w:hint="eastAsia" w:ascii="宋体" w:hAnsi="宋体"/>
                <w:bCs/>
                <w:sz w:val="24"/>
                <w:szCs w:val="21"/>
                <w:u w:val="single"/>
              </w:rPr>
              <w:t xml:space="preserve">           </w:t>
            </w: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autoSpaceDE w:val="0"/>
        <w:autoSpaceDN w:val="0"/>
        <w:adjustRightInd w:val="0"/>
        <w:spacing w:before="156" w:beforeLines="50" w:line="360" w:lineRule="auto"/>
        <w:ind w:firstLine="424" w:firstLineChars="202"/>
        <w:rPr>
          <w:rFonts w:ascii="宋体" w:hAnsi="宋体" w:cs="Arial"/>
          <w:szCs w:val="21"/>
        </w:rPr>
      </w:pPr>
      <w:r>
        <w:rPr>
          <w:rFonts w:hint="eastAsia" w:ascii="宋体" w:hAnsi="宋体" w:cs="Arial"/>
          <w:szCs w:val="21"/>
        </w:rPr>
        <w:t>1.总报价是报价须包括项目实施过程中的交通运输费、餐费、通讯费、设备折旧费、工具损耗费、税费、人员工资、交通费等一切费用（在采购人处产生的装卸费、人工费等一切费用不包含在内）。</w:t>
      </w:r>
    </w:p>
    <w:p>
      <w:pPr>
        <w:autoSpaceDE w:val="0"/>
        <w:autoSpaceDN w:val="0"/>
        <w:adjustRightInd w:val="0"/>
        <w:spacing w:before="156" w:beforeLines="50" w:line="360" w:lineRule="auto"/>
        <w:ind w:firstLine="424" w:firstLineChars="202"/>
        <w:rPr>
          <w:rFonts w:ascii="宋体" w:hAnsi="宋体" w:cs="Arial"/>
          <w:szCs w:val="21"/>
        </w:rPr>
      </w:pPr>
      <w:r>
        <w:rPr>
          <w:rFonts w:hint="eastAsia" w:ascii="宋体" w:hAnsi="宋体" w:cs="Arial"/>
          <w:szCs w:val="21"/>
        </w:rPr>
        <w:t>2.报价一经涂改，应在涂改处加盖单位公章，或者由法定代表人或全权代表签字或盖章，否则其谈判响应作无效处理。</w:t>
      </w:r>
    </w:p>
    <w:p>
      <w:pPr>
        <w:pStyle w:val="10"/>
        <w:rPr>
          <w:rFonts w:ascii="黑体" w:hAnsi="黑体" w:eastAsia="黑体" w:cs="黑体"/>
          <w:color w:val="111F2C"/>
          <w:szCs w:val="21"/>
          <w:shd w:val="clear" w:color="auto" w:fill="FFFFFF"/>
        </w:rPr>
      </w:pPr>
    </w:p>
    <w:p>
      <w:pPr>
        <w:pStyle w:val="10"/>
        <w:rPr>
          <w:rFonts w:ascii="黑体" w:hAnsi="黑体" w:eastAsia="黑体" w:cs="黑体"/>
          <w:color w:val="111F2C"/>
          <w:szCs w:val="21"/>
          <w:shd w:val="clear" w:color="auto" w:fill="FFFFFF"/>
        </w:rPr>
      </w:pPr>
    </w:p>
    <w:p>
      <w:pPr>
        <w:spacing w:line="480" w:lineRule="auto"/>
        <w:ind w:left="420"/>
        <w:rPr>
          <w:rFonts w:ascii="宋体" w:hAnsi="宋体"/>
          <w:sz w:val="24"/>
          <w:u w:val="single"/>
        </w:rPr>
      </w:pPr>
      <w:r>
        <w:rPr>
          <w:rFonts w:hint="eastAsia" w:ascii="宋体" w:hAnsi="宋体"/>
          <w:sz w:val="24"/>
        </w:rPr>
        <w:t>供应商名称（电子印章）：</w:t>
      </w:r>
    </w:p>
    <w:p>
      <w:pPr>
        <w:spacing w:line="480" w:lineRule="auto"/>
        <w:ind w:firstLine="435"/>
        <w:rPr>
          <w:rFonts w:ascii="宋体" w:hAnsi="宋体"/>
          <w:sz w:val="24"/>
        </w:rPr>
      </w:pPr>
      <w:r>
        <w:rPr>
          <w:rFonts w:hint="eastAsia" w:ascii="宋体" w:hAnsi="宋体"/>
          <w:sz w:val="24"/>
        </w:rPr>
        <w:t>供应商代表签字或电子印章：</w:t>
      </w:r>
    </w:p>
    <w:p>
      <w:pPr>
        <w:spacing w:line="480" w:lineRule="auto"/>
        <w:ind w:firstLine="435"/>
        <w:rPr>
          <w:rFonts w:ascii="宋体" w:hAnsi="宋体"/>
          <w:sz w:val="24"/>
        </w:rPr>
      </w:pPr>
      <w:r>
        <w:rPr>
          <w:rFonts w:hint="eastAsia" w:ascii="宋体" w:hAnsi="宋体"/>
          <w:sz w:val="24"/>
        </w:rPr>
        <w:t>职        务：</w:t>
      </w:r>
    </w:p>
    <w:p>
      <w:pPr>
        <w:spacing w:line="480" w:lineRule="auto"/>
        <w:ind w:firstLine="435"/>
        <w:rPr>
          <w:rFonts w:ascii="宋体" w:hAnsi="宋体"/>
          <w:sz w:val="24"/>
        </w:rPr>
      </w:pPr>
      <w:r>
        <w:rPr>
          <w:rFonts w:hint="eastAsia" w:ascii="宋体" w:hAnsi="宋体"/>
          <w:sz w:val="24"/>
        </w:rPr>
        <w:t>日        期：</w:t>
      </w: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3</w:t>
      </w:r>
    </w:p>
    <w:p>
      <w:pPr>
        <w:spacing w:line="360" w:lineRule="auto"/>
        <w:ind w:left="480"/>
        <w:jc w:val="center"/>
        <w:rPr>
          <w:rFonts w:ascii="宋体" w:hAnsi="宋体"/>
        </w:rPr>
      </w:pPr>
      <w:r>
        <w:rPr>
          <w:rFonts w:hint="eastAsia" w:ascii="宋体" w:hAnsi="宋体"/>
          <w:b/>
          <w:sz w:val="32"/>
          <w:szCs w:val="32"/>
        </w:rPr>
        <w:t>报价明细表</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项目编号：</w:t>
      </w:r>
      <w:r>
        <w:rPr>
          <w:rFonts w:hint="eastAsia" w:ascii="宋体" w:hAnsi="宋体"/>
          <w:sz w:val="24"/>
          <w:u w:val="single"/>
        </w:rPr>
        <w:t xml:space="preserve">             </w:t>
      </w:r>
    </w:p>
    <w:p>
      <w:pPr>
        <w:pStyle w:val="39"/>
        <w:spacing w:line="360" w:lineRule="auto"/>
        <w:ind w:right="480"/>
        <w:jc w:val="right"/>
        <w:rPr>
          <w:rFonts w:ascii="宋体" w:hAnsi="宋体"/>
          <w:sz w:val="24"/>
        </w:rPr>
      </w:pPr>
      <w:r>
        <w:rPr>
          <w:rFonts w:hint="eastAsia" w:ascii="宋体" w:hAnsi="宋体"/>
          <w:sz w:val="24"/>
        </w:rPr>
        <w:t>[货币单位：人民币元]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71"/>
        <w:gridCol w:w="1970"/>
        <w:gridCol w:w="1560"/>
        <w:gridCol w:w="930"/>
        <w:gridCol w:w="750"/>
        <w:gridCol w:w="7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14" w:type="dxa"/>
            <w:vAlign w:val="center"/>
          </w:tcPr>
          <w:p>
            <w:pPr>
              <w:spacing w:line="360" w:lineRule="auto"/>
              <w:rPr>
                <w:rFonts w:ascii="宋体" w:hAnsi="宋体"/>
                <w:b/>
                <w:sz w:val="24"/>
              </w:rPr>
            </w:pPr>
            <w:r>
              <w:rPr>
                <w:rFonts w:hint="eastAsia" w:ascii="宋体" w:hAnsi="宋体"/>
                <w:b/>
                <w:sz w:val="24"/>
              </w:rPr>
              <w:t>序号</w:t>
            </w:r>
          </w:p>
        </w:tc>
        <w:tc>
          <w:tcPr>
            <w:tcW w:w="1271"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970"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危险废物名称</w:t>
            </w:r>
          </w:p>
        </w:tc>
        <w:tc>
          <w:tcPr>
            <w:tcW w:w="1560" w:type="dxa"/>
            <w:vAlign w:val="center"/>
          </w:tcPr>
          <w:p>
            <w:pPr>
              <w:spacing w:line="360" w:lineRule="auto"/>
              <w:ind w:left="52"/>
              <w:jc w:val="center"/>
              <w:rPr>
                <w:rFonts w:ascii="宋体" w:hAnsi="宋体"/>
                <w:b/>
                <w:sz w:val="24"/>
              </w:rPr>
            </w:pPr>
            <w:r>
              <w:rPr>
                <w:rFonts w:hint="eastAsia" w:ascii="宋体" w:hAnsi="宋体"/>
                <w:b/>
                <w:sz w:val="24"/>
              </w:rPr>
              <w:t>废物代码</w:t>
            </w:r>
          </w:p>
        </w:tc>
        <w:tc>
          <w:tcPr>
            <w:tcW w:w="930"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750" w:type="dxa"/>
            <w:vAlign w:val="center"/>
          </w:tcPr>
          <w:p>
            <w:pPr>
              <w:spacing w:line="360" w:lineRule="auto"/>
              <w:jc w:val="center"/>
              <w:rPr>
                <w:rFonts w:ascii="宋体" w:hAnsi="宋体"/>
                <w:b/>
                <w:sz w:val="24"/>
              </w:rPr>
            </w:pPr>
            <w:r>
              <w:rPr>
                <w:rFonts w:hint="eastAsia" w:ascii="宋体" w:hAnsi="宋体"/>
                <w:b/>
                <w:sz w:val="24"/>
              </w:rPr>
              <w:t>单价</w:t>
            </w:r>
          </w:p>
        </w:tc>
        <w:tc>
          <w:tcPr>
            <w:tcW w:w="743" w:type="dxa"/>
            <w:vAlign w:val="center"/>
          </w:tcPr>
          <w:p>
            <w:pPr>
              <w:spacing w:line="360" w:lineRule="auto"/>
              <w:jc w:val="center"/>
              <w:rPr>
                <w:rFonts w:ascii="宋体" w:hAnsi="宋体"/>
                <w:b/>
                <w:sz w:val="24"/>
              </w:rPr>
            </w:pPr>
            <w:r>
              <w:rPr>
                <w:rFonts w:hint="eastAsia" w:ascii="宋体" w:hAnsi="宋体"/>
                <w:b/>
                <w:sz w:val="24"/>
              </w:rPr>
              <w:t>小计</w:t>
            </w:r>
          </w:p>
        </w:tc>
        <w:tc>
          <w:tcPr>
            <w:tcW w:w="709"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14" w:type="dxa"/>
            <w:vAlign w:val="center"/>
          </w:tcPr>
          <w:p>
            <w:pPr>
              <w:spacing w:line="360" w:lineRule="auto"/>
              <w:rPr>
                <w:rFonts w:hint="eastAsia" w:ascii="宋体" w:hAnsi="宋体" w:eastAsia="宋体"/>
                <w:sz w:val="24"/>
                <w:lang w:val="en-US" w:eastAsia="zh-CN"/>
              </w:rPr>
            </w:pPr>
            <w:r>
              <w:rPr>
                <w:rFonts w:hint="eastAsia" w:ascii="宋体" w:hAnsi="宋体"/>
                <w:sz w:val="24"/>
                <w:lang w:val="en-US" w:eastAsia="zh-CN"/>
              </w:rPr>
              <w:t>1</w:t>
            </w:r>
          </w:p>
        </w:tc>
        <w:tc>
          <w:tcPr>
            <w:tcW w:w="1271" w:type="dxa"/>
            <w:vAlign w:val="center"/>
          </w:tcPr>
          <w:p>
            <w:pPr>
              <w:spacing w:line="360" w:lineRule="auto"/>
              <w:rPr>
                <w:rFonts w:ascii="宋体" w:hAnsi="宋体"/>
                <w:sz w:val="24"/>
              </w:rPr>
            </w:pPr>
            <w:r>
              <w:rPr>
                <w:rFonts w:hint="eastAsia" w:ascii="宋体" w:hAnsi="宋体"/>
                <w:bCs/>
                <w:sz w:val="24"/>
                <w:szCs w:val="21"/>
              </w:rPr>
              <w:t>农药包装废弃物集中处置</w:t>
            </w:r>
          </w:p>
        </w:tc>
        <w:tc>
          <w:tcPr>
            <w:tcW w:w="1970" w:type="dxa"/>
            <w:vAlign w:val="center"/>
          </w:tcPr>
          <w:p>
            <w:pPr>
              <w:spacing w:line="360" w:lineRule="auto"/>
              <w:rPr>
                <w:rFonts w:ascii="宋体" w:hAnsi="宋体"/>
                <w:sz w:val="24"/>
              </w:rPr>
            </w:pPr>
            <w:r>
              <w:rPr>
                <w:rFonts w:hint="eastAsia" w:ascii="宋体" w:hAnsi="宋体"/>
                <w:sz w:val="24"/>
              </w:rPr>
              <w:t>农药包装废弃物</w:t>
            </w:r>
          </w:p>
        </w:tc>
        <w:tc>
          <w:tcPr>
            <w:tcW w:w="1560" w:type="dxa"/>
            <w:vAlign w:val="center"/>
          </w:tcPr>
          <w:p>
            <w:pPr>
              <w:spacing w:line="360" w:lineRule="auto"/>
              <w:rPr>
                <w:rFonts w:ascii="宋体" w:hAnsi="宋体"/>
                <w:sz w:val="24"/>
              </w:rPr>
            </w:pPr>
            <w:r>
              <w:rPr>
                <w:rFonts w:hint="eastAsia" w:ascii="宋体" w:hAnsi="宋体"/>
                <w:sz w:val="24"/>
              </w:rPr>
              <w:t>900-003-04</w:t>
            </w:r>
          </w:p>
        </w:tc>
        <w:tc>
          <w:tcPr>
            <w:tcW w:w="930" w:type="dxa"/>
            <w:vAlign w:val="center"/>
          </w:tcPr>
          <w:p>
            <w:pPr>
              <w:spacing w:line="360" w:lineRule="auto"/>
              <w:rPr>
                <w:rFonts w:ascii="宋体" w:hAnsi="宋体"/>
                <w:sz w:val="24"/>
              </w:rPr>
            </w:pPr>
            <w:r>
              <w:rPr>
                <w:rFonts w:hint="eastAsia" w:ascii="宋体" w:hAnsi="宋体"/>
                <w:sz w:val="24"/>
                <w:lang w:val="en-US" w:eastAsia="zh-CN"/>
              </w:rPr>
              <w:t>80</w:t>
            </w:r>
            <w:r>
              <w:rPr>
                <w:rFonts w:hint="eastAsia" w:ascii="宋体" w:hAnsi="宋体"/>
                <w:sz w:val="24"/>
              </w:rPr>
              <w:t>吨</w:t>
            </w:r>
          </w:p>
        </w:tc>
        <w:tc>
          <w:tcPr>
            <w:tcW w:w="750" w:type="dxa"/>
            <w:vAlign w:val="center"/>
          </w:tcPr>
          <w:p>
            <w:pPr>
              <w:spacing w:line="360" w:lineRule="auto"/>
              <w:rPr>
                <w:rFonts w:ascii="宋体" w:hAnsi="宋体"/>
                <w:sz w:val="24"/>
              </w:rPr>
            </w:pPr>
          </w:p>
        </w:tc>
        <w:tc>
          <w:tcPr>
            <w:tcW w:w="743"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本表为《首次报价一览表》的报价明细表，如有缺项、漏项，视为磋商响应报价中已包含相关费用，采购人无需另外支付任何费用。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“报价明细表”中的报价合计应与“开标一览表”中的磋商响应总报价相一致，不一致时，以开标一览表为准。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9"/>
        <w:ind w:firstLine="0"/>
      </w:pPr>
    </w:p>
    <w:p>
      <w:pPr>
        <w:pStyle w:val="9"/>
        <w:ind w:firstLine="0"/>
      </w:pPr>
    </w:p>
    <w:p>
      <w:pPr>
        <w:pStyle w:val="9"/>
        <w:ind w:firstLine="0"/>
      </w:pPr>
    </w:p>
    <w:p>
      <w:pPr>
        <w:pStyle w:val="9"/>
        <w:ind w:firstLine="0"/>
      </w:pPr>
    </w:p>
    <w:p>
      <w:pPr>
        <w:pStyle w:val="9"/>
        <w:ind w:firstLine="0"/>
      </w:pPr>
    </w:p>
    <w:p>
      <w:pPr>
        <w:pStyle w:val="9"/>
        <w:ind w:firstLine="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Noto Sans CJK JP Medium">
    <w:altName w:val="Segoe Print"/>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台州市政府采购磋商采购文件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47</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BEB50"/>
    <w:multiLevelType w:val="singleLevel"/>
    <w:tmpl w:val="BBFBEB50"/>
    <w:lvl w:ilvl="0" w:tentative="0">
      <w:start w:val="1"/>
      <w:numFmt w:val="decimalEnclosedCircleChinese"/>
      <w:suff w:val="nothing"/>
      <w:lvlText w:val="%1　"/>
      <w:lvlJc w:val="left"/>
      <w:pPr>
        <w:ind w:left="0" w:firstLine="400"/>
      </w:pPr>
      <w:rPr>
        <w:rFonts w:hint="eastAsia"/>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3">
    <w:nsid w:val="066E6274"/>
    <w:multiLevelType w:val="multilevel"/>
    <w:tmpl w:val="066E6274"/>
    <w:lvl w:ilvl="0" w:tentative="0">
      <w:start w:val="1"/>
      <w:numFmt w:val="ideographTraditional"/>
      <w:lvlText w:val="%1、"/>
      <w:lvlJc w:val="left"/>
      <w:pPr>
        <w:tabs>
          <w:tab w:val="left" w:pos="1040"/>
        </w:tabs>
        <w:ind w:left="1040" w:hanging="48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5">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6">
    <w:nsid w:val="10513862"/>
    <w:multiLevelType w:val="singleLevel"/>
    <w:tmpl w:val="10513862"/>
    <w:lvl w:ilvl="0" w:tentative="0">
      <w:start w:val="1"/>
      <w:numFmt w:val="chineseCounting"/>
      <w:suff w:val="nothing"/>
      <w:lvlText w:val="%1、"/>
      <w:lvlJc w:val="left"/>
      <w:rPr>
        <w:rFonts w:hint="eastAsia"/>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num w:numId="1">
    <w:abstractNumId w:val="8"/>
  </w:num>
  <w:num w:numId="2">
    <w:abstractNumId w:val="5"/>
  </w:num>
  <w:num w:numId="3">
    <w:abstractNumId w:val="9"/>
  </w:num>
  <w:num w:numId="4">
    <w:abstractNumId w:val="7"/>
  </w:num>
  <w:num w:numId="5">
    <w:abstractNumId w:val="6"/>
  </w:num>
  <w:num w:numId="6">
    <w:abstractNumId w:val="1"/>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7403C"/>
    <w:rsid w:val="00084684"/>
    <w:rsid w:val="00104467"/>
    <w:rsid w:val="001234C2"/>
    <w:rsid w:val="0023468B"/>
    <w:rsid w:val="00267F83"/>
    <w:rsid w:val="002D298A"/>
    <w:rsid w:val="00303E7D"/>
    <w:rsid w:val="00315916"/>
    <w:rsid w:val="00366FA4"/>
    <w:rsid w:val="003E41A8"/>
    <w:rsid w:val="004A4341"/>
    <w:rsid w:val="004F4327"/>
    <w:rsid w:val="005A3F56"/>
    <w:rsid w:val="005A5509"/>
    <w:rsid w:val="006000E6"/>
    <w:rsid w:val="006F2372"/>
    <w:rsid w:val="007146D5"/>
    <w:rsid w:val="0073607F"/>
    <w:rsid w:val="0074459B"/>
    <w:rsid w:val="00791044"/>
    <w:rsid w:val="007A069B"/>
    <w:rsid w:val="007B3E3E"/>
    <w:rsid w:val="007B51ED"/>
    <w:rsid w:val="007B6F4D"/>
    <w:rsid w:val="007C4012"/>
    <w:rsid w:val="00932D08"/>
    <w:rsid w:val="00984D8C"/>
    <w:rsid w:val="00987EDA"/>
    <w:rsid w:val="00A921FD"/>
    <w:rsid w:val="00A96D55"/>
    <w:rsid w:val="00A979AB"/>
    <w:rsid w:val="00AB49B7"/>
    <w:rsid w:val="00AD6C57"/>
    <w:rsid w:val="00BA708B"/>
    <w:rsid w:val="00C04262"/>
    <w:rsid w:val="00C4286B"/>
    <w:rsid w:val="00CA4AD5"/>
    <w:rsid w:val="00D138B9"/>
    <w:rsid w:val="00DC376C"/>
    <w:rsid w:val="00E268FD"/>
    <w:rsid w:val="00E32866"/>
    <w:rsid w:val="00E63EB3"/>
    <w:rsid w:val="00ED13E1"/>
    <w:rsid w:val="00F27C47"/>
    <w:rsid w:val="00FC2D38"/>
    <w:rsid w:val="010742D5"/>
    <w:rsid w:val="011F460A"/>
    <w:rsid w:val="013D69DB"/>
    <w:rsid w:val="01851778"/>
    <w:rsid w:val="01AE11E6"/>
    <w:rsid w:val="01C3757A"/>
    <w:rsid w:val="01F53A09"/>
    <w:rsid w:val="02072CC8"/>
    <w:rsid w:val="02220C8A"/>
    <w:rsid w:val="022C5250"/>
    <w:rsid w:val="02E32A3D"/>
    <w:rsid w:val="02FA6A29"/>
    <w:rsid w:val="033D3B0D"/>
    <w:rsid w:val="03400DD0"/>
    <w:rsid w:val="03AE165D"/>
    <w:rsid w:val="03B92608"/>
    <w:rsid w:val="03E6762D"/>
    <w:rsid w:val="045C047C"/>
    <w:rsid w:val="046041A0"/>
    <w:rsid w:val="04604D98"/>
    <w:rsid w:val="049D3746"/>
    <w:rsid w:val="04A0717A"/>
    <w:rsid w:val="04D80590"/>
    <w:rsid w:val="04F81040"/>
    <w:rsid w:val="05A87DBC"/>
    <w:rsid w:val="05B01B1D"/>
    <w:rsid w:val="06653EC4"/>
    <w:rsid w:val="066968F8"/>
    <w:rsid w:val="06744624"/>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E70A54"/>
    <w:rsid w:val="09F15703"/>
    <w:rsid w:val="09FA5669"/>
    <w:rsid w:val="0A8528D5"/>
    <w:rsid w:val="0AA17359"/>
    <w:rsid w:val="0AD56F1F"/>
    <w:rsid w:val="0AEA3C8C"/>
    <w:rsid w:val="0B0B6625"/>
    <w:rsid w:val="0B1E0CF0"/>
    <w:rsid w:val="0B4C5010"/>
    <w:rsid w:val="0B7F5105"/>
    <w:rsid w:val="0BE83010"/>
    <w:rsid w:val="0BF55127"/>
    <w:rsid w:val="0C4369A5"/>
    <w:rsid w:val="0C7E2237"/>
    <w:rsid w:val="0C8A3153"/>
    <w:rsid w:val="0C991BD9"/>
    <w:rsid w:val="0CD24D60"/>
    <w:rsid w:val="0D3F7F2E"/>
    <w:rsid w:val="0D705EC6"/>
    <w:rsid w:val="0D7558BB"/>
    <w:rsid w:val="0D860895"/>
    <w:rsid w:val="0DB757B9"/>
    <w:rsid w:val="0DE7555E"/>
    <w:rsid w:val="0DF10A71"/>
    <w:rsid w:val="0E1844B4"/>
    <w:rsid w:val="0E1D3528"/>
    <w:rsid w:val="0E2B3C80"/>
    <w:rsid w:val="0E310B9F"/>
    <w:rsid w:val="0E9F0BC2"/>
    <w:rsid w:val="0EE11FF4"/>
    <w:rsid w:val="0EFA552A"/>
    <w:rsid w:val="0F731A9E"/>
    <w:rsid w:val="0F833EF8"/>
    <w:rsid w:val="0F965542"/>
    <w:rsid w:val="0FAC1122"/>
    <w:rsid w:val="0FC27645"/>
    <w:rsid w:val="0FE801DA"/>
    <w:rsid w:val="100E1453"/>
    <w:rsid w:val="10401AB4"/>
    <w:rsid w:val="107C2AAE"/>
    <w:rsid w:val="10976191"/>
    <w:rsid w:val="109E446F"/>
    <w:rsid w:val="10BE1B05"/>
    <w:rsid w:val="11125A25"/>
    <w:rsid w:val="115C632A"/>
    <w:rsid w:val="1161667C"/>
    <w:rsid w:val="118A244C"/>
    <w:rsid w:val="11914905"/>
    <w:rsid w:val="11A2124C"/>
    <w:rsid w:val="11B330FF"/>
    <w:rsid w:val="11C20C82"/>
    <w:rsid w:val="11DA3B8F"/>
    <w:rsid w:val="12101447"/>
    <w:rsid w:val="12543D89"/>
    <w:rsid w:val="125F1817"/>
    <w:rsid w:val="12BB2C5B"/>
    <w:rsid w:val="12CF4115"/>
    <w:rsid w:val="130B6440"/>
    <w:rsid w:val="134C77A5"/>
    <w:rsid w:val="13731B39"/>
    <w:rsid w:val="13815663"/>
    <w:rsid w:val="13C30E6E"/>
    <w:rsid w:val="14230C67"/>
    <w:rsid w:val="144D2E15"/>
    <w:rsid w:val="1466198A"/>
    <w:rsid w:val="146B4F18"/>
    <w:rsid w:val="147B2758"/>
    <w:rsid w:val="14EA3450"/>
    <w:rsid w:val="14F767B6"/>
    <w:rsid w:val="152201E5"/>
    <w:rsid w:val="153C7B00"/>
    <w:rsid w:val="155E782B"/>
    <w:rsid w:val="15734572"/>
    <w:rsid w:val="158D19C4"/>
    <w:rsid w:val="15A7636A"/>
    <w:rsid w:val="15B1120C"/>
    <w:rsid w:val="15B65685"/>
    <w:rsid w:val="16031113"/>
    <w:rsid w:val="16625C32"/>
    <w:rsid w:val="16725D01"/>
    <w:rsid w:val="168F227C"/>
    <w:rsid w:val="16F02A1F"/>
    <w:rsid w:val="171F0861"/>
    <w:rsid w:val="173D243C"/>
    <w:rsid w:val="17534ECF"/>
    <w:rsid w:val="175E1889"/>
    <w:rsid w:val="178B17FC"/>
    <w:rsid w:val="17AC754E"/>
    <w:rsid w:val="17D47161"/>
    <w:rsid w:val="181011F1"/>
    <w:rsid w:val="1827115F"/>
    <w:rsid w:val="18537282"/>
    <w:rsid w:val="19075792"/>
    <w:rsid w:val="1924523C"/>
    <w:rsid w:val="192A06DB"/>
    <w:rsid w:val="19657BF3"/>
    <w:rsid w:val="198218DD"/>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75F69"/>
    <w:rsid w:val="1C494C47"/>
    <w:rsid w:val="1C7E5112"/>
    <w:rsid w:val="1CC868AA"/>
    <w:rsid w:val="1CEF0717"/>
    <w:rsid w:val="1CFA7EEF"/>
    <w:rsid w:val="1CFB1146"/>
    <w:rsid w:val="1CFE6504"/>
    <w:rsid w:val="1D2E0D77"/>
    <w:rsid w:val="1D37062D"/>
    <w:rsid w:val="1D3D753B"/>
    <w:rsid w:val="1D532C22"/>
    <w:rsid w:val="1D9308B3"/>
    <w:rsid w:val="1DD515F9"/>
    <w:rsid w:val="1E331E3B"/>
    <w:rsid w:val="1E4D682E"/>
    <w:rsid w:val="1E561B49"/>
    <w:rsid w:val="1E5B5B74"/>
    <w:rsid w:val="1E6A6F3C"/>
    <w:rsid w:val="1E7D1B4B"/>
    <w:rsid w:val="1E8140C5"/>
    <w:rsid w:val="1ED36885"/>
    <w:rsid w:val="1EDB21B2"/>
    <w:rsid w:val="1EE21D29"/>
    <w:rsid w:val="1EFA6533"/>
    <w:rsid w:val="1F2A4B47"/>
    <w:rsid w:val="1F2E2C97"/>
    <w:rsid w:val="1F3E1D5D"/>
    <w:rsid w:val="1F6E3177"/>
    <w:rsid w:val="1F6F04BA"/>
    <w:rsid w:val="1F786F59"/>
    <w:rsid w:val="1F870ADE"/>
    <w:rsid w:val="1FEE47F4"/>
    <w:rsid w:val="20027E74"/>
    <w:rsid w:val="2024650C"/>
    <w:rsid w:val="20380E59"/>
    <w:rsid w:val="20464321"/>
    <w:rsid w:val="20505BF4"/>
    <w:rsid w:val="205D6C3D"/>
    <w:rsid w:val="206C4B4F"/>
    <w:rsid w:val="20797189"/>
    <w:rsid w:val="20835E3C"/>
    <w:rsid w:val="20B07511"/>
    <w:rsid w:val="20C6643A"/>
    <w:rsid w:val="215C6880"/>
    <w:rsid w:val="218F0080"/>
    <w:rsid w:val="21A5390F"/>
    <w:rsid w:val="21AD66DD"/>
    <w:rsid w:val="21D4253C"/>
    <w:rsid w:val="21EE760E"/>
    <w:rsid w:val="21F83EB4"/>
    <w:rsid w:val="22547C58"/>
    <w:rsid w:val="22734646"/>
    <w:rsid w:val="22963494"/>
    <w:rsid w:val="22B371B5"/>
    <w:rsid w:val="22C23296"/>
    <w:rsid w:val="22CC461B"/>
    <w:rsid w:val="230E2F31"/>
    <w:rsid w:val="233E4105"/>
    <w:rsid w:val="23666663"/>
    <w:rsid w:val="23693289"/>
    <w:rsid w:val="23757592"/>
    <w:rsid w:val="239147E1"/>
    <w:rsid w:val="23BB34F7"/>
    <w:rsid w:val="243B4C5D"/>
    <w:rsid w:val="24647B64"/>
    <w:rsid w:val="24FD6DFA"/>
    <w:rsid w:val="24FE0E05"/>
    <w:rsid w:val="25A9590D"/>
    <w:rsid w:val="25AF3989"/>
    <w:rsid w:val="25B303CF"/>
    <w:rsid w:val="25C73339"/>
    <w:rsid w:val="25D43D29"/>
    <w:rsid w:val="25D62822"/>
    <w:rsid w:val="25FC409C"/>
    <w:rsid w:val="26037DA0"/>
    <w:rsid w:val="266A24B5"/>
    <w:rsid w:val="266C7CA7"/>
    <w:rsid w:val="269D2825"/>
    <w:rsid w:val="26B424FB"/>
    <w:rsid w:val="27116F14"/>
    <w:rsid w:val="27795787"/>
    <w:rsid w:val="27881ACA"/>
    <w:rsid w:val="27F30C40"/>
    <w:rsid w:val="28482C7C"/>
    <w:rsid w:val="289A255F"/>
    <w:rsid w:val="28B54BEB"/>
    <w:rsid w:val="28D9203E"/>
    <w:rsid w:val="28E80E13"/>
    <w:rsid w:val="29127BE0"/>
    <w:rsid w:val="29196245"/>
    <w:rsid w:val="29554B42"/>
    <w:rsid w:val="295A4D29"/>
    <w:rsid w:val="29606A91"/>
    <w:rsid w:val="29807B6C"/>
    <w:rsid w:val="29B661A7"/>
    <w:rsid w:val="29FA460F"/>
    <w:rsid w:val="2A084E42"/>
    <w:rsid w:val="2AC017A8"/>
    <w:rsid w:val="2B492F53"/>
    <w:rsid w:val="2B7F0BDE"/>
    <w:rsid w:val="2BDE00CD"/>
    <w:rsid w:val="2C232160"/>
    <w:rsid w:val="2C235700"/>
    <w:rsid w:val="2C517394"/>
    <w:rsid w:val="2C587AD3"/>
    <w:rsid w:val="2C7E6429"/>
    <w:rsid w:val="2C8206F9"/>
    <w:rsid w:val="2C963671"/>
    <w:rsid w:val="2C9D4F34"/>
    <w:rsid w:val="2C9F7276"/>
    <w:rsid w:val="2CA2073A"/>
    <w:rsid w:val="2CB57537"/>
    <w:rsid w:val="2D1C1443"/>
    <w:rsid w:val="2D84410B"/>
    <w:rsid w:val="2D8C3A4E"/>
    <w:rsid w:val="2DAB174B"/>
    <w:rsid w:val="2DAC3053"/>
    <w:rsid w:val="2E0320EB"/>
    <w:rsid w:val="2E125FC1"/>
    <w:rsid w:val="2E1B69A2"/>
    <w:rsid w:val="2E354929"/>
    <w:rsid w:val="2E7B072C"/>
    <w:rsid w:val="2EF410B7"/>
    <w:rsid w:val="2F011E82"/>
    <w:rsid w:val="2F631DFD"/>
    <w:rsid w:val="2F6858EF"/>
    <w:rsid w:val="2F8F12D1"/>
    <w:rsid w:val="2FA71114"/>
    <w:rsid w:val="2FBD3EFE"/>
    <w:rsid w:val="2FE06B43"/>
    <w:rsid w:val="2FF93253"/>
    <w:rsid w:val="3046030C"/>
    <w:rsid w:val="304D28E8"/>
    <w:rsid w:val="30576C83"/>
    <w:rsid w:val="30670F4B"/>
    <w:rsid w:val="307770A8"/>
    <w:rsid w:val="30D72609"/>
    <w:rsid w:val="30FD1799"/>
    <w:rsid w:val="314F20C1"/>
    <w:rsid w:val="31927E1A"/>
    <w:rsid w:val="31AB540D"/>
    <w:rsid w:val="31B57A67"/>
    <w:rsid w:val="31F436E7"/>
    <w:rsid w:val="32413B97"/>
    <w:rsid w:val="324C0B81"/>
    <w:rsid w:val="328D576F"/>
    <w:rsid w:val="33091096"/>
    <w:rsid w:val="331C15B8"/>
    <w:rsid w:val="33232830"/>
    <w:rsid w:val="33566686"/>
    <w:rsid w:val="337230AE"/>
    <w:rsid w:val="33781EF4"/>
    <w:rsid w:val="33843CA1"/>
    <w:rsid w:val="33A45B5A"/>
    <w:rsid w:val="33DD4134"/>
    <w:rsid w:val="33E47B88"/>
    <w:rsid w:val="33FA723C"/>
    <w:rsid w:val="341C55A4"/>
    <w:rsid w:val="343828C2"/>
    <w:rsid w:val="346500C7"/>
    <w:rsid w:val="34A13A37"/>
    <w:rsid w:val="34F5177C"/>
    <w:rsid w:val="35043821"/>
    <w:rsid w:val="355C4178"/>
    <w:rsid w:val="3562042D"/>
    <w:rsid w:val="35850AE6"/>
    <w:rsid w:val="35867C30"/>
    <w:rsid w:val="35DE1818"/>
    <w:rsid w:val="362D36E4"/>
    <w:rsid w:val="36787E34"/>
    <w:rsid w:val="367F3517"/>
    <w:rsid w:val="36A52258"/>
    <w:rsid w:val="36B77A33"/>
    <w:rsid w:val="36C54300"/>
    <w:rsid w:val="36FC06E4"/>
    <w:rsid w:val="372D27B8"/>
    <w:rsid w:val="37533A9C"/>
    <w:rsid w:val="37907B88"/>
    <w:rsid w:val="37930872"/>
    <w:rsid w:val="37AC0A3F"/>
    <w:rsid w:val="37DB78A9"/>
    <w:rsid w:val="37EE6B00"/>
    <w:rsid w:val="38053C44"/>
    <w:rsid w:val="383F153C"/>
    <w:rsid w:val="384910F0"/>
    <w:rsid w:val="38B03176"/>
    <w:rsid w:val="38D123DD"/>
    <w:rsid w:val="390169CA"/>
    <w:rsid w:val="39150581"/>
    <w:rsid w:val="392F5095"/>
    <w:rsid w:val="39465433"/>
    <w:rsid w:val="39561D5A"/>
    <w:rsid w:val="395B6912"/>
    <w:rsid w:val="397F2D08"/>
    <w:rsid w:val="3A3F6C87"/>
    <w:rsid w:val="3A4275D3"/>
    <w:rsid w:val="3A9A511E"/>
    <w:rsid w:val="3AA31F54"/>
    <w:rsid w:val="3AC55D59"/>
    <w:rsid w:val="3ACE2337"/>
    <w:rsid w:val="3ADF4EC5"/>
    <w:rsid w:val="3B175B2E"/>
    <w:rsid w:val="3B422D87"/>
    <w:rsid w:val="3B625CA9"/>
    <w:rsid w:val="3BC5147E"/>
    <w:rsid w:val="3BDF7BFD"/>
    <w:rsid w:val="3BE90506"/>
    <w:rsid w:val="3BEB1160"/>
    <w:rsid w:val="3BEB6832"/>
    <w:rsid w:val="3C3667CF"/>
    <w:rsid w:val="3C40766B"/>
    <w:rsid w:val="3C4F2BB7"/>
    <w:rsid w:val="3C692C22"/>
    <w:rsid w:val="3C8F104D"/>
    <w:rsid w:val="3CB16103"/>
    <w:rsid w:val="3CB2101F"/>
    <w:rsid w:val="3CBD35C8"/>
    <w:rsid w:val="3CBF1A99"/>
    <w:rsid w:val="3CC764A1"/>
    <w:rsid w:val="3D097312"/>
    <w:rsid w:val="3D1001E1"/>
    <w:rsid w:val="3D2F6909"/>
    <w:rsid w:val="3DAE0624"/>
    <w:rsid w:val="3DE113F3"/>
    <w:rsid w:val="3E1E7238"/>
    <w:rsid w:val="3EB648CC"/>
    <w:rsid w:val="3EBD28B3"/>
    <w:rsid w:val="3F1B07D8"/>
    <w:rsid w:val="3F506818"/>
    <w:rsid w:val="3FC92BF5"/>
    <w:rsid w:val="3FE36C1C"/>
    <w:rsid w:val="3FEB19D5"/>
    <w:rsid w:val="40225416"/>
    <w:rsid w:val="40323D4B"/>
    <w:rsid w:val="4036153F"/>
    <w:rsid w:val="40A30A33"/>
    <w:rsid w:val="4113174C"/>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400649E"/>
    <w:rsid w:val="4478624B"/>
    <w:rsid w:val="4493367B"/>
    <w:rsid w:val="44A26554"/>
    <w:rsid w:val="44AB74B4"/>
    <w:rsid w:val="44D64ABE"/>
    <w:rsid w:val="45040706"/>
    <w:rsid w:val="451446FC"/>
    <w:rsid w:val="452905F3"/>
    <w:rsid w:val="4579070F"/>
    <w:rsid w:val="457E6F7B"/>
    <w:rsid w:val="45FD70DB"/>
    <w:rsid w:val="464C3285"/>
    <w:rsid w:val="46587A04"/>
    <w:rsid w:val="468509D2"/>
    <w:rsid w:val="46977D08"/>
    <w:rsid w:val="46BA6241"/>
    <w:rsid w:val="46BC0687"/>
    <w:rsid w:val="46D14AE8"/>
    <w:rsid w:val="46DA670B"/>
    <w:rsid w:val="46F40267"/>
    <w:rsid w:val="47105EA9"/>
    <w:rsid w:val="471332ED"/>
    <w:rsid w:val="47CC7D6B"/>
    <w:rsid w:val="47D27940"/>
    <w:rsid w:val="47DE0285"/>
    <w:rsid w:val="47F77566"/>
    <w:rsid w:val="47F90DC6"/>
    <w:rsid w:val="480F670E"/>
    <w:rsid w:val="481C1F20"/>
    <w:rsid w:val="48266AF3"/>
    <w:rsid w:val="483816DA"/>
    <w:rsid w:val="48701663"/>
    <w:rsid w:val="48801F0A"/>
    <w:rsid w:val="489C7EA5"/>
    <w:rsid w:val="48BA1F20"/>
    <w:rsid w:val="48D75037"/>
    <w:rsid w:val="49267F46"/>
    <w:rsid w:val="493E3C2D"/>
    <w:rsid w:val="494730DF"/>
    <w:rsid w:val="494B7F85"/>
    <w:rsid w:val="497C5511"/>
    <w:rsid w:val="49A719D5"/>
    <w:rsid w:val="49B65DC9"/>
    <w:rsid w:val="49E2412D"/>
    <w:rsid w:val="49E82B6B"/>
    <w:rsid w:val="4A151D89"/>
    <w:rsid w:val="4A7674C1"/>
    <w:rsid w:val="4A812381"/>
    <w:rsid w:val="4B5F395F"/>
    <w:rsid w:val="4BE81CD3"/>
    <w:rsid w:val="4C360A31"/>
    <w:rsid w:val="4C3B51D7"/>
    <w:rsid w:val="4C735908"/>
    <w:rsid w:val="4C9743B6"/>
    <w:rsid w:val="4CCC503A"/>
    <w:rsid w:val="4CEB6172"/>
    <w:rsid w:val="4D670A85"/>
    <w:rsid w:val="4D756665"/>
    <w:rsid w:val="4D806473"/>
    <w:rsid w:val="4DB87F6B"/>
    <w:rsid w:val="4DF85FC0"/>
    <w:rsid w:val="4E46059D"/>
    <w:rsid w:val="4E50373D"/>
    <w:rsid w:val="4E7B029B"/>
    <w:rsid w:val="4ECC5D80"/>
    <w:rsid w:val="4ED61833"/>
    <w:rsid w:val="4EDA18B9"/>
    <w:rsid w:val="4EDE26E1"/>
    <w:rsid w:val="4F0153DC"/>
    <w:rsid w:val="4F16322F"/>
    <w:rsid w:val="4F1D7796"/>
    <w:rsid w:val="4F4775DA"/>
    <w:rsid w:val="4F573543"/>
    <w:rsid w:val="4F9B4CA9"/>
    <w:rsid w:val="4FD13C61"/>
    <w:rsid w:val="501C4E89"/>
    <w:rsid w:val="506A1839"/>
    <w:rsid w:val="50942DAE"/>
    <w:rsid w:val="509A34B5"/>
    <w:rsid w:val="50A93C64"/>
    <w:rsid w:val="50C353BD"/>
    <w:rsid w:val="50CF1F9A"/>
    <w:rsid w:val="50DD3BA3"/>
    <w:rsid w:val="50E61CAB"/>
    <w:rsid w:val="50FB2980"/>
    <w:rsid w:val="511C6CDD"/>
    <w:rsid w:val="51F91EC6"/>
    <w:rsid w:val="52512B8D"/>
    <w:rsid w:val="526405F3"/>
    <w:rsid w:val="52713ED9"/>
    <w:rsid w:val="527D59FE"/>
    <w:rsid w:val="52E04293"/>
    <w:rsid w:val="52F019E8"/>
    <w:rsid w:val="52F37A7A"/>
    <w:rsid w:val="531E2D03"/>
    <w:rsid w:val="532513E5"/>
    <w:rsid w:val="53477E2E"/>
    <w:rsid w:val="53BC34C4"/>
    <w:rsid w:val="53CE29B7"/>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AA5D1A"/>
    <w:rsid w:val="57BB22E7"/>
    <w:rsid w:val="57F64E7F"/>
    <w:rsid w:val="57F67BD6"/>
    <w:rsid w:val="58135758"/>
    <w:rsid w:val="58372026"/>
    <w:rsid w:val="587316C8"/>
    <w:rsid w:val="58800EF9"/>
    <w:rsid w:val="5920032E"/>
    <w:rsid w:val="592233B5"/>
    <w:rsid w:val="594E58E1"/>
    <w:rsid w:val="597E3F8E"/>
    <w:rsid w:val="59AF07EA"/>
    <w:rsid w:val="59BB38EE"/>
    <w:rsid w:val="59DC1D4F"/>
    <w:rsid w:val="59FE08FA"/>
    <w:rsid w:val="5A5640E0"/>
    <w:rsid w:val="5AC34C92"/>
    <w:rsid w:val="5ACF7403"/>
    <w:rsid w:val="5AD56953"/>
    <w:rsid w:val="5B46719F"/>
    <w:rsid w:val="5BA42A14"/>
    <w:rsid w:val="5BDF212D"/>
    <w:rsid w:val="5BF91159"/>
    <w:rsid w:val="5C2661F8"/>
    <w:rsid w:val="5C2B5AC7"/>
    <w:rsid w:val="5C342CD9"/>
    <w:rsid w:val="5C352A17"/>
    <w:rsid w:val="5C36681F"/>
    <w:rsid w:val="5C931B3A"/>
    <w:rsid w:val="5CE51647"/>
    <w:rsid w:val="5D0B0214"/>
    <w:rsid w:val="5D1A0A42"/>
    <w:rsid w:val="5D4F1710"/>
    <w:rsid w:val="5D5D7F5C"/>
    <w:rsid w:val="5D71045F"/>
    <w:rsid w:val="5D8543BA"/>
    <w:rsid w:val="5D9E16C8"/>
    <w:rsid w:val="5DB7371B"/>
    <w:rsid w:val="5DF04321"/>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A79ED"/>
    <w:rsid w:val="60106671"/>
    <w:rsid w:val="60441617"/>
    <w:rsid w:val="606D0EF6"/>
    <w:rsid w:val="60835E90"/>
    <w:rsid w:val="60B85EAE"/>
    <w:rsid w:val="60EC443C"/>
    <w:rsid w:val="61013040"/>
    <w:rsid w:val="61107F31"/>
    <w:rsid w:val="611C35B8"/>
    <w:rsid w:val="61456201"/>
    <w:rsid w:val="61AE7556"/>
    <w:rsid w:val="61D41854"/>
    <w:rsid w:val="62282B27"/>
    <w:rsid w:val="623C3740"/>
    <w:rsid w:val="624F63B5"/>
    <w:rsid w:val="625A6442"/>
    <w:rsid w:val="628F2951"/>
    <w:rsid w:val="62F86A67"/>
    <w:rsid w:val="631D19A4"/>
    <w:rsid w:val="63221256"/>
    <w:rsid w:val="63622C15"/>
    <w:rsid w:val="638B4892"/>
    <w:rsid w:val="639279AF"/>
    <w:rsid w:val="63A66A42"/>
    <w:rsid w:val="63E6795E"/>
    <w:rsid w:val="641222ED"/>
    <w:rsid w:val="642B5582"/>
    <w:rsid w:val="64486B46"/>
    <w:rsid w:val="64643953"/>
    <w:rsid w:val="64654D54"/>
    <w:rsid w:val="64FB2F8F"/>
    <w:rsid w:val="650D6333"/>
    <w:rsid w:val="654908E4"/>
    <w:rsid w:val="656A6C63"/>
    <w:rsid w:val="658C66C4"/>
    <w:rsid w:val="65B8738C"/>
    <w:rsid w:val="65D1134B"/>
    <w:rsid w:val="65F43065"/>
    <w:rsid w:val="66214EFA"/>
    <w:rsid w:val="666D65E1"/>
    <w:rsid w:val="668405BB"/>
    <w:rsid w:val="66B06369"/>
    <w:rsid w:val="66BE059B"/>
    <w:rsid w:val="66C25FFC"/>
    <w:rsid w:val="66EF31C1"/>
    <w:rsid w:val="671A59C6"/>
    <w:rsid w:val="67340A1D"/>
    <w:rsid w:val="67404335"/>
    <w:rsid w:val="674B4232"/>
    <w:rsid w:val="677C28DD"/>
    <w:rsid w:val="678218BC"/>
    <w:rsid w:val="678E3970"/>
    <w:rsid w:val="67905785"/>
    <w:rsid w:val="67D547F3"/>
    <w:rsid w:val="67E324DD"/>
    <w:rsid w:val="680C40CD"/>
    <w:rsid w:val="683B3D7E"/>
    <w:rsid w:val="685F2B0C"/>
    <w:rsid w:val="686E4CA0"/>
    <w:rsid w:val="686F6E6A"/>
    <w:rsid w:val="68840F3C"/>
    <w:rsid w:val="68B631F6"/>
    <w:rsid w:val="69520443"/>
    <w:rsid w:val="69B72806"/>
    <w:rsid w:val="69BD41F9"/>
    <w:rsid w:val="69C21FC2"/>
    <w:rsid w:val="69C52477"/>
    <w:rsid w:val="69CE3188"/>
    <w:rsid w:val="69E54E74"/>
    <w:rsid w:val="69F431E5"/>
    <w:rsid w:val="6A3A3987"/>
    <w:rsid w:val="6AD5470C"/>
    <w:rsid w:val="6AE7435F"/>
    <w:rsid w:val="6AE944A4"/>
    <w:rsid w:val="6B4E6ABF"/>
    <w:rsid w:val="6B6150FB"/>
    <w:rsid w:val="6BAE2EC2"/>
    <w:rsid w:val="6BBC7D3D"/>
    <w:rsid w:val="6C253A83"/>
    <w:rsid w:val="6C256815"/>
    <w:rsid w:val="6C4C1DDE"/>
    <w:rsid w:val="6C526267"/>
    <w:rsid w:val="6C9F2B60"/>
    <w:rsid w:val="6CFD78A4"/>
    <w:rsid w:val="6D272E6C"/>
    <w:rsid w:val="6D73227D"/>
    <w:rsid w:val="6D886D51"/>
    <w:rsid w:val="6D9C39D1"/>
    <w:rsid w:val="6DCC4C0D"/>
    <w:rsid w:val="6E153AFE"/>
    <w:rsid w:val="6E4341AC"/>
    <w:rsid w:val="6E8E457E"/>
    <w:rsid w:val="6E92348F"/>
    <w:rsid w:val="6F0E15C8"/>
    <w:rsid w:val="6F2E3E59"/>
    <w:rsid w:val="6F436F8F"/>
    <w:rsid w:val="6F4E3774"/>
    <w:rsid w:val="6F6816AE"/>
    <w:rsid w:val="6F93693C"/>
    <w:rsid w:val="6FC9214C"/>
    <w:rsid w:val="6FE16E28"/>
    <w:rsid w:val="705D36AF"/>
    <w:rsid w:val="70CC02B3"/>
    <w:rsid w:val="70D53585"/>
    <w:rsid w:val="70F2273C"/>
    <w:rsid w:val="7107296B"/>
    <w:rsid w:val="71321C7C"/>
    <w:rsid w:val="7170146E"/>
    <w:rsid w:val="717268C8"/>
    <w:rsid w:val="71802D0E"/>
    <w:rsid w:val="718F5890"/>
    <w:rsid w:val="722F3192"/>
    <w:rsid w:val="7235573F"/>
    <w:rsid w:val="726C56B8"/>
    <w:rsid w:val="727E6C9F"/>
    <w:rsid w:val="7288771C"/>
    <w:rsid w:val="728C57EE"/>
    <w:rsid w:val="72A458E1"/>
    <w:rsid w:val="72AD500E"/>
    <w:rsid w:val="72CE592F"/>
    <w:rsid w:val="73197AE0"/>
    <w:rsid w:val="73221860"/>
    <w:rsid w:val="733A4EF6"/>
    <w:rsid w:val="733D0234"/>
    <w:rsid w:val="73721B8E"/>
    <w:rsid w:val="73773239"/>
    <w:rsid w:val="73AC2A5F"/>
    <w:rsid w:val="73B40BD5"/>
    <w:rsid w:val="73C4175E"/>
    <w:rsid w:val="73E80D98"/>
    <w:rsid w:val="73FA14E3"/>
    <w:rsid w:val="740267E6"/>
    <w:rsid w:val="740A7F35"/>
    <w:rsid w:val="744A276A"/>
    <w:rsid w:val="74897210"/>
    <w:rsid w:val="74A45A74"/>
    <w:rsid w:val="74E52558"/>
    <w:rsid w:val="751E40FE"/>
    <w:rsid w:val="755E6626"/>
    <w:rsid w:val="75841DF5"/>
    <w:rsid w:val="758D233C"/>
    <w:rsid w:val="75970A9E"/>
    <w:rsid w:val="75DE7C00"/>
    <w:rsid w:val="761A3089"/>
    <w:rsid w:val="761D1F7C"/>
    <w:rsid w:val="762955DF"/>
    <w:rsid w:val="76373E70"/>
    <w:rsid w:val="764802D8"/>
    <w:rsid w:val="76C54839"/>
    <w:rsid w:val="76FB601C"/>
    <w:rsid w:val="77081D08"/>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9447B2"/>
    <w:rsid w:val="79993DEC"/>
    <w:rsid w:val="799B671E"/>
    <w:rsid w:val="799E482A"/>
    <w:rsid w:val="79B7238B"/>
    <w:rsid w:val="79F16C5D"/>
    <w:rsid w:val="79F9227E"/>
    <w:rsid w:val="7A03141B"/>
    <w:rsid w:val="7A1817A4"/>
    <w:rsid w:val="7A470DFD"/>
    <w:rsid w:val="7A9E603E"/>
    <w:rsid w:val="7B225C49"/>
    <w:rsid w:val="7B8340AE"/>
    <w:rsid w:val="7B8F7B53"/>
    <w:rsid w:val="7B9F467D"/>
    <w:rsid w:val="7BB151BD"/>
    <w:rsid w:val="7BCC157D"/>
    <w:rsid w:val="7BF60404"/>
    <w:rsid w:val="7C42078B"/>
    <w:rsid w:val="7CA50B86"/>
    <w:rsid w:val="7CD40CD3"/>
    <w:rsid w:val="7D115495"/>
    <w:rsid w:val="7D6D40C6"/>
    <w:rsid w:val="7DAA7D03"/>
    <w:rsid w:val="7DAE4568"/>
    <w:rsid w:val="7DF42A4B"/>
    <w:rsid w:val="7EAB2F61"/>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1"/>
    <w:qFormat/>
    <w:uiPriority w:val="0"/>
    <w:rPr>
      <w:b/>
      <w:bCs/>
    </w:rPr>
  </w:style>
  <w:style w:type="paragraph" w:styleId="6">
    <w:name w:val="annotation text"/>
    <w:basedOn w:val="1"/>
    <w:link w:val="50"/>
    <w:qFormat/>
    <w:uiPriority w:val="0"/>
    <w:pPr>
      <w:jc w:val="left"/>
    </w:pPr>
  </w:style>
  <w:style w:type="paragraph" w:styleId="7">
    <w:name w:val="Body Text First Indent"/>
    <w:basedOn w:val="1"/>
    <w:qFormat/>
    <w:uiPriority w:val="0"/>
    <w:pPr>
      <w:ind w:firstLine="200" w:firstLineChars="200"/>
    </w:pPr>
  </w:style>
  <w:style w:type="paragraph" w:styleId="8">
    <w:name w:val="List Number"/>
    <w:basedOn w:val="1"/>
    <w:qFormat/>
    <w:uiPriority w:val="0"/>
    <w:pPr>
      <w:numPr>
        <w:ilvl w:val="0"/>
        <w:numId w:val="2"/>
      </w:numPr>
    </w:pPr>
  </w:style>
  <w:style w:type="paragraph" w:styleId="9">
    <w:name w:val="Normal Indent"/>
    <w:basedOn w:val="1"/>
    <w:qFormat/>
    <w:uiPriority w:val="0"/>
    <w:pPr>
      <w:ind w:firstLine="420"/>
    </w:pPr>
    <w:rPr>
      <w:szCs w:val="20"/>
    </w:rPr>
  </w:style>
  <w:style w:type="paragraph" w:styleId="10">
    <w:name w:val="Body Text"/>
    <w:basedOn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Plain Text"/>
    <w:basedOn w:val="1"/>
    <w:next w:val="1"/>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Body Text First Indent 2"/>
    <w:basedOn w:val="11"/>
    <w:qFormat/>
    <w:uiPriority w:val="0"/>
    <w:pPr>
      <w:ind w:firstLine="420"/>
    </w:p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1">
    <w:name w:val="Hyperlink"/>
    <w:qFormat/>
    <w:uiPriority w:val="0"/>
    <w:rPr>
      <w:color w:val="0000FF"/>
      <w:u w:val="single"/>
    </w:rPr>
  </w:style>
  <w:style w:type="character" w:styleId="22">
    <w:name w:val="annotation reference"/>
    <w:basedOn w:val="20"/>
    <w:qFormat/>
    <w:uiPriority w:val="0"/>
    <w:rPr>
      <w:sz w:val="21"/>
      <w:szCs w:val="21"/>
    </w:r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style>
  <w:style w:type="table" w:styleId="25">
    <w:name w:val="Table Theme"/>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0"/>
    <w:qFormat/>
    <w:uiPriority w:val="0"/>
    <w:rPr>
      <w:rFonts w:hint="default" w:ascii="Arial" w:hAnsi="Arial" w:cs="Arial"/>
      <w:color w:val="000000"/>
      <w:sz w:val="20"/>
      <w:szCs w:val="20"/>
      <w:u w:val="none"/>
    </w:rPr>
  </w:style>
  <w:style w:type="character" w:customStyle="1" w:styleId="43">
    <w:name w:val="font01"/>
    <w:basedOn w:val="20"/>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character" w:customStyle="1" w:styleId="49">
    <w:name w:val="批注框文本 Char"/>
    <w:basedOn w:val="20"/>
    <w:link w:val="14"/>
    <w:qFormat/>
    <w:uiPriority w:val="0"/>
    <w:rPr>
      <w:kern w:val="2"/>
      <w:sz w:val="18"/>
      <w:szCs w:val="18"/>
    </w:rPr>
  </w:style>
  <w:style w:type="character" w:customStyle="1" w:styleId="50">
    <w:name w:val="批注文字 Char"/>
    <w:basedOn w:val="20"/>
    <w:link w:val="6"/>
    <w:qFormat/>
    <w:uiPriority w:val="0"/>
    <w:rPr>
      <w:kern w:val="2"/>
      <w:sz w:val="21"/>
      <w:szCs w:val="24"/>
    </w:rPr>
  </w:style>
  <w:style w:type="character" w:customStyle="1" w:styleId="51">
    <w:name w:val="批注主题 Char"/>
    <w:basedOn w:val="50"/>
    <w:link w:val="5"/>
    <w:qFormat/>
    <w:uiPriority w:val="0"/>
    <w:rPr>
      <w:b/>
      <w:bCs/>
      <w:kern w:val="2"/>
      <w:sz w:val="21"/>
      <w:szCs w:val="24"/>
    </w:rPr>
  </w:style>
  <w:style w:type="character" w:customStyle="1" w:styleId="52">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6228C-4A6F-4DAA-A4BA-5ABF0140D93C}">
  <ds:schemaRefs/>
</ds:datastoreItem>
</file>

<file path=docProps/app.xml><?xml version="1.0" encoding="utf-8"?>
<Properties xmlns="http://schemas.openxmlformats.org/officeDocument/2006/extended-properties" xmlns:vt="http://schemas.openxmlformats.org/officeDocument/2006/docPropsVTypes">
  <Template>Normal</Template>
  <Pages>47</Pages>
  <Words>3636</Words>
  <Characters>20731</Characters>
  <Lines>172</Lines>
  <Paragraphs>48</Paragraphs>
  <TotalTime>46</TotalTime>
  <ScaleCrop>false</ScaleCrop>
  <LinksUpToDate>false</LinksUpToDate>
  <CharactersWithSpaces>24319</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Administrator</cp:lastModifiedBy>
  <dcterms:modified xsi:type="dcterms:W3CDTF">2024-04-30T01:52:15Z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B26C5CEBF3E5451586EAAFEDD564F195</vt:lpwstr>
  </property>
</Properties>
</file>