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pStyle w:val="19"/>
        <w:rPr>
          <w:rFonts w:ascii="宋体"/>
          <w:b/>
          <w:kern w:val="0"/>
          <w:sz w:val="52"/>
          <w:szCs w:val="52"/>
        </w:rPr>
      </w:pPr>
    </w:p>
    <w:p>
      <w:pPr>
        <w:pStyle w:val="19"/>
        <w:ind w:left="0" w:leftChars="0" w:firstLine="0"/>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526" w:firstLine="420"/>
        <w:jc w:val="center"/>
        <w:rPr>
          <w:rFonts w:ascii="宋体"/>
          <w:b/>
          <w:kern w:val="0"/>
          <w:sz w:val="52"/>
          <w:szCs w:val="52"/>
        </w:rPr>
      </w:pPr>
      <w:r>
        <w:rPr>
          <w:rFonts w:hint="eastAsia" w:ascii="宋体"/>
          <w:b/>
          <w:kern w:val="0"/>
          <w:sz w:val="52"/>
          <w:szCs w:val="52"/>
        </w:rPr>
        <w:t>台州市政府采购公开招标文件</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eastAsia" w:ascii="宋体" w:eastAsia="宋体"/>
          <w:b/>
          <w:kern w:val="0"/>
          <w:sz w:val="52"/>
          <w:szCs w:val="52"/>
          <w:lang w:val="en-US" w:eastAsia="zh-CN"/>
        </w:rPr>
      </w:pPr>
      <w:r>
        <w:rPr>
          <w:rFonts w:hint="eastAsia" w:ascii="宋体"/>
          <w:b/>
          <w:kern w:val="0"/>
          <w:sz w:val="52"/>
          <w:szCs w:val="52"/>
        </w:rPr>
        <w:t>（电子交易）</w:t>
      </w:r>
      <w:r>
        <w:rPr>
          <w:rFonts w:hint="eastAsia" w:ascii="宋体"/>
          <w:b/>
          <w:kern w:val="0"/>
          <w:sz w:val="52"/>
          <w:szCs w:val="52"/>
          <w:lang w:val="en-US" w:eastAsia="zh-CN"/>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default" w:ascii="宋体" w:eastAsia="宋体"/>
          <w:b/>
          <w:color w:val="FF0000"/>
          <w:kern w:val="0"/>
          <w:sz w:val="32"/>
          <w:lang w:val="en-US" w:eastAsia="zh-CN"/>
        </w:rPr>
      </w:pPr>
      <w:r>
        <w:rPr>
          <w:rFonts w:hint="eastAsia" w:ascii="宋体"/>
          <w:b/>
          <w:color w:val="auto"/>
          <w:kern w:val="0"/>
          <w:sz w:val="32"/>
        </w:rPr>
        <w:t>TZTX-202</w:t>
      </w:r>
      <w:r>
        <w:rPr>
          <w:rFonts w:hint="eastAsia" w:ascii="宋体"/>
          <w:b/>
          <w:color w:val="auto"/>
          <w:kern w:val="0"/>
          <w:sz w:val="32"/>
          <w:lang w:val="en-US" w:eastAsia="zh-CN"/>
        </w:rPr>
        <w:t>3</w:t>
      </w:r>
      <w:r>
        <w:rPr>
          <w:rFonts w:hint="eastAsia" w:ascii="宋体"/>
          <w:b/>
          <w:color w:val="auto"/>
          <w:kern w:val="0"/>
          <w:sz w:val="32"/>
        </w:rPr>
        <w:t>-GK0</w:t>
      </w:r>
      <w:r>
        <w:rPr>
          <w:rFonts w:hint="eastAsia" w:ascii="宋体"/>
          <w:b/>
          <w:color w:val="auto"/>
          <w:kern w:val="0"/>
          <w:sz w:val="32"/>
          <w:lang w:val="en-US" w:eastAsia="zh-CN"/>
        </w:rPr>
        <w:t>55</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jc w:val="left"/>
        <w:rPr>
          <w:rFonts w:ascii="宋体"/>
          <w:kern w:val="0"/>
          <w:sz w:val="28"/>
        </w:rPr>
      </w:pPr>
    </w:p>
    <w:p>
      <w:pPr>
        <w:pStyle w:val="19"/>
      </w:pPr>
    </w:p>
    <w:p>
      <w:pPr>
        <w:autoSpaceDE w:val="0"/>
        <w:autoSpaceDN w:val="0"/>
        <w:adjustRightInd w:val="0"/>
        <w:spacing w:line="360" w:lineRule="auto"/>
        <w:ind w:firstLine="1797" w:firstLineChars="642"/>
        <w:jc w:val="left"/>
        <w:rPr>
          <w:rFonts w:ascii="宋体"/>
          <w:kern w:val="0"/>
          <w:sz w:val="28"/>
        </w:rPr>
      </w:pPr>
    </w:p>
    <w:p>
      <w:pPr>
        <w:pStyle w:val="19"/>
      </w:pPr>
    </w:p>
    <w:p>
      <w:pPr>
        <w:autoSpaceDE w:val="0"/>
        <w:autoSpaceDN w:val="0"/>
        <w:adjustRightInd w:val="0"/>
        <w:spacing w:line="360" w:lineRule="auto"/>
        <w:jc w:val="center"/>
        <w:rPr>
          <w:rFonts w:ascii="宋体"/>
          <w:kern w:val="0"/>
          <w:sz w:val="28"/>
        </w:rPr>
      </w:pPr>
      <w:r>
        <w:rPr>
          <w:rFonts w:hint="eastAsia" w:ascii="宋体"/>
          <w:kern w:val="0"/>
          <w:sz w:val="28"/>
        </w:rPr>
        <w:t>采购项目：</w:t>
      </w:r>
      <w:r>
        <w:rPr>
          <w:rFonts w:hint="eastAsia" w:ascii="宋体" w:hAnsi="Times New Roman" w:eastAsia="宋体" w:cs="Times New Roman"/>
          <w:color w:val="auto"/>
          <w:w w:val="95"/>
          <w:kern w:val="0"/>
          <w:sz w:val="28"/>
        </w:rPr>
        <w:t>2023年-2024年台州市省控环境质量自动监测站运行维护采购项目</w:t>
      </w:r>
    </w:p>
    <w:p>
      <w:pPr>
        <w:autoSpaceDE w:val="0"/>
        <w:autoSpaceDN w:val="0"/>
        <w:adjustRightInd w:val="0"/>
        <w:spacing w:line="360" w:lineRule="auto"/>
        <w:jc w:val="center"/>
        <w:rPr>
          <w:rFonts w:ascii="宋体"/>
          <w:kern w:val="0"/>
          <w:sz w:val="28"/>
        </w:rPr>
      </w:pPr>
      <w:r>
        <w:rPr>
          <w:rFonts w:hint="eastAsia" w:ascii="宋体"/>
          <w:kern w:val="0"/>
          <w:sz w:val="28"/>
        </w:rPr>
        <w:t>采 购 人：</w:t>
      </w:r>
      <w:r>
        <w:rPr>
          <w:rFonts w:hint="eastAsia" w:ascii="宋体" w:hAnsi="Times New Roman" w:eastAsia="宋体" w:cs="Times New Roman"/>
          <w:color w:val="auto"/>
          <w:kern w:val="0"/>
          <w:sz w:val="28"/>
        </w:rPr>
        <w:t>浙江省台州生态环境监测中心</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Style w:val="50"/>
          <w:rFonts w:hint="eastAsia" w:ascii="宋体" w:hAnsi="宋体"/>
          <w:color w:val="000000"/>
          <w:kern w:val="0"/>
          <w:sz w:val="28"/>
          <w:szCs w:val="28"/>
        </w:rPr>
        <w:t>台州天兴工程管理咨询有限公司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w:t>
      </w:r>
      <w:r>
        <w:rPr>
          <w:rFonts w:hint="eastAsia" w:ascii="宋体" w:hAnsi="宋体" w:cs="宋体"/>
          <w:kern w:val="0"/>
          <w:sz w:val="28"/>
          <w:szCs w:val="28"/>
          <w:lang w:val="en-US" w:eastAsia="zh-CN"/>
        </w:rPr>
        <w:t>3</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w:t>
      </w:r>
    </w:p>
    <w:p>
      <w:pPr>
        <w:spacing w:line="360" w:lineRule="auto"/>
      </w:pPr>
    </w:p>
    <w:p>
      <w:pPr>
        <w:pStyle w:val="26"/>
      </w:pPr>
    </w:p>
    <w:p>
      <w:pPr>
        <w:spacing w:line="360" w:lineRule="auto"/>
      </w:pPr>
    </w:p>
    <w:p>
      <w:pPr>
        <w:rPr>
          <w:rFonts w:hint="default" w:ascii="宋体" w:hAnsi="宋体" w:cs="Arial"/>
          <w:b/>
          <w:bCs/>
          <w:sz w:val="36"/>
          <w:szCs w:val="36"/>
        </w:rPr>
      </w:pPr>
      <w:r>
        <w:rPr>
          <w:rFonts w:hint="eastAsia" w:ascii="宋体" w:hAnsi="宋体" w:cs="Arial"/>
          <w:b/>
          <w:bCs/>
          <w:sz w:val="36"/>
          <w:szCs w:val="36"/>
        </w:rPr>
        <w:br w:type="page"/>
      </w:r>
    </w:p>
    <w:sdt>
      <w:sdtPr>
        <w:rPr>
          <w:rFonts w:ascii="宋体" w:hAnsi="宋体"/>
          <w:kern w:val="0"/>
          <w:sz w:val="28"/>
          <w:szCs w:val="28"/>
        </w:rPr>
        <w:id w:val="147471336"/>
      </w:sdtPr>
      <w:sdtEndPr>
        <w:rPr>
          <w:rFonts w:ascii="宋体" w:hAnsi="宋体"/>
          <w:color w:val="FF0000"/>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47"/>
            <w:tabs>
              <w:tab w:val="right" w:leader="dot" w:pos="8300"/>
            </w:tabs>
            <w:spacing w:line="480" w:lineRule="auto"/>
            <w:rPr>
              <w:color w:val="auto"/>
              <w:sz w:val="28"/>
              <w:szCs w:val="28"/>
            </w:rPr>
          </w:pPr>
          <w:r>
            <w:rPr>
              <w:color w:val="auto"/>
            </w:rPr>
            <w:fldChar w:fldCharType="begin"/>
          </w:r>
          <w:r>
            <w:rPr>
              <w:color w:val="auto"/>
            </w:rPr>
            <w:instrText xml:space="preserve"> HYPERLINK \l "_Toc4350_WPSOffice_Level1" </w:instrText>
          </w:r>
          <w:r>
            <w:rPr>
              <w:color w:val="auto"/>
            </w:rPr>
            <w:fldChar w:fldCharType="separate"/>
          </w:r>
          <w:r>
            <w:rPr>
              <w:rFonts w:hint="eastAsia" w:asciiTheme="majorEastAsia" w:hAnsiTheme="majorEastAsia" w:eastAsiaTheme="majorEastAsia"/>
              <w:color w:val="auto"/>
              <w:sz w:val="28"/>
              <w:szCs w:val="28"/>
            </w:rPr>
            <w:t>第一章 投标邀请</w:t>
          </w:r>
          <w:r>
            <w:rPr>
              <w:color w:val="auto"/>
              <w:sz w:val="28"/>
              <w:szCs w:val="28"/>
            </w:rPr>
            <w:tab/>
          </w:r>
          <w:bookmarkStart w:id="1" w:name="_Toc4350_WPSOffice_Level1Page"/>
          <w:r>
            <w:rPr>
              <w:color w:val="auto"/>
              <w:sz w:val="28"/>
              <w:szCs w:val="28"/>
            </w:rPr>
            <w:t>3</w:t>
          </w:r>
          <w:bookmarkEnd w:id="1"/>
          <w:r>
            <w:rPr>
              <w:color w:val="auto"/>
              <w:sz w:val="28"/>
              <w:szCs w:val="28"/>
            </w:rPr>
            <w:fldChar w:fldCharType="end"/>
          </w:r>
        </w:p>
        <w:p>
          <w:pPr>
            <w:pStyle w:val="47"/>
            <w:tabs>
              <w:tab w:val="right" w:leader="dot" w:pos="8300"/>
            </w:tabs>
            <w:spacing w:line="480" w:lineRule="auto"/>
            <w:rPr>
              <w:color w:val="auto"/>
              <w:sz w:val="28"/>
              <w:szCs w:val="28"/>
            </w:rPr>
          </w:pPr>
          <w:r>
            <w:rPr>
              <w:color w:val="auto"/>
            </w:rPr>
            <w:fldChar w:fldCharType="begin"/>
          </w:r>
          <w:r>
            <w:rPr>
              <w:color w:val="auto"/>
            </w:rPr>
            <w:instrText xml:space="preserve"> HYPERLINK \l "_Toc25017_WPSOffice_Level1" </w:instrText>
          </w:r>
          <w:r>
            <w:rPr>
              <w:color w:val="auto"/>
            </w:rPr>
            <w:fldChar w:fldCharType="separate"/>
          </w:r>
          <w:r>
            <w:rPr>
              <w:rFonts w:hint="eastAsia" w:asciiTheme="minorEastAsia" w:hAnsiTheme="minorEastAsia" w:eastAsiaTheme="minorEastAsia"/>
              <w:color w:val="auto"/>
              <w:sz w:val="28"/>
              <w:szCs w:val="28"/>
            </w:rPr>
            <w:t>第二章 投标人须知</w:t>
          </w:r>
          <w:r>
            <w:rPr>
              <w:color w:val="auto"/>
              <w:sz w:val="28"/>
              <w:szCs w:val="28"/>
            </w:rPr>
            <w:tab/>
          </w:r>
          <w:r>
            <w:rPr>
              <w:rFonts w:hint="eastAsia"/>
              <w:color w:val="auto"/>
              <w:sz w:val="28"/>
              <w:szCs w:val="28"/>
            </w:rPr>
            <w:t>6</w:t>
          </w:r>
          <w:r>
            <w:rPr>
              <w:rFonts w:hint="eastAsia"/>
              <w:color w:val="auto"/>
              <w:sz w:val="28"/>
              <w:szCs w:val="28"/>
            </w:rPr>
            <w:fldChar w:fldCharType="end"/>
          </w:r>
        </w:p>
        <w:p>
          <w:pPr>
            <w:pStyle w:val="47"/>
            <w:tabs>
              <w:tab w:val="right" w:leader="dot" w:pos="8300"/>
            </w:tabs>
            <w:spacing w:line="480" w:lineRule="auto"/>
            <w:rPr>
              <w:rFonts w:hint="eastAsia" w:eastAsia="宋体"/>
              <w:color w:val="auto"/>
              <w:sz w:val="28"/>
              <w:szCs w:val="28"/>
              <w:lang w:eastAsia="zh-CN"/>
            </w:rPr>
          </w:pPr>
          <w:r>
            <w:rPr>
              <w:color w:val="auto"/>
            </w:rPr>
            <w:fldChar w:fldCharType="begin"/>
          </w:r>
          <w:r>
            <w:rPr>
              <w:color w:val="auto"/>
            </w:rPr>
            <w:instrText xml:space="preserve"> HYPERLINK \l "_Toc13072_WPSOffice_Level1" </w:instrText>
          </w:r>
          <w:r>
            <w:rPr>
              <w:color w:val="auto"/>
            </w:rPr>
            <w:fldChar w:fldCharType="separate"/>
          </w:r>
          <w:r>
            <w:rPr>
              <w:rFonts w:hint="eastAsia" w:asciiTheme="minorEastAsia" w:hAnsiTheme="minorEastAsia" w:eastAsiaTheme="minorEastAsia"/>
              <w:color w:val="auto"/>
              <w:sz w:val="28"/>
              <w:szCs w:val="28"/>
            </w:rPr>
            <w:t>第三章 招标需求</w:t>
          </w:r>
          <w:r>
            <w:rPr>
              <w:color w:val="auto"/>
              <w:sz w:val="28"/>
              <w:szCs w:val="28"/>
            </w:rPr>
            <w:tab/>
          </w:r>
          <w:r>
            <w:rPr>
              <w:rFonts w:hint="eastAsia"/>
              <w:color w:val="auto"/>
              <w:sz w:val="28"/>
              <w:szCs w:val="28"/>
            </w:rPr>
            <w:t>1</w:t>
          </w:r>
          <w:r>
            <w:rPr>
              <w:rFonts w:hint="eastAsia"/>
              <w:color w:val="auto"/>
              <w:sz w:val="28"/>
              <w:szCs w:val="28"/>
            </w:rPr>
            <w:fldChar w:fldCharType="end"/>
          </w:r>
          <w:r>
            <w:rPr>
              <w:rFonts w:hint="eastAsia"/>
              <w:color w:val="auto"/>
              <w:sz w:val="28"/>
              <w:szCs w:val="28"/>
              <w:lang w:val="en-US" w:eastAsia="zh-CN"/>
            </w:rPr>
            <w:t>6</w:t>
          </w:r>
        </w:p>
        <w:p>
          <w:pPr>
            <w:pStyle w:val="47"/>
            <w:tabs>
              <w:tab w:val="right" w:leader="dot" w:pos="8300"/>
            </w:tabs>
            <w:spacing w:line="480" w:lineRule="auto"/>
            <w:rPr>
              <w:rFonts w:hint="eastAsia" w:eastAsia="宋体"/>
              <w:color w:val="auto"/>
              <w:sz w:val="28"/>
              <w:szCs w:val="28"/>
              <w:lang w:val="en-US" w:eastAsia="zh-CN"/>
            </w:rPr>
          </w:pPr>
          <w:r>
            <w:rPr>
              <w:color w:val="auto"/>
            </w:rPr>
            <w:fldChar w:fldCharType="begin"/>
          </w:r>
          <w:r>
            <w:rPr>
              <w:color w:val="auto"/>
            </w:rPr>
            <w:instrText xml:space="preserve"> HYPERLINK \l "_Toc31173_WPSOffice_Level1" </w:instrText>
          </w:r>
          <w:r>
            <w:rPr>
              <w:color w:val="auto"/>
            </w:rPr>
            <w:fldChar w:fldCharType="separate"/>
          </w:r>
          <w:r>
            <w:rPr>
              <w:rFonts w:hint="eastAsia" w:asciiTheme="minorEastAsia" w:hAnsiTheme="minorEastAsia" w:eastAsiaTheme="minorEastAsia"/>
              <w:color w:val="auto"/>
              <w:sz w:val="28"/>
              <w:szCs w:val="28"/>
            </w:rPr>
            <w:t>第四章 评标</w:t>
          </w:r>
          <w:r>
            <w:rPr>
              <w:color w:val="auto"/>
              <w:sz w:val="28"/>
              <w:szCs w:val="28"/>
            </w:rPr>
            <w:tab/>
          </w:r>
          <w:r>
            <w:rPr>
              <w:rFonts w:hint="eastAsia"/>
              <w:color w:val="auto"/>
              <w:sz w:val="28"/>
              <w:szCs w:val="28"/>
              <w:lang w:val="en-US" w:eastAsia="zh-CN"/>
            </w:rPr>
            <w:t>6</w:t>
          </w:r>
          <w:r>
            <w:rPr>
              <w:rFonts w:hint="eastAsia"/>
              <w:color w:val="auto"/>
              <w:sz w:val="28"/>
              <w:szCs w:val="28"/>
            </w:rPr>
            <w:fldChar w:fldCharType="end"/>
          </w:r>
          <w:r>
            <w:rPr>
              <w:rFonts w:hint="eastAsia"/>
              <w:color w:val="auto"/>
              <w:sz w:val="28"/>
              <w:szCs w:val="28"/>
              <w:lang w:val="en-US" w:eastAsia="zh-CN"/>
            </w:rPr>
            <w:t>3</w:t>
          </w:r>
        </w:p>
        <w:p>
          <w:pPr>
            <w:pStyle w:val="47"/>
            <w:tabs>
              <w:tab w:val="right" w:leader="dot" w:pos="8300"/>
            </w:tabs>
            <w:spacing w:line="480" w:lineRule="auto"/>
            <w:rPr>
              <w:rFonts w:hint="eastAsia" w:eastAsia="宋体"/>
              <w:color w:val="auto"/>
              <w:sz w:val="28"/>
              <w:szCs w:val="28"/>
              <w:lang w:val="en-US" w:eastAsia="zh-CN"/>
            </w:rPr>
          </w:pPr>
          <w:r>
            <w:rPr>
              <w:color w:val="auto"/>
            </w:rPr>
            <w:fldChar w:fldCharType="begin"/>
          </w:r>
          <w:r>
            <w:rPr>
              <w:color w:val="auto"/>
            </w:rPr>
            <w:instrText xml:space="preserve"> HYPERLINK \l "_Toc27944_WPSOffice_Level1" </w:instrText>
          </w:r>
          <w:r>
            <w:rPr>
              <w:color w:val="auto"/>
            </w:rPr>
            <w:fldChar w:fldCharType="separate"/>
          </w:r>
          <w:r>
            <w:rPr>
              <w:rFonts w:hint="eastAsia" w:asciiTheme="minorEastAsia" w:hAnsiTheme="minorEastAsia" w:eastAsiaTheme="minorEastAsia"/>
              <w:color w:val="auto"/>
              <w:sz w:val="28"/>
              <w:szCs w:val="28"/>
            </w:rPr>
            <w:t>第五章 拟签订的合同文本</w:t>
          </w:r>
          <w:r>
            <w:rPr>
              <w:color w:val="auto"/>
              <w:sz w:val="28"/>
              <w:szCs w:val="28"/>
            </w:rPr>
            <w:tab/>
          </w:r>
          <w:r>
            <w:rPr>
              <w:rFonts w:hint="eastAsia"/>
              <w:color w:val="auto"/>
              <w:sz w:val="28"/>
              <w:szCs w:val="28"/>
              <w:lang w:val="en-US" w:eastAsia="zh-CN"/>
            </w:rPr>
            <w:t>7</w:t>
          </w:r>
          <w:r>
            <w:rPr>
              <w:rFonts w:hint="eastAsia"/>
              <w:color w:val="auto"/>
              <w:sz w:val="28"/>
              <w:szCs w:val="28"/>
            </w:rPr>
            <w:fldChar w:fldCharType="end"/>
          </w:r>
          <w:r>
            <w:rPr>
              <w:rFonts w:hint="eastAsia"/>
              <w:color w:val="auto"/>
              <w:sz w:val="28"/>
              <w:szCs w:val="28"/>
              <w:lang w:val="en-US" w:eastAsia="zh-CN"/>
            </w:rPr>
            <w:t>5</w:t>
          </w:r>
        </w:p>
        <w:p>
          <w:pPr>
            <w:pStyle w:val="47"/>
            <w:tabs>
              <w:tab w:val="right" w:leader="dot" w:pos="8300"/>
            </w:tabs>
            <w:spacing w:line="480" w:lineRule="auto"/>
            <w:rPr>
              <w:color w:val="FF0000"/>
            </w:rPr>
          </w:pPr>
          <w:r>
            <w:rPr>
              <w:color w:val="auto"/>
            </w:rPr>
            <w:fldChar w:fldCharType="begin"/>
          </w:r>
          <w:r>
            <w:rPr>
              <w:color w:val="auto"/>
            </w:rPr>
            <w:instrText xml:space="preserve"> HYPERLINK \l "_Toc5481_WPSOffice_Level1" </w:instrText>
          </w:r>
          <w:r>
            <w:rPr>
              <w:color w:val="auto"/>
            </w:rPr>
            <w:fldChar w:fldCharType="separate"/>
          </w:r>
          <w:r>
            <w:rPr>
              <w:rFonts w:hint="eastAsia" w:asciiTheme="minorEastAsia" w:hAnsiTheme="minorEastAsia" w:eastAsiaTheme="minorEastAsia"/>
              <w:color w:val="auto"/>
              <w:sz w:val="28"/>
              <w:szCs w:val="28"/>
            </w:rPr>
            <w:t>第六章 投标文件格式</w:t>
          </w:r>
          <w:r>
            <w:rPr>
              <w:color w:val="auto"/>
              <w:sz w:val="28"/>
              <w:szCs w:val="28"/>
            </w:rPr>
            <w:tab/>
          </w:r>
          <w:r>
            <w:rPr>
              <w:rFonts w:hint="eastAsia"/>
              <w:color w:val="auto"/>
              <w:sz w:val="28"/>
              <w:szCs w:val="28"/>
              <w:lang w:val="en-US" w:eastAsia="zh-CN"/>
            </w:rPr>
            <w:t>7</w:t>
          </w:r>
          <w:r>
            <w:rPr>
              <w:rFonts w:hint="eastAsia"/>
              <w:color w:val="auto"/>
              <w:sz w:val="28"/>
              <w:szCs w:val="28"/>
            </w:rPr>
            <w:fldChar w:fldCharType="end"/>
          </w:r>
          <w:r>
            <w:rPr>
              <w:rFonts w:hint="eastAsia"/>
              <w:color w:val="auto"/>
              <w:sz w:val="28"/>
              <w:szCs w:val="28"/>
              <w:lang w:val="en-US" w:eastAsia="zh-CN"/>
            </w:rPr>
            <w:t>9</w:t>
          </w:r>
        </w:p>
      </w:sdtContent>
    </w:sdt>
    <w:bookmarkEnd w:id="0"/>
    <w:p>
      <w:pPr>
        <w:spacing w:line="480" w:lineRule="auto"/>
        <w:rPr>
          <w:sz w:val="28"/>
          <w:szCs w:val="28"/>
        </w:rPr>
      </w:pPr>
    </w:p>
    <w:p>
      <w:pPr>
        <w:spacing w:line="360" w:lineRule="auto"/>
      </w:pPr>
    </w:p>
    <w:p>
      <w:pPr>
        <w:spacing w:line="360" w:lineRule="auto"/>
      </w:pPr>
    </w:p>
    <w:p>
      <w:pPr>
        <w:spacing w:line="360" w:lineRule="auto"/>
      </w:pPr>
    </w:p>
    <w:p>
      <w:pPr>
        <w:tabs>
          <w:tab w:val="left" w:pos="3978"/>
        </w:tabs>
        <w:spacing w:line="360" w:lineRule="auto"/>
        <w:rPr>
          <w:rFonts w:hint="eastAsia" w:eastAsia="宋体"/>
          <w:lang w:eastAsia="zh-CN"/>
        </w:rPr>
      </w:pPr>
      <w:r>
        <w:rPr>
          <w:rFonts w:hint="eastAsia"/>
          <w:lang w:eastAsia="zh-CN"/>
        </w:rPr>
        <w:tab/>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19"/>
        <w:rPr>
          <w:rFonts w:hint="default"/>
        </w:rPr>
      </w:pPr>
    </w:p>
    <w:p>
      <w:pPr>
        <w:spacing w:line="360" w:lineRule="auto"/>
      </w:pPr>
    </w:p>
    <w:p>
      <w:pPr>
        <w:spacing w:line="360" w:lineRule="auto"/>
      </w:pPr>
    </w:p>
    <w:p>
      <w:pPr>
        <w:spacing w:line="360" w:lineRule="auto"/>
      </w:pPr>
    </w:p>
    <w:p>
      <w:pPr>
        <w:spacing w:line="360" w:lineRule="auto"/>
      </w:pPr>
    </w:p>
    <w:p>
      <w:pPr>
        <w:rPr>
          <w:rFonts w:hint="default"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2" w:name="_Toc4350_WPSOffice_Level1"/>
      <w:r>
        <w:rPr>
          <w:rFonts w:hint="eastAsia" w:ascii="宋体" w:hAnsi="宋体" w:cs="宋体"/>
          <w:b/>
          <w:kern w:val="0"/>
          <w:sz w:val="36"/>
          <w:szCs w:val="36"/>
        </w:rPr>
        <w:t>投标邀请</w:t>
      </w:r>
      <w:bookmarkEnd w:id="2"/>
    </w:p>
    <w:p>
      <w:pPr>
        <w:autoSpaceDE w:val="0"/>
        <w:autoSpaceDN w:val="0"/>
        <w:adjustRightInd w:val="0"/>
        <w:snapToGrid w:val="0"/>
        <w:spacing w:line="360" w:lineRule="auto"/>
        <w:ind w:firstLine="480" w:firstLineChars="200"/>
        <w:rPr>
          <w:rFonts w:cs="宋体"/>
          <w:color w:val="auto"/>
          <w:sz w:val="24"/>
        </w:rPr>
      </w:pPr>
      <w:bookmarkStart w:id="3" w:name="_Toc35393621"/>
      <w:bookmarkStart w:id="4" w:name="_Toc28359079"/>
      <w:bookmarkStart w:id="5" w:name="_Toc28359002"/>
      <w:bookmarkStart w:id="6" w:name="_Toc35393790"/>
      <w:bookmarkStart w:id="7" w:name="_Hlk24379207"/>
      <w:r>
        <w:rPr>
          <w:rFonts w:hint="eastAsia" w:ascii="宋体" w:hAnsi="宋体" w:cs="Arial"/>
          <w:sz w:val="24"/>
        </w:rPr>
        <w:t>台州天兴工程管理咨询有限公司受采购人浙江省台州生态环境监测中心委托，根据台州市政府采购（</w:t>
      </w:r>
      <w:r>
        <w:rPr>
          <w:rFonts w:hint="eastAsia" w:ascii="宋体" w:hAnsi="宋体" w:cs="Arial"/>
          <w:sz w:val="24"/>
          <w:lang w:val="en-US" w:eastAsia="zh-CN"/>
        </w:rPr>
        <w:t>分散采购</w:t>
      </w:r>
      <w:r>
        <w:rPr>
          <w:rFonts w:hint="eastAsia" w:ascii="宋体" w:hAnsi="宋体" w:cs="Arial"/>
          <w:sz w:val="24"/>
        </w:rPr>
        <w:t>）预算执行确认书（</w:t>
      </w:r>
      <w:r>
        <w:rPr>
          <w:rFonts w:hint="eastAsia" w:ascii="宋体" w:hAnsi="宋体" w:cs="Arial"/>
          <w:color w:val="000000" w:themeColor="text1"/>
          <w:sz w:val="24"/>
          <w14:textFill>
            <w14:solidFill>
              <w14:schemeClr w14:val="tx1"/>
            </w14:solidFill>
          </w14:textFill>
        </w:rPr>
        <w:t>台财采确</w:t>
      </w:r>
      <w:r>
        <w:rPr>
          <w:rFonts w:hint="eastAsia" w:ascii="宋体" w:hAnsi="宋体" w:cs="Arial"/>
          <w:color w:val="000000" w:themeColor="text1"/>
          <w:sz w:val="24"/>
          <w:lang w:val="en-US" w:eastAsia="zh-CN"/>
          <w14:textFill>
            <w14:solidFill>
              <w14:schemeClr w14:val="tx1"/>
            </w14:solidFill>
          </w14:textFill>
        </w:rPr>
        <w:t>临</w:t>
      </w:r>
      <w:r>
        <w:rPr>
          <w:rFonts w:hint="eastAsia"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val="en-US" w:eastAsia="zh-CN"/>
          <w14:textFill>
            <w14:solidFill>
              <w14:schemeClr w14:val="tx1"/>
            </w14:solidFill>
          </w14:textFill>
        </w:rPr>
        <w:t>2023</w:t>
      </w:r>
      <w:r>
        <w:rPr>
          <w:rFonts w:hint="eastAsia" w:ascii="宋体" w:hAnsi="宋体" w:cs="Arial"/>
          <w:color w:val="000000" w:themeColor="text1"/>
          <w:sz w:val="24"/>
          <w14:textFill>
            <w14:solidFill>
              <w14:schemeClr w14:val="tx1"/>
            </w14:solidFill>
          </w14:textFill>
        </w:rPr>
        <w:t>】</w:t>
      </w:r>
      <w:r>
        <w:rPr>
          <w:rFonts w:hint="eastAsia" w:ascii="宋体" w:hAnsi="宋体" w:cs="Arial"/>
          <w:color w:val="000000" w:themeColor="text1"/>
          <w:sz w:val="24"/>
          <w:lang w:val="en-US" w:eastAsia="zh-CN"/>
          <w14:textFill>
            <w14:solidFill>
              <w14:schemeClr w14:val="tx1"/>
            </w14:solidFill>
          </w14:textFill>
        </w:rPr>
        <w:t>8512</w:t>
      </w:r>
      <w:r>
        <w:rPr>
          <w:rFonts w:hint="eastAsia" w:ascii="宋体" w:hAnsi="宋体" w:cs="Arial"/>
          <w:color w:val="000000" w:themeColor="text1"/>
          <w:sz w:val="24"/>
          <w14:textFill>
            <w14:solidFill>
              <w14:schemeClr w14:val="tx1"/>
            </w14:solidFill>
          </w14:textFill>
        </w:rPr>
        <w:t>号</w:t>
      </w:r>
      <w:r>
        <w:rPr>
          <w:rFonts w:hint="eastAsia" w:ascii="宋体" w:hAnsi="宋体" w:cs="Arial"/>
          <w:sz w:val="24"/>
        </w:rPr>
        <w:t>）确认现就2023年-2024年台州市省控环境质量自动监测站运行维护采购项目</w:t>
      </w:r>
      <w:r>
        <w:rPr>
          <w:rFonts w:hint="eastAsia" w:ascii="宋体" w:hAnsi="宋体" w:eastAsia="宋体" w:cs="Arial"/>
          <w:color w:val="auto"/>
          <w:sz w:val="24"/>
        </w:rPr>
        <w:t>进行</w:t>
      </w:r>
      <w:r>
        <w:rPr>
          <w:rFonts w:hint="eastAsia" w:ascii="宋体" w:hAnsi="宋体" w:cs="Arial"/>
          <w:color w:val="auto"/>
          <w:sz w:val="24"/>
        </w:rPr>
        <w:t>公开招标，</w:t>
      </w:r>
      <w:r>
        <w:rPr>
          <w:rFonts w:hint="eastAsia" w:cs="宋体"/>
          <w:color w:val="auto"/>
          <w:sz w:val="24"/>
        </w:rPr>
        <w:t>欢迎符合资格条件的国内投标人参加投标。</w:t>
      </w:r>
    </w:p>
    <w:p>
      <w:pPr>
        <w:pStyle w:val="5"/>
        <w:snapToGrid w:val="0"/>
        <w:ind w:firstLine="482" w:firstLineChars="200"/>
        <w:rPr>
          <w:rFonts w:cs="宋体"/>
          <w:bCs/>
          <w:color w:val="auto"/>
          <w:sz w:val="24"/>
          <w:szCs w:val="24"/>
        </w:rPr>
      </w:pPr>
      <w:r>
        <w:rPr>
          <w:rFonts w:hint="eastAsia" w:cs="宋体"/>
          <w:bCs/>
          <w:color w:val="auto"/>
          <w:sz w:val="24"/>
          <w:szCs w:val="24"/>
        </w:rPr>
        <w:t>一、项目基本情况</w:t>
      </w:r>
      <w:bookmarkEnd w:id="3"/>
      <w:bookmarkEnd w:id="4"/>
      <w:bookmarkEnd w:id="5"/>
      <w:bookmarkEnd w:id="6"/>
    </w:p>
    <w:p>
      <w:pPr>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项目编号：</w:t>
      </w:r>
      <w:r>
        <w:rPr>
          <w:rFonts w:hint="eastAsia" w:ascii="宋体" w:hAnsi="宋体" w:eastAsia="宋体" w:cs="宋体"/>
          <w:color w:val="auto"/>
          <w:kern w:val="0"/>
          <w:sz w:val="24"/>
        </w:rPr>
        <w:t>TZTX-2023-GK055</w:t>
      </w:r>
    </w:p>
    <w:bookmarkEnd w:id="7"/>
    <w:p>
      <w:pPr>
        <w:snapToGrid w:val="0"/>
        <w:spacing w:line="360" w:lineRule="auto"/>
        <w:ind w:firstLine="480" w:firstLineChars="200"/>
        <w:rPr>
          <w:rFonts w:hint="eastAsia" w:ascii="宋体" w:hAnsi="宋体" w:eastAsia="宋体" w:cs="宋体"/>
          <w:color w:val="auto"/>
          <w:kern w:val="0"/>
          <w:sz w:val="24"/>
        </w:rPr>
      </w:pPr>
      <w:r>
        <w:rPr>
          <w:rFonts w:hint="eastAsia" w:ascii="宋体" w:hAnsi="宋体" w:cs="宋体"/>
          <w:color w:val="auto"/>
          <w:sz w:val="24"/>
        </w:rPr>
        <w:t>项目名称：</w:t>
      </w:r>
      <w:r>
        <w:rPr>
          <w:rFonts w:hint="eastAsia" w:ascii="宋体" w:hAnsi="宋体" w:eastAsia="宋体" w:cs="宋体"/>
          <w:color w:val="auto"/>
          <w:kern w:val="0"/>
          <w:sz w:val="24"/>
        </w:rPr>
        <w:t>浙江省台州生态环境监测中心2023年-2024年台州市省控环境质量自动监测站运行维护采购项目</w:t>
      </w:r>
    </w:p>
    <w:tbl>
      <w:tblPr>
        <w:tblStyle w:val="20"/>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695"/>
        <w:gridCol w:w="735"/>
        <w:gridCol w:w="1110"/>
        <w:gridCol w:w="97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标项</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采购内容</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w:t>
            </w:r>
            <w:r>
              <w:rPr>
                <w:rFonts w:hint="eastAsia" w:ascii="宋体" w:hAnsi="宋体" w:eastAsia="宋体" w:cs="宋体"/>
                <w:sz w:val="24"/>
                <w:szCs w:val="24"/>
                <w:lang w:val="en-US" w:eastAsia="zh-CN"/>
              </w:rPr>
              <w:t>价</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w:t>
            </w:r>
            <w:r>
              <w:rPr>
                <w:rFonts w:hint="eastAsia" w:ascii="宋体" w:hAnsi="宋体" w:eastAsia="宋体" w:cs="宋体"/>
                <w:sz w:val="24"/>
                <w:szCs w:val="24"/>
              </w:rPr>
              <w:t>期</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台州市台州湾新区、椒江区、临海市、温岭市、玉环市5个省控城市环境空气自动监测站、6个重点工业园区空气站运维服务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1项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322万元</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黄岩区、天台县、三门县，仙居县6个省控城市环境空气质量自动监测站、4个</w:t>
            </w:r>
            <w:r>
              <w:rPr>
                <w:rFonts w:hint="eastAsia" w:ascii="宋体" w:hAnsi="宋体" w:eastAsia="宋体" w:cs="宋体"/>
                <w:sz w:val="24"/>
                <w:szCs w:val="24"/>
              </w:rPr>
              <w:t>重点工业园区环境空气自动监测站</w:t>
            </w:r>
            <w:r>
              <w:rPr>
                <w:rFonts w:hint="eastAsia" w:ascii="宋体" w:hAnsi="宋体" w:eastAsia="宋体" w:cs="宋体"/>
                <w:sz w:val="24"/>
                <w:szCs w:val="24"/>
                <w:lang w:eastAsia="zh-CN"/>
              </w:rPr>
              <w:t>和</w:t>
            </w:r>
            <w:r>
              <w:rPr>
                <w:rFonts w:hint="eastAsia" w:ascii="宋体" w:hAnsi="宋体" w:eastAsia="宋体" w:cs="宋体"/>
                <w:sz w:val="24"/>
                <w:szCs w:val="24"/>
                <w:lang w:val="en-US" w:eastAsia="zh-CN"/>
              </w:rPr>
              <w:t>1个光化学自动监测站</w:t>
            </w:r>
            <w:r>
              <w:rPr>
                <w:rFonts w:hint="eastAsia" w:ascii="宋体" w:hAnsi="宋体" w:eastAsia="宋体" w:cs="宋体"/>
                <w:sz w:val="24"/>
                <w:szCs w:val="24"/>
              </w:rPr>
              <w:t>运维</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280万元</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椒江区、黄岩区、路桥区、温岭市、玉环市6个省控地表水水质自动监测站、4个饮用水源地水质自动监测站运维服务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185万元</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临海市、天台县、三门县，仙居县8个省控地表水水质自动监测站、5个饮用水源地水质自动监测站运维服务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188万元</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469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个省控城市环境空气自动监测</w:t>
            </w:r>
            <w:r>
              <w:rPr>
                <w:rFonts w:hint="eastAsia" w:ascii="宋体" w:hAnsi="宋体" w:eastAsia="宋体" w:cs="宋体"/>
                <w:sz w:val="24"/>
                <w:szCs w:val="24"/>
                <w:lang w:eastAsia="zh-CN"/>
              </w:rPr>
              <w:t>站、</w:t>
            </w:r>
            <w:r>
              <w:rPr>
                <w:rFonts w:hint="eastAsia" w:ascii="宋体" w:hAnsi="宋体" w:eastAsia="宋体" w:cs="宋体"/>
                <w:sz w:val="24"/>
                <w:szCs w:val="24"/>
              </w:rPr>
              <w:t>10个重点工业园区环境空气自动监测站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14个省控地表水水质自动监测站和9个饮用水源地水质自动监测站</w:t>
            </w:r>
            <w:r>
              <w:rPr>
                <w:rFonts w:hint="eastAsia" w:ascii="宋体" w:hAnsi="宋体" w:eastAsia="宋体" w:cs="宋体"/>
                <w:sz w:val="24"/>
                <w:szCs w:val="24"/>
              </w:rPr>
              <w:t>运维监理服务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139</w:t>
            </w:r>
            <w:r>
              <w:rPr>
                <w:rFonts w:hint="eastAsia" w:ascii="宋体" w:hAnsi="宋体" w:eastAsia="宋体" w:cs="宋体"/>
                <w:sz w:val="24"/>
                <w:szCs w:val="24"/>
              </w:rPr>
              <w:t>万元</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075"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合计</w:t>
            </w:r>
          </w:p>
        </w:tc>
        <w:tc>
          <w:tcPr>
            <w:tcW w:w="377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1114万元</w:t>
            </w:r>
          </w:p>
        </w:tc>
      </w:tr>
    </w:tbl>
    <w:p>
      <w:pPr>
        <w:tabs>
          <w:tab w:val="left" w:pos="8280"/>
        </w:tabs>
        <w:autoSpaceDE w:val="0"/>
        <w:autoSpaceDN w:val="0"/>
        <w:adjustRightInd w:val="0"/>
        <w:spacing w:line="360" w:lineRule="auto"/>
        <w:ind w:right="25" w:firstLine="480" w:firstLineChars="200"/>
        <w:rPr>
          <w:rFonts w:hint="default" w:asciiTheme="minorEastAsia" w:hAnsiTheme="minorEastAsia" w:eastAsiaTheme="minorEastAsia"/>
          <w:b/>
          <w:color w:val="auto"/>
          <w:sz w:val="24"/>
          <w:highlight w:val="yellow"/>
          <w:lang w:val="en-US" w:eastAsia="zh-CN"/>
        </w:rPr>
      </w:pPr>
      <w:r>
        <w:rPr>
          <w:rFonts w:ascii="宋体" w:hAnsi="宋体" w:eastAsia="宋体" w:cs="宋体"/>
          <w:color w:val="auto"/>
          <w:sz w:val="24"/>
          <w:szCs w:val="24"/>
        </w:rPr>
        <w:t>本项目共分5个标项，按标项1、标项2、标项3、标项4、标项5顺序开标、评标，投标人可以参加所有标段的投标，同一投标人最多只能中一个标段。单位负责人为同一人或者存在直接控股、管理关系的不同供应商，或两个及多个公司同属于一个集团公司的不同供应商不得参加同一合同项下的政府采购活动。</w:t>
      </w:r>
    </w:p>
    <w:p>
      <w:pPr>
        <w:pStyle w:val="5"/>
        <w:snapToGrid w:val="0"/>
        <w:ind w:right="0" w:firstLine="482" w:firstLineChars="200"/>
        <w:rPr>
          <w:rFonts w:cs="宋体"/>
          <w:bCs/>
          <w:sz w:val="24"/>
          <w:szCs w:val="24"/>
        </w:rPr>
      </w:pPr>
      <w:bookmarkStart w:id="8" w:name="_Toc35393622"/>
      <w:bookmarkStart w:id="9" w:name="_Toc28359080"/>
      <w:bookmarkStart w:id="10" w:name="_Toc35393791"/>
      <w:bookmarkStart w:id="11" w:name="_Toc28359003"/>
      <w:r>
        <w:rPr>
          <w:rFonts w:hint="eastAsia" w:cs="宋体"/>
          <w:bCs/>
          <w:sz w:val="24"/>
          <w:szCs w:val="24"/>
        </w:rPr>
        <w:t>二、投标人的资格要求</w:t>
      </w:r>
      <w:bookmarkEnd w:id="8"/>
      <w:bookmarkEnd w:id="9"/>
      <w:bookmarkEnd w:id="10"/>
      <w:bookmarkEnd w:id="11"/>
    </w:p>
    <w:p>
      <w:pPr>
        <w:snapToGrid w:val="0"/>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p>
    <w:p>
      <w:pPr>
        <w:snapToGrid w:val="0"/>
        <w:spacing w:line="360" w:lineRule="auto"/>
        <w:ind w:firstLine="480" w:firstLineChars="200"/>
        <w:rPr>
          <w:rFonts w:ascii="宋体" w:hAnsi="宋体" w:cs="宋体"/>
          <w:sz w:val="24"/>
        </w:rPr>
      </w:pPr>
      <w:bookmarkStart w:id="12" w:name="_Toc28359081"/>
      <w:bookmarkStart w:id="13" w:name="_Toc28359004"/>
      <w:bookmarkStart w:id="14" w:name="_Toc35393623"/>
      <w:bookmarkStart w:id="15" w:name="_Toc35393792"/>
      <w:r>
        <w:rPr>
          <w:rFonts w:hint="eastAsia" w:ascii="宋体" w:hAnsi="宋体" w:cs="宋体"/>
          <w:sz w:val="24"/>
        </w:rPr>
        <w:t>（二）本项目的特定资格要求：无</w:t>
      </w:r>
    </w:p>
    <w:p>
      <w:pPr>
        <w:snapToGrid w:val="0"/>
        <w:spacing w:line="360" w:lineRule="auto"/>
        <w:ind w:firstLine="480" w:firstLineChars="200"/>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cs="宋体"/>
          <w:sz w:val="24"/>
        </w:rPr>
        <w:t>（三）本项目</w:t>
      </w:r>
      <w:r>
        <w:rPr>
          <w:rFonts w:hint="eastAsia" w:ascii="宋体" w:hAnsi="宋体" w:cs="宋体"/>
          <w:b/>
          <w:bCs/>
          <w:sz w:val="24"/>
        </w:rPr>
        <w:t>(</w:t>
      </w:r>
      <w:r>
        <w:rPr>
          <w:rFonts w:hint="eastAsia" w:ascii="宋体" w:hAnsi="宋体" w:cs="宋体"/>
          <w:b/>
          <w:bCs/>
          <w:sz w:val="24"/>
          <w:lang w:eastAsia="zh-CN"/>
        </w:rPr>
        <w:t>☑</w:t>
      </w:r>
      <w:r>
        <w:rPr>
          <w:rFonts w:hint="eastAsia" w:ascii="宋体" w:hAnsi="宋体" w:cs="宋体"/>
          <w:b/>
          <w:bCs/>
          <w:sz w:val="24"/>
        </w:rPr>
        <w:t xml:space="preserve"> 不接受/</w:t>
      </w:r>
      <w:r>
        <w:rPr>
          <w:rFonts w:hint="eastAsia" w:ascii="宋体" w:hAnsi="宋体" w:cs="宋体"/>
          <w:b/>
          <w:bCs/>
          <w:sz w:val="24"/>
          <w:lang w:eastAsia="zh-CN"/>
        </w:rPr>
        <w:t>□</w:t>
      </w:r>
      <w:r>
        <w:rPr>
          <w:rFonts w:hint="eastAsia" w:ascii="宋体" w:hAnsi="宋体" w:cs="宋体"/>
          <w:b/>
          <w:bCs/>
          <w:sz w:val="24"/>
        </w:rPr>
        <w:t xml:space="preserve"> 接受)</w:t>
      </w:r>
      <w:r>
        <w:rPr>
          <w:rFonts w:hint="eastAsia" w:ascii="宋体" w:hAnsi="宋体" w:cs="宋体"/>
          <w:sz w:val="24"/>
        </w:rPr>
        <w:t>联合体投标</w:t>
      </w:r>
    </w:p>
    <w:p>
      <w:pPr>
        <w:snapToGrid w:val="0"/>
        <w:spacing w:line="360" w:lineRule="auto"/>
        <w:ind w:firstLine="480" w:firstLineChars="200"/>
        <w:rPr>
          <w:rFonts w:ascii="宋体" w:hAnsi="宋体" w:cs="宋体"/>
          <w:sz w:val="24"/>
        </w:rPr>
      </w:pPr>
      <w:r>
        <w:rPr>
          <w:rFonts w:hint="eastAsia" w:ascii="宋体" w:hAnsi="宋体" w:cs="宋体"/>
          <w:sz w:val="24"/>
        </w:rPr>
        <w:t>（四）本项目</w:t>
      </w:r>
      <w:r>
        <w:rPr>
          <w:rFonts w:hint="eastAsia" w:ascii="宋体" w:hAnsi="宋体" w:cs="宋体"/>
          <w:b/>
          <w:bCs/>
          <w:sz w:val="24"/>
        </w:rPr>
        <w:t>(□ 是/</w:t>
      </w:r>
      <w:r>
        <w:rPr>
          <w:rFonts w:hint="eastAsia" w:ascii="宋体" w:hAnsi="宋体" w:cs="宋体"/>
          <w:b/>
          <w:bCs/>
          <w:sz w:val="24"/>
          <w:lang w:eastAsia="zh-CN"/>
        </w:rPr>
        <w:t>☑</w:t>
      </w:r>
      <w:r>
        <w:rPr>
          <w:rFonts w:hint="eastAsia" w:ascii="宋体" w:hAnsi="宋体" w:cs="宋体"/>
          <w:b/>
          <w:bCs/>
          <w:sz w:val="24"/>
        </w:rPr>
        <w:t xml:space="preserve"> 否)</w:t>
      </w:r>
      <w:r>
        <w:rPr>
          <w:rFonts w:hint="eastAsia" w:ascii="宋体" w:hAnsi="宋体" w:cs="宋体"/>
          <w:sz w:val="24"/>
        </w:rPr>
        <w:t>针对为中小企业</w:t>
      </w:r>
    </w:p>
    <w:p>
      <w:pPr>
        <w:snapToGrid w:val="0"/>
        <w:spacing w:line="360" w:lineRule="auto"/>
        <w:ind w:firstLine="480" w:firstLineChars="200"/>
        <w:rPr>
          <w:rFonts w:ascii="宋体" w:hAnsi="宋体" w:cs="宋体"/>
          <w:sz w:val="24"/>
        </w:rPr>
      </w:pPr>
      <w:r>
        <w:rPr>
          <w:rFonts w:hint="eastAsia" w:ascii="宋体" w:hAnsi="宋体" w:cs="宋体"/>
          <w:sz w:val="24"/>
        </w:rPr>
        <w:t>（五）信用记录：未被列入“信用中国”失信被执行人或重大税收违法案件当事人名单；未处于“中国政府采购网”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napToGrid w:val="0"/>
        <w:spacing w:line="360" w:lineRule="auto"/>
        <w:ind w:firstLine="480" w:firstLineChars="200"/>
        <w:rPr>
          <w:rFonts w:ascii="宋体" w:hAnsi="宋体" w:cs="宋体"/>
          <w:sz w:val="24"/>
        </w:rPr>
      </w:pPr>
      <w:r>
        <w:rPr>
          <w:rFonts w:hint="eastAsia" w:ascii="宋体" w:hAnsi="宋体" w:cs="宋体"/>
          <w:sz w:val="24"/>
        </w:rPr>
        <w:t>（六）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pPr>
        <w:pStyle w:val="5"/>
        <w:snapToGrid w:val="0"/>
        <w:ind w:right="0" w:firstLine="482" w:firstLineChars="200"/>
        <w:rPr>
          <w:rFonts w:cs="宋体"/>
          <w:bCs/>
          <w:sz w:val="24"/>
          <w:szCs w:val="24"/>
        </w:rPr>
      </w:pPr>
      <w:r>
        <w:rPr>
          <w:rFonts w:hint="eastAsia" w:cs="宋体"/>
          <w:bCs/>
          <w:sz w:val="24"/>
          <w:szCs w:val="24"/>
        </w:rPr>
        <w:t>三、获取招标文件</w:t>
      </w:r>
      <w:bookmarkEnd w:id="12"/>
      <w:bookmarkEnd w:id="13"/>
      <w:bookmarkEnd w:id="14"/>
      <w:bookmarkEnd w:id="15"/>
    </w:p>
    <w:p>
      <w:pPr>
        <w:snapToGrid w:val="0"/>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2023</w:t>
      </w:r>
      <w:r>
        <w:rPr>
          <w:rFonts w:hint="eastAsia" w:ascii="宋体" w:hAnsi="宋体" w:cs="宋体"/>
          <w:sz w:val="24"/>
          <w:u w:val="single"/>
        </w:rPr>
        <w:t>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0</w:t>
      </w:r>
      <w:bookmarkStart w:id="185" w:name="_GoBack"/>
      <w:bookmarkEnd w:id="185"/>
      <w:r>
        <w:rPr>
          <w:rFonts w:hint="eastAsia" w:ascii="宋体" w:hAnsi="宋体" w:cs="宋体"/>
          <w:sz w:val="24"/>
          <w:u w:val="single"/>
          <w:lang w:val="en-US" w:eastAsia="zh-CN"/>
        </w:rPr>
        <w:t>3</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2023年11</w:t>
      </w:r>
      <w:r>
        <w:rPr>
          <w:rFonts w:hint="eastAsia" w:ascii="宋体" w:hAnsi="宋体" w:cs="宋体"/>
          <w:sz w:val="24"/>
          <w:u w:val="single"/>
        </w:rPr>
        <w:t>月</w:t>
      </w:r>
      <w:r>
        <w:rPr>
          <w:rFonts w:hint="eastAsia" w:ascii="宋体" w:hAnsi="宋体" w:cs="宋体"/>
          <w:sz w:val="24"/>
          <w:u w:val="single"/>
          <w:lang w:val="en-US" w:eastAsia="zh-CN"/>
        </w:rPr>
        <w:t>23</w:t>
      </w:r>
      <w:r>
        <w:rPr>
          <w:rFonts w:hint="eastAsia" w:ascii="宋体" w:hAnsi="宋体" w:cs="宋体"/>
          <w:sz w:val="24"/>
          <w:u w:val="single"/>
        </w:rPr>
        <w:t>日</w:t>
      </w:r>
    </w:p>
    <w:p>
      <w:pPr>
        <w:pStyle w:val="26"/>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5"/>
        <w:snapToGrid w:val="0"/>
        <w:ind w:right="0" w:firstLine="482" w:firstLineChars="200"/>
        <w:rPr>
          <w:rFonts w:cs="宋体"/>
          <w:bCs/>
          <w:sz w:val="24"/>
          <w:szCs w:val="24"/>
        </w:rPr>
      </w:pPr>
      <w:bookmarkStart w:id="16" w:name="_Toc28359082"/>
      <w:bookmarkStart w:id="17" w:name="_Toc35393624"/>
      <w:bookmarkStart w:id="18" w:name="_Toc28359005"/>
      <w:bookmarkStart w:id="19" w:name="_Toc35393793"/>
      <w:r>
        <w:rPr>
          <w:rFonts w:hint="eastAsia" w:cs="宋体"/>
          <w:bCs/>
          <w:sz w:val="24"/>
          <w:szCs w:val="24"/>
        </w:rPr>
        <w:t>四、提交投标文件</w:t>
      </w:r>
      <w:bookmarkEnd w:id="16"/>
      <w:bookmarkEnd w:id="17"/>
      <w:bookmarkEnd w:id="18"/>
      <w:bookmarkEnd w:id="19"/>
    </w:p>
    <w:p>
      <w:pPr>
        <w:snapToGrid w:val="0"/>
        <w:spacing w:line="360" w:lineRule="auto"/>
        <w:ind w:firstLine="480" w:firstLineChars="200"/>
        <w:rPr>
          <w:rFonts w:ascii="宋体" w:hAnsi="宋体" w:cs="宋体"/>
          <w:iCs/>
          <w:sz w:val="24"/>
          <w:u w:val="single"/>
        </w:rPr>
      </w:pPr>
      <w:bookmarkStart w:id="20" w:name="_Toc35393794"/>
      <w:bookmarkStart w:id="21" w:name="_Toc35393625"/>
      <w:bookmarkStart w:id="22" w:name="_Toc28359007"/>
      <w:bookmarkStart w:id="23" w:name="_Toc28359084"/>
      <w:r>
        <w:rPr>
          <w:rFonts w:hint="eastAsia" w:ascii="宋体" w:hAnsi="宋体" w:cs="宋体"/>
          <w:sz w:val="24"/>
        </w:rPr>
        <w:t>（一）截止时间（开标时间）：</w:t>
      </w:r>
      <w:r>
        <w:rPr>
          <w:rFonts w:hint="eastAsia" w:ascii="宋体" w:hAnsi="宋体" w:cs="宋体"/>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11</w:t>
      </w:r>
      <w:r>
        <w:rPr>
          <w:rFonts w:hint="eastAsia" w:ascii="宋体" w:hAnsi="宋体" w:cs="宋体"/>
          <w:bCs/>
          <w:sz w:val="24"/>
          <w:u w:val="single"/>
        </w:rPr>
        <w:t>月</w:t>
      </w:r>
      <w:r>
        <w:rPr>
          <w:rFonts w:hint="eastAsia" w:ascii="宋体" w:hAnsi="宋体" w:cs="宋体"/>
          <w:sz w:val="24"/>
          <w:u w:val="single"/>
          <w:lang w:val="en-US" w:eastAsia="zh-CN"/>
        </w:rPr>
        <w:t>23</w:t>
      </w:r>
      <w:r>
        <w:rPr>
          <w:rFonts w:hint="eastAsia" w:ascii="宋体" w:hAnsi="宋体" w:cs="宋体"/>
          <w:bCs/>
          <w:sz w:val="24"/>
          <w:u w:val="single"/>
        </w:rPr>
        <w:t>日</w:t>
      </w:r>
      <w:r>
        <w:rPr>
          <w:rFonts w:hint="eastAsia" w:ascii="宋体" w:hAnsi="宋体" w:cs="宋体"/>
          <w:bCs/>
          <w:sz w:val="24"/>
          <w:u w:val="single"/>
          <w:lang w:val="en-US" w:eastAsia="zh-CN"/>
        </w:rPr>
        <w:t>09:00</w:t>
      </w:r>
      <w:r>
        <w:rPr>
          <w:rFonts w:hint="eastAsia" w:ascii="宋体" w:hAnsi="宋体" w:cs="宋体"/>
          <w:bCs/>
          <w:sz w:val="24"/>
          <w:u w:val="single"/>
        </w:rPr>
        <w:t>点整</w:t>
      </w:r>
      <w:r>
        <w:rPr>
          <w:rFonts w:hint="eastAsia" w:ascii="宋体" w:hAnsi="宋体" w:cs="宋体"/>
          <w:bCs/>
          <w:sz w:val="24"/>
        </w:rPr>
        <w:t>（北京时间）</w:t>
      </w:r>
    </w:p>
    <w:p>
      <w:pPr>
        <w:pStyle w:val="2"/>
        <w:snapToGrid w:val="0"/>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0"/>
    <w:bookmarkEnd w:id="21"/>
    <w:bookmarkEnd w:id="22"/>
    <w:bookmarkEnd w:id="23"/>
    <w:p>
      <w:pPr>
        <w:pStyle w:val="19"/>
        <w:snapToGrid w:val="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napToGrid w:val="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p>
    <w:p>
      <w:pPr>
        <w:pStyle w:val="19"/>
        <w:snapToGrid w:val="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5"/>
        <w:snapToGrid w:val="0"/>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5"/>
        <w:snapToGrid w:val="0"/>
        <w:ind w:right="0" w:firstLine="482" w:firstLineChars="200"/>
        <w:rPr>
          <w:rFonts w:cs="宋体"/>
          <w:bCs/>
          <w:sz w:val="24"/>
          <w:szCs w:val="24"/>
        </w:rPr>
      </w:pPr>
      <w:bookmarkStart w:id="26" w:name="_Toc28359008"/>
      <w:bookmarkStart w:id="27" w:name="_Toc35393796"/>
      <w:bookmarkStart w:id="28" w:name="_Toc28359085"/>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tabs>
          <w:tab w:val="left" w:pos="3310"/>
        </w:tabs>
        <w:snapToGrid w:val="0"/>
        <w:spacing w:line="360" w:lineRule="auto"/>
        <w:ind w:firstLine="480" w:firstLineChars="200"/>
        <w:rPr>
          <w:rFonts w:hint="eastAsia"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u w:val="none"/>
          <w14:textFill>
            <w14:solidFill>
              <w14:schemeClr w14:val="tx1"/>
            </w14:solidFill>
          </w14:textFill>
        </w:rPr>
        <w:t>名 称：</w:t>
      </w:r>
      <w:r>
        <w:rPr>
          <w:rFonts w:hint="eastAsia" w:ascii="宋体" w:hAnsi="宋体" w:cs="宋体"/>
          <w:b w:val="0"/>
          <w:bCs w:val="0"/>
          <w:color w:val="000000" w:themeColor="text1"/>
          <w:sz w:val="24"/>
          <w:u w:val="single"/>
          <w:lang w:eastAsia="zh-CN"/>
          <w14:textFill>
            <w14:solidFill>
              <w14:schemeClr w14:val="tx1"/>
            </w14:solidFill>
          </w14:textFill>
        </w:rPr>
        <w:t>浙江省台州生态环境监测中心</w:t>
      </w:r>
      <w:r>
        <w:rPr>
          <w:rFonts w:hint="eastAsia" w:ascii="宋体" w:hAnsi="宋体" w:cs="宋体"/>
          <w:b w:val="0"/>
          <w:bCs w:val="0"/>
          <w:color w:val="000000" w:themeColor="text1"/>
          <w:sz w:val="24"/>
          <w:u w:val="single"/>
          <w14:textFill>
            <w14:solidFill>
              <w14:schemeClr w14:val="tx1"/>
            </w14:solidFill>
          </w14:textFill>
        </w:rPr>
        <w:t xml:space="preserve"> </w:t>
      </w:r>
    </w:p>
    <w:p>
      <w:pPr>
        <w:tabs>
          <w:tab w:val="left" w:pos="3310"/>
        </w:tabs>
        <w:snapToGrid w:val="0"/>
        <w:spacing w:line="360" w:lineRule="auto"/>
        <w:ind w:firstLine="480" w:firstLineChars="200"/>
        <w:rPr>
          <w:rFonts w:hint="default"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u w:val="none"/>
          <w14:textFill>
            <w14:solidFill>
              <w14:schemeClr w14:val="tx1"/>
            </w14:solidFill>
          </w14:textFill>
        </w:rPr>
        <w:t>采购人地址：</w:t>
      </w:r>
      <w:r>
        <w:rPr>
          <w:rFonts w:hint="eastAsia" w:ascii="宋体" w:hAnsi="宋体" w:cs="宋体"/>
          <w:b w:val="0"/>
          <w:bCs w:val="0"/>
          <w:color w:val="000000" w:themeColor="text1"/>
          <w:sz w:val="24"/>
          <w:u w:val="single"/>
          <w:lang w:val="en-US" w:eastAsia="zh-CN"/>
          <w14:textFill>
            <w14:solidFill>
              <w14:schemeClr w14:val="tx1"/>
            </w14:solidFill>
          </w14:textFill>
        </w:rPr>
        <w:t>浙江省台州市椒江区白云山南路108号</w:t>
      </w:r>
    </w:p>
    <w:p>
      <w:pPr>
        <w:tabs>
          <w:tab w:val="left" w:pos="3310"/>
        </w:tabs>
        <w:snapToGrid w:val="0"/>
        <w:spacing w:line="360" w:lineRule="auto"/>
        <w:ind w:firstLine="480" w:firstLineChars="200"/>
        <w:rPr>
          <w:rFonts w:hint="default" w:ascii="宋体" w:hAnsi="宋体" w:cs="宋体"/>
          <w:b w:val="0"/>
          <w:bCs w:val="0"/>
          <w:color w:val="000000" w:themeColor="text1"/>
          <w:sz w:val="24"/>
          <w:u w:val="single"/>
          <w14:textFill>
            <w14:solidFill>
              <w14:schemeClr w14:val="tx1"/>
            </w14:solidFill>
          </w14:textFill>
        </w:rPr>
      </w:pPr>
      <w:r>
        <w:rPr>
          <w:rFonts w:hint="eastAsia" w:ascii="宋体" w:hAnsi="宋体" w:cs="宋体"/>
          <w:b w:val="0"/>
          <w:bCs w:val="0"/>
          <w:color w:val="000000" w:themeColor="text1"/>
          <w:sz w:val="24"/>
          <w14:textFill>
            <w14:solidFill>
              <w14:schemeClr w14:val="tx1"/>
            </w14:solidFill>
          </w14:textFill>
        </w:rPr>
        <w:t>联系人：</w:t>
      </w:r>
      <w:bookmarkStart w:id="30" w:name="_Toc28359086"/>
      <w:bookmarkStart w:id="31" w:name="_Toc28359009"/>
      <w:r>
        <w:rPr>
          <w:rFonts w:hint="eastAsia" w:ascii="宋体" w:hAnsi="宋体" w:cs="宋体"/>
          <w:b w:val="0"/>
          <w:bCs w:val="0"/>
          <w:color w:val="000000" w:themeColor="text1"/>
          <w:sz w:val="24"/>
          <w:u w:val="single"/>
          <w:lang w:eastAsia="zh-CN"/>
          <w14:textFill>
            <w14:solidFill>
              <w14:schemeClr w14:val="tx1"/>
            </w14:solidFill>
          </w14:textFill>
        </w:rPr>
        <w:t>方</w:t>
      </w:r>
      <w:r>
        <w:rPr>
          <w:rFonts w:hint="default" w:ascii="宋体" w:hAnsi="宋体" w:cs="宋体"/>
          <w:b w:val="0"/>
          <w:bCs w:val="0"/>
          <w:color w:val="000000" w:themeColor="text1"/>
          <w:sz w:val="24"/>
          <w:u w:val="single"/>
          <w14:textFill>
            <w14:solidFill>
              <w14:schemeClr w14:val="tx1"/>
            </w14:solidFill>
          </w14:textFill>
        </w:rPr>
        <w:t>老师</w:t>
      </w:r>
    </w:p>
    <w:p>
      <w:pPr>
        <w:snapToGrid w:val="0"/>
        <w:spacing w:line="360" w:lineRule="auto"/>
        <w:ind w:firstLine="480" w:firstLineChars="200"/>
        <w:rPr>
          <w:rFonts w:hint="default" w:ascii="宋体" w:hAnsi="宋体" w:eastAsia="宋体" w:cs="宋体"/>
          <w:b w:val="0"/>
          <w:bCs w:val="0"/>
          <w:color w:val="auto"/>
          <w:sz w:val="24"/>
          <w:u w:val="single"/>
          <w:lang w:val="en-US" w:eastAsia="zh"/>
        </w:rPr>
      </w:pPr>
      <w:r>
        <w:rPr>
          <w:rFonts w:hint="eastAsia" w:ascii="宋体" w:hAnsi="宋体" w:cs="宋体"/>
          <w:b w:val="0"/>
          <w:bCs w:val="0"/>
          <w:color w:val="auto"/>
          <w:sz w:val="24"/>
        </w:rPr>
        <w:t>联系电话：</w:t>
      </w:r>
      <w:r>
        <w:rPr>
          <w:rFonts w:hint="eastAsia" w:ascii="宋体" w:hAnsi="宋体" w:cs="宋体"/>
          <w:b w:val="0"/>
          <w:bCs w:val="0"/>
          <w:color w:val="auto"/>
          <w:sz w:val="24"/>
          <w:u w:val="single"/>
        </w:rPr>
        <w:t>0576-</w:t>
      </w:r>
      <w:r>
        <w:rPr>
          <w:rFonts w:hint="eastAsia" w:ascii="宋体" w:hAnsi="宋体" w:cs="宋体"/>
          <w:b w:val="0"/>
          <w:bCs w:val="0"/>
          <w:color w:val="auto"/>
          <w:sz w:val="24"/>
          <w:u w:val="single"/>
          <w:lang w:val="en-US" w:eastAsia="zh"/>
        </w:rPr>
        <w:t>88581137</w:t>
      </w:r>
    </w:p>
    <w:p>
      <w:pPr>
        <w:snapToGrid w:val="0"/>
        <w:spacing w:line="360" w:lineRule="auto"/>
        <w:ind w:firstLine="480" w:firstLineChars="200"/>
        <w:rPr>
          <w:rFonts w:hint="eastAsia" w:ascii="宋体" w:hAnsi="宋体" w:cs="宋体"/>
          <w:b w:val="0"/>
          <w:bCs w:val="0"/>
          <w:color w:val="auto"/>
          <w:sz w:val="24"/>
          <w:u w:val="single"/>
        </w:rPr>
      </w:pPr>
      <w:r>
        <w:rPr>
          <w:rFonts w:hint="eastAsia" w:ascii="宋体" w:hAnsi="宋体" w:cs="宋体"/>
          <w:b w:val="0"/>
          <w:bCs w:val="0"/>
          <w:color w:val="auto"/>
          <w:sz w:val="24"/>
        </w:rPr>
        <w:t>质疑联系人</w:t>
      </w:r>
      <w:r>
        <w:rPr>
          <w:rFonts w:hint="eastAsia" w:ascii="宋体" w:hAnsi="宋体" w:cs="宋体"/>
          <w:b w:val="0"/>
          <w:bCs w:val="0"/>
          <w:color w:val="auto"/>
          <w:sz w:val="24"/>
          <w:u w:val="none"/>
        </w:rPr>
        <w:t>：</w:t>
      </w:r>
      <w:r>
        <w:rPr>
          <w:rFonts w:hint="eastAsia" w:ascii="宋体" w:hAnsi="宋体" w:cs="宋体"/>
          <w:b w:val="0"/>
          <w:bCs w:val="0"/>
          <w:color w:val="auto"/>
          <w:sz w:val="24"/>
          <w:u w:val="single"/>
          <w:lang w:eastAsia="zh-CN"/>
        </w:rPr>
        <w:t>张</w:t>
      </w:r>
      <w:r>
        <w:rPr>
          <w:rFonts w:hint="eastAsia" w:ascii="宋体" w:hAnsi="宋体" w:cs="宋体"/>
          <w:b w:val="0"/>
          <w:bCs w:val="0"/>
          <w:color w:val="auto"/>
          <w:sz w:val="24"/>
          <w:u w:val="single"/>
        </w:rPr>
        <w:t xml:space="preserve">老师 </w:t>
      </w:r>
    </w:p>
    <w:p>
      <w:pPr>
        <w:snapToGrid w:val="0"/>
        <w:spacing w:line="360" w:lineRule="auto"/>
        <w:ind w:firstLine="480" w:firstLineChars="200"/>
        <w:rPr>
          <w:rFonts w:ascii="宋体" w:hAnsi="宋体" w:cs="宋体"/>
          <w:color w:val="auto"/>
          <w:sz w:val="24"/>
          <w:u w:val="single"/>
        </w:rPr>
      </w:pPr>
      <w:r>
        <w:rPr>
          <w:rFonts w:hint="eastAsia" w:ascii="宋体" w:hAnsi="宋体" w:cs="宋体"/>
          <w:b w:val="0"/>
          <w:bCs w:val="0"/>
          <w:color w:val="auto"/>
          <w:sz w:val="24"/>
          <w:u w:val="none"/>
        </w:rPr>
        <w:t>质疑联系电话：</w:t>
      </w:r>
      <w:r>
        <w:rPr>
          <w:rFonts w:hint="eastAsia" w:ascii="宋体" w:hAnsi="宋体" w:cs="宋体"/>
          <w:b w:val="0"/>
          <w:bCs w:val="0"/>
          <w:color w:val="auto"/>
          <w:sz w:val="24"/>
          <w:u w:val="single"/>
        </w:rPr>
        <w:t>0576-</w:t>
      </w:r>
      <w:r>
        <w:rPr>
          <w:rFonts w:hint="eastAsia" w:ascii="宋体" w:hAnsi="宋体" w:cs="宋体"/>
          <w:b w:val="0"/>
          <w:bCs w:val="0"/>
          <w:color w:val="auto"/>
          <w:sz w:val="24"/>
          <w:u w:val="single"/>
          <w:lang w:val="en-US" w:eastAsia="zh-CN"/>
        </w:rPr>
        <w:t>88581135</w:t>
      </w:r>
      <w:r>
        <w:rPr>
          <w:rFonts w:hint="eastAsia" w:ascii="宋体" w:hAnsi="宋体" w:cs="宋体"/>
          <w:b w:val="0"/>
          <w:bCs w:val="0"/>
          <w:color w:val="auto"/>
          <w:sz w:val="24"/>
          <w:u w:val="single"/>
        </w:rPr>
        <w:t xml:space="preserve">  </w:t>
      </w:r>
    </w:p>
    <w:bookmarkEnd w:id="30"/>
    <w:bookmarkEnd w:id="31"/>
    <w:p>
      <w:pPr>
        <w:snapToGrid w:val="0"/>
        <w:spacing w:line="360" w:lineRule="auto"/>
        <w:ind w:firstLine="482" w:firstLineChars="200"/>
        <w:rPr>
          <w:rFonts w:ascii="宋体" w:hAnsi="宋体" w:cs="宋体"/>
          <w:b/>
          <w:sz w:val="24"/>
        </w:rPr>
      </w:pPr>
      <w:r>
        <w:rPr>
          <w:rFonts w:hint="eastAsia" w:ascii="宋体" w:hAnsi="宋体" w:cs="宋体"/>
          <w:b/>
          <w:bCs/>
          <w:sz w:val="24"/>
        </w:rPr>
        <w:t>（二）采购组织机构</w:t>
      </w:r>
    </w:p>
    <w:p>
      <w:pPr>
        <w:autoSpaceDE w:val="0"/>
        <w:autoSpaceDN w:val="0"/>
        <w:adjustRightInd w:val="0"/>
        <w:snapToGrid w:val="0"/>
        <w:spacing w:line="360" w:lineRule="auto"/>
        <w:ind w:firstLine="480" w:firstLineChars="200"/>
        <w:rPr>
          <w:rFonts w:ascii="宋体"/>
          <w:kern w:val="0"/>
          <w:sz w:val="28"/>
        </w:rPr>
      </w:pPr>
      <w:bookmarkStart w:id="32" w:name="_Toc28359087"/>
      <w:bookmarkStart w:id="33" w:name="_Toc28359010"/>
      <w:r>
        <w:rPr>
          <w:rFonts w:hint="eastAsia" w:ascii="宋体" w:hAnsi="宋体" w:cs="宋体"/>
          <w:sz w:val="24"/>
        </w:rPr>
        <w:t>名 称：</w:t>
      </w:r>
      <w:r>
        <w:rPr>
          <w:rFonts w:hint="eastAsia" w:ascii="宋体" w:hAnsi="宋体" w:cs="宋体"/>
          <w:sz w:val="24"/>
          <w:u w:val="single"/>
        </w:rPr>
        <w:t>台州天兴工程管理咨询有限公司</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浙江省台州市椒江区建设路105-16号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陈女士</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洪先生（受理注册、中标结果相关质疑及答复）</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rPr>
        <w:t>洪先生</w:t>
      </w:r>
    </w:p>
    <w:p>
      <w:pPr>
        <w:snapToGrid w:val="0"/>
        <w:spacing w:line="360" w:lineRule="auto"/>
        <w:ind w:firstLine="480" w:firstLineChars="200"/>
        <w:jc w:val="left"/>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0576-88322665</w:t>
      </w:r>
    </w:p>
    <w:p>
      <w:pPr>
        <w:snapToGrid w:val="0"/>
        <w:spacing w:line="360" w:lineRule="auto"/>
        <w:ind w:firstLine="482" w:firstLineChars="200"/>
      </w:pPr>
      <w:r>
        <w:rPr>
          <w:rFonts w:hint="eastAsia" w:ascii="宋体" w:hAnsi="宋体" w:cs="宋体"/>
          <w:b/>
          <w:sz w:val="24"/>
        </w:rPr>
        <w:t>（三）同级政府采购监管机构</w:t>
      </w:r>
    </w:p>
    <w:p>
      <w:pPr>
        <w:snapToGrid w:val="0"/>
        <w:spacing w:line="360" w:lineRule="auto"/>
        <w:ind w:firstLine="480" w:firstLineChars="200"/>
        <w:rPr>
          <w:rFonts w:ascii="宋体" w:hAnsi="宋体" w:cs="宋体"/>
          <w:sz w:val="24"/>
          <w:u w:val="single"/>
        </w:rPr>
      </w:pPr>
      <w:r>
        <w:rPr>
          <w:rFonts w:hint="eastAsia" w:ascii="宋体" w:hAnsi="宋体" w:cs="宋体"/>
          <w:sz w:val="24"/>
        </w:rPr>
        <w:t>名称：</w:t>
      </w:r>
      <w:r>
        <w:rPr>
          <w:rFonts w:hint="eastAsia" w:ascii="宋体" w:hAnsi="宋体" w:cs="宋体"/>
          <w:sz w:val="24"/>
          <w:u w:val="single"/>
        </w:rPr>
        <w:t>台州市财政局政府采购监管处</w:t>
      </w:r>
    </w:p>
    <w:p>
      <w:pPr>
        <w:snapToGrid w:val="0"/>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台州市纬一路66号</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陈老师</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监督投诉电话：</w:t>
      </w:r>
      <w:r>
        <w:rPr>
          <w:rFonts w:hint="eastAsia" w:ascii="宋体" w:hAnsi="宋体" w:cs="宋体"/>
          <w:sz w:val="24"/>
          <w:u w:val="single"/>
        </w:rPr>
        <w:t>0576-88206705</w:t>
      </w:r>
    </w:p>
    <w:p>
      <w:pPr>
        <w:snapToGrid w:val="0"/>
        <w:spacing w:line="36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李老师</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监督投诉电话：</w:t>
      </w:r>
      <w:r>
        <w:rPr>
          <w:rFonts w:hint="eastAsia" w:ascii="宋体" w:hAnsi="宋体" w:cs="宋体"/>
          <w:sz w:val="24"/>
          <w:u w:val="single"/>
        </w:rPr>
        <w:t>0576-88206731</w:t>
      </w:r>
    </w:p>
    <w:p>
      <w:pPr>
        <w:snapToGrid w:val="0"/>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napToGrid w:val="0"/>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firstLine="200"/>
        <w:rPr>
          <w:rFonts w:ascii="宋体" w:hAnsi="宋体" w:cs="宋体"/>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line="360" w:lineRule="auto"/>
        <w:ind w:firstLine="200"/>
        <w:jc w:val="right"/>
        <w:rPr>
          <w:rFonts w:ascii="宋体" w:hAnsi="宋体" w:cs="宋体"/>
          <w:sz w:val="24"/>
        </w:rPr>
      </w:pPr>
      <w:r>
        <w:rPr>
          <w:rFonts w:hint="eastAsia" w:ascii="宋体" w:hAnsi="宋体" w:cs="宋体"/>
          <w:kern w:val="0"/>
          <w:sz w:val="24"/>
          <w:lang w:val="en-US" w:eastAsia="zh-CN"/>
        </w:rPr>
        <w:t>台州天兴工程管理咨询有限公司</w:t>
      </w:r>
      <w:r>
        <w:rPr>
          <w:rFonts w:hint="eastAsia" w:ascii="宋体" w:hAnsi="宋体" w:cs="宋体"/>
          <w:kern w:val="0"/>
          <w:sz w:val="24"/>
        </w:rPr>
        <w:t xml:space="preserve">  </w:t>
      </w:r>
    </w:p>
    <w:p>
      <w:pPr>
        <w:widowControl/>
        <w:snapToGrid w:val="0"/>
        <w:spacing w:line="360" w:lineRule="auto"/>
        <w:ind w:firstLine="200"/>
        <w:jc w:val="right"/>
        <w:rPr>
          <w:rFonts w:ascii="宋体" w:hAnsi="宋体" w:cs="宋体"/>
          <w:kern w:val="0"/>
          <w:sz w:val="24"/>
        </w:rPr>
      </w:pPr>
      <w:r>
        <w:rPr>
          <w:rFonts w:hint="eastAsia" w:ascii="宋体" w:hAnsi="宋体" w:cs="宋体"/>
          <w:kern w:val="0"/>
          <w:sz w:val="24"/>
        </w:rPr>
        <w:t xml:space="preserve">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sz w:val="24"/>
          <w:lang w:val="en-US" w:eastAsia="zh-CN"/>
        </w:rPr>
        <w:t>11</w:t>
      </w:r>
      <w:r>
        <w:rPr>
          <w:rFonts w:hint="eastAsia" w:ascii="宋体" w:hAnsi="宋体" w:cs="宋体"/>
          <w:kern w:val="0"/>
          <w:sz w:val="24"/>
        </w:rPr>
        <w:t>月</w:t>
      </w: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2"/>
        <w:rPr>
          <w:rFonts w:ascii="宋体" w:hAnsi="宋体" w:cs="宋体"/>
          <w:kern w:val="0"/>
          <w:sz w:val="24"/>
        </w:rPr>
      </w:pPr>
    </w:p>
    <w:p>
      <w:pPr>
        <w:pStyle w:val="3"/>
      </w:pPr>
    </w:p>
    <w:p>
      <w:pPr>
        <w:pStyle w:val="2"/>
      </w:pPr>
    </w:p>
    <w:p>
      <w:pPr>
        <w:pStyle w:val="2"/>
        <w:rPr>
          <w:rFonts w:ascii="宋体" w:hAnsi="宋体" w:cs="宋体"/>
          <w:kern w:val="0"/>
          <w:sz w:val="24"/>
        </w:rPr>
      </w:pPr>
    </w:p>
    <w:p>
      <w:pPr>
        <w:pStyle w:val="2"/>
        <w:ind w:left="0" w:leftChars="0" w:firstLine="0" w:firstLineChars="0"/>
        <w:rPr>
          <w:rFonts w:ascii="宋体" w:hAnsi="宋体" w:cs="宋体"/>
          <w:kern w:val="0"/>
          <w:sz w:val="24"/>
        </w:rPr>
      </w:pPr>
    </w:p>
    <w:bookmarkEnd w:id="32"/>
    <w:bookmarkEnd w:id="33"/>
    <w:p>
      <w:pPr>
        <w:numPr>
          <w:ilvl w:val="0"/>
          <w:numId w:val="4"/>
        </w:numPr>
        <w:spacing w:line="360" w:lineRule="auto"/>
        <w:jc w:val="center"/>
        <w:rPr>
          <w:rFonts w:asciiTheme="minorEastAsia" w:hAnsiTheme="minorEastAsia" w:eastAsiaTheme="minorEastAsia"/>
          <w:b/>
          <w:sz w:val="36"/>
          <w:szCs w:val="36"/>
        </w:rPr>
      </w:pPr>
      <w:bookmarkStart w:id="34" w:name="_Toc25017_WPSOffice_Level1"/>
      <w:r>
        <w:rPr>
          <w:rFonts w:hint="eastAsia" w:asciiTheme="minorEastAsia" w:hAnsiTheme="minorEastAsia" w:eastAsiaTheme="minorEastAsia"/>
          <w:b/>
          <w:sz w:val="36"/>
          <w:szCs w:val="36"/>
        </w:rPr>
        <w:t>投标人须知</w:t>
      </w:r>
      <w:bookmarkEnd w:id="34"/>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0"/>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事项</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ascii="宋体" w:hAnsi="宋体" w:cs="宋体"/>
                <w:sz w:val="21"/>
                <w:szCs w:val="21"/>
              </w:rPr>
            </w:pPr>
            <w:r>
              <w:rPr>
                <w:rFonts w:hint="eastAsia" w:ascii="仿宋_GB2312" w:hAnsi="仿宋" w:eastAsia="仿宋_GB2312" w:cs="仿宋_GB2312"/>
                <w:b/>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是否允许联合体</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sz w:val="21"/>
                <w:szCs w:val="21"/>
              </w:rPr>
            </w:pPr>
            <w:r>
              <w:rPr>
                <w:rFonts w:hint="eastAsia"/>
                <w:sz w:val="21"/>
                <w:szCs w:val="21"/>
                <w:lang w:eastAsia="zh-CN"/>
              </w:rPr>
              <w:t>☑</w:t>
            </w:r>
            <w:r>
              <w:rPr>
                <w:rFonts w:hint="eastAsia"/>
                <w:sz w:val="21"/>
                <w:szCs w:val="21"/>
              </w:rPr>
              <w:t xml:space="preserve"> 不接受/</w:t>
            </w:r>
            <w:r>
              <w:rPr>
                <w:rFonts w:hint="eastAsia" w:ascii="宋体" w:hAnsi="宋体" w:cs="宋体"/>
                <w:sz w:val="21"/>
                <w:szCs w:val="21"/>
                <w:lang w:eastAsia="zh-CN"/>
              </w:rPr>
              <w:t>□</w:t>
            </w:r>
            <w:r>
              <w:rPr>
                <w:rFonts w:hint="eastAsia"/>
                <w:sz w:val="21"/>
                <w:szCs w:val="21"/>
              </w:rPr>
              <w:t xml:space="preserve">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2</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是否允许分包</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黑体" w:cs="宋体"/>
                <w:sz w:val="21"/>
                <w:szCs w:val="21"/>
                <w:lang w:eastAsia="zh-CN"/>
              </w:rPr>
            </w:pPr>
            <w:r>
              <w:rPr>
                <w:rFonts w:hint="eastAsia" w:ascii="宋体" w:hAnsi="宋体" w:cs="宋体"/>
                <w:sz w:val="21"/>
                <w:szCs w:val="21"/>
                <w:lang w:eastAsia="zh-CN"/>
              </w:rPr>
              <w:t>□</w:t>
            </w:r>
            <w:r>
              <w:rPr>
                <w:rFonts w:hint="eastAsia" w:ascii="黑体" w:hAnsi="黑体" w:eastAsia="黑体" w:cs="黑体"/>
                <w:color w:val="111F2C"/>
                <w:sz w:val="21"/>
                <w:szCs w:val="21"/>
                <w:shd w:val="clear" w:color="auto" w:fill="FFFFFF"/>
              </w:rPr>
              <w:t xml:space="preserve"> 不允许/</w:t>
            </w:r>
            <w:r>
              <w:rPr>
                <w:rFonts w:hint="eastAsia" w:ascii="黑体" w:hAnsi="黑体" w:eastAsia="黑体" w:cs="黑体"/>
                <w:color w:val="111F2C"/>
                <w:sz w:val="21"/>
                <w:szCs w:val="21"/>
                <w:shd w:val="clear" w:color="auto" w:fill="FFFFFF"/>
                <w:lang w:eastAsia="zh-CN"/>
              </w:rPr>
              <w:t>☑</w:t>
            </w:r>
            <w:r>
              <w:rPr>
                <w:rFonts w:hint="eastAsia" w:ascii="黑体" w:hAnsi="黑体" w:eastAsia="黑体" w:cs="黑体"/>
                <w:color w:val="111F2C"/>
                <w:sz w:val="21"/>
                <w:szCs w:val="21"/>
                <w:shd w:val="clear" w:color="auto" w:fill="FFFFFF"/>
              </w:rPr>
              <w:t xml:space="preserve"> 允许，</w:t>
            </w:r>
            <w:r>
              <w:rPr>
                <w:rFonts w:hint="eastAsia" w:ascii="黑体" w:hAnsi="黑体" w:eastAsia="黑体" w:cs="黑体"/>
                <w:sz w:val="21"/>
                <w:szCs w:val="21"/>
                <w:shd w:val="clear" w:color="auto" w:fill="FFFFFF"/>
              </w:rPr>
              <w:t>详见招标需求内容</w:t>
            </w:r>
            <w:r>
              <w:rPr>
                <w:rFonts w:hint="eastAsia" w:ascii="黑体" w:hAnsi="黑体" w:eastAsia="黑体" w:cs="黑体"/>
                <w:sz w:val="21"/>
                <w:szCs w:val="21"/>
                <w:shd w:val="clear" w:color="auto" w:fill="FFFFFF"/>
                <w:lang w:eastAsia="zh-CN"/>
              </w:rPr>
              <w:t>，</w:t>
            </w:r>
            <w:r>
              <w:rPr>
                <w:rFonts w:hint="eastAsia" w:ascii="黑体" w:hAnsi="黑体" w:eastAsia="黑体" w:cs="黑体"/>
                <w:color w:val="auto"/>
                <w:sz w:val="21"/>
                <w:szCs w:val="21"/>
                <w:shd w:val="clear" w:color="auto" w:fill="FFFFFF"/>
                <w:lang w:eastAsia="zh-CN"/>
              </w:rPr>
              <w:t>分包须报备并经</w:t>
            </w:r>
            <w:r>
              <w:rPr>
                <w:rFonts w:hint="eastAsia" w:ascii="黑体" w:hAnsi="黑体" w:eastAsia="黑体" w:cs="黑体"/>
                <w:color w:val="auto"/>
                <w:sz w:val="21"/>
                <w:szCs w:val="21"/>
                <w:shd w:val="clear" w:color="auto" w:fill="FFFFFF"/>
              </w:rPr>
              <w:t>甲方同意</w:t>
            </w:r>
            <w:r>
              <w:rPr>
                <w:rFonts w:hint="eastAsia" w:ascii="黑体" w:hAnsi="黑体" w:eastAsia="黑体" w:cs="黑体"/>
                <w:color w:val="auto"/>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3</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kern w:val="0"/>
                <w:sz w:val="21"/>
                <w:szCs w:val="21"/>
              </w:rPr>
              <w:t>是否包含政府强制采购节能产品</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宋体" w:hAnsi="宋体" w:cs="宋体"/>
                <w:kern w:val="0"/>
                <w:sz w:val="21"/>
                <w:szCs w:val="21"/>
              </w:rPr>
            </w:pPr>
            <w:r>
              <w:rPr>
                <w:rFonts w:hint="eastAsia" w:ascii="宋体" w:hAnsi="宋体" w:cs="宋体"/>
                <w:sz w:val="21"/>
                <w:szCs w:val="21"/>
              </w:rPr>
              <w:t>☑</w:t>
            </w:r>
            <w:r>
              <w:rPr>
                <w:rFonts w:hint="eastAsia" w:ascii="黑体" w:hAnsi="黑体" w:eastAsia="黑体" w:cs="黑体"/>
                <w:color w:val="111F2C"/>
                <w:sz w:val="21"/>
                <w:szCs w:val="21"/>
                <w:shd w:val="clear" w:color="auto" w:fill="FFFFFF"/>
              </w:rPr>
              <w:t xml:space="preserve"> 否/□ 是，具体清单见招标需求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4</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kern w:val="0"/>
                <w:sz w:val="21"/>
                <w:szCs w:val="21"/>
              </w:rPr>
              <w:t>答疑会或</w:t>
            </w:r>
          </w:p>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现场踏勘</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宋体" w:hAnsi="宋体" w:cs="宋体"/>
                <w:kern w:val="0"/>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5</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投标文件的制作和投标</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请投标人在投标前仔细阅读“政府采购项目电子交易操作指南”。</w:t>
            </w:r>
          </w:p>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1.投标文件的制作：投标人按照本项目招标文件和政采云平台的要求,通过“政采云电子交易客户端”编制、加密并递交投标文件（下载网址：</w:t>
            </w:r>
            <w:r>
              <w:rPr>
                <w:sz w:val="21"/>
                <w:szCs w:val="21"/>
              </w:rPr>
              <w:fldChar w:fldCharType="begin"/>
            </w:r>
            <w:r>
              <w:rPr>
                <w:sz w:val="21"/>
                <w:szCs w:val="21"/>
              </w:rPr>
              <w:instrText xml:space="preserve"> HYPERLINK "http://www.zjzfcg.gov.cn/bidClientTemplate/2019-09-24/12975.html）。" </w:instrText>
            </w:r>
            <w:r>
              <w:rPr>
                <w:sz w:val="21"/>
                <w:szCs w:val="21"/>
              </w:rPr>
              <w:fldChar w:fldCharType="separate"/>
            </w:r>
            <w:r>
              <w:rPr>
                <w:rFonts w:hint="eastAsia"/>
                <w:sz w:val="21"/>
                <w:szCs w:val="21"/>
              </w:rPr>
              <w:t>https://zfcg.czt.zj.gov.cn/download/index.html）。</w:t>
            </w:r>
            <w:r>
              <w:rPr>
                <w:rFonts w:hint="eastAsia"/>
                <w:sz w:val="21"/>
                <w:szCs w:val="21"/>
              </w:rPr>
              <w:fldChar w:fldCharType="end"/>
            </w:r>
          </w:p>
          <w:p>
            <w:pPr>
              <w:keepNext w:val="0"/>
              <w:keepLines w:val="0"/>
              <w:pageBreakBefore w:val="0"/>
              <w:kinsoku/>
              <w:wordWrap/>
              <w:overflowPunct/>
              <w:topLinePunct w:val="0"/>
              <w:bidi w:val="0"/>
              <w:snapToGrid w:val="0"/>
              <w:spacing w:line="360" w:lineRule="auto"/>
              <w:ind w:firstLine="420" w:firstLineChars="200"/>
              <w:textAlignment w:val="auto"/>
              <w:rPr>
                <w:sz w:val="21"/>
                <w:szCs w:val="21"/>
              </w:rPr>
            </w:pPr>
            <w:r>
              <w:rPr>
                <w:rFonts w:hint="eastAsia"/>
                <w:sz w:val="21"/>
                <w:szCs w:val="21"/>
              </w:rPr>
              <w:t>2.投标：投标人应当在投标截止时间前（开标当天北京时间</w:t>
            </w:r>
            <w:r>
              <w:rPr>
                <w:rFonts w:hint="eastAsia"/>
                <w:sz w:val="21"/>
                <w:szCs w:val="21"/>
                <w:lang w:val="en-US" w:eastAsia="zh-CN"/>
              </w:rPr>
              <w:t>09</w:t>
            </w:r>
            <w:r>
              <w:rPr>
                <w:rFonts w:hint="eastAsia"/>
                <w:sz w:val="21"/>
                <w:szCs w:val="21"/>
              </w:rPr>
              <w:t>:</w:t>
            </w:r>
            <w:r>
              <w:rPr>
                <w:rFonts w:hint="eastAsia"/>
                <w:sz w:val="21"/>
                <w:szCs w:val="21"/>
                <w:lang w:val="en-US" w:eastAsia="zh-CN"/>
              </w:rPr>
              <w:t>00</w:t>
            </w:r>
            <w:r>
              <w:rPr>
                <w:rFonts w:hint="eastAsia"/>
                <w:sz w:val="21"/>
                <w:szCs w:val="21"/>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s="宋体"/>
                <w:kern w:val="0"/>
                <w:sz w:val="21"/>
                <w:szCs w:val="21"/>
              </w:rPr>
            </w:pPr>
            <w:r>
              <w:rPr>
                <w:rFonts w:hint="eastAsia"/>
                <w:sz w:val="21"/>
                <w:szCs w:val="21"/>
              </w:rPr>
              <w:t>3.投标文件解密：投标人应在开标当天北京时间</w:t>
            </w:r>
            <w:r>
              <w:rPr>
                <w:rFonts w:hint="eastAsia"/>
                <w:sz w:val="21"/>
                <w:szCs w:val="21"/>
                <w:lang w:val="en-US" w:eastAsia="zh-CN"/>
              </w:rPr>
              <w:t>09</w:t>
            </w:r>
            <w:r>
              <w:rPr>
                <w:rFonts w:hint="eastAsia"/>
                <w:sz w:val="21"/>
                <w:szCs w:val="21"/>
              </w:rPr>
              <w:t>:</w:t>
            </w:r>
            <w:r>
              <w:rPr>
                <w:rFonts w:hint="eastAsia"/>
                <w:sz w:val="21"/>
                <w:szCs w:val="21"/>
                <w:lang w:val="en-US" w:eastAsia="zh-CN"/>
              </w:rPr>
              <w:t>00</w:t>
            </w:r>
            <w:r>
              <w:rPr>
                <w:rFonts w:hint="eastAsia"/>
                <w:sz w:val="21"/>
                <w:szCs w:val="21"/>
              </w:rPr>
              <w:t>至</w:t>
            </w:r>
            <w:r>
              <w:rPr>
                <w:rFonts w:hint="eastAsia"/>
                <w:sz w:val="21"/>
                <w:szCs w:val="21"/>
                <w:lang w:val="en-US" w:eastAsia="zh-CN"/>
              </w:rPr>
              <w:t>09</w:t>
            </w:r>
            <w:r>
              <w:rPr>
                <w:rFonts w:hint="eastAsia"/>
                <w:sz w:val="21"/>
                <w:szCs w:val="21"/>
              </w:rPr>
              <w:t>:</w:t>
            </w:r>
            <w:r>
              <w:rPr>
                <w:rFonts w:hint="eastAsia"/>
                <w:sz w:val="21"/>
                <w:szCs w:val="21"/>
                <w:lang w:val="en-US" w:eastAsia="zh-CN"/>
              </w:rPr>
              <w:t>30</w:t>
            </w:r>
            <w:r>
              <w:rPr>
                <w:rFonts w:hint="eastAsia"/>
                <w:sz w:val="21"/>
                <w:szCs w:val="21"/>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6</w:t>
            </w:r>
          </w:p>
        </w:tc>
        <w:tc>
          <w:tcPr>
            <w:tcW w:w="1760"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kinsoku/>
              <w:wordWrap/>
              <w:overflowPunct/>
              <w:topLinePunct w:val="0"/>
              <w:bidi w:val="0"/>
              <w:snapToGrid w:val="0"/>
              <w:spacing w:after="0" w:line="360" w:lineRule="auto"/>
              <w:ind w:left="0" w:leftChars="0" w:firstLine="0"/>
              <w:jc w:val="center"/>
              <w:textAlignment w:val="auto"/>
              <w:rPr>
                <w:rFonts w:ascii="宋体" w:hAnsi="宋体" w:cs="宋体"/>
                <w:kern w:val="0"/>
                <w:sz w:val="21"/>
                <w:szCs w:val="21"/>
              </w:rPr>
            </w:pPr>
            <w:r>
              <w:rPr>
                <w:rFonts w:hint="eastAsia" w:ascii="宋体" w:hAnsi="宋体" w:cs="宋体"/>
                <w:sz w:val="21"/>
                <w:szCs w:val="21"/>
              </w:rPr>
              <w:t>备份投标文件的递交</w:t>
            </w:r>
          </w:p>
        </w:tc>
        <w:tc>
          <w:tcPr>
            <w:tcW w:w="6590" w:type="dxa"/>
            <w:tcBorders>
              <w:top w:val="single" w:color="auto" w:sz="4" w:space="0"/>
              <w:left w:val="single" w:color="auto" w:sz="4" w:space="0"/>
              <w:bottom w:val="single" w:color="auto" w:sz="4" w:space="0"/>
              <w:right w:val="single" w:color="auto" w:sz="4" w:space="0"/>
            </w:tcBorders>
            <w:vAlign w:val="center"/>
          </w:tcPr>
          <w:p>
            <w:pPr>
              <w:snapToGrid w:val="0"/>
              <w:spacing w:after="0" w:line="360" w:lineRule="auto"/>
              <w:ind w:firstLine="42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snapToGrid w:val="0"/>
              <w:spacing w:after="0" w:line="360" w:lineRule="auto"/>
              <w:ind w:firstLine="420" w:firstLineChars="200"/>
              <w:rPr>
                <w:rFonts w:ascii="宋体" w:hAnsi="宋体" w:cs="宋体"/>
                <w:szCs w:val="21"/>
              </w:rPr>
            </w:pPr>
            <w:r>
              <w:rPr>
                <w:rFonts w:hint="eastAsia" w:ascii="宋体" w:hAnsi="宋体" w:cs="宋体"/>
                <w:szCs w:val="21"/>
              </w:rPr>
              <w:t>1.使用前提：投标人自行在线解密操作失败无法按时寻求技术人员帮助解密，或者投标人寻求技术人员帮助仍无法按时完成解密。</w:t>
            </w:r>
          </w:p>
          <w:p>
            <w:pPr>
              <w:snapToGrid w:val="0"/>
              <w:spacing w:after="0" w:line="360" w:lineRule="auto"/>
              <w:ind w:firstLine="42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lang w:val="en-US" w:eastAsia="zh-CN"/>
              </w:rPr>
              <w:t>09</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（北京时间）</w:t>
            </w:r>
          </w:p>
          <w:p>
            <w:pPr>
              <w:snapToGrid w:val="0"/>
              <w:spacing w:after="0" w:line="360" w:lineRule="auto"/>
              <w:ind w:firstLine="420" w:firstLineChars="200"/>
              <w:rPr>
                <w:rFonts w:ascii="宋体" w:hAnsi="宋体" w:cs="宋体"/>
                <w:szCs w:val="21"/>
              </w:rPr>
            </w:pPr>
            <w:r>
              <w:rPr>
                <w:rFonts w:hint="eastAsia" w:ascii="宋体" w:hAnsi="宋体" w:cs="宋体"/>
                <w:szCs w:val="21"/>
              </w:rPr>
              <w:t>3.投递方式：供应商在电子交易平台传输递交响应文件后，还可以在响应截止时间前提交以介质存储（U盘）的数据电文形式的备份响应文件，密封要求：【U盘外须有完整的密封包装并标注供应商名称】；投递地址：【浙江省台州市椒江区海门街道建设路105-16号，收件人陈女士，联系电话15355602733】</w:t>
            </w:r>
          </w:p>
          <w:p>
            <w:pPr>
              <w:snapToGrid w:val="0"/>
              <w:spacing w:after="0" w:line="360" w:lineRule="auto"/>
              <w:ind w:firstLine="420" w:firstLineChars="200"/>
              <w:rPr>
                <w:rFonts w:ascii="宋体" w:hAnsi="宋体" w:cs="宋体"/>
                <w:szCs w:val="21"/>
              </w:rPr>
            </w:pPr>
            <w:r>
              <w:rPr>
                <w:rFonts w:hint="eastAsia" w:ascii="宋体" w:hAnsi="宋体" w:cs="宋体"/>
                <w:szCs w:val="21"/>
              </w:rPr>
              <w:t>4.未按上述要求递交备份投标文件或所提供的备份投标文件不符合要求的视同放弃投标，仅提交备份投标文件的，投标无效。</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s="宋体"/>
                <w:kern w:val="0"/>
                <w:sz w:val="21"/>
                <w:szCs w:val="21"/>
              </w:rPr>
            </w:pPr>
            <w:r>
              <w:rPr>
                <w:rFonts w:hint="eastAsia" w:ascii="宋体" w:hAnsi="宋体" w:cs="宋体"/>
                <w:szCs w:val="21"/>
              </w:rPr>
              <w:t>5.中标后需提供纸质投标文件给招标代理机构作为备案存档，纸质投标文件系电子投标文件纸质版，两者内容应一致；数量为：资格证明文件一正二副；商务与技术文件一正二副；报价文件一正二副。邮寄到浙江省台州市椒江区海门街道建设路105-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7</w:t>
            </w:r>
          </w:p>
        </w:tc>
        <w:tc>
          <w:tcPr>
            <w:tcW w:w="176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bidi w:val="0"/>
              <w:snapToGrid w:val="0"/>
              <w:spacing w:line="360" w:lineRule="auto"/>
              <w:ind w:firstLine="0"/>
              <w:jc w:val="center"/>
              <w:textAlignment w:val="auto"/>
              <w:rPr>
                <w:rFonts w:ascii="宋体" w:hAnsi="宋体" w:cs="宋体"/>
                <w:kern w:val="0"/>
                <w:sz w:val="21"/>
                <w:szCs w:val="21"/>
              </w:rPr>
            </w:pPr>
            <w:r>
              <w:rPr>
                <w:rFonts w:hint="eastAsia" w:ascii="宋体" w:hAnsi="宋体" w:cs="宋体"/>
                <w:sz w:val="21"/>
                <w:szCs w:val="21"/>
              </w:rPr>
              <w:t>不见面开标</w:t>
            </w:r>
          </w:p>
        </w:tc>
        <w:tc>
          <w:tcPr>
            <w:tcW w:w="6590"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overflowPunct/>
              <w:topLinePunct w:val="0"/>
              <w:bidi w:val="0"/>
              <w:snapToGrid w:val="0"/>
              <w:spacing w:before="0" w:beforeAutospacing="0" w:after="0" w:afterAutospacing="0" w:line="360" w:lineRule="auto"/>
              <w:ind w:firstLine="420" w:firstLineChars="200"/>
              <w:jc w:val="both"/>
              <w:textAlignment w:val="auto"/>
              <w:rPr>
                <w:rFonts w:hint="default" w:cs="宋体"/>
                <w:sz w:val="21"/>
                <w:szCs w:val="21"/>
              </w:rPr>
            </w:pPr>
            <w:r>
              <w:rPr>
                <w:rFonts w:cs="宋体"/>
                <w:sz w:val="21"/>
                <w:szCs w:val="21"/>
              </w:rPr>
              <w:t>采购组织机构按照招标文件规定的时间通过“政采云平台”组织开标，所有投标人均应当准时在线参加。如未参加，</w:t>
            </w:r>
            <w:r>
              <w:rPr>
                <w:rFonts w:cs="宋体"/>
                <w:bCs/>
                <w:sz w:val="21"/>
                <w:szCs w:val="21"/>
              </w:rPr>
              <w:t>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8</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样品递交要求</w:t>
            </w:r>
          </w:p>
        </w:tc>
        <w:tc>
          <w:tcPr>
            <w:tcW w:w="659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snapToGrid w:val="0"/>
              <w:spacing w:line="360" w:lineRule="auto"/>
              <w:jc w:val="both"/>
              <w:textAlignment w:val="auto"/>
              <w:rPr>
                <w:rFonts w:ascii="宋体" w:hAnsi="宋体" w:cs="宋体"/>
                <w:kern w:val="0"/>
                <w:sz w:val="21"/>
                <w:szCs w:val="21"/>
              </w:rPr>
            </w:pPr>
            <w:r>
              <w:rPr>
                <w:rFonts w:hint="eastAsia" w:ascii="宋体" w:hAnsi="宋体" w:cs="宋体"/>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9</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远程在线演示要求</w:t>
            </w:r>
          </w:p>
        </w:tc>
        <w:tc>
          <w:tcPr>
            <w:tcW w:w="6590"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bidi w:val="0"/>
              <w:snapToGrid w:val="0"/>
              <w:spacing w:line="360" w:lineRule="auto"/>
              <w:jc w:val="both"/>
              <w:textAlignment w:val="auto"/>
              <w:rPr>
                <w:rFonts w:ascii="宋体" w:hAnsi="宋体" w:cs="宋体"/>
                <w:kern w:val="0"/>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10</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投标与开标注意事项</w:t>
            </w:r>
          </w:p>
        </w:tc>
        <w:tc>
          <w:tcPr>
            <w:tcW w:w="659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cs="宋体"/>
                <w:bCs/>
                <w:sz w:val="21"/>
                <w:szCs w:val="21"/>
              </w:rPr>
            </w:pPr>
            <w:r>
              <w:rPr>
                <w:rFonts w:hint="eastAsia" w:hAnsi="宋体" w:cs="宋体"/>
                <w:bCs/>
                <w:sz w:val="21"/>
                <w:szCs w:val="21"/>
              </w:rPr>
              <w:t>1.本项目实行电子投标，投标人自行承担投标一切费用。</w:t>
            </w:r>
          </w:p>
          <w:p>
            <w:pPr>
              <w:pStyle w:val="12"/>
              <w:keepNext w:val="0"/>
              <w:keepLines w:val="0"/>
              <w:pageBreakBefore w:val="0"/>
              <w:kinsoku/>
              <w:wordWrap/>
              <w:overflowPunct/>
              <w:topLinePunct w:val="0"/>
              <w:bidi w:val="0"/>
              <w:adjustRightInd w:val="0"/>
              <w:snapToGrid w:val="0"/>
              <w:spacing w:line="360" w:lineRule="auto"/>
              <w:ind w:firstLine="420" w:firstLineChars="200"/>
              <w:textAlignment w:val="auto"/>
              <w:rPr>
                <w:rFonts w:hAnsi="宋体" w:cs="宋体"/>
                <w:sz w:val="21"/>
                <w:szCs w:val="21"/>
              </w:rPr>
            </w:pPr>
            <w:r>
              <w:rPr>
                <w:rFonts w:hint="eastAsia" w:hAnsi="宋体" w:cs="宋体"/>
                <w:bCs/>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11</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信用信息查询渠道</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信用中国（网址：</w:t>
            </w:r>
            <w:r>
              <w:rPr>
                <w:sz w:val="21"/>
                <w:szCs w:val="21"/>
              </w:rPr>
              <w:fldChar w:fldCharType="begin"/>
            </w:r>
            <w:r>
              <w:rPr>
                <w:sz w:val="21"/>
                <w:szCs w:val="21"/>
              </w:rPr>
              <w:instrText xml:space="preserve"> HYPERLINK "http://www.creditchina.gov.cn" </w:instrText>
            </w:r>
            <w:r>
              <w:rPr>
                <w:sz w:val="21"/>
                <w:szCs w:val="21"/>
              </w:rPr>
              <w:fldChar w:fldCharType="separate"/>
            </w:r>
            <w:r>
              <w:rPr>
                <w:rFonts w:cs="Arial" w:asciiTheme="minorEastAsia" w:hAnsiTheme="minorEastAsia" w:eastAsiaTheme="minorEastAsia"/>
                <w:sz w:val="21"/>
                <w:szCs w:val="21"/>
              </w:rPr>
              <w:t>http://www.creditchina.gov.cn</w:t>
            </w:r>
            <w:r>
              <w:rPr>
                <w:rFonts w:cs="Arial" w:asciiTheme="minorEastAsia" w:hAnsiTheme="minorEastAsia" w:eastAsiaTheme="minorEastAsia"/>
                <w:sz w:val="21"/>
                <w:szCs w:val="21"/>
              </w:rPr>
              <w:fldChar w:fldCharType="end"/>
            </w:r>
            <w:r>
              <w:rPr>
                <w:rFonts w:hint="eastAsia" w:cs="Arial" w:asciiTheme="minorEastAsia" w:hAnsiTheme="minorEastAsia" w:eastAsiaTheme="minorEastAsia"/>
                <w:sz w:val="21"/>
                <w:szCs w:val="21"/>
              </w:rPr>
              <w:t>)</w:t>
            </w:r>
          </w:p>
          <w:p>
            <w:pPr>
              <w:keepNext w:val="0"/>
              <w:keepLines w:val="0"/>
              <w:pageBreakBefore w:val="0"/>
              <w:kinsoku/>
              <w:wordWrap/>
              <w:overflowPunct/>
              <w:topLinePunct w:val="0"/>
              <w:bidi w:val="0"/>
              <w:snapToGrid w:val="0"/>
              <w:spacing w:line="360" w:lineRule="auto"/>
              <w:textAlignment w:val="auto"/>
              <w:rPr>
                <w:rFonts w:ascii="宋体" w:hAnsi="宋体" w:cs="宋体"/>
                <w:sz w:val="21"/>
                <w:szCs w:val="21"/>
              </w:rPr>
            </w:pPr>
            <w:r>
              <w:rPr>
                <w:rFonts w:hint="eastAsia" w:cs="Arial" w:asciiTheme="minorEastAsia" w:hAnsiTheme="minorEastAsia" w:eastAsiaTheme="minorEastAsia"/>
                <w:sz w:val="21"/>
                <w:szCs w:val="21"/>
              </w:rPr>
              <w:t>中国政府采购网（网址：</w:t>
            </w:r>
            <w:r>
              <w:rPr>
                <w:rFonts w:cs="Arial" w:asciiTheme="minorEastAsia" w:hAnsiTheme="minorEastAsia" w:eastAsiaTheme="minorEastAsia"/>
                <w:sz w:val="21"/>
                <w:szCs w:val="21"/>
              </w:rPr>
              <w:t>http://www.ccgp.gov.cn</w:t>
            </w:r>
            <w:r>
              <w:rPr>
                <w:rFonts w:hint="eastAsia" w:cs="Arial"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12</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sz w:val="21"/>
                <w:szCs w:val="21"/>
              </w:rPr>
              <w:t>中小企业预留份额情况</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ascii="黑体" w:hAnsi="黑体" w:eastAsia="黑体" w:cs="黑体"/>
                <w:color w:val="111F2C"/>
                <w:sz w:val="21"/>
                <w:szCs w:val="21"/>
                <w:shd w:val="clear" w:color="auto" w:fill="FFFFFF"/>
              </w:rPr>
            </w:pPr>
            <w:r>
              <w:rPr>
                <w:rFonts w:hint="eastAsia" w:ascii="宋体" w:hAnsi="宋体" w:cs="宋体"/>
                <w:sz w:val="21"/>
                <w:szCs w:val="21"/>
              </w:rPr>
              <w:t>根据《政府采购促进中小企业发展管理办法》财库〔2020〕46号文件的规定，本项目</w:t>
            </w:r>
            <w:r>
              <w:rPr>
                <w:rFonts w:hint="eastAsia" w:ascii="宋体" w:hAnsi="宋体" w:cs="宋体"/>
                <w:b/>
                <w:bCs/>
                <w:sz w:val="21"/>
                <w:szCs w:val="21"/>
                <w:lang w:eastAsia="zh-CN"/>
              </w:rPr>
              <w:t>☑</w:t>
            </w:r>
            <w:r>
              <w:rPr>
                <w:rFonts w:hint="eastAsia" w:ascii="宋体" w:hAnsi="宋体" w:cs="宋体"/>
                <w:sz w:val="21"/>
                <w:szCs w:val="21"/>
              </w:rPr>
              <w:t xml:space="preserve"> 否/</w:t>
            </w:r>
            <w:r>
              <w:rPr>
                <w:rFonts w:hint="eastAsia" w:ascii="宋体" w:hAnsi="宋体" w:cs="宋体"/>
                <w:b/>
                <w:bCs/>
                <w:sz w:val="21"/>
                <w:szCs w:val="21"/>
                <w:lang w:eastAsia="zh-CN"/>
              </w:rPr>
              <w:t>□</w:t>
            </w:r>
            <w:r>
              <w:rPr>
                <w:rFonts w:hint="eastAsia" w:ascii="宋体" w:hAnsi="宋体" w:cs="宋体"/>
                <w:sz w:val="21"/>
                <w:szCs w:val="21"/>
              </w:rPr>
              <w:t xml:space="preserve"> 是属于专门面向中小企业采购的项目。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13</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中小企业</w:t>
            </w:r>
          </w:p>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优惠措施</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1.项目属性（服务类）</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2.中小企业划分标准所属行业（具体根据《中小企业划型标准规定》执行）</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采购标的：</w:t>
            </w:r>
            <w:r>
              <w:rPr>
                <w:rFonts w:hint="eastAsia" w:cs="Arial" w:asciiTheme="minorEastAsia" w:hAnsiTheme="minorEastAsia" w:eastAsiaTheme="minorEastAsia"/>
                <w:color w:val="auto"/>
                <w:sz w:val="21"/>
                <w:szCs w:val="21"/>
              </w:rPr>
              <w:t>台州市省控环境质量自动监测站运行维护采购</w:t>
            </w:r>
            <w:r>
              <w:rPr>
                <w:rFonts w:hint="eastAsia" w:cs="Arial" w:asciiTheme="minorEastAsia" w:hAnsiTheme="minorEastAsia" w:eastAsiaTheme="minorEastAsia"/>
                <w:sz w:val="21"/>
                <w:szCs w:val="21"/>
              </w:rPr>
              <w:t>，所属行业：</w:t>
            </w:r>
            <w:r>
              <w:rPr>
                <w:rFonts w:hint="eastAsia" w:cs="Arial" w:asciiTheme="minorEastAsia" w:hAnsiTheme="minorEastAsia" w:eastAsiaTheme="minorEastAsia"/>
                <w:color w:val="auto"/>
                <w:sz w:val="21"/>
                <w:szCs w:val="21"/>
              </w:rPr>
              <w:t>其他未列明行业</w:t>
            </w:r>
            <w:r>
              <w:rPr>
                <w:rFonts w:hint="eastAsia" w:cs="Arial" w:asciiTheme="minorEastAsia" w:hAnsiTheme="minorEastAsia" w:eastAsiaTheme="minorEastAsia"/>
                <w:sz w:val="21"/>
                <w:szCs w:val="21"/>
              </w:rPr>
              <w:t>。</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划分标准如下：从业人员300人以下的为中小微型企业。其中，从业人员100人及以上的为中型企业；从业人员10人及以上的为小型企业；从业人员10人以下的为微型企业。</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kinsoku/>
              <w:wordWrap/>
              <w:overflowPunct/>
              <w:topLinePunct w:val="0"/>
              <w:bidi w:val="0"/>
              <w:snapToGrid w:val="0"/>
              <w:spacing w:line="360" w:lineRule="auto"/>
              <w:textAlignment w:val="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snapToGrid w:val="0"/>
              <w:spacing w:line="360" w:lineRule="auto"/>
              <w:textAlignment w:val="auto"/>
              <w:rPr>
                <w:rFonts w:ascii="宋体" w:hAnsi="宋体" w:cs="宋体"/>
                <w:sz w:val="21"/>
                <w:szCs w:val="21"/>
              </w:rPr>
            </w:pPr>
            <w:r>
              <w:rPr>
                <w:rFonts w:hint="eastAsia" w:cs="Arial" w:asciiTheme="minorEastAsia" w:hAnsiTheme="minorEastAsia" w:eastAsiaTheme="minorEastAsia"/>
                <w:sz w:val="21"/>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14</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kern w:val="0"/>
                <w:sz w:val="21"/>
                <w:szCs w:val="21"/>
              </w:rPr>
            </w:pPr>
            <w:r>
              <w:rPr>
                <w:rFonts w:hint="eastAsia" w:ascii="宋体" w:hAnsi="宋体" w:cs="宋体"/>
                <w:sz w:val="21"/>
                <w:szCs w:val="21"/>
              </w:rPr>
              <w:t>采购代理机构代理费用的收取标准和方式</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根据国家发改委发改价格〔2015〕299号通知，本次采购项目招标代理服务</w:t>
            </w:r>
            <w:r>
              <w:rPr>
                <w:rFonts w:hint="eastAsia" w:ascii="宋体" w:hAnsi="宋体" w:cs="宋体"/>
                <w:bCs/>
                <w:sz w:val="21"/>
                <w:szCs w:val="21"/>
                <w:lang w:val="en-US" w:eastAsia="zh-CN"/>
              </w:rPr>
              <w:t>收费为</w:t>
            </w:r>
            <w:r>
              <w:rPr>
                <w:rFonts w:hint="eastAsia" w:ascii="宋体" w:hAnsi="宋体" w:cs="宋体"/>
                <w:bCs/>
                <w:sz w:val="21"/>
                <w:szCs w:val="21"/>
              </w:rPr>
              <w:t>标项</w:t>
            </w:r>
            <w:r>
              <w:rPr>
                <w:rFonts w:hint="eastAsia" w:ascii="宋体" w:hAnsi="宋体" w:cs="宋体"/>
                <w:bCs/>
                <w:sz w:val="21"/>
                <w:szCs w:val="21"/>
                <w:lang w:eastAsia="zh-CN"/>
              </w:rPr>
              <w:t>一：</w:t>
            </w:r>
            <w:r>
              <w:rPr>
                <w:rFonts w:hint="eastAsia" w:ascii="宋体" w:hAnsi="宋体" w:cs="宋体"/>
                <w:bCs/>
                <w:sz w:val="21"/>
                <w:szCs w:val="21"/>
                <w:lang w:val="en-US" w:eastAsia="zh-CN"/>
              </w:rPr>
              <w:t>20900.00元；标项二：18180.00元；标项三：12000.00元；标项四：12200.00元；标项五：9000.00元</w:t>
            </w:r>
            <w:r>
              <w:rPr>
                <w:rFonts w:hint="eastAsia" w:ascii="宋体" w:hAnsi="宋体" w:cs="宋体"/>
                <w:bCs/>
                <w:sz w:val="21"/>
                <w:szCs w:val="21"/>
              </w:rPr>
              <w:t>，由中标供应商在中标通知书发出</w:t>
            </w:r>
            <w:r>
              <w:rPr>
                <w:rFonts w:hint="eastAsia" w:ascii="宋体" w:hAnsi="宋体" w:cs="宋体"/>
                <w:bCs/>
                <w:sz w:val="21"/>
                <w:szCs w:val="21"/>
                <w:lang w:eastAsia="zh-CN"/>
              </w:rPr>
              <w:t>后</w:t>
            </w:r>
            <w:r>
              <w:rPr>
                <w:rFonts w:hint="eastAsia" w:ascii="宋体" w:hAnsi="宋体" w:cs="宋体"/>
                <w:bCs/>
                <w:sz w:val="21"/>
                <w:szCs w:val="21"/>
              </w:rPr>
              <w:t>5日内支付给采购代理机构。</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2、服务费缴纳账户信息：</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bCs/>
                <w:sz w:val="21"/>
                <w:szCs w:val="21"/>
              </w:rPr>
            </w:pPr>
            <w:r>
              <w:rPr>
                <w:rFonts w:hint="eastAsia" w:ascii="宋体" w:hAnsi="宋体" w:cs="宋体"/>
                <w:bCs/>
                <w:sz w:val="21"/>
                <w:szCs w:val="21"/>
              </w:rPr>
              <w:t>开户行：台州银行椒江支行    账号：540017383000015</w:t>
            </w:r>
          </w:p>
          <w:p>
            <w:pPr>
              <w:keepNext w:val="0"/>
              <w:keepLines w:val="0"/>
              <w:pageBreakBefore w:val="0"/>
              <w:kinsoku/>
              <w:wordWrap/>
              <w:overflowPunct/>
              <w:topLinePunct w:val="0"/>
              <w:autoSpaceDE w:val="0"/>
              <w:autoSpaceDN w:val="0"/>
              <w:bidi w:val="0"/>
              <w:adjustRightInd w:val="0"/>
              <w:snapToGrid w:val="0"/>
              <w:spacing w:line="360" w:lineRule="auto"/>
              <w:textAlignment w:val="auto"/>
              <w:rPr>
                <w:sz w:val="21"/>
                <w:szCs w:val="21"/>
              </w:rPr>
            </w:pPr>
            <w:r>
              <w:rPr>
                <w:rFonts w:hint="eastAsia" w:ascii="宋体" w:hAnsi="宋体" w:cs="宋体"/>
                <w:bCs/>
                <w:sz w:val="21"/>
                <w:szCs w:val="21"/>
              </w:rPr>
              <w:t>开户名：台州天兴工程管理咨询有限公司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15</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lang w:val="zh-CN"/>
              </w:rPr>
              <w:t>实质性条款</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kern w:val="0"/>
                <w:sz w:val="21"/>
                <w:szCs w:val="21"/>
                <w:lang w:val="zh-CN"/>
              </w:rPr>
              <w:t>带“</w:t>
            </w:r>
            <w:r>
              <w:rPr>
                <w:rFonts w:hint="eastAsia" w:ascii="宋体" w:hAnsi="宋体" w:cs="宋体"/>
                <w:bCs/>
                <w:sz w:val="21"/>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16</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asciiTheme="minorEastAsia" w:hAnsiTheme="minorEastAsia" w:eastAsiaTheme="minorEastAsia"/>
                <w:sz w:val="21"/>
                <w:szCs w:val="21"/>
              </w:rPr>
              <w:t>主要性能参数</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cs="宋体"/>
                <w:sz w:val="21"/>
                <w:szCs w:val="21"/>
              </w:rPr>
            </w:pPr>
            <w:r>
              <w:rPr>
                <w:rFonts w:hint="eastAsia" w:ascii="宋体" w:hAnsi="宋体" w:cs="宋体"/>
                <w:sz w:val="21"/>
                <w:szCs w:val="21"/>
              </w:rPr>
              <w:t>带“★”的条款是</w:t>
            </w:r>
            <w:r>
              <w:rPr>
                <w:rFonts w:asciiTheme="minorEastAsia" w:hAnsiTheme="minorEastAsia" w:eastAsiaTheme="minorEastAsia"/>
                <w:sz w:val="21"/>
                <w:szCs w:val="21"/>
              </w:rPr>
              <w:t>主要性能参数</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17</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书面形式</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sz w:val="21"/>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auto"/>
              <w:jc w:val="center"/>
              <w:textAlignment w:val="auto"/>
              <w:rPr>
                <w:rFonts w:ascii="宋体" w:hAnsi="宋体" w:cs="宋体"/>
                <w:sz w:val="21"/>
                <w:szCs w:val="21"/>
              </w:rPr>
            </w:pPr>
            <w:r>
              <w:rPr>
                <w:rFonts w:hint="eastAsia" w:ascii="宋体" w:hAnsi="宋体" w:cs="宋体"/>
                <w:sz w:val="21"/>
                <w:szCs w:val="21"/>
              </w:rPr>
              <w:t>18</w:t>
            </w:r>
          </w:p>
        </w:tc>
        <w:tc>
          <w:tcPr>
            <w:tcW w:w="1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ascii="宋体" w:hAnsi="宋体" w:cs="宋体"/>
                <w:sz w:val="21"/>
                <w:szCs w:val="21"/>
              </w:rPr>
            </w:pPr>
            <w:r>
              <w:rPr>
                <w:rFonts w:hint="eastAsia" w:ascii="宋体" w:hAnsi="宋体" w:cs="宋体"/>
                <w:sz w:val="21"/>
                <w:szCs w:val="21"/>
              </w:rPr>
              <w:t>解释权</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ascii="宋体" w:hAnsi="宋体" w:cs="宋体"/>
                <w:sz w:val="21"/>
                <w:szCs w:val="21"/>
              </w:rPr>
            </w:pPr>
            <w:r>
              <w:rPr>
                <w:rFonts w:hint="eastAsia" w:ascii="宋体" w:hAnsi="宋体" w:cs="宋体"/>
                <w:sz w:val="21"/>
                <w:szCs w:val="21"/>
              </w:rPr>
              <w:t>本招标文件解释权属于采购人和采购组织机构</w:t>
            </w:r>
          </w:p>
        </w:tc>
      </w:tr>
    </w:tbl>
    <w:p>
      <w:pPr>
        <w:pStyle w:val="12"/>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keepNext w:val="0"/>
        <w:keepLines w:val="0"/>
        <w:pageBreakBefore w:val="0"/>
        <w:numPr>
          <w:ilvl w:val="0"/>
          <w:numId w:val="6"/>
        </w:numPr>
        <w:kinsoku/>
        <w:wordWrap/>
        <w:overflowPunct/>
        <w:topLinePunct w:val="0"/>
        <w:bidi w:val="0"/>
        <w:snapToGrid w:val="0"/>
        <w:spacing w:line="360" w:lineRule="auto"/>
        <w:ind w:left="0" w:leftChars="0"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keepNext w:val="0"/>
        <w:keepLines w:val="0"/>
        <w:pageBreakBefore w:val="0"/>
        <w:numPr>
          <w:ilvl w:val="0"/>
          <w:numId w:val="6"/>
        </w:numPr>
        <w:kinsoku/>
        <w:wordWrap/>
        <w:overflowPunct/>
        <w:topLinePunct w:val="0"/>
        <w:bidi w:val="0"/>
        <w:snapToGrid w:val="0"/>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适用范围的相关工作</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keepNext w:val="0"/>
        <w:keepLines w:val="0"/>
        <w:pageBreakBefore w:val="0"/>
        <w:kinsoku/>
        <w:wordWrap/>
        <w:overflowPunct/>
        <w:topLinePunct w:val="0"/>
        <w:bidi w:val="0"/>
        <w:snapToGrid w:val="0"/>
        <w:spacing w:line="360" w:lineRule="auto"/>
        <w:ind w:firstLine="480" w:firstLineChars="200"/>
        <w:textAlignment w:val="auto"/>
      </w:pPr>
      <w:r>
        <w:t>本招标文件仅适用于本次招标公告中所涉及的项目和内容。</w:t>
      </w:r>
    </w:p>
    <w:p>
      <w:pPr>
        <w:keepNext w:val="0"/>
        <w:keepLines w:val="0"/>
        <w:pageBreakBefore w:val="0"/>
        <w:kinsoku/>
        <w:wordWrap/>
        <w:overflowPunct/>
        <w:topLinePunct w:val="0"/>
        <w:bidi w:val="0"/>
        <w:snapToGrid w:val="0"/>
        <w:spacing w:before="120" w:beforeLines="50"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pageBreakBefore w:val="0"/>
        <w:tabs>
          <w:tab w:val="left" w:pos="0"/>
          <w:tab w:val="left" w:pos="851"/>
        </w:tabs>
        <w:kinsoku/>
        <w:wordWrap/>
        <w:overflowPunct/>
        <w:topLinePunct w:val="0"/>
        <w:bidi w:val="0"/>
        <w:snapToGrid w:val="0"/>
        <w:spacing w:before="0" w:after="0" w:line="360" w:lineRule="auto"/>
        <w:ind w:firstLine="480" w:firstLineChars="200"/>
        <w:textAlignment w:val="auto"/>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（四）</w:t>
      </w:r>
      <w:r>
        <w:rPr>
          <w:b/>
          <w:bCs/>
          <w:sz w:val="24"/>
        </w:rPr>
        <w:t>以联合体形式投标的，应符合以下规定：</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w:t>
      </w:r>
      <w:r>
        <w:rPr>
          <w:rFonts w:hint="eastAsia" w:asciiTheme="minorEastAsia" w:hAnsiTheme="minorEastAsia" w:eastAsiaTheme="minorEastAsia"/>
          <w:color w:val="auto"/>
          <w:sz w:val="24"/>
        </w:rPr>
        <w:t>等级较低</w:t>
      </w:r>
      <w:r>
        <w:rPr>
          <w:rFonts w:hint="eastAsia" w:asciiTheme="minorEastAsia" w:hAnsiTheme="minorEastAsia" w:eastAsiaTheme="minorEastAsia"/>
          <w:sz w:val="24"/>
        </w:rPr>
        <w:t>的投标人确定联合体资质等级；</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（五）</w:t>
      </w:r>
      <w:r>
        <w:rPr>
          <w:b/>
          <w:bCs/>
          <w:sz w:val="24"/>
        </w:rPr>
        <w:t>语言文字以及度量衡单位</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3.所有</w:t>
      </w:r>
      <w:r>
        <w:rPr>
          <w:sz w:val="24"/>
        </w:rPr>
        <w:t>报价一律使用人民币，货币单位：元。</w:t>
      </w:r>
    </w:p>
    <w:p>
      <w:pPr>
        <w:keepNext w:val="0"/>
        <w:keepLines w:val="0"/>
        <w:pageBreakBefore w:val="0"/>
        <w:kinsoku/>
        <w:wordWrap/>
        <w:overflowPunct/>
        <w:topLinePunct w:val="0"/>
        <w:bidi w:val="0"/>
        <w:snapToGrid w:val="0"/>
        <w:spacing w:line="360" w:lineRule="auto"/>
        <w:ind w:firstLine="482" w:firstLineChars="200"/>
        <w:textAlignment w:val="auto"/>
        <w:rPr>
          <w:b/>
          <w:bCs/>
          <w:sz w:val="24"/>
        </w:rPr>
      </w:pPr>
      <w:r>
        <w:rPr>
          <w:rFonts w:hint="eastAsia"/>
          <w:b/>
          <w:bCs/>
          <w:sz w:val="24"/>
        </w:rPr>
        <w:t>（六）</w:t>
      </w:r>
      <w:r>
        <w:rPr>
          <w:b/>
          <w:bCs/>
          <w:sz w:val="24"/>
        </w:rPr>
        <w:t>现场踏勘</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keepNext w:val="0"/>
        <w:keepLines w:val="0"/>
        <w:pageBreakBefore w:val="0"/>
        <w:kinsoku/>
        <w:wordWrap/>
        <w:overflowPunct/>
        <w:topLinePunct w:val="0"/>
        <w:bidi w:val="0"/>
        <w:snapToGrid w:val="0"/>
        <w:spacing w:line="360" w:lineRule="auto"/>
        <w:ind w:firstLine="480" w:firstLineChars="200"/>
        <w:textAlignment w:val="auto"/>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keepNext w:val="0"/>
        <w:keepLines w:val="0"/>
        <w:pageBreakBefore w:val="0"/>
        <w:kinsoku/>
        <w:wordWrap/>
        <w:overflowPunct/>
        <w:topLinePunct w:val="0"/>
        <w:bidi w:val="0"/>
        <w:snapToGrid w:val="0"/>
        <w:spacing w:line="360" w:lineRule="auto"/>
        <w:ind w:left="2" w:leftChars="1" w:firstLine="482" w:firstLineChars="200"/>
        <w:textAlignment w:val="auto"/>
        <w:rPr>
          <w:rFonts w:hAnsi="宋体"/>
          <w:b/>
          <w:sz w:val="24"/>
        </w:rPr>
      </w:pPr>
      <w:r>
        <w:rPr>
          <w:rFonts w:hint="eastAsia" w:hAnsi="宋体"/>
          <w:b/>
          <w:sz w:val="24"/>
        </w:rPr>
        <w:t>（七）特别说明</w:t>
      </w:r>
    </w:p>
    <w:p>
      <w:pPr>
        <w:pStyle w:val="12"/>
        <w:keepNext w:val="0"/>
        <w:keepLines w:val="0"/>
        <w:pageBreakBefore w:val="0"/>
        <w:kinsoku/>
        <w:wordWrap/>
        <w:overflowPunct/>
        <w:topLinePunct w:val="0"/>
        <w:bidi w:val="0"/>
        <w:snapToGrid w:val="0"/>
        <w:spacing w:line="360" w:lineRule="auto"/>
        <w:ind w:left="2" w:leftChars="1"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应提供具体有效的证明材料。</w:t>
      </w:r>
    </w:p>
    <w:p>
      <w:pPr>
        <w:pStyle w:val="27"/>
        <w:keepNext w:val="0"/>
        <w:keepLines w:val="0"/>
        <w:pageBreakBefore w:val="0"/>
        <w:kinsoku/>
        <w:wordWrap/>
        <w:overflowPunct/>
        <w:topLinePunct w:val="0"/>
        <w:bidi w:val="0"/>
        <w:snapToGrid w:val="0"/>
        <w:spacing w:line="360" w:lineRule="auto"/>
        <w:ind w:firstLine="480"/>
        <w:textAlignment w:val="auto"/>
        <w:rPr>
          <w:rFonts w:ascii="宋体" w:hAnsi="宋体" w:cs="宋体"/>
          <w:sz w:val="24"/>
          <w:szCs w:val="24"/>
        </w:rPr>
      </w:pPr>
      <w:r>
        <w:rPr>
          <w:rFonts w:hint="eastAsia" w:ascii="宋体" w:hAnsi="宋体" w:cs="宋体"/>
          <w:sz w:val="24"/>
          <w:szCs w:val="24"/>
        </w:rPr>
        <w:t>3.本招标文件中关于电子招投标内容、流程如与政采云系统中最新的内容、操作不一致的，以政采云系统中的要求为准。</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（一）招标文件由招标文件总目录所列内容组成。</w:t>
      </w:r>
    </w:p>
    <w:p>
      <w:pPr>
        <w:pStyle w:val="27"/>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keepNext w:val="0"/>
        <w:keepLines w:val="0"/>
        <w:pageBreakBefore w:val="0"/>
        <w:kinsoku/>
        <w:wordWrap/>
        <w:overflowPunct/>
        <w:topLinePunct w:val="0"/>
        <w:bidi w:val="0"/>
        <w:snapToGrid w:val="0"/>
        <w:spacing w:line="360" w:lineRule="auto"/>
        <w:ind w:firstLine="48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keepNext w:val="0"/>
        <w:keepLines w:val="0"/>
        <w:pageBreakBefore w:val="0"/>
        <w:tabs>
          <w:tab w:val="left" w:pos="1418"/>
        </w:tabs>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文件。【特别提示：如在投标时有要求提供资料原件的，将原件扫描放入投标文件。】本招标文件中若有多标项的，若参与多标项投标的，则按每个标项分别独立编制投标文件。</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投标声明书；</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授权委托书（法定代表人办理投标事宜的，则无需提交)；</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ascii="宋体" w:hAnsi="宋体" w:cs="宋体"/>
          <w:sz w:val="24"/>
        </w:rPr>
      </w:pPr>
      <w:r>
        <w:rPr>
          <w:rFonts w:hint="eastAsia" w:ascii="宋体" w:hAnsi="宋体" w:cs="宋体"/>
          <w:sz w:val="24"/>
        </w:rPr>
        <w:t>法人或者其他组织的营业执照等证明文件，自然人的身份证明；</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hint="eastAsia" w:ascii="宋体" w:hAnsi="宋体" w:eastAsia="宋体" w:cs="宋体"/>
          <w:sz w:val="24"/>
        </w:rPr>
      </w:pPr>
      <w:r>
        <w:rPr>
          <w:rFonts w:hint="eastAsia" w:ascii="宋体" w:hAnsi="宋体" w:eastAsia="宋体" w:cs="宋体"/>
          <w:sz w:val="24"/>
        </w:rPr>
        <w:t>财务状况报告，依法缴纳税收和社会保障资金的相关材料</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hint="eastAsia" w:ascii="宋体" w:hAnsi="宋体" w:eastAsia="宋体" w:cs="宋体"/>
          <w:sz w:val="24"/>
        </w:rPr>
      </w:pPr>
      <w:r>
        <w:rPr>
          <w:rFonts w:hint="eastAsia" w:ascii="宋体" w:hAnsi="宋体" w:eastAsia="宋体" w:cs="宋体"/>
          <w:sz w:val="24"/>
        </w:rPr>
        <w:t>具备履行合同所必需的设备和专业技术能力的证明材料(根据项目性质提供)</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hint="eastAsia" w:ascii="宋体" w:hAnsi="宋体" w:eastAsia="宋体" w:cs="宋体"/>
          <w:sz w:val="24"/>
        </w:rPr>
      </w:pPr>
      <w:r>
        <w:rPr>
          <w:rFonts w:hint="eastAsia" w:ascii="宋体" w:hAnsi="宋体" w:eastAsia="宋体" w:cs="宋体"/>
          <w:sz w:val="24"/>
        </w:rPr>
        <w:t>提供采购公告中符合供应商特定条件的有效资质证书扫描件（投标供应商特定条件中有要求的必须提供），以及需要说明的其他资料</w:t>
      </w:r>
    </w:p>
    <w:p>
      <w:pPr>
        <w:keepNext w:val="0"/>
        <w:keepLines w:val="0"/>
        <w:pageBreakBefore w:val="0"/>
        <w:widowControl/>
        <w:numPr>
          <w:ilvl w:val="0"/>
          <w:numId w:val="7"/>
        </w:numPr>
        <w:kinsoku/>
        <w:wordWrap/>
        <w:overflowPunct/>
        <w:topLinePunct w:val="0"/>
        <w:bidi w:val="0"/>
        <w:snapToGrid w:val="0"/>
        <w:spacing w:line="360" w:lineRule="auto"/>
        <w:ind w:right="60" w:firstLine="472" w:firstLineChars="197"/>
        <w:jc w:val="left"/>
        <w:textAlignment w:val="auto"/>
        <w:outlineLvl w:val="0"/>
        <w:rPr>
          <w:rFonts w:hint="eastAsia" w:ascii="宋体" w:hAnsi="宋体" w:eastAsia="宋体" w:cs="宋体"/>
          <w:sz w:val="24"/>
          <w:lang w:val="en-US" w:eastAsia="zh-CN"/>
        </w:rPr>
      </w:pPr>
      <w:r>
        <w:rPr>
          <w:rFonts w:hint="eastAsia" w:ascii="宋体" w:hAnsi="宋体" w:eastAsia="宋体" w:cs="宋体"/>
          <w:sz w:val="24"/>
          <w:lang w:eastAsia="zh-CN"/>
        </w:rPr>
        <w:t>符合中小企业承诺函</w:t>
      </w:r>
    </w:p>
    <w:p>
      <w:pPr>
        <w:keepNext w:val="0"/>
        <w:keepLines w:val="0"/>
        <w:pageBreakBefore w:val="0"/>
        <w:widowControl/>
        <w:numPr>
          <w:ilvl w:val="0"/>
          <w:numId w:val="0"/>
        </w:numPr>
        <w:kinsoku/>
        <w:wordWrap/>
        <w:overflowPunct/>
        <w:topLinePunct w:val="0"/>
        <w:bidi w:val="0"/>
        <w:snapToGrid w:val="0"/>
        <w:spacing w:line="360" w:lineRule="auto"/>
        <w:ind w:right="60" w:rightChars="0" w:firstLine="480" w:firstLineChars="200"/>
        <w:jc w:val="left"/>
        <w:textAlignment w:val="auto"/>
        <w:outlineLvl w:val="0"/>
        <w:rPr>
          <w:rFonts w:hint="eastAsia" w:ascii="宋体" w:hAnsi="宋体" w:eastAsia="宋体" w:cs="宋体"/>
          <w:sz w:val="24"/>
        </w:rPr>
      </w:pPr>
      <w:r>
        <w:rPr>
          <w:rFonts w:hint="eastAsia" w:ascii="宋体" w:hAnsi="宋体" w:eastAsia="宋体" w:cs="宋体"/>
          <w:sz w:val="24"/>
        </w:rPr>
        <w:t>根据《浙江省财政厅关于进一步加大政府采购支持中小企业力度助力扎实稳住经济的通知》（浙财采监〔2022〕8号）中“简化对政府采购供应商资格条件的形式审查，</w:t>
      </w:r>
      <w:r>
        <w:rPr>
          <w:rFonts w:hint="eastAsia" w:ascii="宋体" w:hAnsi="宋体" w:eastAsia="宋体" w:cs="宋体"/>
          <w:sz w:val="24"/>
          <w:lang w:eastAsia="zh-CN"/>
        </w:rPr>
        <w:t>供应商</w:t>
      </w:r>
      <w:r>
        <w:rPr>
          <w:rFonts w:hint="eastAsia" w:ascii="宋体" w:hAnsi="宋体" w:eastAsia="宋体" w:cs="宋体"/>
          <w:sz w:val="24"/>
        </w:rPr>
        <w:t>书面承诺符合参与政府采购活动资格条件的，不需要再提供财务状况报告、依法缴纳税收和社会保障资金记录、无重大违法记录等证明材料。”本项目投标供应商属于中小企业范畴的，可以以书面承诺</w:t>
      </w:r>
      <w:r>
        <w:rPr>
          <w:rFonts w:hint="eastAsia" w:ascii="宋体" w:hAnsi="宋体" w:eastAsia="宋体" w:cs="宋体"/>
          <w:sz w:val="24"/>
          <w:lang w:eastAsia="zh-CN"/>
        </w:rPr>
        <w:t>（可使用本招标文件附件</w:t>
      </w:r>
      <w:r>
        <w:rPr>
          <w:rFonts w:hint="eastAsia" w:ascii="宋体" w:hAnsi="宋体" w:eastAsia="宋体" w:cs="宋体"/>
          <w:sz w:val="24"/>
          <w:lang w:val="en-US" w:eastAsia="zh-CN"/>
        </w:rPr>
        <w:t>4</w:t>
      </w:r>
      <w:r>
        <w:rPr>
          <w:rFonts w:hint="eastAsia" w:ascii="宋体" w:hAnsi="宋体" w:eastAsia="宋体" w:cs="宋体"/>
          <w:sz w:val="24"/>
          <w:lang w:eastAsia="zh-CN"/>
        </w:rPr>
        <w:t>《符合中小企业承诺函》）</w:t>
      </w:r>
      <w:r>
        <w:rPr>
          <w:rFonts w:hint="eastAsia" w:ascii="宋体" w:hAnsi="宋体" w:eastAsia="宋体" w:cs="宋体"/>
          <w:sz w:val="24"/>
        </w:rPr>
        <w:t>代替相关证明材料。</w:t>
      </w:r>
    </w:p>
    <w:p>
      <w:pPr>
        <w:keepNext w:val="0"/>
        <w:keepLines w:val="0"/>
        <w:pageBreakBefore w:val="0"/>
        <w:numPr>
          <w:ilvl w:val="0"/>
          <w:numId w:val="8"/>
        </w:numPr>
        <w:kinsoku/>
        <w:wordWrap/>
        <w:overflowPunct/>
        <w:topLinePunct w:val="0"/>
        <w:bidi w:val="0"/>
        <w:snapToGrid w:val="0"/>
        <w:spacing w:line="360" w:lineRule="auto"/>
        <w:ind w:firstLine="482" w:firstLineChars="200"/>
        <w:textAlignment w:val="auto"/>
        <w:rPr>
          <w:rFonts w:ascii="宋体" w:hAnsi="宋体"/>
          <w:b/>
          <w:sz w:val="24"/>
        </w:rPr>
      </w:pPr>
      <w:r>
        <w:rPr>
          <w:rFonts w:hint="eastAsia" w:ascii="宋体" w:hAnsi="宋体"/>
          <w:b/>
          <w:sz w:val="24"/>
        </w:rPr>
        <w:t>商务与技术文件的组成：</w:t>
      </w:r>
    </w:p>
    <w:p>
      <w:pPr>
        <w:keepNext w:val="0"/>
        <w:keepLines w:val="0"/>
        <w:pageBreakBefore w:val="0"/>
        <w:kinsoku/>
        <w:wordWrap/>
        <w:overflowPunct/>
        <w:topLinePunct w:val="0"/>
        <w:autoSpaceDE w:val="0"/>
        <w:autoSpaceDN w:val="0"/>
        <w:bidi w:val="0"/>
        <w:adjustRightInd w:val="0"/>
        <w:snapToGrid w:val="0"/>
        <w:spacing w:line="360" w:lineRule="auto"/>
        <w:ind w:firstLine="424" w:firstLineChars="177"/>
        <w:textAlignment w:val="auto"/>
      </w:pPr>
      <w:r>
        <w:rPr>
          <w:rFonts w:hint="eastAsia" w:asciiTheme="minorEastAsia" w:hAnsiTheme="minorEastAsia" w:eastAsiaTheme="minorEastAsia"/>
          <w:kern w:val="0"/>
          <w:sz w:val="24"/>
        </w:rPr>
        <w:t>（1）</w:t>
      </w:r>
      <w:r>
        <w:rPr>
          <w:rFonts w:hint="eastAsia"/>
          <w:b/>
          <w:bCs/>
          <w:sz w:val="24"/>
        </w:rPr>
        <w:t>技术方案描述部分</w:t>
      </w:r>
    </w:p>
    <w:p>
      <w:pPr>
        <w:pStyle w:val="2"/>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投标人情况介绍（人员与技术力量、企业规模、经营业绩等）。</w:t>
      </w:r>
    </w:p>
    <w:p>
      <w:pPr>
        <w:pStyle w:val="2"/>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技术需求响应表。</w:t>
      </w:r>
    </w:p>
    <w:p>
      <w:pPr>
        <w:pStyle w:val="2"/>
        <w:keepNext w:val="0"/>
        <w:keepLines w:val="0"/>
        <w:pageBreakBefore w:val="0"/>
        <w:widowControl/>
        <w:numPr>
          <w:ilvl w:val="0"/>
          <w:numId w:val="9"/>
        </w:numPr>
        <w:kinsoku/>
        <w:wordWrap/>
        <w:overflowPunct/>
        <w:topLinePunct w:val="0"/>
        <w:bidi w:val="0"/>
        <w:adjustRightInd w:val="0"/>
        <w:snapToGrid w:val="0"/>
        <w:spacing w:line="360" w:lineRule="auto"/>
        <w:ind w:firstLine="640"/>
        <w:textAlignment w:val="auto"/>
        <w:rPr>
          <w:rFonts w:ascii="Calibri" w:hAnsi="Calibri" w:cs="Calibri"/>
          <w:sz w:val="24"/>
          <w:szCs w:val="24"/>
        </w:rPr>
      </w:pPr>
      <w:r>
        <w:rPr>
          <w:rFonts w:hint="eastAsia" w:ascii="Calibri" w:hAnsi="Calibri" w:cs="Calibri"/>
          <w:sz w:val="24"/>
          <w:szCs w:val="24"/>
        </w:rPr>
        <w:t>项目实施人员一览表（附件7）；</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项目负责人资格情况表（附件8）；</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验收方案（包括项目验收标准和验收方法等）；</w:t>
      </w:r>
    </w:p>
    <w:p>
      <w:pPr>
        <w:keepNext w:val="0"/>
        <w:keepLines w:val="0"/>
        <w:pageBreakBefore w:val="0"/>
        <w:numPr>
          <w:ilvl w:val="0"/>
          <w:numId w:val="9"/>
        </w:numPr>
        <w:kinsoku/>
        <w:wordWrap/>
        <w:overflowPunct/>
        <w:topLinePunct w:val="0"/>
        <w:bidi w:val="0"/>
        <w:snapToGrid w:val="0"/>
        <w:spacing w:line="360" w:lineRule="auto"/>
        <w:ind w:firstLine="640"/>
        <w:textAlignment w:val="auto"/>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keepNext w:val="0"/>
        <w:keepLines w:val="0"/>
        <w:pageBreakBefore w:val="0"/>
        <w:numPr>
          <w:ilvl w:val="0"/>
          <w:numId w:val="9"/>
        </w:numPr>
        <w:kinsoku/>
        <w:wordWrap/>
        <w:overflowPunct/>
        <w:topLinePunct w:val="0"/>
        <w:bidi w:val="0"/>
        <w:snapToGrid w:val="0"/>
        <w:spacing w:line="360" w:lineRule="auto"/>
        <w:ind w:firstLine="640"/>
        <w:textAlignment w:val="auto"/>
        <w:rPr>
          <w:sz w:val="24"/>
        </w:rPr>
      </w:pPr>
      <w:r>
        <w:rPr>
          <w:rFonts w:hint="eastAsia"/>
          <w:sz w:val="24"/>
        </w:rPr>
        <w:t>投标人需要说明的其他内容；（包括可能影响投标人技术性能评分项的各类证明材料）</w:t>
      </w:r>
    </w:p>
    <w:p>
      <w:pPr>
        <w:keepNext w:val="0"/>
        <w:keepLines w:val="0"/>
        <w:pageBreakBefore w:val="0"/>
        <w:kinsoku/>
        <w:wordWrap/>
        <w:overflowPunct/>
        <w:topLinePunct w:val="0"/>
        <w:autoSpaceDE w:val="0"/>
        <w:autoSpaceDN w:val="0"/>
        <w:bidi w:val="0"/>
        <w:adjustRightInd w:val="0"/>
        <w:snapToGrid w:val="0"/>
        <w:spacing w:line="360" w:lineRule="auto"/>
        <w:ind w:firstLine="424" w:firstLineChars="177"/>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（2）商务及其他部分</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firstLine="640"/>
        <w:textAlignment w:val="auto"/>
        <w:rPr>
          <w:rFonts w:ascii="宋体" w:hAnsi="宋体" w:cs="宋体"/>
          <w:sz w:val="24"/>
        </w:rPr>
      </w:pPr>
      <w:r>
        <w:rPr>
          <w:rFonts w:hint="eastAsia"/>
          <w:sz w:val="24"/>
        </w:rPr>
        <w:t>证书一览表（</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p>
    <w:p>
      <w:pPr>
        <w:pStyle w:val="2"/>
        <w:keepNext w:val="0"/>
        <w:keepLines w:val="0"/>
        <w:pageBreakBefore w:val="0"/>
        <w:widowControl/>
        <w:numPr>
          <w:ilvl w:val="0"/>
          <w:numId w:val="10"/>
        </w:numPr>
        <w:kinsoku/>
        <w:wordWrap/>
        <w:overflowPunct/>
        <w:topLinePunct w:val="0"/>
        <w:bidi w:val="0"/>
        <w:adjustRightInd w:val="0"/>
        <w:snapToGrid w:val="0"/>
        <w:spacing w:line="360" w:lineRule="auto"/>
        <w:ind w:firstLine="640"/>
        <w:textAlignment w:val="auto"/>
        <w:rPr>
          <w:rFonts w:ascii="宋体" w:hAnsi="宋体" w:cs="宋体"/>
          <w:sz w:val="24"/>
          <w:szCs w:val="24"/>
        </w:rPr>
      </w:pPr>
      <w:r>
        <w:rPr>
          <w:rFonts w:hint="eastAsia" w:asciiTheme="minorEastAsia" w:hAnsiTheme="minorEastAsia" w:eastAsiaTheme="minorEastAsia"/>
          <w:kern w:val="0"/>
          <w:sz w:val="24"/>
          <w:szCs w:val="24"/>
        </w:rPr>
        <w:t>近</w:t>
      </w:r>
      <w:r>
        <w:rPr>
          <w:rFonts w:hint="eastAsia" w:asciiTheme="minorEastAsia" w:hAnsiTheme="minorEastAsia" w:eastAsiaTheme="minorEastAsia"/>
          <w:kern w:val="0"/>
          <w:sz w:val="24"/>
          <w:szCs w:val="24"/>
          <w:lang w:eastAsia="zh-CN"/>
        </w:rPr>
        <w:t>三</w:t>
      </w:r>
      <w:r>
        <w:rPr>
          <w:rFonts w:hint="eastAsia" w:asciiTheme="minorEastAsia" w:hAnsiTheme="minorEastAsia" w:eastAsiaTheme="minorEastAsia"/>
          <w:kern w:val="0"/>
          <w:sz w:val="24"/>
          <w:szCs w:val="24"/>
        </w:rPr>
        <w:t>年来类似项目的成功案例（投标人类似项目实施情况一览表、合同复印件及其相应的发票、用户验收报</w:t>
      </w:r>
      <w:r>
        <w:rPr>
          <w:rFonts w:hint="eastAsia" w:asciiTheme="minorEastAsia" w:hAnsiTheme="minorEastAsia" w:eastAsiaTheme="minorEastAsia"/>
          <w:color w:val="auto"/>
          <w:kern w:val="0"/>
          <w:sz w:val="24"/>
          <w:szCs w:val="24"/>
        </w:rPr>
        <w:t>告等</w:t>
      </w:r>
      <w:r>
        <w:rPr>
          <w:rFonts w:hint="eastAsia" w:asciiTheme="minorEastAsia" w:hAnsiTheme="minorEastAsia" w:eastAsiaTheme="minorEastAsia"/>
          <w:color w:val="auto"/>
          <w:kern w:val="0"/>
          <w:sz w:val="24"/>
          <w:szCs w:val="24"/>
          <w:lang w:eastAsia="zh-CN"/>
        </w:rPr>
        <w:t>）</w:t>
      </w:r>
      <w:r>
        <w:rPr>
          <w:rFonts w:hint="eastAsia" w:asciiTheme="minorEastAsia" w:hAnsiTheme="minorEastAsia" w:eastAsiaTheme="minorEastAsia"/>
          <w:kern w:val="0"/>
          <w:sz w:val="24"/>
          <w:szCs w:val="24"/>
        </w:rPr>
        <w:t>；</w:t>
      </w:r>
    </w:p>
    <w:p>
      <w:pPr>
        <w:pStyle w:val="2"/>
        <w:keepNext w:val="0"/>
        <w:keepLines w:val="0"/>
        <w:pageBreakBefore w:val="0"/>
        <w:widowControl/>
        <w:numPr>
          <w:ilvl w:val="0"/>
          <w:numId w:val="10"/>
        </w:numPr>
        <w:kinsoku/>
        <w:wordWrap/>
        <w:overflowPunct/>
        <w:topLinePunct w:val="0"/>
        <w:bidi w:val="0"/>
        <w:adjustRightInd w:val="0"/>
        <w:snapToGrid w:val="0"/>
        <w:spacing w:line="360" w:lineRule="auto"/>
        <w:ind w:firstLine="640"/>
        <w:textAlignment w:val="auto"/>
        <w:rPr>
          <w:rFonts w:ascii="宋体" w:hAnsi="宋体" w:cs="宋体"/>
          <w:sz w:val="24"/>
          <w:szCs w:val="24"/>
        </w:rPr>
      </w:pPr>
      <w:r>
        <w:rPr>
          <w:rFonts w:hint="eastAsia"/>
          <w:sz w:val="24"/>
          <w:szCs w:val="24"/>
        </w:rPr>
        <w:t>商务需求响应表。</w:t>
      </w:r>
    </w:p>
    <w:p>
      <w:pPr>
        <w:keepNext w:val="0"/>
        <w:keepLines w:val="0"/>
        <w:pageBreakBefore w:val="0"/>
        <w:kinsoku/>
        <w:wordWrap/>
        <w:overflowPunct/>
        <w:topLinePunct w:val="0"/>
        <w:autoSpaceDE w:val="0"/>
        <w:autoSpaceDN w:val="0"/>
        <w:bidi w:val="0"/>
        <w:adjustRightInd w:val="0"/>
        <w:snapToGrid w:val="0"/>
        <w:spacing w:line="360" w:lineRule="auto"/>
        <w:ind w:left="426" w:firstLine="65" w:firstLineChars="27"/>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3、报价内容的组成</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（1）开标一览表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（2）报价明细表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lang w:val="en-GB"/>
        </w:rPr>
      </w:pPr>
      <w:r>
        <w:rPr>
          <w:rFonts w:hint="eastAsia" w:asciiTheme="minorEastAsia" w:hAnsiTheme="minorEastAsia" w:eastAsiaTheme="minorEastAsia"/>
          <w:kern w:val="0"/>
          <w:sz w:val="24"/>
        </w:rPr>
        <w:t>（3）中小企业声明函、</w:t>
      </w:r>
      <w:r>
        <w:rPr>
          <w:rFonts w:hint="eastAsia" w:asciiTheme="minorEastAsia" w:hAnsiTheme="minorEastAsia" w:eastAsiaTheme="minorEastAsia"/>
          <w:kern w:val="0"/>
          <w:sz w:val="24"/>
          <w:lang w:val="en-GB"/>
        </w:rPr>
        <w:t>残疾人福利性单位声明函</w:t>
      </w:r>
      <w:r>
        <w:rPr>
          <w:rFonts w:hint="eastAsia" w:asciiTheme="minorEastAsia" w:hAnsiTheme="minorEastAsia" w:eastAsiaTheme="minorEastAsia"/>
          <w:kern w:val="0"/>
          <w:sz w:val="24"/>
        </w:rPr>
        <w:t>等</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kern w:val="0"/>
          <w:sz w:val="24"/>
        </w:rPr>
        <w:t>（4）针对报价投标人认为其他需要说明的</w:t>
      </w:r>
    </w:p>
    <w:p>
      <w:pPr>
        <w:pStyle w:val="2"/>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keepNext w:val="0"/>
        <w:keepLines w:val="0"/>
        <w:pageBreakBefore w:val="0"/>
        <w:kinsoku/>
        <w:wordWrap/>
        <w:overflowPunct/>
        <w:topLinePunct w:val="0"/>
        <w:bidi w:val="0"/>
        <w:snapToGrid w:val="0"/>
        <w:spacing w:line="360" w:lineRule="auto"/>
        <w:ind w:firstLine="480" w:firstLineChars="200"/>
        <w:textAlignment w:val="auto"/>
        <w:rPr>
          <w:rFonts w:hint="default" w:asciiTheme="minorEastAsia" w:hAnsiTheme="minorEastAsia" w:eastAsiaTheme="minorEastAsia"/>
          <w:bCs/>
          <w:color w:val="FF0000"/>
          <w:kern w:val="0"/>
          <w:sz w:val="24"/>
        </w:rPr>
      </w:pPr>
      <w:r>
        <w:rPr>
          <w:rFonts w:hint="eastAsia" w:asciiTheme="minorEastAsia" w:hAnsiTheme="minorEastAsia" w:eastAsiaTheme="minorEastAsia"/>
          <w:bCs/>
          <w:kern w:val="0"/>
          <w:sz w:val="24"/>
        </w:rPr>
        <w:t>2.投标报价包括本项目采购需求和投入使用的所有费用，包括但不限于服务款、货款、标准附件、备品备件、施工、服务、专用工具、安装、调试、检验、培训、运输、保险、税款等。</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在特殊情况下，采购人可与投标人协商延长投标文件的有效期，这种要求和答复均以书面形式进行。</w:t>
      </w:r>
    </w:p>
    <w:p>
      <w:pPr>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rPr>
      </w:pPr>
      <w:r>
        <w:rPr>
          <w:rFonts w:hint="eastAsia" w:ascii="宋体" w:hAnsi="宋体"/>
          <w:sz w:val="24"/>
        </w:rPr>
        <w:t xml:space="preserve">3. </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keepNext w:val="0"/>
        <w:keepLines w:val="0"/>
        <w:pageBreakBefore w:val="0"/>
        <w:tabs>
          <w:tab w:val="left" w:pos="1418"/>
        </w:tabs>
        <w:kinsoku/>
        <w:wordWrap/>
        <w:overflowPunct/>
        <w:topLinePunct w:val="0"/>
        <w:autoSpaceDE w:val="0"/>
        <w:autoSpaceDN w:val="0"/>
        <w:bidi w:val="0"/>
        <w:adjustRightInd w:val="0"/>
        <w:snapToGrid w:val="0"/>
        <w:spacing w:line="360" w:lineRule="auto"/>
        <w:ind w:firstLine="480" w:firstLineChars="200"/>
        <w:textAlignment w:val="auto"/>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2.宣布开标纪律；</w:t>
      </w:r>
    </w:p>
    <w:p>
      <w:pPr>
        <w:pStyle w:val="2"/>
        <w:keepNext w:val="0"/>
        <w:keepLines w:val="0"/>
        <w:pageBreakBefore w:val="0"/>
        <w:kinsoku/>
        <w:wordWrap/>
        <w:overflowPunct/>
        <w:topLinePunct w:val="0"/>
        <w:bidi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3.宣布采购组织机构工作人员；</w:t>
      </w:r>
    </w:p>
    <w:p>
      <w:pPr>
        <w:pStyle w:val="2"/>
        <w:keepNext w:val="0"/>
        <w:keepLines w:val="0"/>
        <w:pageBreakBefore w:val="0"/>
        <w:kinsoku/>
        <w:wordWrap/>
        <w:overflowPunct/>
        <w:topLinePunct w:val="0"/>
        <w:bidi w:val="0"/>
        <w:snapToGrid w:val="0"/>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4.投标人登录政采云平台，用“项目采购-开标评标”功能对电子投标文件进行在线解密，在线解密时间为开标时间起半个小时内；</w:t>
      </w:r>
    </w:p>
    <w:p>
      <w:pPr>
        <w:pStyle w:val="2"/>
        <w:keepNext w:val="0"/>
        <w:keepLines w:val="0"/>
        <w:pageBreakBefore w:val="0"/>
        <w:kinsoku/>
        <w:wordWrap/>
        <w:overflowPunct/>
        <w:topLinePunct w:val="0"/>
        <w:bidi w:val="0"/>
        <w:snapToGrid w:val="0"/>
        <w:spacing w:line="360" w:lineRule="auto"/>
        <w:ind w:firstLine="480" w:firstLineChars="200"/>
        <w:textAlignment w:val="auto"/>
        <w:rPr>
          <w:sz w:val="24"/>
          <w:szCs w:val="22"/>
        </w:rPr>
      </w:pPr>
      <w:r>
        <w:rPr>
          <w:rFonts w:hint="eastAsia" w:cs="宋体" w:asciiTheme="minorEastAsia" w:hAnsiTheme="minorEastAsia" w:eastAsiaTheme="minorEastAsia"/>
          <w:sz w:val="24"/>
          <w:szCs w:val="24"/>
        </w:rPr>
        <w:t>5.</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keepNext w:val="0"/>
        <w:keepLines w:val="0"/>
        <w:pageBreakBefore w:val="0"/>
        <w:kinsoku/>
        <w:wordWrap/>
        <w:overflowPunct/>
        <w:topLinePunct w:val="0"/>
        <w:bidi w:val="0"/>
        <w:snapToGrid w:val="0"/>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6.公布开标结果。</w:t>
      </w:r>
    </w:p>
    <w:p>
      <w:pPr>
        <w:pStyle w:val="2"/>
        <w:keepNext w:val="0"/>
        <w:keepLines w:val="0"/>
        <w:pageBreakBefore w:val="0"/>
        <w:kinsoku/>
        <w:wordWrap/>
        <w:overflowPunct/>
        <w:topLinePunct w:val="0"/>
        <w:bidi w:val="0"/>
        <w:snapToGrid w:val="0"/>
        <w:spacing w:line="360" w:lineRule="auto"/>
        <w:ind w:firstLine="482" w:firstLineChars="200"/>
        <w:textAlignment w:val="auto"/>
        <w:rPr>
          <w:b/>
          <w:bCs/>
          <w:sz w:val="24"/>
          <w:szCs w:val="22"/>
        </w:rPr>
      </w:pPr>
      <w:r>
        <w:rPr>
          <w:rFonts w:hint="eastAsia"/>
          <w:b/>
          <w:bCs/>
          <w:sz w:val="24"/>
          <w:szCs w:val="22"/>
        </w:rPr>
        <w:t>（二）开标异议</w:t>
      </w:r>
    </w:p>
    <w:p>
      <w:pPr>
        <w:pStyle w:val="2"/>
        <w:keepNext w:val="0"/>
        <w:keepLines w:val="0"/>
        <w:pageBreakBefore w:val="0"/>
        <w:kinsoku/>
        <w:wordWrap/>
        <w:overflowPunct/>
        <w:topLinePunct w:val="0"/>
        <w:bidi w:val="0"/>
        <w:snapToGrid w:val="0"/>
        <w:spacing w:line="360" w:lineRule="auto"/>
        <w:ind w:firstLine="480" w:firstLineChars="200"/>
        <w:textAlignment w:val="auto"/>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keepNext w:val="0"/>
        <w:keepLines w:val="0"/>
        <w:pageBreakBefore w:val="0"/>
        <w:kinsoku/>
        <w:wordWrap/>
        <w:overflowPunct/>
        <w:topLinePunct w:val="0"/>
        <w:bidi w:val="0"/>
        <w:snapToGrid w:val="0"/>
        <w:spacing w:line="360" w:lineRule="auto"/>
        <w:ind w:firstLine="482" w:firstLineChars="200"/>
        <w:textAlignment w:val="auto"/>
        <w:rPr>
          <w:sz w:val="24"/>
          <w:szCs w:val="22"/>
        </w:rPr>
      </w:pPr>
      <w:r>
        <w:rPr>
          <w:rFonts w:hint="eastAsia"/>
          <w:b/>
          <w:bCs/>
          <w:sz w:val="24"/>
          <w:szCs w:val="22"/>
        </w:rPr>
        <w:t>（三）</w:t>
      </w:r>
      <w:r>
        <w:rPr>
          <w:rFonts w:hint="eastAsia"/>
          <w:sz w:val="24"/>
          <w:szCs w:val="22"/>
        </w:rPr>
        <w:t>投标人不足三家，不得开标。</w:t>
      </w:r>
    </w:p>
    <w:p>
      <w:pPr>
        <w:pStyle w:val="12"/>
        <w:keepNext w:val="0"/>
        <w:keepLines w:val="0"/>
        <w:pageBreakBefore w:val="0"/>
        <w:kinsoku/>
        <w:wordWrap/>
        <w:overflowPunct/>
        <w:topLinePunct w:val="0"/>
        <w:bidi w:val="0"/>
        <w:snapToGrid w:val="0"/>
        <w:spacing w:line="360" w:lineRule="auto"/>
        <w:ind w:firstLine="482" w:firstLineChars="200"/>
        <w:textAlignment w:val="auto"/>
        <w:rPr>
          <w:rFonts w:asciiTheme="minorEastAsia" w:hAnsiTheme="minorEastAsia"/>
          <w:b/>
          <w:sz w:val="24"/>
        </w:rPr>
      </w:pPr>
      <w:r>
        <w:rPr>
          <w:rFonts w:hint="eastAsia" w:asciiTheme="minorEastAsia" w:hAnsiTheme="minorEastAsia" w:eastAsiaTheme="minorEastAsia"/>
          <w:b/>
          <w:sz w:val="24"/>
        </w:rPr>
        <w:t>五、评标（详见第四章）</w:t>
      </w:r>
    </w:p>
    <w:p>
      <w:pPr>
        <w:pStyle w:val="18"/>
        <w:keepNext w:val="0"/>
        <w:keepLines w:val="0"/>
        <w:pageBreakBefore w:val="0"/>
        <w:kinsoku/>
        <w:wordWrap/>
        <w:overflowPunct/>
        <w:topLinePunct w:val="0"/>
        <w:bidi w:val="0"/>
        <w:snapToGrid w:val="0"/>
        <w:spacing w:before="0" w:beforeAutospacing="0" w:after="0" w:afterAutospacing="0" w:line="360" w:lineRule="auto"/>
        <w:ind w:firstLine="482" w:firstLineChars="200"/>
        <w:jc w:val="both"/>
        <w:textAlignment w:val="auto"/>
        <w:rPr>
          <w:rFonts w:hint="default" w:asciiTheme="minorEastAsia" w:hAnsiTheme="minorEastAsia" w:eastAsiaTheme="minorEastAsia"/>
          <w:b/>
        </w:rPr>
      </w:pPr>
      <w:r>
        <w:rPr>
          <w:rFonts w:asciiTheme="minorEastAsia" w:hAnsiTheme="minorEastAsia" w:eastAsiaTheme="minorEastAsia"/>
          <w:b/>
        </w:rPr>
        <w:t>六、定标</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w:t>
      </w:r>
      <w:r>
        <w:rPr>
          <w:rFonts w:hint="eastAsia" w:asciiTheme="minorEastAsia" w:hAnsiTheme="minorEastAsia" w:eastAsiaTheme="minorEastAsia"/>
          <w:color w:val="auto"/>
          <w:lang w:eastAsia="zh-CN"/>
        </w:rPr>
        <w:t>达</w:t>
      </w:r>
      <w:r>
        <w:rPr>
          <w:rFonts w:asciiTheme="minorEastAsia" w:hAnsiTheme="minorEastAsia" w:eastAsiaTheme="minorEastAsia"/>
        </w:rPr>
        <w:t>采购人，采购人自收到评标报告之日起5个工作日内在评标报告推荐的中标候选人中确定中标人。</w:t>
      </w:r>
    </w:p>
    <w:p>
      <w:pPr>
        <w:keepNext w:val="0"/>
        <w:keepLines w:val="0"/>
        <w:pageBreakBefore w:val="0"/>
        <w:kinsoku/>
        <w:wordWrap/>
        <w:overflowPunct/>
        <w:topLinePunct w:val="0"/>
        <w:bidi w:val="0"/>
        <w:snapToGrid w:val="0"/>
        <w:spacing w:line="360" w:lineRule="auto"/>
        <w:ind w:firstLine="480" w:firstLineChars="200"/>
        <w:textAlignment w:val="auto"/>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8"/>
        <w:keepNext w:val="0"/>
        <w:keepLines w:val="0"/>
        <w:pageBreakBefore w:val="0"/>
        <w:kinsoku/>
        <w:wordWrap/>
        <w:overflowPunct/>
        <w:topLinePunct w:val="0"/>
        <w:bidi w:val="0"/>
        <w:snapToGrid w:val="0"/>
        <w:spacing w:line="360" w:lineRule="auto"/>
        <w:ind w:firstLine="480" w:firstLineChars="200"/>
        <w:jc w:val="both"/>
        <w:textAlignment w:val="auto"/>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keepNext w:val="0"/>
        <w:keepLines w:val="0"/>
        <w:pageBreakBefore w:val="0"/>
        <w:kinsoku/>
        <w:wordWrap/>
        <w:overflowPunct/>
        <w:topLinePunct w:val="0"/>
        <w:bidi w:val="0"/>
        <w:snapToGrid w:val="0"/>
        <w:spacing w:line="360" w:lineRule="auto"/>
        <w:ind w:firstLine="482" w:firstLineChars="200"/>
        <w:textAlignment w:val="auto"/>
        <w:rPr>
          <w:rFonts w:ascii="宋体" w:hAnsi="宋体"/>
          <w:b/>
          <w:kern w:val="0"/>
          <w:sz w:val="24"/>
        </w:rPr>
      </w:pPr>
      <w:r>
        <w:rPr>
          <w:rFonts w:hint="eastAsia" w:ascii="宋体" w:hAnsi="宋体"/>
          <w:b/>
          <w:sz w:val="24"/>
        </w:rPr>
        <w:t>（一）签订合同</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1.采购人应当自中标通知书发出之日起30日内，按照招标文件和中标人投标文件内容要求，与中标人签订书面合同或者电子合同。所签订的合同不得对招标文件确定的事项和中标人电子投标文件作实质性修改。</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2.采购人不得向中标人提出任何不合理的要求作为签订合同的条件。</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3.中标人无故拖延、拒签合同的,将取消中标资格。</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4.中标人拒绝与采购人签订合同的，</w:t>
      </w:r>
      <w:r>
        <w:rPr>
          <w:color w:val="auto"/>
        </w:rPr>
        <w:t>采购人</w:t>
      </w:r>
      <w:r>
        <w:t>可以按照评标报告推荐的中标候选人名单排序，确定下一候选人为中标人，也可以重新开展政府采购活动。同时，拒绝与采购人签订合同的中标人，由同级财政部门依法作出处理。</w:t>
      </w:r>
    </w:p>
    <w:p>
      <w:pPr>
        <w:pStyle w:val="18"/>
        <w:keepNext w:val="0"/>
        <w:keepLines w:val="0"/>
        <w:pageBreakBefore w:val="0"/>
        <w:kinsoku/>
        <w:wordWrap/>
        <w:overflowPunct/>
        <w:topLinePunct w:val="0"/>
        <w:bidi w:val="0"/>
        <w:snapToGrid w:val="0"/>
        <w:spacing w:before="0" w:beforeAutospacing="0" w:after="0" w:afterAutospacing="0" w:line="360" w:lineRule="auto"/>
        <w:ind w:firstLine="480" w:firstLineChars="200"/>
        <w:jc w:val="both"/>
        <w:textAlignment w:val="auto"/>
        <w:rPr>
          <w:rFonts w:hint="default"/>
        </w:rPr>
      </w:pPr>
      <w:r>
        <w:t>5.询问或者质疑事项可能影响中标结果的，采购人应当暂停签订合同，已经签订合同的，应当中止履行合同。</w:t>
      </w:r>
    </w:p>
    <w:p>
      <w:pPr>
        <w:pStyle w:val="18"/>
        <w:keepNext w:val="0"/>
        <w:keepLines w:val="0"/>
        <w:pageBreakBefore w:val="0"/>
        <w:kinsoku/>
        <w:wordWrap/>
        <w:overflowPunct/>
        <w:topLinePunct w:val="0"/>
        <w:bidi w:val="0"/>
        <w:snapToGrid w:val="0"/>
        <w:spacing w:before="0" w:beforeAutospacing="0" w:after="0" w:afterAutospacing="0" w:line="360" w:lineRule="auto"/>
        <w:ind w:firstLine="482" w:firstLineChars="200"/>
        <w:jc w:val="both"/>
        <w:textAlignment w:val="auto"/>
        <w:rPr>
          <w:rFonts w:hint="default" w:cs="仿宋_GB2312"/>
          <w:b/>
        </w:rPr>
      </w:pPr>
      <w:r>
        <w:rPr>
          <w:b/>
        </w:rPr>
        <w:t>（二）合同公告及备案</w:t>
      </w:r>
    </w:p>
    <w:p>
      <w:pPr>
        <w:pStyle w:val="3"/>
        <w:keepNext w:val="0"/>
        <w:keepLines w:val="0"/>
        <w:pageBreakBefore w:val="0"/>
        <w:kinsoku/>
        <w:wordWrap/>
        <w:overflowPunct/>
        <w:topLinePunct w:val="0"/>
        <w:bidi w:val="0"/>
        <w:snapToGrid w:val="0"/>
        <w:spacing w:after="0" w:line="360" w:lineRule="auto"/>
        <w:ind w:left="0" w:leftChars="0" w:firstLine="480" w:firstLineChars="200"/>
        <w:textAlignment w:val="auto"/>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八、询问、质疑与投诉</w:t>
      </w:r>
    </w:p>
    <w:p>
      <w:pPr>
        <w:pStyle w:val="8"/>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（一）询问</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keepNext w:val="0"/>
        <w:keepLines w:val="0"/>
        <w:pageBreakBefore w:val="0"/>
        <w:kinsoku/>
        <w:wordWrap/>
        <w:overflowPunct/>
        <w:topLinePunct w:val="0"/>
        <w:bidi w:val="0"/>
        <w:snapToGrid w:val="0"/>
        <w:spacing w:line="360" w:lineRule="auto"/>
        <w:ind w:firstLine="482" w:firstLineChars="200"/>
        <w:jc w:val="both"/>
        <w:textAlignment w:val="auto"/>
        <w:rPr>
          <w:rFonts w:hint="eastAsia" w:ascii="宋体" w:hAnsi="宋体"/>
          <w:b/>
          <w:bCs/>
          <w:sz w:val="24"/>
          <w:lang w:eastAsia="zh-CN"/>
        </w:rPr>
      </w:pPr>
      <w:r>
        <w:rPr>
          <w:rFonts w:hint="eastAsia" w:ascii="宋体" w:hAnsi="宋体"/>
          <w:b/>
          <w:bCs/>
          <w:sz w:val="24"/>
          <w:lang w:eastAsia="zh-CN"/>
        </w:rPr>
        <w:t>（二）质疑</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1.报名本项目的投标人认为招标文件、采购过程和中标结果使自己的权益受到损害的，以书面形式或政采云平台的质疑系统一次性向采购人或采购组织机构提出质疑：</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hint="eastAsia" w:ascii="宋体" w:hAnsi="宋体" w:eastAsia="宋体"/>
          <w:sz w:val="24"/>
          <w:lang w:eastAsia="zh-CN"/>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w:t>
      </w:r>
      <w:r>
        <w:rPr>
          <w:rFonts w:hint="eastAsia" w:ascii="宋体" w:hAnsi="宋体"/>
          <w:color w:val="auto"/>
          <w:sz w:val="24"/>
        </w:rPr>
        <w:t>材</w:t>
      </w:r>
      <w:r>
        <w:rPr>
          <w:rFonts w:hint="eastAsia" w:ascii="宋体" w:hAnsi="宋体"/>
          <w:color w:val="auto"/>
          <w:sz w:val="24"/>
          <w:lang w:eastAsia="zh-CN"/>
        </w:rPr>
        <w:t>料。）</w:t>
      </w:r>
    </w:p>
    <w:p>
      <w:pPr>
        <w:pStyle w:val="8"/>
        <w:keepNext w:val="0"/>
        <w:keepLines w:val="0"/>
        <w:pageBreakBefore w:val="0"/>
        <w:kinsoku/>
        <w:wordWrap/>
        <w:overflowPunct/>
        <w:topLinePunct w:val="0"/>
        <w:bidi w:val="0"/>
        <w:snapToGrid w:val="0"/>
        <w:spacing w:line="360" w:lineRule="auto"/>
        <w:ind w:firstLine="482" w:firstLineChars="200"/>
        <w:jc w:val="both"/>
        <w:textAlignment w:val="auto"/>
        <w:rPr>
          <w:rFonts w:ascii="宋体" w:hAnsi="宋体"/>
          <w:b/>
          <w:bCs/>
          <w:sz w:val="24"/>
        </w:rPr>
      </w:pPr>
      <w:r>
        <w:rPr>
          <w:rFonts w:hint="eastAsia" w:ascii="宋体" w:hAnsi="宋体"/>
          <w:b/>
          <w:bCs/>
          <w:sz w:val="24"/>
        </w:rPr>
        <w:t>（三）投诉</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keepNext w:val="0"/>
        <w:keepLines w:val="0"/>
        <w:pageBreakBefore w:val="0"/>
        <w:kinsoku/>
        <w:wordWrap/>
        <w:overflowPunct/>
        <w:topLinePunct w:val="0"/>
        <w:bidi w:val="0"/>
        <w:snapToGrid w:val="0"/>
        <w:spacing w:line="360" w:lineRule="auto"/>
        <w:ind w:firstLine="480" w:firstLineChars="200"/>
        <w:jc w:val="both"/>
        <w:textAlignment w:val="auto"/>
        <w:rPr>
          <w:rFonts w:hint="default" w:ascii="宋体" w:hAnsi="宋体"/>
          <w:sz w:val="24"/>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5" w:name="_Toc13072_WPSOffice_Level1"/>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五</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90"/>
        <w:gridCol w:w="765"/>
        <w:gridCol w:w="1170"/>
        <w:gridCol w:w="94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标项</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采购内容</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预算</w:t>
            </w:r>
            <w:r>
              <w:rPr>
                <w:rFonts w:hint="eastAsia" w:ascii="宋体" w:hAnsi="宋体" w:eastAsia="宋体" w:cs="宋体"/>
                <w:sz w:val="24"/>
                <w:szCs w:val="24"/>
                <w:lang w:val="en-US" w:eastAsia="zh-CN"/>
              </w:rPr>
              <w:t>价</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w:t>
            </w:r>
            <w:r>
              <w:rPr>
                <w:rFonts w:hint="eastAsia" w:ascii="宋体" w:hAnsi="宋体" w:eastAsia="宋体" w:cs="宋体"/>
                <w:sz w:val="24"/>
                <w:szCs w:val="24"/>
              </w:rPr>
              <w:t>期</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台州市台州湾新区、椒江区、临海市、温岭市、玉环市5个省控城市环境空气自动监测站、6个重点工业园区空气站运维服务</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1项</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322万元</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黄岩区、天台县、三门县，仙居县6个省控城市环境空气质量自动监测站、4个</w:t>
            </w:r>
            <w:r>
              <w:rPr>
                <w:rFonts w:hint="eastAsia" w:ascii="宋体" w:hAnsi="宋体" w:eastAsia="宋体" w:cs="宋体"/>
                <w:sz w:val="24"/>
                <w:szCs w:val="24"/>
              </w:rPr>
              <w:t>重点工业园区环境空气自动监测站</w:t>
            </w:r>
            <w:r>
              <w:rPr>
                <w:rFonts w:hint="eastAsia" w:ascii="宋体" w:hAnsi="宋体" w:eastAsia="宋体" w:cs="宋体"/>
                <w:sz w:val="24"/>
                <w:szCs w:val="24"/>
                <w:lang w:eastAsia="zh-CN"/>
              </w:rPr>
              <w:t>和</w:t>
            </w:r>
            <w:r>
              <w:rPr>
                <w:rFonts w:hint="eastAsia" w:ascii="宋体" w:hAnsi="宋体" w:eastAsia="宋体" w:cs="宋体"/>
                <w:sz w:val="24"/>
                <w:szCs w:val="24"/>
                <w:lang w:val="en-US" w:eastAsia="zh-CN"/>
              </w:rPr>
              <w:t>1个光化学自动监测站</w:t>
            </w:r>
            <w:r>
              <w:rPr>
                <w:rFonts w:hint="eastAsia" w:ascii="宋体" w:hAnsi="宋体" w:eastAsia="宋体" w:cs="宋体"/>
                <w:sz w:val="24"/>
                <w:szCs w:val="24"/>
              </w:rPr>
              <w:t>运维</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1项</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280万元</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椒江区、黄岩区、路桥区、温岭市、玉环市6个省控地表水水质自动监测站、4个饮用水源地水质自动监测站运维服务</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185万元</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临海市、天台县、三门县，仙居县8个省控地表水水质自动监测站、5个饮用水源地水质自动监测站运维服务</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188万元</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828"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369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个省控城市环境空气自动监测</w:t>
            </w:r>
            <w:r>
              <w:rPr>
                <w:rFonts w:hint="eastAsia" w:ascii="宋体" w:hAnsi="宋体" w:eastAsia="宋体" w:cs="宋体"/>
                <w:sz w:val="24"/>
                <w:szCs w:val="24"/>
                <w:lang w:eastAsia="zh-CN"/>
              </w:rPr>
              <w:t>站、</w:t>
            </w:r>
            <w:r>
              <w:rPr>
                <w:rFonts w:hint="eastAsia" w:ascii="宋体" w:hAnsi="宋体" w:eastAsia="宋体" w:cs="宋体"/>
                <w:sz w:val="24"/>
                <w:szCs w:val="24"/>
              </w:rPr>
              <w:t>10个重点工业园区环境空气自动监测站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14个省控地表水水质自动监测站和9个饮用水源地水质自动监测站</w:t>
            </w:r>
            <w:r>
              <w:rPr>
                <w:rFonts w:hint="eastAsia" w:ascii="宋体" w:hAnsi="宋体" w:eastAsia="宋体" w:cs="宋体"/>
                <w:sz w:val="24"/>
                <w:szCs w:val="24"/>
              </w:rPr>
              <w:t>运维监理服务</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1项</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139</w:t>
            </w:r>
            <w:r>
              <w:rPr>
                <w:rFonts w:hint="eastAsia" w:ascii="宋体" w:hAnsi="宋体" w:eastAsia="宋体" w:cs="宋体"/>
                <w:sz w:val="24"/>
                <w:szCs w:val="24"/>
              </w:rPr>
              <w:t>万元</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w:t>
            </w:r>
          </w:p>
        </w:tc>
        <w:tc>
          <w:tcPr>
            <w:tcW w:w="1833" w:type="dxa"/>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具体详见招标需求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28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合计</w:t>
            </w:r>
          </w:p>
        </w:tc>
        <w:tc>
          <w:tcPr>
            <w:tcW w:w="3948"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64"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1114万元</w:t>
            </w:r>
          </w:p>
        </w:tc>
      </w:tr>
    </w:tbl>
    <w:p>
      <w:pPr>
        <w:keepNext w:val="0"/>
        <w:keepLines w:val="0"/>
        <w:pageBreakBefore w:val="0"/>
        <w:widowControl w:val="0"/>
        <w:tabs>
          <w:tab w:val="left" w:pos="8280"/>
        </w:tabs>
        <w:kinsoku/>
        <w:wordWrap/>
        <w:overflowPunct/>
        <w:topLinePunct w:val="0"/>
        <w:autoSpaceDE w:val="0"/>
        <w:autoSpaceDN w:val="0"/>
        <w:bidi w:val="0"/>
        <w:adjustRightInd w:val="0"/>
        <w:snapToGrid/>
        <w:spacing w:line="312" w:lineRule="auto"/>
        <w:ind w:right="23" w:firstLine="480" w:firstLineChars="200"/>
        <w:textAlignment w:val="auto"/>
        <w:rPr>
          <w:rFonts w:hint="eastAsia" w:asciiTheme="minorEastAsia" w:hAnsiTheme="minorEastAsia" w:eastAsiaTheme="minorEastAsia"/>
          <w:b/>
          <w:color w:val="auto"/>
          <w:sz w:val="24"/>
          <w:lang w:val="en-US" w:eastAsia="zh-CN"/>
        </w:rPr>
      </w:pPr>
      <w:r>
        <w:rPr>
          <w:rFonts w:ascii="宋体" w:hAnsi="宋体" w:eastAsia="宋体" w:cs="宋体"/>
          <w:color w:val="auto"/>
          <w:sz w:val="24"/>
          <w:szCs w:val="24"/>
        </w:rPr>
        <w:t>本项目共分5个标项，按标项1、标项2、标项3、标项4、标项5顺序开标、评标，投标人可以参加所有标段的投标，同一投标人最多只能中一个标段。单位负责人为同一人或者存在直接控股、管理关系的不同供应商，或两个及多个公司同属于一个集团公司的不同供应商不得参加同一合同项下的政府采购活动。</w:t>
      </w:r>
    </w:p>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二、采购内容</w:t>
      </w:r>
    </w:p>
    <w:p>
      <w:pPr>
        <w:pStyle w:val="19"/>
        <w:keepNext w:val="0"/>
        <w:keepLines w:val="0"/>
        <w:pageBreakBefore w:val="0"/>
        <w:widowControl w:val="0"/>
        <w:numPr>
          <w:ilvl w:val="0"/>
          <w:numId w:val="0"/>
        </w:numPr>
        <w:tabs>
          <w:tab w:val="left" w:pos="8280"/>
        </w:tabs>
        <w:kinsoku/>
        <w:wordWrap/>
        <w:overflowPunct/>
        <w:topLinePunct w:val="0"/>
        <w:autoSpaceDE w:val="0"/>
        <w:autoSpaceDN w:val="0"/>
        <w:bidi w:val="0"/>
        <w:adjustRightInd w:val="0"/>
        <w:snapToGrid w:val="0"/>
        <w:spacing w:line="360" w:lineRule="auto"/>
        <w:ind w:leftChars="200" w:right="23" w:rightChars="0" w:firstLine="480" w:firstLineChars="200"/>
        <w:textAlignment w:val="auto"/>
        <w:outlineLvl w:val="9"/>
        <w:rPr>
          <w:rFonts w:hint="eastAsia" w:asciiTheme="minorEastAsia" w:hAnsiTheme="minorEastAsia" w:eastAsiaTheme="minorEastAsia" w:cstheme="minorEastAsia"/>
          <w:bCs/>
          <w:color w:val="000000"/>
          <w:sz w:val="24"/>
          <w:szCs w:val="24"/>
          <w:highlight w:val="none"/>
          <w:lang w:val="en-US" w:eastAsia="zh-CN"/>
        </w:rPr>
      </w:pPr>
      <w:r>
        <w:rPr>
          <w:rFonts w:hint="eastAsia" w:asciiTheme="minorEastAsia" w:hAnsiTheme="minorEastAsia" w:eastAsiaTheme="minorEastAsia" w:cstheme="minorEastAsia"/>
          <w:bCs/>
          <w:color w:val="000000"/>
          <w:sz w:val="24"/>
          <w:szCs w:val="24"/>
          <w:highlight w:val="none"/>
          <w:lang w:val="en-US" w:eastAsia="zh-CN"/>
        </w:rPr>
        <w:t>台州市省控城市环境空气自动监测站、重点工业园区空气自动监测站运维服务；台州市省控地表水（交接断面）自动监测站、饮用水水源地水质自动监测站运维服务；省控环境质量自动监测站运维监理服务。</w:t>
      </w:r>
    </w:p>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三、标项划分及采购详情</w:t>
      </w:r>
    </w:p>
    <w:p>
      <w:pPr>
        <w:shd w:val="clear" w:color="auto" w:fill="auto"/>
        <w:spacing w:line="360" w:lineRule="auto"/>
        <w:ind w:firstLine="482" w:firstLineChars="200"/>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表一  标项及站点清单</w:t>
      </w:r>
    </w:p>
    <w:tbl>
      <w:tblPr>
        <w:tblStyle w:val="21"/>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735"/>
        <w:gridCol w:w="1920"/>
        <w:gridCol w:w="1830"/>
        <w:gridCol w:w="169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标项</w:t>
            </w: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站点名称</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站点属性</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属地</w:t>
            </w:r>
          </w:p>
        </w:tc>
        <w:tc>
          <w:tcPr>
            <w:tcW w:w="20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标项一</w:t>
            </w: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温岭环监站</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温岭市</w:t>
            </w:r>
          </w:p>
        </w:tc>
        <w:tc>
          <w:tcPr>
            <w:tcW w:w="205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322万元，</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（城市站14万元/个/年，</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工业园区站42万元/个/年，含站房租金、水电费、光纤接入费、防雷检测费等。）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之江</w:t>
            </w:r>
            <w:r>
              <w:rPr>
                <w:rFonts w:hint="eastAsia" w:ascii="宋体" w:hAnsi="宋体" w:eastAsia="宋体" w:cs="宋体"/>
                <w:color w:val="000000"/>
                <w:sz w:val="24"/>
                <w:szCs w:val="24"/>
                <w:highlight w:val="none"/>
                <w:lang w:val="en-US" w:eastAsia="zh-CN"/>
              </w:rPr>
              <w:t>高级</w:t>
            </w:r>
            <w:r>
              <w:rPr>
                <w:rFonts w:hint="eastAsia" w:ascii="宋体" w:hAnsi="宋体" w:eastAsia="宋体" w:cs="宋体"/>
                <w:color w:val="000000"/>
                <w:sz w:val="24"/>
                <w:szCs w:val="24"/>
                <w:highlight w:val="none"/>
              </w:rPr>
              <w:t>中学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东部新区</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玉环环监站</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玉环市</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楚门</w:t>
            </w:r>
            <w:r>
              <w:rPr>
                <w:rFonts w:hint="eastAsia" w:ascii="宋体" w:hAnsi="宋体" w:eastAsia="宋体" w:cs="宋体"/>
                <w:color w:val="000000"/>
                <w:sz w:val="24"/>
                <w:szCs w:val="24"/>
                <w:highlight w:val="none"/>
                <w:lang w:val="en-US" w:eastAsia="zh-CN"/>
              </w:rPr>
              <w:t>中心</w:t>
            </w:r>
            <w:r>
              <w:rPr>
                <w:rFonts w:hint="eastAsia" w:ascii="宋体" w:hAnsi="宋体" w:eastAsia="宋体" w:cs="宋体"/>
                <w:color w:val="000000"/>
                <w:sz w:val="24"/>
                <w:szCs w:val="24"/>
                <w:highlight w:val="none"/>
              </w:rPr>
              <w:t>小学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医化工业园区</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椒江区</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十塘坝站</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工业园区站</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台州湾新区</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临海环保大楼</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临海市</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巾山小学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头门港</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杜桥眼镜园区</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标项二</w:t>
            </w: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江口医化园区</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黄岩区</w:t>
            </w:r>
          </w:p>
        </w:tc>
        <w:tc>
          <w:tcPr>
            <w:tcW w:w="205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280万元</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（城市站14万元/个/年，</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工业园区站42万元/个/年，光化学站28万元/个/年，含站房租金、水电费、光纤接入费、防雷检测费等。）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育青中学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实验中学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洪三橡胶工业</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仙居环监站</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新生中学</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现代工业园区</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三门环监楼</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心湖站</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城市站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沿海工业城</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工业园区站</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台州环保大楼</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光化学站</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椒江区</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标项三</w:t>
            </w: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黄礁</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椒江区</w:t>
            </w:r>
          </w:p>
        </w:tc>
        <w:tc>
          <w:tcPr>
            <w:tcW w:w="205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185万元</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（饮用水站20万元/个/年，地表水站15万元/个/年，含站房租金、水电费、光纤接入费、防雷检测费等，其中金岭桥和下张7.5万元/个/半年。）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温潭</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黄岩区</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下埭头</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路桥区</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滨海</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泽国</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湖漫水库</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分水山泄水闸</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礁头闸</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双庙水库</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里墩水库</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金岭桥</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地表水</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p>
        </w:tc>
        <w:tc>
          <w:tcPr>
            <w:tcW w:w="192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下张</w:t>
            </w:r>
          </w:p>
        </w:tc>
        <w:tc>
          <w:tcPr>
            <w:tcW w:w="183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地表水</w:t>
            </w:r>
          </w:p>
        </w:tc>
        <w:tc>
          <w:tcPr>
            <w:tcW w:w="169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2055"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标项四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百步</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20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188万元</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（饮用水站20万元/个/年，地表水站15万元/个/年，含站房租金、水电费、光纤接入费、防雷检测费等，其中石岩站无藻类分类设备，价格按18万一年。）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牛头山</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田芯</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黄龙水库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冲背</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西岙水库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涛头堍</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健跳</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外国语小学</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地表水</w:t>
            </w:r>
          </w:p>
        </w:tc>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石岩</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佃石水库</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饮用水源地</w:t>
            </w:r>
          </w:p>
        </w:tc>
        <w:tc>
          <w:tcPr>
            <w:tcW w:w="169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205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val="0"/>
                <w:bCs w:val="0"/>
                <w:color w:val="000000"/>
                <w:sz w:val="24"/>
                <w:szCs w:val="24"/>
                <w:highlight w:val="none"/>
                <w:lang w:val="en-US" w:eastAsia="zh-CN"/>
              </w:rPr>
              <w:t>标项五：</w:t>
            </w:r>
            <w:r>
              <w:rPr>
                <w:rFonts w:hint="eastAsia" w:ascii="宋体" w:hAnsi="宋体" w:eastAsia="宋体" w:cs="宋体"/>
                <w:b w:val="0"/>
                <w:bCs w:val="0"/>
                <w:color w:val="000000"/>
                <w:sz w:val="24"/>
                <w:szCs w:val="24"/>
                <w:highlight w:val="none"/>
                <w:lang w:eastAsia="zh-CN"/>
              </w:rPr>
              <w:t>省控环境质量自动监测站运维监理服务（空气站）</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序号</w:t>
            </w:r>
          </w:p>
        </w:tc>
        <w:tc>
          <w:tcPr>
            <w:tcW w:w="19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行政区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站点</w:t>
            </w:r>
          </w:p>
        </w:tc>
        <w:tc>
          <w:tcPr>
            <w:tcW w:w="20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临海环保大楼</w:t>
            </w:r>
          </w:p>
        </w:tc>
        <w:tc>
          <w:tcPr>
            <w:tcW w:w="20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35.2万元（3.2万元/个/年， 含常规六参数、气象五参数等运维及数据情况监理和颗粒物比对抽测）</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临海巾山小学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温岭环监站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温岭之江高级中学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玉环环监站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天台育青中学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7</w:t>
            </w:r>
          </w:p>
        </w:tc>
        <w:tc>
          <w:tcPr>
            <w:tcW w:w="19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天台实验中学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8</w:t>
            </w:r>
          </w:p>
        </w:tc>
        <w:tc>
          <w:tcPr>
            <w:tcW w:w="19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仙居新生中学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9</w:t>
            </w:r>
          </w:p>
        </w:tc>
        <w:tc>
          <w:tcPr>
            <w:tcW w:w="19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仙居环监站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10</w:t>
            </w:r>
          </w:p>
        </w:tc>
        <w:tc>
          <w:tcPr>
            <w:tcW w:w="19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三门环监站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11</w:t>
            </w:r>
          </w:p>
        </w:tc>
        <w:tc>
          <w:tcPr>
            <w:tcW w:w="1920"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三门心湖站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b w:val="0"/>
                <w:bCs w:val="0"/>
                <w:color w:val="000000"/>
                <w:sz w:val="24"/>
                <w:szCs w:val="24"/>
                <w:highlight w:val="none"/>
                <w:lang w:val="en-US" w:eastAsia="zh-CN"/>
              </w:rPr>
              <w:t>标项五：</w:t>
            </w:r>
            <w:r>
              <w:rPr>
                <w:rFonts w:hint="eastAsia" w:ascii="宋体" w:hAnsi="宋体" w:eastAsia="宋体" w:cs="宋体"/>
                <w:b w:val="0"/>
                <w:bCs w:val="0"/>
                <w:color w:val="000000"/>
                <w:sz w:val="24"/>
                <w:szCs w:val="24"/>
                <w:highlight w:val="none"/>
                <w:lang w:eastAsia="zh-CN"/>
              </w:rPr>
              <w:t>省控环境质量自动监测站运维监理服务（重点工业园区站）</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椒江医化工业园区</w:t>
            </w:r>
          </w:p>
        </w:tc>
        <w:tc>
          <w:tcPr>
            <w:tcW w:w="2055"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48万元（4.8万元/个/年，含VOCs+常规六参数+气象五参数等运维及数据情况监理和颗粒物比对抽测）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台州湾新区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集聚区十塘坝站</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黄岩区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江口医化园区</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头门港</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杜桥眼镜园区</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温岭东部新区</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玉环楚门中心小学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天台洪三橡胶工业园区</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现代工业园区</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三门沿海工业城</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5445" w:type="dxa"/>
            <w:gridSpan w:val="3"/>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VOCs质控费</w:t>
            </w:r>
          </w:p>
        </w:tc>
        <w:tc>
          <w:tcPr>
            <w:tcW w:w="2055"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b w:val="0"/>
                <w:bCs w:val="0"/>
                <w:color w:val="000000"/>
                <w:sz w:val="24"/>
                <w:szCs w:val="24"/>
                <w:highlight w:val="none"/>
                <w:lang w:val="en-US" w:eastAsia="zh-CN"/>
              </w:rPr>
              <w:t>标项五：</w:t>
            </w:r>
            <w:r>
              <w:rPr>
                <w:rFonts w:hint="eastAsia" w:ascii="宋体" w:hAnsi="宋体" w:eastAsia="宋体" w:cs="宋体"/>
                <w:b w:val="0"/>
                <w:bCs w:val="0"/>
                <w:color w:val="000000"/>
                <w:sz w:val="24"/>
                <w:szCs w:val="24"/>
                <w:highlight w:val="none"/>
                <w:lang w:eastAsia="zh-CN"/>
              </w:rPr>
              <w:t>省控环境质量自动监测站运维监理服务（地表水）</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椒江区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黄礁</w:t>
            </w:r>
          </w:p>
        </w:tc>
        <w:tc>
          <w:tcPr>
            <w:tcW w:w="2055"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29.4万元（地表水站按2.1万元/个/年，含常规五参数、氨氮、总磷、总氮和高锰酸盐指数运维及数据情况监理，下张、金岭桥站按半年算）</w:t>
            </w:r>
          </w:p>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黄岩区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下埭头</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滨海</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泽国</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分水山泄水闸</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礁头闸</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百步</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金岭桥</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田芯</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冲背</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下张</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涛头堍</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13</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健跳</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14</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外国语小学</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15</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石岩</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标项五：省控环境质量自动监测站运维监理服务（饮用水源地）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黄岩区</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温潭</w:t>
            </w:r>
          </w:p>
        </w:tc>
        <w:tc>
          <w:tcPr>
            <w:tcW w:w="2055" w:type="dxa"/>
            <w:vMerge w:val="restart"/>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22.4万元（2.8万元/个/年，含常规五参数、氨氮、总磷、总氮、高锰酸盐指数、藻类分类和生物毒性等运维及数据情况监理）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温岭市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湖漫水库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双庙水库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玉环市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里墩水库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临海市</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牛头山</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天台县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黄龙水库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仙居县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西岙水库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2"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92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三门县</w:t>
            </w:r>
          </w:p>
        </w:tc>
        <w:tc>
          <w:tcPr>
            <w:tcW w:w="35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佃石水库</w:t>
            </w:r>
          </w:p>
        </w:tc>
        <w:tc>
          <w:tcPr>
            <w:tcW w:w="2055" w:type="dxa"/>
            <w:vMerge w:val="continue"/>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72"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标项五</w:t>
            </w:r>
          </w:p>
        </w:tc>
        <w:tc>
          <w:tcPr>
            <w:tcW w:w="61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b w:val="0"/>
                <w:bCs w:val="0"/>
                <w:color w:val="000000"/>
                <w:kern w:val="0"/>
                <w:sz w:val="24"/>
                <w:szCs w:val="24"/>
                <w:highlight w:val="none"/>
                <w:lang w:eastAsia="zh-CN" w:bidi="ar"/>
              </w:rPr>
            </w:pPr>
            <w:r>
              <w:rPr>
                <w:rFonts w:hint="eastAsia" w:ascii="宋体" w:hAnsi="宋体" w:eastAsia="宋体" w:cs="宋体"/>
                <w:b w:val="0"/>
                <w:bCs w:val="0"/>
                <w:color w:val="000000"/>
                <w:kern w:val="0"/>
                <w:sz w:val="24"/>
                <w:szCs w:val="24"/>
                <w:highlight w:val="none"/>
                <w:lang w:eastAsia="zh-CN" w:bidi="ar"/>
              </w:rPr>
              <w:t>合计</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86" w:lineRule="auto"/>
              <w:jc w:val="center"/>
              <w:textAlignment w:val="auto"/>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b w:val="0"/>
                <w:bCs w:val="0"/>
                <w:color w:val="000000"/>
                <w:kern w:val="0"/>
                <w:sz w:val="24"/>
                <w:szCs w:val="24"/>
                <w:highlight w:val="none"/>
                <w:lang w:val="en-US" w:eastAsia="zh-CN" w:bidi="ar"/>
              </w:rPr>
              <w:t>139万元</w:t>
            </w:r>
          </w:p>
        </w:tc>
      </w:tr>
    </w:tbl>
    <w:p>
      <w:pPr>
        <w:pStyle w:val="19"/>
        <w:keepNext w:val="0"/>
        <w:keepLines w:val="0"/>
        <w:pageBreakBefore w:val="0"/>
        <w:widowControl w:val="0"/>
        <w:kinsoku/>
        <w:wordWrap/>
        <w:overflowPunct/>
        <w:topLinePunct w:val="0"/>
        <w:bidi w:val="0"/>
        <w:snapToGrid w:val="0"/>
        <w:spacing w:line="360" w:lineRule="auto"/>
        <w:ind w:left="0" w:leftChars="0" w:firstLine="480" w:firstLineChars="200"/>
        <w:textAlignment w:val="auto"/>
        <w:outlineLvl w:val="9"/>
        <w:rPr>
          <w:rFonts w:hint="eastAsia" w:asciiTheme="minorEastAsia" w:hAnsiTheme="minorEastAsia" w:eastAsiaTheme="minorEastAsia" w:cstheme="minorEastAsia"/>
          <w:color w:val="FF0000"/>
          <w:sz w:val="24"/>
          <w:szCs w:val="24"/>
          <w:lang w:val="en-US" w:eastAsia="zh-CN"/>
        </w:rPr>
        <w:sectPr>
          <w:headerReference r:id="rId4" w:type="first"/>
          <w:headerReference r:id="rId3" w:type="default"/>
          <w:footerReference r:id="rId5" w:type="default"/>
          <w:pgSz w:w="11906" w:h="16838"/>
          <w:pgMar w:top="1440" w:right="1418" w:bottom="1440" w:left="1418" w:header="851" w:footer="851" w:gutter="0"/>
          <w:cols w:space="720" w:num="1"/>
          <w:docGrid w:linePitch="312" w:charSpace="0"/>
        </w:sectPr>
      </w:pPr>
    </w:p>
    <w:p>
      <w:pPr>
        <w:rPr>
          <w:rFonts w:hint="eastAsia"/>
          <w:lang w:val="en-US" w:eastAsia="zh-CN"/>
        </w:rPr>
      </w:pPr>
    </w:p>
    <w:p>
      <w:pPr>
        <w:pStyle w:val="10"/>
        <w:shd w:val="clear" w:color="auto" w:fill="auto"/>
        <w:spacing w:line="360" w:lineRule="auto"/>
        <w:ind w:firstLine="211"/>
        <w:jc w:val="both"/>
        <w:rPr>
          <w:rFonts w:hint="default" w:ascii="宋体" w:hAnsi="宋体" w:eastAsia="宋体" w:cs="宋体"/>
          <w:b/>
          <w:bCs/>
          <w:color w:val="000000"/>
          <w:sz w:val="24"/>
          <w:szCs w:val="24"/>
          <w:highlight w:val="none"/>
          <w:lang w:val="en-US" w:eastAsia="zh-CN"/>
        </w:rPr>
      </w:pPr>
      <w:r>
        <w:rPr>
          <w:rFonts w:hint="eastAsia" w:ascii="宋体" w:hAnsi="宋体" w:cs="宋体"/>
          <w:b/>
          <w:bCs/>
          <w:color w:val="000000"/>
          <w:sz w:val="24"/>
          <w:szCs w:val="24"/>
          <w:highlight w:val="none"/>
        </w:rPr>
        <w:t>表二</w:t>
      </w:r>
      <w:r>
        <w:rPr>
          <w:rFonts w:hint="eastAsia" w:ascii="宋体" w:hAnsi="宋体" w:cs="宋体"/>
          <w:b/>
          <w:bCs/>
          <w:color w:val="000000"/>
          <w:sz w:val="24"/>
          <w:szCs w:val="24"/>
          <w:highlight w:val="none"/>
          <w:lang w:eastAsia="zh-CN"/>
        </w:rPr>
        <w:t>：</w:t>
      </w:r>
      <w:r>
        <w:rPr>
          <w:rFonts w:hint="eastAsia" w:ascii="宋体" w:hAnsi="宋体" w:cs="宋体"/>
          <w:b/>
          <w:bCs/>
          <w:color w:val="000000"/>
          <w:sz w:val="24"/>
          <w:szCs w:val="24"/>
          <w:highlight w:val="none"/>
        </w:rPr>
        <w:t xml:space="preserve">  </w:t>
      </w:r>
      <w:r>
        <w:rPr>
          <w:rFonts w:hint="eastAsia" w:ascii="宋体" w:hAnsi="宋体" w:cs="宋体"/>
          <w:b/>
          <w:bCs/>
          <w:color w:val="000000"/>
          <w:sz w:val="24"/>
          <w:szCs w:val="24"/>
          <w:highlight w:val="none"/>
          <w:lang w:val="en-US" w:eastAsia="zh-CN"/>
        </w:rPr>
        <w:t xml:space="preserve">                                   </w:t>
      </w:r>
      <w:r>
        <w:rPr>
          <w:rFonts w:hint="eastAsia" w:ascii="宋体" w:hAnsi="宋体" w:cs="宋体"/>
          <w:b/>
          <w:bCs/>
          <w:color w:val="000000"/>
          <w:sz w:val="24"/>
          <w:szCs w:val="24"/>
          <w:highlight w:val="none"/>
        </w:rPr>
        <w:t xml:space="preserve"> 空气自动监测站各站点仪器清单</w:t>
      </w:r>
    </w:p>
    <w:tbl>
      <w:tblPr>
        <w:tblStyle w:val="20"/>
        <w:tblW w:w="15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45"/>
        <w:gridCol w:w="2180"/>
        <w:gridCol w:w="1275"/>
        <w:gridCol w:w="1380"/>
        <w:gridCol w:w="1365"/>
        <w:gridCol w:w="1380"/>
        <w:gridCol w:w="1350"/>
        <w:gridCol w:w="1335"/>
        <w:gridCol w:w="1905"/>
        <w:gridCol w:w="1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28" w:hRule="atLeast"/>
          <w:tblHeader/>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站点名称</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SO2型号</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NOx型号</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CO型号</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O3型号</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PM10型号</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PM2.5型号</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VOCs型号</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动态</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校准仪</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零气</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温岭环监站</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温岭之江高级中学</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温岭东部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新区</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鹏宇ZF-PKU-VOC1007</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玉环环监站</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玉环楚门中心小学</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禾信AC-GCMS 1000</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椒江医化工业园区</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鹏宇ZF-PKU-VOC1007</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黄岩江口医化园区</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聚光AQMS-600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聚光AQMS-400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聚光AQMS-300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聚光BPM-200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聚光BPM-200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谱育EXPEC 2000</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AQMS200</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AQMS100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集聚区十塘坝站</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赛默飞5800-GM</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临海环保大楼</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p>
        </w:tc>
        <w:tc>
          <w:tcPr>
            <w:tcW w:w="21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临海巾山小学</w:t>
            </w:r>
          </w:p>
        </w:tc>
        <w:tc>
          <w:tcPr>
            <w:tcW w:w="127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头门港</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鹏宇ZF-PKU-VOC1007</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杜桥眼镜园区</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鹏宇ZF-PKU-VOC1007</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天台育青中学</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天台实验中学</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天台洪三橡胶工业</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聚光AQMS-500</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聚光AQMS-600</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聚光AQMS-400</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聚光AQMS-300</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聚光BPM-200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聚光BPM-200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谱育EXPEC 2000</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AQMS200</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AQMS100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仙居环监站</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仙居新生中学</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瑞典荣生AR500</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仙居现代工业园区</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禾信ACGCMS1000</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三门环监站</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瑞荣荣生AR500</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瑞荣荣生AR500</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瑞荣荣生AR500</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三门心湖站</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66" w:hRule="atLeast"/>
          <w:jc w:val="center"/>
        </w:trPr>
        <w:tc>
          <w:tcPr>
            <w:tcW w:w="64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w:t>
            </w:r>
          </w:p>
        </w:tc>
        <w:tc>
          <w:tcPr>
            <w:tcW w:w="21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三门沿海工业城</w:t>
            </w:r>
          </w:p>
        </w:tc>
        <w:tc>
          <w:tcPr>
            <w:tcW w:w="12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赛默飞43i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赛默飞42i</w:t>
            </w:r>
          </w:p>
        </w:tc>
        <w:tc>
          <w:tcPr>
            <w:tcW w:w="136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赛默飞48i</w:t>
            </w:r>
          </w:p>
        </w:tc>
        <w:tc>
          <w:tcPr>
            <w:tcW w:w="138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赛默飞49i</w:t>
            </w:r>
          </w:p>
        </w:tc>
        <w:tc>
          <w:tcPr>
            <w:tcW w:w="13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33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SHARP5030</w:t>
            </w:r>
          </w:p>
        </w:tc>
        <w:tc>
          <w:tcPr>
            <w:tcW w:w="190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谱育EXPEC 2000</w:t>
            </w:r>
          </w:p>
        </w:tc>
        <w:tc>
          <w:tcPr>
            <w:tcW w:w="12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赛默飞146i</w:t>
            </w:r>
          </w:p>
        </w:tc>
        <w:tc>
          <w:tcPr>
            <w:tcW w:w="121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赛默飞111</w:t>
            </w:r>
          </w:p>
        </w:tc>
      </w:tr>
    </w:tbl>
    <w:p>
      <w:pPr>
        <w:widowControl/>
        <w:shd w:val="clear" w:color="auto" w:fill="auto"/>
        <w:spacing w:line="360" w:lineRule="auto"/>
        <w:jc w:val="center"/>
        <w:rPr>
          <w:rFonts w:hint="eastAsia" w:ascii="宋体" w:hAnsi="宋体" w:cs="宋体"/>
          <w:b/>
          <w:bCs/>
          <w:color w:val="000000"/>
          <w:kern w:val="0"/>
          <w:sz w:val="24"/>
          <w:szCs w:val="24"/>
          <w:highlight w:val="none"/>
        </w:rPr>
      </w:pPr>
    </w:p>
    <w:p>
      <w:pPr>
        <w:widowControl/>
        <w:shd w:val="clear" w:color="auto" w:fill="auto"/>
        <w:spacing w:line="360" w:lineRule="auto"/>
        <w:jc w:val="both"/>
        <w:rPr>
          <w:rFonts w:hint="eastAsia" w:ascii="宋体" w:hAnsi="宋体" w:cs="宋体"/>
          <w:b/>
          <w:bCs/>
          <w:color w:val="000000"/>
          <w:kern w:val="0"/>
          <w:sz w:val="24"/>
          <w:szCs w:val="24"/>
          <w:highlight w:val="none"/>
        </w:rPr>
      </w:pPr>
    </w:p>
    <w:p>
      <w:pPr>
        <w:widowControl/>
        <w:shd w:val="clear" w:color="auto" w:fill="auto"/>
        <w:spacing w:line="360" w:lineRule="auto"/>
        <w:jc w:val="center"/>
        <w:rPr>
          <w:rFonts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水质自动监测站各站点主要设备清单</w:t>
      </w:r>
    </w:p>
    <w:p>
      <w:pPr>
        <w:shd w:val="clear" w:color="auto" w:fill="auto"/>
        <w:rPr>
          <w:rFonts w:hint="eastAsia"/>
          <w:color w:val="000000"/>
          <w:sz w:val="24"/>
          <w:szCs w:val="24"/>
          <w:highlight w:val="none"/>
        </w:rPr>
      </w:pPr>
    </w:p>
    <w:tbl>
      <w:tblPr>
        <w:tblStyle w:val="20"/>
        <w:tblW w:w="489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1380"/>
        <w:gridCol w:w="1980"/>
        <w:gridCol w:w="1815"/>
        <w:gridCol w:w="1545"/>
        <w:gridCol w:w="1860"/>
        <w:gridCol w:w="1815"/>
        <w:gridCol w:w="115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jc w:val="center"/>
        </w:trPr>
        <w:tc>
          <w:tcPr>
            <w:tcW w:w="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站点名称</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高锰酸盐指数</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氨氮</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总磷</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总氮</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五参数</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藻类</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2"/>
                <w:lang w:val="en-US" w:eastAsia="zh-CN" w:bidi="ar"/>
              </w:rPr>
              <w:t>生物毒性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黄礁</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理工环科WQMS2000-CODMN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理工环科WQMS2000-NHN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哈希 SC1000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下埭头</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聚光科技 SIA-2000（MN）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聚光科技 NH3N-2000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聚光科技 TNP-2000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聚光科技 TNP-2000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聚光科技</w:t>
            </w:r>
            <w:r>
              <w:rPr>
                <w:rStyle w:val="61"/>
                <w:rFonts w:eastAsia="宋体"/>
                <w:lang w:val="en-US" w:eastAsia="zh-CN" w:bidi="ar"/>
              </w:rPr>
              <w:t>PH-200</w:t>
            </w:r>
            <w:r>
              <w:rPr>
                <w:rStyle w:val="57"/>
                <w:lang w:val="en-US" w:eastAsia="zh-CN" w:bidi="ar"/>
              </w:rPr>
              <w:t>、DO-200、TRU-200、EC-200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温潭</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科泽K301</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布朗PowerMon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哈希NPW-160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哈希NPW-160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WTW MIQ-TC 2020X</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百步</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亚纳科 COD-380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NHN-4210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IQ 2020XT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金岭桥</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牛头山水库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PS</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有为 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滨海</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哈希 SC1000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湖漫水库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有为 UTOX-2000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泽国</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亚那科 COD-380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NHN-4210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IQ2020XT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分水山泄水闸</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哈希 SC1000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礁头闸</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理工环科WQMS2000-CODMN</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哈希 SC1000</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里墩水库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亚那科 380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4210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IQ 2020XT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 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双庙水库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亚那科 380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4210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IQ 2020XT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 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黄龙水库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田芯</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亚纳科 COD-380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MIQ/TC 2020 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冲背</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中兴 E-310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NHN-4210</w:t>
            </w:r>
          </w:p>
        </w:tc>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IQ 2020XT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西岙水库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有为 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下张</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健跳</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NHN-4210</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岛津 TNP-4200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WTW MIQ/TC 2020 XT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涛头堍</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理工能科WQMS2000-CODMN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理工能科WQMS2000-MS5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佃石水库</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WQMS2000-COD</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BBE AOA</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理工环科 WQMS2000-TOX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石岩村</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WQMS2000-COD</w:t>
            </w:r>
          </w:p>
        </w:tc>
        <w:tc>
          <w:tcPr>
            <w:tcW w:w="6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rFonts w:hint="eastAsia"/>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
              </w:rPr>
            </w:pPr>
            <w:r>
              <w:rPr>
                <w:rStyle w:val="64"/>
                <w:rFonts w:hint="eastAsia"/>
                <w:i w:val="0"/>
                <w:iCs w:val="0"/>
                <w:lang w:val="en-US" w:eastAsia="zh-CN" w:bidi="ar"/>
              </w:rPr>
              <w:t>外国语小学</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
              </w:rPr>
            </w:pPr>
            <w:r>
              <w:rPr>
                <w:rStyle w:val="64"/>
                <w:i w:val="0"/>
                <w:iCs w:val="0"/>
                <w:lang w:val="en-US" w:eastAsia="zh-CN" w:bidi="ar"/>
              </w:rPr>
              <w:t>宁波理工 WQMS2000-COD</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WQMS2000-NHN</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WQMS2000-TP</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WQMS2000-TN</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宁波理工 wqms2000-ms5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lang w:val="en-US" w:eastAsia="zh-CN" w:bidi="ar"/>
              </w:rPr>
              <w:t>/</w:t>
            </w:r>
          </w:p>
        </w:tc>
        <w:tc>
          <w:tcPr>
            <w:tcW w:w="6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Style w:val="64"/>
                <w:rFonts w:hint="eastAsia"/>
                <w:lang w:val="en-US" w:eastAsia="zh-CN" w:bidi="ar"/>
              </w:rPr>
              <w:t>/</w:t>
            </w:r>
          </w:p>
        </w:tc>
      </w:tr>
    </w:tbl>
    <w:p>
      <w:pPr>
        <w:rPr>
          <w:rFonts w:hint="eastAsia" w:asciiTheme="minorEastAsia" w:hAnsiTheme="minorEastAsia" w:eastAsiaTheme="minorEastAsia" w:cstheme="minorEastAsia"/>
          <w:color w:val="FF0000"/>
          <w:sz w:val="24"/>
          <w:szCs w:val="24"/>
          <w:lang w:val="en-US" w:eastAsia="zh-CN"/>
        </w:rPr>
        <w:sectPr>
          <w:headerReference r:id="rId6" w:type="default"/>
          <w:pgSz w:w="16838" w:h="11906" w:orient="landscape"/>
          <w:pgMar w:top="1417" w:right="1440" w:bottom="1417" w:left="1440" w:header="851" w:footer="850" w:gutter="0"/>
          <w:cols w:space="0" w:num="1"/>
          <w:rtlGutter w:val="0"/>
          <w:docGrid w:linePitch="312" w:charSpace="0"/>
        </w:sectPr>
      </w:pPr>
    </w:p>
    <w:p>
      <w:pPr>
        <w:shd w:val="clear" w:color="auto" w:fill="auto"/>
        <w:bidi w:val="0"/>
        <w:spacing w:line="360" w:lineRule="auto"/>
        <w:rPr>
          <w:rFonts w:hint="eastAsia"/>
          <w:b/>
          <w:bCs/>
          <w:color w:val="000000"/>
          <w:sz w:val="24"/>
          <w:szCs w:val="24"/>
          <w:highlight w:val="none"/>
        </w:rPr>
      </w:pPr>
      <w:r>
        <w:rPr>
          <w:rFonts w:hint="eastAsia" w:asciiTheme="minorEastAsia" w:hAnsiTheme="minorEastAsia" w:eastAsiaTheme="minorEastAsia"/>
          <w:b/>
          <w:sz w:val="24"/>
          <w:lang w:val="en-US" w:eastAsia="zh-CN"/>
        </w:rPr>
        <w:t>四、服务需求</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b/>
          <w:bCs/>
          <w:color w:val="000000"/>
          <w:sz w:val="24"/>
          <w:szCs w:val="24"/>
          <w:highlight w:val="none"/>
          <w:lang w:val="en-US" w:eastAsia="zh-CN"/>
        </w:rPr>
      </w:pPr>
      <w:r>
        <w:rPr>
          <w:rFonts w:hint="eastAsia"/>
          <w:b/>
          <w:bCs/>
          <w:color w:val="000000"/>
          <w:sz w:val="24"/>
          <w:szCs w:val="24"/>
          <w:highlight w:val="none"/>
          <w:lang w:val="en-US" w:eastAsia="zh-CN"/>
        </w:rPr>
        <w:t>标项一、标项二空气自动监测站服务需求：</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1、工作内容</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1.1运维</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照技术规范和相关要求对仪器进行运行维护及管理，包括日常维护、日常数据初审、仪器维修、故障处理、备品备件耗材提供。按要求完成质控措施，填写运维记录、仪器校准记录、质控记录、故障排除记录等。服务期内仪器维修费、耗材及备品备件、站点运行所需电费、网络费、防雷检测报告</w:t>
      </w:r>
      <w:r>
        <w:rPr>
          <w:rFonts w:hint="eastAsia" w:ascii="宋体" w:hAnsi="宋体" w:eastAsia="宋体" w:cs="宋体"/>
          <w:color w:val="000000"/>
          <w:sz w:val="24"/>
          <w:szCs w:val="24"/>
          <w:highlight w:val="none"/>
          <w:lang w:eastAsia="zh-CN"/>
        </w:rPr>
        <w:t>等</w:t>
      </w:r>
      <w:r>
        <w:rPr>
          <w:rFonts w:hint="eastAsia" w:ascii="宋体" w:hAnsi="宋体" w:eastAsia="宋体" w:cs="宋体"/>
          <w:color w:val="000000"/>
          <w:sz w:val="24"/>
          <w:szCs w:val="24"/>
          <w:highlight w:val="none"/>
        </w:rPr>
        <w:t>由中标人承担及提供。</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1.2</w:t>
      </w:r>
      <w:r>
        <w:rPr>
          <w:rFonts w:hint="eastAsia" w:ascii="宋体" w:hAnsi="宋体" w:eastAsia="宋体" w:cs="宋体"/>
          <w:b/>
          <w:bCs/>
          <w:color w:val="000000"/>
          <w:sz w:val="24"/>
          <w:szCs w:val="24"/>
          <w:highlight w:val="none"/>
          <w:lang w:eastAsia="zh-CN"/>
        </w:rPr>
        <w:t>监理</w:t>
      </w:r>
      <w:r>
        <w:rPr>
          <w:rFonts w:hint="eastAsia" w:ascii="宋体" w:hAnsi="宋体" w:eastAsia="宋体" w:cs="宋体"/>
          <w:b/>
          <w:bCs/>
          <w:color w:val="000000"/>
          <w:sz w:val="24"/>
          <w:szCs w:val="24"/>
          <w:highlight w:val="none"/>
        </w:rPr>
        <w:t>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运维服务期内，标项一和标项二中标单位</w:t>
      </w:r>
      <w:r>
        <w:rPr>
          <w:rFonts w:hint="eastAsia" w:ascii="宋体" w:hAnsi="宋体" w:eastAsia="宋体" w:cs="宋体"/>
          <w:color w:val="000000"/>
          <w:sz w:val="24"/>
          <w:szCs w:val="24"/>
          <w:highlight w:val="none"/>
          <w:lang w:eastAsia="zh-CN"/>
        </w:rPr>
        <w:t>配合监理单位进行监理</w:t>
      </w:r>
      <w:r>
        <w:rPr>
          <w:rFonts w:hint="eastAsia" w:ascii="宋体" w:hAnsi="宋体" w:eastAsia="宋体" w:cs="宋体"/>
          <w:color w:val="000000"/>
          <w:sz w:val="24"/>
          <w:szCs w:val="24"/>
          <w:highlight w:val="none"/>
        </w:rPr>
        <w:t>检查，</w:t>
      </w:r>
      <w:r>
        <w:rPr>
          <w:rFonts w:hint="eastAsia" w:ascii="宋体" w:hAnsi="宋体" w:eastAsia="宋体" w:cs="宋体"/>
          <w:color w:val="000000"/>
          <w:sz w:val="24"/>
          <w:szCs w:val="24"/>
          <w:highlight w:val="none"/>
          <w:lang w:eastAsia="zh-CN"/>
        </w:rPr>
        <w:t>监理</w:t>
      </w:r>
      <w:r>
        <w:rPr>
          <w:rFonts w:hint="eastAsia" w:ascii="宋体" w:hAnsi="宋体" w:eastAsia="宋体" w:cs="宋体"/>
          <w:color w:val="000000"/>
          <w:sz w:val="24"/>
          <w:szCs w:val="24"/>
          <w:highlight w:val="none"/>
        </w:rPr>
        <w:t>检查工作包括但不限于运维体系检查、数据质量监督检查、异常数据检查和盲样考核等</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2、总体要求</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2.1项目实施规范</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按《环境空气气态污染物（SO2、NO2、O3、CO）连续自动监测系统运行与质控技术规范》（HJ818-2018）、《环境空气颗粒物（PM10和PM2.5)连续自动监测系统运行和质控技术规范》（HJ817-2018）、《国家环境空气监测网环境空气挥发性有机物连续自动监测质量控制技术规定(试行)》、《国家环境空气质量监测网城市站运行管理实施细则》、《浙江省环境空气质量自动监测系统运行管理细则》、《浙江省生态环境监测中心关于加强全省环境空气自动监测系统相关工作的通知》和《浙江省省控环境空气自动监测站及重点工业园区环境空气自动监测站管理实施细则》（浙环监函[2021]12号）、《浙江省城市环境空气自动监测系统运维检查和质控考核工作方案》（浙环监发[2020]18号）等相关技术规范和管理细则要求进行运行维护及管理</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2.2对运维单位的要求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2.2.1投标人必须有较强的系统集成能力，具有空气、VOCs自动监测站运维能力，承担过类似的空气自动监测运维工作，在业界有良好的信誉和口碑，且具备稳定的专业服务团队；</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2.2.2为本项目配置专业的运维人员和车辆（标项一、二各</w:t>
      </w:r>
      <w:r>
        <w:rPr>
          <w:rFonts w:hint="eastAsia" w:ascii="宋体" w:hAnsi="宋体" w:eastAsia="宋体" w:cs="宋体"/>
          <w:color w:val="000000"/>
          <w:sz w:val="24"/>
          <w:szCs w:val="24"/>
          <w:highlight w:val="none"/>
          <w:lang w:val="en-US" w:eastAsia="zh-CN"/>
        </w:rPr>
        <w:t>需</w:t>
      </w:r>
      <w:r>
        <w:rPr>
          <w:rFonts w:hint="eastAsia" w:ascii="宋体" w:hAnsi="宋体" w:eastAsia="宋体" w:cs="宋体"/>
          <w:color w:val="000000"/>
          <w:sz w:val="24"/>
          <w:szCs w:val="24"/>
          <w:highlight w:val="none"/>
          <w:lang w:eastAsia="zh-CN"/>
        </w:rPr>
        <w:t>至少5名专业</w:t>
      </w:r>
      <w:r>
        <w:rPr>
          <w:rFonts w:hint="eastAsia" w:ascii="宋体" w:hAnsi="宋体" w:eastAsia="宋体" w:cs="宋体"/>
          <w:color w:val="000000"/>
          <w:sz w:val="24"/>
          <w:szCs w:val="24"/>
          <w:highlight w:val="none"/>
          <w:lang w:val="en-US" w:eastAsia="zh-CN"/>
        </w:rPr>
        <w:t>运维</w:t>
      </w:r>
      <w:r>
        <w:rPr>
          <w:rFonts w:hint="eastAsia" w:ascii="宋体" w:hAnsi="宋体" w:eastAsia="宋体" w:cs="宋体"/>
          <w:color w:val="000000"/>
          <w:sz w:val="24"/>
          <w:szCs w:val="24"/>
          <w:highlight w:val="none"/>
          <w:lang w:eastAsia="zh-CN"/>
        </w:rPr>
        <w:t>人员，配备专用车辆3辆；标项一、二分别各提供</w:t>
      </w:r>
      <w:r>
        <w:rPr>
          <w:rFonts w:hint="eastAsia" w:ascii="宋体" w:hAnsi="宋体" w:eastAsia="宋体" w:cs="宋体"/>
          <w:color w:val="000000"/>
          <w:sz w:val="24"/>
          <w:szCs w:val="24"/>
          <w:highlight w:val="none"/>
          <w:lang w:val="en-US" w:eastAsia="zh"/>
        </w:rPr>
        <w:t>1</w:t>
      </w:r>
      <w:r>
        <w:rPr>
          <w:rFonts w:hint="eastAsia" w:ascii="宋体" w:hAnsi="宋体" w:eastAsia="宋体" w:cs="宋体"/>
          <w:color w:val="000000"/>
          <w:sz w:val="24"/>
          <w:szCs w:val="24"/>
          <w:highlight w:val="none"/>
          <w:lang w:eastAsia="zh-CN"/>
        </w:rPr>
        <w:t>名技术人员常驻浙江省台州生态环境监测中心），驻站人员须熟练掌握浙江省环境空气自动监测数据审核和分析技术指南相关知识，胜任数据审核及报告编制工作。运维人员需有</w:t>
      </w:r>
      <w:r>
        <w:rPr>
          <w:rFonts w:hint="eastAsia" w:ascii="宋体" w:hAnsi="宋体" w:cs="宋体"/>
          <w:color w:val="auto"/>
          <w:sz w:val="24"/>
          <w:szCs w:val="24"/>
          <w:highlight w:val="none"/>
          <w:lang w:eastAsia="zh-CN"/>
        </w:rPr>
        <w:t>一</w:t>
      </w:r>
      <w:r>
        <w:rPr>
          <w:rFonts w:hint="eastAsia" w:ascii="宋体" w:hAnsi="宋体" w:eastAsia="宋体" w:cs="宋体"/>
          <w:color w:val="auto"/>
          <w:sz w:val="24"/>
          <w:szCs w:val="24"/>
          <w:highlight w:val="none"/>
          <w:lang w:eastAsia="zh-CN"/>
        </w:rPr>
        <w:t>年</w:t>
      </w:r>
      <w:r>
        <w:rPr>
          <w:rFonts w:hint="eastAsia" w:ascii="宋体" w:hAnsi="宋体" w:eastAsia="宋体" w:cs="宋体"/>
          <w:color w:val="000000"/>
          <w:sz w:val="24"/>
          <w:szCs w:val="24"/>
          <w:highlight w:val="none"/>
          <w:lang w:eastAsia="zh-CN"/>
        </w:rPr>
        <w:t>以上相关工作经验且具有省级及以上环境监测主管部门或环境协会颁发的空气质量自动站运维培训合格证，并在有效期内。运维车辆和技术人员必须为本项目专用，不得与其他项目兼用。专业技术人员队伍应保持相对稳定，并在投标时提供聘用合同及职工社会保险缴纳有效材料（原件及复印件）供采购人查验。</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2.2.3 委托运维期间，要求运维公司提供7×24小时全天候服务，当项目运维清单中设备发生故障时，须向采购人报告，中标人承担所有维修费用，故障须尽快解决，故障超过1天须说明原因并提供维修证明，维修时间最迟不得超过3天，如在3天内无法修复的设备，须提供相当性能、功能的备机，但备机不得连续使用超过一个月。</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2.2.4运维单位应建立备品备件制度，在办事机构配备足够的备品备件、专用工具耗材（便携式电脑、万用表、远程数据查询系统、各种硬件接口线、接口调试软件及常用零部件等）、药品试剂等</w:t>
      </w:r>
      <w:r>
        <w:rPr>
          <w:rFonts w:hint="eastAsia" w:ascii="宋体" w:hAnsi="宋体" w:eastAsia="宋体" w:cs="宋体"/>
          <w:color w:val="000000"/>
          <w:sz w:val="24"/>
          <w:szCs w:val="24"/>
          <w:highlight w:val="none"/>
          <w:lang w:eastAsia="zh-CN"/>
        </w:rPr>
        <w:t>，</w:t>
      </w:r>
      <w:r>
        <w:rPr>
          <w:rFonts w:hint="eastAsia" w:ascii="宋体" w:hAnsi="宋体" w:eastAsia="宋体" w:cs="宋体"/>
          <w:color w:val="auto"/>
          <w:sz w:val="24"/>
          <w:szCs w:val="24"/>
          <w:highlight w:val="none"/>
          <w:lang w:eastAsia="zh-CN"/>
        </w:rPr>
        <w:t>为本项目配备同品牌的常规6</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lang w:eastAsia="zh-CN"/>
        </w:rPr>
        <w:t>备机一套</w:t>
      </w:r>
      <w:r>
        <w:rPr>
          <w:rFonts w:hint="eastAsia" w:ascii="宋体" w:hAnsi="宋体" w:eastAsia="宋体" w:cs="宋体"/>
          <w:color w:val="000000"/>
          <w:sz w:val="24"/>
          <w:szCs w:val="24"/>
          <w:highlight w:val="none"/>
          <w:lang w:eastAsia="zh-CN"/>
        </w:rPr>
        <w:t>（存放在采购人指定地点），确保运维项目的应急使用。</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2.2.5运维单位不得以任何形式对自动监测站所涉及的资产进行租用、出售、抵押、转移或处置；在委托运营维护及管理期间，运维单位有责任保证上述全部资产的完整、安全并始终处于良好状态。</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2.2.6在城市环境空气自动监测系统、重点工业园区自动监测站运维及管理期间，严格按照相关规范标准和仪器设备说明书对所管理的系统及仪器设备进行规范操作和精心维护及必要维修，保证系统及仪器设备的正常运行，达到</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提出的系统及仪器设备考核指标要求。运行单位须积极协助和配合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完成上级部门对自动监测站运行检查及考核工作。运维过程中的耗材、备品备件需采用原厂件，如确实采购不到原厂件的，需向采购人报备并采购具有相同技术指标的耗材或配件。</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2.2.7提供完整的环境空气自动监测系统运维实施方案（含应急事故处理方案），提出解决问题的措施，明确维护方法、周期、内容及技术保障（包含本项目所含主要分析设备的日常维护和常见故障诊断方法）。有完善的管理制度及技术人员培训制度，指定项目负责人，并组织专职人员负责日常运营及质量管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2.2.8数据保密，在委托管理期间，运维单位应对系统状况和数据严格保密。未经委托方同意，运维单位不得利用本项目的任意资料对外开展技术交流、</w:t>
      </w:r>
      <w:r>
        <w:rPr>
          <w:rFonts w:hint="eastAsia" w:ascii="宋体" w:hAnsi="宋体" w:eastAsia="宋体" w:cs="宋体"/>
          <w:color w:val="auto"/>
          <w:sz w:val="24"/>
          <w:szCs w:val="24"/>
          <w:highlight w:val="none"/>
          <w:lang w:eastAsia="zh-CN"/>
        </w:rPr>
        <w:t>科学研究、</w:t>
      </w:r>
      <w:r>
        <w:rPr>
          <w:rFonts w:hint="eastAsia" w:ascii="宋体" w:hAnsi="宋体" w:eastAsia="宋体" w:cs="宋体"/>
          <w:color w:val="auto"/>
          <w:sz w:val="24"/>
          <w:szCs w:val="24"/>
          <w:highlight w:val="none"/>
        </w:rPr>
        <w:t>业务联系、数据交换等。</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2.2.9 运维单位须签订《廉洁履约承诺书》和《防范人为干扰监测承诺书》，承诺书为运维合同履行不可分割的一部分；运维单位</w:t>
      </w:r>
      <w:r>
        <w:rPr>
          <w:rFonts w:hint="default" w:ascii="宋体" w:hAnsi="宋体" w:eastAsia="宋体" w:cs="宋体"/>
          <w:color w:val="auto"/>
          <w:sz w:val="24"/>
          <w:szCs w:val="24"/>
          <w:highlight w:val="none"/>
          <w:lang w:val="en-US" w:eastAsia="zh-CN"/>
        </w:rPr>
        <w:t>负责保管</w:t>
      </w:r>
      <w:r>
        <w:rPr>
          <w:rFonts w:hint="eastAsia" w:ascii="宋体" w:hAnsi="宋体" w:eastAsia="宋体" w:cs="宋体"/>
          <w:color w:val="auto"/>
          <w:sz w:val="24"/>
          <w:szCs w:val="24"/>
          <w:highlight w:val="none"/>
          <w:lang w:val="en-US" w:eastAsia="zh-CN"/>
        </w:rPr>
        <w:t>站点</w:t>
      </w:r>
      <w:r>
        <w:rPr>
          <w:rFonts w:hint="default" w:ascii="宋体" w:hAnsi="宋体" w:eastAsia="宋体" w:cs="宋体"/>
          <w:color w:val="auto"/>
          <w:sz w:val="24"/>
          <w:szCs w:val="24"/>
          <w:highlight w:val="none"/>
          <w:lang w:val="en-US" w:eastAsia="zh-CN"/>
        </w:rPr>
        <w:t>站房和实体围栏钥匙，不得将钥匙交予他人或放置在现场</w:t>
      </w:r>
      <w:r>
        <w:rPr>
          <w:rFonts w:hint="eastAsia" w:ascii="宋体" w:hAnsi="宋体" w:eastAsia="宋体" w:cs="宋体"/>
          <w:color w:val="auto"/>
          <w:sz w:val="24"/>
          <w:szCs w:val="24"/>
          <w:highlight w:val="none"/>
          <w:lang w:val="en-US" w:eastAsia="zh-CN"/>
        </w:rPr>
        <w:t>；运维单位应</w:t>
      </w:r>
      <w:r>
        <w:rPr>
          <w:rFonts w:hint="default" w:ascii="宋体" w:hAnsi="宋体" w:eastAsia="宋体" w:cs="宋体"/>
          <w:color w:val="auto"/>
          <w:sz w:val="24"/>
          <w:szCs w:val="24"/>
          <w:highlight w:val="none"/>
          <w:lang w:val="en-US" w:eastAsia="zh-CN"/>
        </w:rPr>
        <w:t>建立防范人为干扰监测的工作机制，发现并确认异常情况和原因后及时报送</w:t>
      </w:r>
      <w:r>
        <w:rPr>
          <w:rFonts w:hint="eastAsia" w:ascii="宋体" w:hAnsi="宋体" w:eastAsia="宋体" w:cs="宋体"/>
          <w:color w:val="auto"/>
          <w:sz w:val="24"/>
          <w:szCs w:val="24"/>
          <w:highlight w:val="none"/>
          <w:lang w:val="en-US" w:eastAsia="zh-CN"/>
        </w:rPr>
        <w:t>采购人；运维单位</w:t>
      </w:r>
      <w:r>
        <w:rPr>
          <w:rFonts w:hint="default" w:ascii="宋体" w:hAnsi="宋体" w:eastAsia="宋体" w:cs="宋体"/>
          <w:color w:val="auto"/>
          <w:sz w:val="24"/>
          <w:szCs w:val="24"/>
          <w:highlight w:val="none"/>
          <w:lang w:val="en-US" w:eastAsia="zh-CN"/>
        </w:rPr>
        <w:t>应建立运行维护专业队伍，加强</w:t>
      </w:r>
      <w:r>
        <w:rPr>
          <w:rFonts w:hint="eastAsia" w:ascii="宋体" w:hAnsi="宋体" w:eastAsia="宋体" w:cs="宋体"/>
          <w:color w:val="auto"/>
          <w:sz w:val="24"/>
          <w:szCs w:val="24"/>
          <w:highlight w:val="none"/>
          <w:lang w:val="en-US" w:eastAsia="zh-CN"/>
        </w:rPr>
        <w:t>站点</w:t>
      </w:r>
      <w:r>
        <w:rPr>
          <w:rFonts w:hint="default" w:ascii="宋体" w:hAnsi="宋体" w:eastAsia="宋体" w:cs="宋体"/>
          <w:color w:val="auto"/>
          <w:sz w:val="24"/>
          <w:szCs w:val="24"/>
          <w:highlight w:val="none"/>
          <w:lang w:val="en-US" w:eastAsia="zh-CN"/>
        </w:rPr>
        <w:t>的日常运行和维护工作</w:t>
      </w:r>
      <w:r>
        <w:rPr>
          <w:rFonts w:hint="eastAsia" w:ascii="宋体" w:hAnsi="宋体" w:eastAsia="宋体" w:cs="宋体"/>
          <w:color w:val="auto"/>
          <w:sz w:val="24"/>
          <w:szCs w:val="24"/>
          <w:highlight w:val="none"/>
          <w:lang w:val="en-US"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2.2.10运维单位应建立站点档案管理制度，所有资料妥善保管，便于使用和检查：</w:t>
      </w:r>
      <w:r>
        <w:rPr>
          <w:rFonts w:hint="default" w:ascii="宋体" w:hAnsi="宋体" w:eastAsia="宋体" w:cs="宋体"/>
          <w:color w:val="auto"/>
          <w:sz w:val="24"/>
          <w:szCs w:val="24"/>
          <w:highlight w:val="none"/>
          <w:lang w:val="en-US" w:eastAsia="zh-CN"/>
        </w:rPr>
        <w:t>建立站点档案，并在相关内容发生变动时及时更新</w:t>
      </w:r>
      <w:r>
        <w:rPr>
          <w:rFonts w:hint="eastAsia" w:ascii="宋体" w:hAnsi="宋体" w:eastAsia="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建立仪器设备档案，包括仪器说明书、初次安装信息、调试报告、验收报告、关键技术参数调整及测试报告等</w:t>
      </w:r>
      <w:r>
        <w:rPr>
          <w:rFonts w:hint="eastAsia" w:ascii="宋体" w:hAnsi="宋体" w:eastAsia="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建立运行维护档案，详细记录</w:t>
      </w:r>
      <w:r>
        <w:rPr>
          <w:rFonts w:hint="eastAsia" w:ascii="宋体" w:hAnsi="宋体" w:eastAsia="宋体" w:cs="宋体"/>
          <w:color w:val="auto"/>
          <w:sz w:val="24"/>
          <w:szCs w:val="24"/>
          <w:highlight w:val="none"/>
          <w:lang w:val="en-US" w:eastAsia="zh-CN"/>
        </w:rPr>
        <w:t>站点</w:t>
      </w:r>
      <w:r>
        <w:rPr>
          <w:rFonts w:hint="default" w:ascii="宋体" w:hAnsi="宋体" w:eastAsia="宋体" w:cs="宋体"/>
          <w:color w:val="auto"/>
          <w:sz w:val="24"/>
          <w:szCs w:val="24"/>
          <w:highlight w:val="none"/>
          <w:lang w:val="en-US" w:eastAsia="zh-CN"/>
        </w:rPr>
        <w:t>运行过程和运行事件</w:t>
      </w:r>
      <w:r>
        <w:rPr>
          <w:rFonts w:hint="eastAsia" w:ascii="宋体" w:hAnsi="宋体" w:eastAsia="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编制</w:t>
      </w:r>
      <w:r>
        <w:rPr>
          <w:rFonts w:hint="eastAsia" w:ascii="宋体" w:hAnsi="宋体" w:eastAsia="宋体" w:cs="宋体"/>
          <w:color w:val="auto"/>
          <w:sz w:val="24"/>
          <w:szCs w:val="24"/>
          <w:highlight w:val="none"/>
          <w:lang w:val="en-US" w:eastAsia="zh-CN"/>
        </w:rPr>
        <w:t>站点</w:t>
      </w:r>
      <w:r>
        <w:rPr>
          <w:rFonts w:hint="default" w:ascii="宋体" w:hAnsi="宋体" w:eastAsia="宋体" w:cs="宋体"/>
          <w:color w:val="auto"/>
          <w:sz w:val="24"/>
          <w:szCs w:val="24"/>
          <w:highlight w:val="none"/>
          <w:lang w:val="en-US" w:eastAsia="zh-CN"/>
        </w:rPr>
        <w:t>运行与维护作业指导书，说明运维内容、程序、责任人及其职责要求，确定仪器设备关键技术参数、出厂参数设置范围、参数设置条件等</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运维单位须按照技术规范和管理细则要求填写仪器运维表格，做好</w:t>
      </w:r>
      <w:r>
        <w:rPr>
          <w:rFonts w:hint="eastAsia" w:ascii="宋体" w:hAnsi="宋体" w:eastAsia="宋体" w:cs="宋体"/>
          <w:color w:val="auto"/>
          <w:sz w:val="24"/>
          <w:szCs w:val="24"/>
          <w:highlight w:val="none"/>
          <w:lang w:eastAsia="zh-CN"/>
        </w:rPr>
        <w:t>站点</w:t>
      </w:r>
      <w:r>
        <w:rPr>
          <w:rFonts w:hint="eastAsia" w:ascii="宋体" w:hAnsi="宋体" w:eastAsia="宋体" w:cs="宋体"/>
          <w:color w:val="auto"/>
          <w:sz w:val="24"/>
          <w:szCs w:val="24"/>
          <w:highlight w:val="none"/>
        </w:rPr>
        <w:t>运行管理记录和存档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每次到站房运维后须为每台仪器填写运维表格，包括仪器原始设置、报警、维修、更换、保养、仪器校准、标气使用、采样管清洁等运行维护内容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运维期结束后所有原始记录须整理成册上交给采购人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每次更换下来的耗材、配件须保存好，标注更换日期，经采购人认可后方可处理</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每月</w:t>
      </w:r>
      <w:r>
        <w:rPr>
          <w:rFonts w:hint="eastAsia" w:ascii="宋体" w:hAnsi="宋体" w:eastAsia="宋体" w:cs="宋体"/>
          <w:color w:val="auto"/>
          <w:sz w:val="24"/>
          <w:szCs w:val="24"/>
          <w:highlight w:val="none"/>
          <w:lang w:val="en-US" w:eastAsia="zh-CN"/>
        </w:rPr>
        <w:t>10日前</w:t>
      </w:r>
      <w:r>
        <w:rPr>
          <w:rFonts w:hint="eastAsia" w:ascii="宋体" w:hAnsi="宋体" w:eastAsia="宋体" w:cs="宋体"/>
          <w:color w:val="auto"/>
          <w:sz w:val="24"/>
          <w:szCs w:val="24"/>
          <w:highlight w:val="none"/>
          <w:lang w:eastAsia="zh-CN"/>
        </w:rPr>
        <w:t>对</w:t>
      </w:r>
      <w:r>
        <w:rPr>
          <w:rFonts w:hint="eastAsia" w:ascii="宋体" w:hAnsi="宋体" w:eastAsia="宋体" w:cs="宋体"/>
          <w:color w:val="auto"/>
          <w:sz w:val="24"/>
          <w:szCs w:val="24"/>
          <w:highlight w:val="none"/>
          <w:lang w:val="en-US" w:eastAsia="zh-CN"/>
        </w:rPr>
        <w:t>上月</w:t>
      </w:r>
      <w:r>
        <w:rPr>
          <w:rFonts w:hint="eastAsia" w:ascii="宋体" w:hAnsi="宋体" w:eastAsia="宋体" w:cs="宋体"/>
          <w:color w:val="auto"/>
          <w:sz w:val="24"/>
          <w:szCs w:val="24"/>
          <w:highlight w:val="none"/>
          <w:lang w:eastAsia="zh-CN"/>
        </w:rPr>
        <w:t>运维站点出现的异常数据提交异常分析报告和防人为干扰环境质量检查汇总表，并在报告中详细阐明异常原因和异常时段；工业园区空气自动站的VOCs数据，每月</w:t>
      </w:r>
      <w:r>
        <w:rPr>
          <w:rFonts w:hint="eastAsia" w:ascii="宋体" w:hAnsi="宋体" w:eastAsia="宋体" w:cs="宋体"/>
          <w:color w:val="auto"/>
          <w:sz w:val="24"/>
          <w:szCs w:val="24"/>
          <w:highlight w:val="none"/>
          <w:lang w:val="en-US" w:eastAsia="zh-CN"/>
        </w:rPr>
        <w:t>10日前</w:t>
      </w:r>
      <w:r>
        <w:rPr>
          <w:rFonts w:hint="eastAsia" w:ascii="宋体" w:hAnsi="宋体" w:eastAsia="宋体" w:cs="宋体"/>
          <w:color w:val="auto"/>
          <w:sz w:val="24"/>
          <w:szCs w:val="24"/>
          <w:highlight w:val="none"/>
          <w:lang w:eastAsia="zh-CN"/>
        </w:rPr>
        <w:t>按站点进行分析并提交上月分析报告。每季度提交一次运维报告，年度运维完成后提交总报告。</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2.3运维工作要求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运维工作</w:t>
      </w:r>
      <w:r>
        <w:rPr>
          <w:rFonts w:hint="eastAsia" w:ascii="宋体" w:hAnsi="宋体" w:eastAsia="宋体" w:cs="宋体"/>
          <w:color w:val="000000"/>
          <w:sz w:val="24"/>
          <w:szCs w:val="24"/>
          <w:highlight w:val="none"/>
        </w:rPr>
        <w:t>主要包括环境管理、站房巡检管理、系统运行管理、质量控制</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val="en-US" w:eastAsia="zh-CN"/>
        </w:rPr>
        <w:t>初</w:t>
      </w:r>
      <w:r>
        <w:rPr>
          <w:rFonts w:hint="eastAsia" w:ascii="宋体" w:hAnsi="宋体" w:eastAsia="宋体" w:cs="宋体"/>
          <w:color w:val="auto"/>
          <w:sz w:val="24"/>
          <w:szCs w:val="24"/>
          <w:highlight w:val="none"/>
        </w:rPr>
        <w:t>审核等，</w:t>
      </w:r>
      <w:r>
        <w:rPr>
          <w:rFonts w:hint="eastAsia" w:ascii="宋体" w:hAnsi="宋体" w:eastAsia="宋体" w:cs="宋体"/>
          <w:color w:val="000000"/>
          <w:sz w:val="24"/>
          <w:szCs w:val="24"/>
          <w:highlight w:val="none"/>
        </w:rPr>
        <w:t>参照《浙江省环境空气质量自动监测系统运行管理细则》《浙江省大气环境自动监测运维质控技术指南》</w:t>
      </w:r>
      <w:r>
        <w:rPr>
          <w:rFonts w:hint="eastAsia" w:ascii="宋体" w:hAnsi="宋体" w:eastAsia="宋体" w:cs="宋体"/>
          <w:color w:val="000000"/>
          <w:sz w:val="24"/>
          <w:szCs w:val="24"/>
          <w:highlight w:val="none"/>
          <w:lang w:eastAsia="zh-CN"/>
        </w:rPr>
        <w:t>等技术规范</w:t>
      </w:r>
      <w:r>
        <w:rPr>
          <w:rFonts w:hint="eastAsia" w:ascii="宋体" w:hAnsi="宋体" w:eastAsia="宋体" w:cs="宋体"/>
          <w:color w:val="000000"/>
          <w:sz w:val="24"/>
          <w:szCs w:val="24"/>
          <w:highlight w:val="none"/>
        </w:rPr>
        <w:t>执行，具体要求</w:t>
      </w:r>
      <w:r>
        <w:rPr>
          <w:rFonts w:hint="eastAsia" w:ascii="宋体" w:hAnsi="宋体" w:eastAsia="宋体" w:cs="宋体"/>
          <w:color w:val="000000"/>
          <w:sz w:val="24"/>
          <w:szCs w:val="24"/>
          <w:highlight w:val="none"/>
          <w:lang w:eastAsia="zh-CN"/>
        </w:rPr>
        <w:t>（但不限于）</w:t>
      </w:r>
      <w:r>
        <w:rPr>
          <w:rFonts w:hint="eastAsia" w:ascii="宋体" w:hAnsi="宋体" w:eastAsia="宋体" w:cs="宋体"/>
          <w:color w:val="000000"/>
          <w:sz w:val="24"/>
          <w:szCs w:val="24"/>
          <w:highlight w:val="none"/>
        </w:rPr>
        <w:t>如下：</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(一)点位环境管理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1.观察站点周边环境的变化；</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2.查看点位周围安全隐患；</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3.查看站点外围的道路、供电、通讯、给排水设施等；</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4.查看站房外围的防护栏、隔离带有无损坏情况；</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5.查看周围树木是否需要修剪；</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6.记录巡检情况，如果发现影响站点代表性和监测正常运行的环境变化，应及时进行处理，并报告</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7.填写《巡查记录》</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8.查看站点是否</w:t>
      </w:r>
      <w:r>
        <w:rPr>
          <w:rFonts w:hint="eastAsia" w:ascii="宋体" w:hAnsi="宋体" w:eastAsia="宋体" w:cs="宋体"/>
          <w:color w:val="auto"/>
          <w:sz w:val="24"/>
          <w:szCs w:val="24"/>
          <w:highlight w:val="none"/>
          <w:lang w:eastAsia="zh-CN"/>
        </w:rPr>
        <w:t>存在</w:t>
      </w:r>
      <w:r>
        <w:rPr>
          <w:rFonts w:hint="eastAsia" w:ascii="宋体" w:hAnsi="宋体" w:eastAsia="宋体" w:cs="宋体"/>
          <w:color w:val="auto"/>
          <w:sz w:val="24"/>
          <w:szCs w:val="24"/>
          <w:highlight w:val="none"/>
        </w:rPr>
        <w:t>人为干扰监测情况</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（二）站房巡检管理（每周）</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1.查看站房的基础设施，包括避雷系统、消防、供电、通讯、给排水设施、供暖设施等；</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2.检查站房外部状况，包括建筑物、站房防漏防渗、天线设施；</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3.注意站房内部异常气味和噪音，并排查；</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4.检查站房内部设施，包括消防、照明、强弱电和接地、通讯网络、应急设施等；</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检查室内空调的是否工作正常和查看室内的温湿度。检查空调的出风口，防止出风直接吹在电磁阀和采样管上。冬夏季节检查站房室内外温差。若温差较大引起采样装置出现冷凝水，及时调整站房温度降低温差，或对采样总管采取适当的控制措施，防止冷凝现象。站房空调发生故障时应根据应急管理时效要求及时修复，如不能修复应及时更换，以确保子站监测设备正常运行；</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6.检查站房排风装置工作是否正常；</w:t>
      </w:r>
      <w:r>
        <w:rPr>
          <w:rFonts w:hint="eastAsia" w:ascii="宋体" w:hAnsi="宋体" w:eastAsia="宋体" w:cs="宋体"/>
          <w:color w:val="000000"/>
          <w:sz w:val="24"/>
          <w:szCs w:val="24"/>
          <w:highlight w:val="none"/>
        </w:rPr>
        <w:tab/>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7.检查稳压电源参数是否正常；</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8.检查各电源插头、线板工作是否正常；</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9.保持站房内部卫生整洁；</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10.记录巡检情况，如果发现影响自动站安全和正常运行的情况，应及时进行处理并修复，同时报告</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11.填写《巡查记录》</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ind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填写《</w:t>
      </w:r>
      <w:r>
        <w:rPr>
          <w:rFonts w:hint="eastAsia" w:ascii="宋体" w:hAnsi="宋体" w:eastAsia="宋体" w:cs="宋体"/>
          <w:color w:val="000000"/>
          <w:sz w:val="24"/>
          <w:szCs w:val="24"/>
          <w:highlight w:val="none"/>
          <w:lang w:eastAsia="zh-CN"/>
        </w:rPr>
        <w:t>防人为干扰检查表</w:t>
      </w:r>
      <w:r>
        <w:rPr>
          <w:rFonts w:hint="eastAsia" w:ascii="宋体" w:hAnsi="宋体" w:eastAsia="宋体" w:cs="宋体"/>
          <w:color w:val="000000"/>
          <w:sz w:val="24"/>
          <w:szCs w:val="24"/>
          <w:highlight w:val="none"/>
        </w:rPr>
        <w:t>》</w:t>
      </w:r>
      <w:r>
        <w:rPr>
          <w:rFonts w:hint="eastAsia" w:ascii="宋体" w:hAnsi="宋体" w:cs="宋体"/>
          <w:color w:val="auto"/>
          <w:sz w:val="24"/>
          <w:szCs w:val="24"/>
          <w:highlight w:val="none"/>
          <w:lang w:eastAsia="zh-CN"/>
        </w:rPr>
        <w:t>（详见附件</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lang w:eastAsia="zh-CN"/>
        </w:rPr>
        <w:t>）</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如发现人为干扰情况</w:t>
      </w:r>
      <w:r>
        <w:rPr>
          <w:rFonts w:hint="eastAsia" w:ascii="宋体" w:hAnsi="宋体" w:eastAsia="宋体" w:cs="宋体"/>
          <w:color w:val="000000"/>
          <w:sz w:val="24"/>
          <w:szCs w:val="24"/>
          <w:highlight w:val="none"/>
          <w:lang w:eastAsia="zh-CN"/>
        </w:rPr>
        <w:t>应及时取证并向采购人报告，并于</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eastAsia="zh-CN"/>
        </w:rPr>
        <w:t>小时内提交书面报告。</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（三）日常运维工作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1.每日上午远程检查仪器运行状态，检查数据传输系统是否正常，是否存在报警，如发现数据持续异常情况，应立即前往站点进行检查；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2.每日常检查谱图基线是否存在异常漂移，进行重积分，查看上传平台的数据是否正常，并于</w:t>
      </w: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:00前对前一日数据进行审核和上传</w:t>
      </w:r>
      <w:r>
        <w:rPr>
          <w:rFonts w:hint="eastAsia" w:ascii="宋体" w:hAnsi="宋体" w:eastAsia="宋体" w:cs="宋体"/>
          <w:color w:val="auto"/>
          <w:sz w:val="24"/>
          <w:szCs w:val="24"/>
          <w:highlight w:val="none"/>
          <w:lang w:eastAsia="zh-CN"/>
        </w:rPr>
        <w:t>（如遇特殊时期特殊要求，需根据采购人的需求开展审核）</w:t>
      </w:r>
      <w:r>
        <w:rPr>
          <w:rFonts w:hint="eastAsia" w:ascii="宋体" w:hAnsi="宋体" w:eastAsia="宋体" w:cs="宋体"/>
          <w:color w:val="auto"/>
          <w:sz w:val="24"/>
          <w:szCs w:val="24"/>
          <w:highlight w:val="none"/>
        </w:rPr>
        <w:t>，VOC审核须将异常数据进行无效标识或剔除处理，并对需要进行基线调整的色谱峰进行重积分；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3.每日浓度漂移检查，浓度漂移FID≦15%，MSD≦30%。保留时间漂移≦0.5分钟，每日检查MSD内标响应，峰面积变化应为绘制校准曲线时峰面积的50-150%</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rPr>
      </w:pPr>
      <w:bookmarkStart w:id="36" w:name="_Toc267994005"/>
      <w:bookmarkStart w:id="37" w:name="_Toc323393824"/>
      <w:bookmarkStart w:id="38" w:name="_Toc272221148"/>
      <w:r>
        <w:rPr>
          <w:rFonts w:hint="eastAsia" w:ascii="宋体" w:hAnsi="宋体" w:eastAsia="宋体" w:cs="宋体"/>
          <w:b/>
          <w:bCs/>
          <w:color w:val="auto"/>
          <w:sz w:val="24"/>
          <w:szCs w:val="24"/>
          <w:highlight w:val="none"/>
        </w:rPr>
        <w:t>(四)周</w:t>
      </w:r>
      <w:bookmarkEnd w:id="36"/>
      <w:r>
        <w:rPr>
          <w:rFonts w:hint="eastAsia" w:ascii="宋体" w:hAnsi="宋体" w:eastAsia="宋体" w:cs="宋体"/>
          <w:b/>
          <w:bCs/>
          <w:color w:val="auto"/>
          <w:sz w:val="24"/>
          <w:szCs w:val="24"/>
          <w:highlight w:val="none"/>
        </w:rPr>
        <w:t>运维工作</w:t>
      </w:r>
      <w:bookmarkEnd w:id="37"/>
      <w:bookmarkEnd w:id="38"/>
    </w:p>
    <w:p>
      <w:pPr>
        <w:keepNext w:val="0"/>
        <w:keepLines w:val="0"/>
        <w:pageBreakBefore w:val="0"/>
        <w:widowControl w:val="0"/>
        <w:shd w:val="clear" w:color="auto" w:fill="auto"/>
        <w:kinsoku/>
        <w:wordWrap/>
        <w:overflowPunct/>
        <w:topLinePunct w:val="0"/>
        <w:bidi w:val="0"/>
        <w:snapToGrid w:val="0"/>
        <w:spacing w:line="348"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w:t>
      </w:r>
      <w:r>
        <w:rPr>
          <w:rFonts w:hint="eastAsia" w:ascii="宋体" w:hAnsi="宋体" w:eastAsia="宋体" w:cs="宋体"/>
          <w:b/>
          <w:bCs/>
          <w:color w:val="auto"/>
          <w:sz w:val="24"/>
          <w:szCs w:val="24"/>
          <w:highlight w:val="none"/>
        </w:rPr>
        <w:t>常规六参数及其辅助设备（每周进行一次常规六参数零</w:t>
      </w:r>
      <w:r>
        <w:rPr>
          <w:rFonts w:hint="eastAsia" w:ascii="宋体" w:hAnsi="宋体" w:eastAsia="宋体" w:cs="宋体"/>
          <w:b/>
          <w:bCs/>
          <w:color w:val="000000"/>
          <w:sz w:val="24"/>
          <w:szCs w:val="24"/>
          <w:highlight w:val="none"/>
        </w:rPr>
        <w:t>跨检查）</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(1)每周一次零点、标点检查或校准，并做好记录（O3零点和多点不得在每日9-17时进行）。</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(2)检查气体分析仪器采样过滤膜的污染情况，每周更换一次，保留滤膜并标记存储和记录以备可能研究。</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(3)检查采样总管系统、支路管线结合部和排气管路，查看是否漏气或堵塞</w:t>
      </w:r>
      <w:r>
        <w:rPr>
          <w:rFonts w:hint="eastAsia" w:ascii="宋体" w:hAnsi="宋体" w:eastAsia="宋体" w:cs="宋体"/>
          <w:color w:val="000000"/>
          <w:sz w:val="24"/>
          <w:szCs w:val="24"/>
          <w:highlight w:val="none"/>
          <w:lang w:eastAsia="zh-CN"/>
        </w:rPr>
        <w:t>等</w:t>
      </w:r>
      <w:r>
        <w:rPr>
          <w:rFonts w:hint="eastAsia" w:ascii="宋体" w:hAnsi="宋体" w:eastAsia="宋体" w:cs="宋体"/>
          <w:color w:val="000000"/>
          <w:sz w:val="24"/>
          <w:szCs w:val="24"/>
          <w:highlight w:val="none"/>
        </w:rPr>
        <w:t>现象。</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(4)检查颗粒物（PM10/PM2.5）纸带使用情况，及时更换。</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(5)检查空压机运行情况及时排空空气压缩机储气瓶中的积水。</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sz w:val="24"/>
          <w:szCs w:val="24"/>
          <w:highlight w:val="none"/>
        </w:rPr>
        <w:t>(6)检查标准气体钢瓶是否安全固定、阀门是否漏气、标准气体的有效期限</w:t>
      </w:r>
      <w:r>
        <w:rPr>
          <w:rFonts w:hint="eastAsia" w:ascii="宋体" w:hAnsi="宋体" w:eastAsia="宋体" w:cs="宋体"/>
          <w:color w:val="auto"/>
          <w:sz w:val="24"/>
          <w:szCs w:val="24"/>
          <w:highlight w:val="none"/>
        </w:rPr>
        <w:t>和消耗情况等。</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（7）每周至少一次长光程监测系统光强检查，如有参数光强低于40％，必须调光，调光后SO</w:t>
      </w:r>
      <w:r>
        <w:rPr>
          <w:rFonts w:hint="eastAsia" w:ascii="宋体" w:hAnsi="宋体" w:eastAsia="宋体" w:cs="宋体"/>
          <w:color w:val="auto"/>
          <w:sz w:val="24"/>
          <w:szCs w:val="24"/>
          <w:highlight w:val="none"/>
          <w:vertAlign w:val="subscript"/>
        </w:rPr>
        <w:t>2</w:t>
      </w:r>
      <w:r>
        <w:rPr>
          <w:rFonts w:hint="eastAsia" w:ascii="宋体" w:hAnsi="宋体" w:eastAsia="宋体" w:cs="宋体"/>
          <w:color w:val="auto"/>
          <w:sz w:val="24"/>
          <w:szCs w:val="24"/>
          <w:highlight w:val="none"/>
        </w:rPr>
        <w:t>强度低于40%时</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更换氙灯；</w:t>
      </w:r>
    </w:p>
    <w:p>
      <w:pPr>
        <w:keepNext w:val="0"/>
        <w:keepLines w:val="0"/>
        <w:pageBreakBefore w:val="0"/>
        <w:widowControl w:val="0"/>
        <w:shd w:val="clear" w:color="auto" w:fill="auto"/>
        <w:kinsoku/>
        <w:wordWrap/>
        <w:overflowPunct/>
        <w:topLinePunct w:val="0"/>
        <w:bidi w:val="0"/>
        <w:snapToGrid w:val="0"/>
        <w:spacing w:line="348" w:lineRule="auto"/>
        <w:ind w:firstLine="482"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bCs/>
          <w:color w:val="000000"/>
          <w:sz w:val="24"/>
          <w:szCs w:val="24"/>
          <w:highlight w:val="none"/>
        </w:rPr>
        <w:t>2.VOCs分析仪</w:t>
      </w:r>
      <w:r>
        <w:rPr>
          <w:rFonts w:hint="eastAsia" w:ascii="宋体" w:hAnsi="宋体" w:eastAsia="宋体" w:cs="宋体"/>
          <w:color w:val="000000"/>
          <w:sz w:val="24"/>
          <w:szCs w:val="24"/>
          <w:highlight w:val="none"/>
          <w:lang w:eastAsia="zh-CN"/>
        </w:rPr>
        <w:t>（光化学站运维内容与VOCs分析仪运维内容一致）</w:t>
      </w:r>
    </w:p>
    <w:p>
      <w:pPr>
        <w:pStyle w:val="5"/>
        <w:keepNext w:val="0"/>
        <w:keepLines w:val="0"/>
        <w:pageBreakBefore w:val="0"/>
        <w:widowControl w:val="0"/>
        <w:tabs>
          <w:tab w:val="left" w:pos="432"/>
          <w:tab w:val="clear" w:pos="8280"/>
        </w:tabs>
        <w:kinsoku/>
        <w:wordWrap/>
        <w:overflowPunct/>
        <w:topLinePunct w:val="0"/>
        <w:bidi w:val="0"/>
        <w:snapToGrid w:val="0"/>
        <w:spacing w:line="348" w:lineRule="auto"/>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color w:val="000000"/>
          <w:sz w:val="24"/>
          <w:szCs w:val="24"/>
          <w:highlight w:val="none"/>
        </w:rPr>
        <w:t>(1)氮氢空一体机更换硅胶；</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(2)添加氢空（氮）一体机的超纯水；</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(3)每周更换内标，每两周更换氢空（氮）一体机的活性炭和采样过滤膜；</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(4)每十天左右更换外标。</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(5)每周检查FID氢气和空气输入压力和流量、初始炉温、升温降温程序、载气压力和流量、管线温度、EPC设置、质谱温度、EI能量是否正常。</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bookmarkStart w:id="39" w:name="_Toc197690499"/>
      <w:bookmarkStart w:id="40" w:name="_Toc250034272"/>
      <w:bookmarkStart w:id="41" w:name="_Toc144866439"/>
      <w:bookmarkStart w:id="42" w:name="_Toc144871332"/>
      <w:bookmarkStart w:id="43" w:name="_Toc144179195"/>
      <w:bookmarkStart w:id="44" w:name="_Toc144179121"/>
      <w:bookmarkStart w:id="45" w:name="_Toc144179233"/>
      <w:bookmarkStart w:id="46" w:name="_Toc197358174"/>
      <w:bookmarkStart w:id="47" w:name="_Toc197339973"/>
      <w:bookmarkStart w:id="48" w:name="_Toc197155569"/>
      <w:bookmarkStart w:id="49" w:name="_Toc144178880"/>
      <w:bookmarkStart w:id="50" w:name="_Toc197315105"/>
      <w:bookmarkStart w:id="51" w:name="_Toc144866575"/>
      <w:bookmarkStart w:id="52" w:name="_Toc250374361"/>
      <w:bookmarkStart w:id="53" w:name="_Toc144592495"/>
      <w:bookmarkStart w:id="54" w:name="_Toc197315596"/>
      <w:bookmarkStart w:id="55" w:name="_Toc197359290"/>
      <w:bookmarkStart w:id="56" w:name="_Toc144955167"/>
      <w:bookmarkStart w:id="57" w:name="_Toc144869805"/>
      <w:bookmarkStart w:id="58" w:name="_Toc144956537"/>
      <w:bookmarkStart w:id="59" w:name="_Toc197658119"/>
      <w:bookmarkStart w:id="60" w:name="_Toc197155180"/>
      <w:bookmarkStart w:id="61" w:name="_Toc197690280"/>
      <w:bookmarkStart w:id="62" w:name="_Toc197156170"/>
      <w:bookmarkStart w:id="63" w:name="_Toc144956168"/>
      <w:bookmarkStart w:id="64" w:name="_Toc144954407"/>
      <w:bookmarkStart w:id="65" w:name="_Toc145075080"/>
      <w:bookmarkStart w:id="66" w:name="_Toc144870601"/>
      <w:bookmarkStart w:id="67" w:name="_Toc144956384"/>
      <w:r>
        <w:rPr>
          <w:rFonts w:hint="eastAsia" w:ascii="宋体" w:hAnsi="宋体" w:eastAsia="宋体" w:cs="宋体"/>
          <w:color w:val="000000"/>
          <w:sz w:val="24"/>
          <w:szCs w:val="24"/>
          <w:highlight w:val="none"/>
        </w:rPr>
        <w:t>(6)每次运维结束后记录仪器各显示状态参数，汇总运维记录。</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(7)VOCs气密性检查，</w:t>
      </w:r>
      <w:r>
        <w:rPr>
          <w:rFonts w:hint="eastAsia" w:ascii="宋体" w:hAnsi="宋体" w:eastAsia="宋体" w:cs="宋体"/>
          <w:color w:val="000000"/>
          <w:sz w:val="24"/>
          <w:szCs w:val="24"/>
          <w:highlight w:val="none"/>
          <w:lang w:eastAsia="zh-CN"/>
        </w:rPr>
        <w:t>冷阱</w:t>
      </w:r>
      <w:r>
        <w:rPr>
          <w:rFonts w:hint="eastAsia" w:ascii="宋体" w:hAnsi="宋体" w:eastAsia="宋体" w:cs="宋体"/>
          <w:color w:val="000000"/>
          <w:sz w:val="24"/>
          <w:szCs w:val="24"/>
          <w:highlight w:val="none"/>
        </w:rPr>
        <w:t>工作状态检查，真空泵工作状态。每周检查载气净化装置、质谱真空度，FID、MSD工作温度是否正常。</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(8)每周检查零气空白和系统空白。</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(9)每周检查分离度，环戊烷和异戊烷的分离度、2，3-二甲基戊烷和2甲基己烷的分离度、邻二甲苯和苯乙烯的分离度均应＞1.0</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48"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(10)每周进行一次单点检查，相对误差应FID≦20%，MSD≦30%。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bookmarkStart w:id="68" w:name="_Toc267994007"/>
      <w:bookmarkStart w:id="69" w:name="_Toc323393826"/>
      <w:bookmarkStart w:id="70" w:name="_Toc272221150"/>
      <w:r>
        <w:rPr>
          <w:rFonts w:hint="eastAsia" w:ascii="宋体" w:hAnsi="宋体" w:eastAsia="宋体" w:cs="宋体"/>
          <w:b/>
          <w:bCs/>
          <w:color w:val="000000"/>
          <w:sz w:val="24"/>
          <w:szCs w:val="24"/>
          <w:highlight w:val="none"/>
        </w:rPr>
        <w:t>(五)月度/半年度运维工作</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bookmarkStart w:id="71" w:name="_Hlk75948735"/>
      <w:r>
        <w:rPr>
          <w:rFonts w:hint="eastAsia" w:ascii="宋体" w:hAnsi="宋体" w:eastAsia="宋体" w:cs="宋体"/>
          <w:b/>
          <w:bCs/>
          <w:color w:val="000000"/>
          <w:sz w:val="24"/>
          <w:szCs w:val="24"/>
          <w:highlight w:val="none"/>
        </w:rPr>
        <w:t xml:space="preserve">1. </w:t>
      </w:r>
      <w:r>
        <w:rPr>
          <w:rFonts w:hint="eastAsia" w:ascii="宋体" w:hAnsi="宋体" w:eastAsia="宋体" w:cs="宋体"/>
          <w:b/>
          <w:bCs/>
          <w:color w:val="auto"/>
          <w:sz w:val="24"/>
          <w:szCs w:val="24"/>
          <w:highlight w:val="none"/>
        </w:rPr>
        <w:t>常规六参数</w:t>
      </w:r>
      <w:r>
        <w:rPr>
          <w:rFonts w:hint="eastAsia" w:ascii="宋体" w:hAnsi="宋体" w:eastAsia="宋体" w:cs="宋体"/>
          <w:b/>
          <w:bCs/>
          <w:color w:val="000000"/>
          <w:sz w:val="24"/>
          <w:szCs w:val="24"/>
          <w:highlight w:val="none"/>
        </w:rPr>
        <w:t>及其辅助设备</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(1)每月对仪器包含（VOCs）进行气密性检查并对仪器流量进行检查或校准，使用可追溯标准流量计。</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(2)每季度对站点设备进行清洁（包括采样管）。</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(3)每季度一次气态污染物仪器（包含动态校准仪）精密度检查并做好记录。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(4)每季度对臭氧进行溯源与标准传递工作。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(5)每季度对颗粒物仪器进行标准膜校准、浊度检查等校准，对颗粒物仪器进行温度、湿度和压力检查或校准。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(6)每半年对气态污染物总采样管进行一次清洗。</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(7)每半年对氮氧化物分析仪的钼炉转化率至少检查一次。</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(8)每半年气态污染物仪器（两次间隔为5-7月）（包含动态校准仪）一次多点线性校准并做好记录。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(9)仪器维修更换重要部件（如电光部件和光学部件等）后要进行多点线性校准。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FF"/>
          <w:sz w:val="24"/>
          <w:szCs w:val="24"/>
          <w:highlight w:val="none"/>
          <w:lang w:eastAsia="zh-CN"/>
        </w:rPr>
      </w:pPr>
      <w:r>
        <w:rPr>
          <w:rFonts w:hint="eastAsia" w:ascii="宋体" w:hAnsi="宋体" w:eastAsia="宋体" w:cs="宋体"/>
          <w:color w:val="000000"/>
          <w:sz w:val="24"/>
          <w:szCs w:val="24"/>
          <w:highlight w:val="none"/>
        </w:rPr>
        <w:t>（10）每半年对长光程监测系统发射/接受端的前窗玻璃窗镜至少进行一次清洁，擦洗时注意避免损坏前窗玻璃。每季度对长光程仪器进行一次运行状态检查</w:t>
      </w:r>
      <w:r>
        <w:rPr>
          <w:rFonts w:hint="eastAsia" w:ascii="宋体" w:hAnsi="宋体" w:eastAsia="宋体" w:cs="宋体"/>
          <w:color w:val="auto"/>
          <w:sz w:val="24"/>
          <w:szCs w:val="24"/>
          <w:highlight w:val="none"/>
        </w:rPr>
        <w:t>。每1年更换氙灯</w:t>
      </w:r>
      <w:r>
        <w:rPr>
          <w:rFonts w:hint="eastAsia" w:ascii="宋体" w:hAnsi="宋体" w:eastAsia="宋体" w:cs="宋体"/>
          <w:color w:val="auto"/>
          <w:sz w:val="24"/>
          <w:szCs w:val="24"/>
          <w:highlight w:val="none"/>
          <w:lang w:val="en-US" w:eastAsia="zh-CN"/>
        </w:rPr>
        <w:t>1次</w:t>
      </w:r>
      <w:r>
        <w:rPr>
          <w:rFonts w:hint="eastAsia" w:ascii="宋体" w:hAnsi="宋体" w:eastAsia="宋体" w:cs="宋体"/>
          <w:color w:val="auto"/>
          <w:sz w:val="24"/>
          <w:szCs w:val="24"/>
          <w:highlight w:val="none"/>
          <w:lang w:eastAsia="zh-CN"/>
        </w:rPr>
        <w:t>。</w:t>
      </w:r>
    </w:p>
    <w:bookmarkEnd w:id="71"/>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 VOCs分析仪</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(1)每季度进行5个点以上的多点校准；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(2)每月清洗冷凝器；</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(3)每月对在线VOC和气象六参数仪器内部相关部件外部灰尘吹扫</w:t>
      </w:r>
      <w:bookmarkEnd w:id="68"/>
      <w:bookmarkEnd w:id="69"/>
      <w:bookmarkEnd w:id="70"/>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(4)检查气路连接的密封性；</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(5)屋顶采样口及气象杆密封胶检查；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(6)每月清洗一次空调过滤网，防止尘土阻塞空调过滤网影响运行效率；</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(7)每季度清洗离子源，更换MS灯丝；</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(8)每5个月左右更换高纯氦气。</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bookmarkStart w:id="72" w:name="_Toc197359292"/>
      <w:bookmarkStart w:id="73" w:name="_Toc250034274"/>
      <w:bookmarkStart w:id="74" w:name="_Toc144955169"/>
      <w:bookmarkStart w:id="75" w:name="_Toc145075082"/>
      <w:bookmarkStart w:id="76" w:name="_Toc144956539"/>
      <w:bookmarkStart w:id="77" w:name="_Toc272221151"/>
      <w:bookmarkStart w:id="78" w:name="_Toc144592497"/>
      <w:bookmarkStart w:id="79" w:name="_Toc197155571"/>
      <w:bookmarkStart w:id="80" w:name="_Toc144866577"/>
      <w:bookmarkStart w:id="81" w:name="_Toc197156172"/>
      <w:bookmarkStart w:id="82" w:name="_Toc144870603"/>
      <w:bookmarkStart w:id="83" w:name="_Toc144179197"/>
      <w:bookmarkStart w:id="84" w:name="_Toc144179235"/>
      <w:bookmarkStart w:id="85" w:name="_Toc267994008"/>
      <w:bookmarkStart w:id="86" w:name="_Toc197155182"/>
      <w:bookmarkStart w:id="87" w:name="_Toc197315598"/>
      <w:bookmarkStart w:id="88" w:name="_Toc197315107"/>
      <w:bookmarkStart w:id="89" w:name="_Toc250374363"/>
      <w:bookmarkStart w:id="90" w:name="_Toc144869807"/>
      <w:bookmarkStart w:id="91" w:name="_Toc144179123"/>
      <w:bookmarkStart w:id="92" w:name="_Toc144178882"/>
      <w:bookmarkStart w:id="93" w:name="_Toc323393827"/>
      <w:bookmarkStart w:id="94" w:name="_Toc144956170"/>
      <w:bookmarkStart w:id="95" w:name="_Toc197339975"/>
      <w:bookmarkStart w:id="96" w:name="_Toc197358176"/>
      <w:bookmarkStart w:id="97" w:name="_Toc144956386"/>
      <w:bookmarkStart w:id="98" w:name="_Toc144871334"/>
      <w:bookmarkStart w:id="99" w:name="_Toc144866441"/>
      <w:bookmarkStart w:id="100" w:name="_Toc197658121"/>
      <w:bookmarkStart w:id="101" w:name="_Toc197690501"/>
      <w:bookmarkStart w:id="102" w:name="_Toc197690282"/>
      <w:bookmarkStart w:id="103" w:name="_Toc144954409"/>
      <w:r>
        <w:rPr>
          <w:rFonts w:hint="eastAsia" w:ascii="宋体" w:hAnsi="宋体" w:eastAsia="宋体" w:cs="宋体"/>
          <w:b/>
          <w:bCs/>
          <w:color w:val="000000"/>
          <w:sz w:val="24"/>
          <w:szCs w:val="24"/>
          <w:highlight w:val="none"/>
        </w:rPr>
        <w:t>(六)年度</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hint="eastAsia" w:ascii="宋体" w:hAnsi="宋体" w:eastAsia="宋体" w:cs="宋体"/>
          <w:b/>
          <w:bCs/>
          <w:color w:val="000000"/>
          <w:sz w:val="24"/>
          <w:szCs w:val="24"/>
          <w:highlight w:val="none"/>
        </w:rPr>
        <w:t>运维工作</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w:t>
      </w:r>
      <w:r>
        <w:rPr>
          <w:rFonts w:hint="eastAsia" w:ascii="宋体" w:hAnsi="宋体" w:eastAsia="宋体" w:cs="宋体"/>
          <w:b/>
          <w:bCs/>
          <w:color w:val="auto"/>
          <w:sz w:val="24"/>
          <w:szCs w:val="24"/>
          <w:highlight w:val="none"/>
        </w:rPr>
        <w:t>常规六参数</w:t>
      </w:r>
      <w:r>
        <w:rPr>
          <w:rFonts w:hint="eastAsia" w:ascii="宋体" w:hAnsi="宋体" w:eastAsia="宋体" w:cs="宋体"/>
          <w:b/>
          <w:bCs/>
          <w:color w:val="000000"/>
          <w:sz w:val="24"/>
          <w:szCs w:val="24"/>
          <w:highlight w:val="none"/>
        </w:rPr>
        <w:t>及其辅助设备</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(1)氮氧化物分析仪的钼炉转化率每年至少检查一次（两次检查间隔为10-14月）。</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(2)在每年4月份之前完成所有子站O</w:t>
      </w:r>
      <w:r>
        <w:rPr>
          <w:rFonts w:hint="eastAsia" w:ascii="宋体" w:hAnsi="宋体" w:eastAsia="宋体" w:cs="宋体"/>
          <w:color w:val="000000"/>
          <w:sz w:val="24"/>
          <w:szCs w:val="24"/>
          <w:highlight w:val="none"/>
          <w:vertAlign w:val="subscript"/>
        </w:rPr>
        <w:t>3</w:t>
      </w:r>
      <w:r>
        <w:rPr>
          <w:rFonts w:hint="eastAsia" w:ascii="宋体" w:hAnsi="宋体" w:eastAsia="宋体" w:cs="宋体"/>
          <w:color w:val="000000"/>
          <w:sz w:val="24"/>
          <w:szCs w:val="24"/>
          <w:highlight w:val="none"/>
        </w:rPr>
        <w:t>的溯源与标准传递工作。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(3)颗粒物每年一次标准膜质量校准，每年一次环境温度/压力校准并做好记录。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(4)多元气体校准仪：每年进行一次标气和零气的质量流量计校准并做好记录。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(5)每年对各监测仪器的准确度进行一次审核，对仪器压力传感器进行一次检查和校准。</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2.VOCs分析仪</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(1)每年更换机械泵泵油。</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eastAsia="zh-CN"/>
        </w:rPr>
        <w:t>根据</w:t>
      </w:r>
      <w:r>
        <w:rPr>
          <w:rFonts w:hint="eastAsia" w:ascii="宋体" w:hAnsi="宋体" w:eastAsia="宋体" w:cs="宋体"/>
          <w:color w:val="000000"/>
          <w:sz w:val="24"/>
          <w:szCs w:val="24"/>
          <w:highlight w:val="none"/>
        </w:rPr>
        <w:t>易耗器材的使用寿命及时更换</w:t>
      </w:r>
      <w:r>
        <w:rPr>
          <w:rFonts w:hint="eastAsia" w:ascii="宋体" w:hAnsi="宋体" w:eastAsia="宋体" w:cs="宋体"/>
          <w:color w:val="000000"/>
          <w:sz w:val="24"/>
          <w:szCs w:val="24"/>
          <w:highlight w:val="none"/>
          <w:lang w:eastAsia="zh-CN"/>
        </w:rPr>
        <w:t>耗材</w:t>
      </w:r>
      <w:r>
        <w:rPr>
          <w:rFonts w:hint="eastAsia" w:ascii="宋体" w:hAnsi="宋体" w:eastAsia="宋体" w:cs="宋体"/>
          <w:color w:val="000000"/>
          <w:sz w:val="24"/>
          <w:szCs w:val="24"/>
          <w:highlight w:val="none"/>
        </w:rPr>
        <w:t>（色谱柱，捕集柱，除水石英管，电子倍增器等）。</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(3)每年进行一次检出限检查，90%以上组分检出限≦0.1ppb。</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bookmarkStart w:id="104" w:name="_Toc436815027"/>
      <w:bookmarkStart w:id="105" w:name="_Toc323393829"/>
      <w:bookmarkStart w:id="106" w:name="_Toc267994011"/>
      <w:bookmarkStart w:id="107" w:name="_Toc250374366"/>
      <w:bookmarkStart w:id="108" w:name="_Toc250034277"/>
      <w:bookmarkStart w:id="109" w:name="_Toc440621208"/>
      <w:bookmarkStart w:id="110" w:name="_Toc272221153"/>
      <w:bookmarkStart w:id="111" w:name="_Toc246415792"/>
      <w:r>
        <w:rPr>
          <w:rFonts w:hint="eastAsia" w:ascii="宋体" w:hAnsi="宋体" w:eastAsia="宋体" w:cs="宋体"/>
          <w:b/>
          <w:bCs/>
          <w:color w:val="000000"/>
          <w:sz w:val="24"/>
          <w:szCs w:val="24"/>
          <w:highlight w:val="none"/>
        </w:rPr>
        <w:t>(七)系统检修</w:t>
      </w:r>
      <w:bookmarkEnd w:id="104"/>
      <w:bookmarkEnd w:id="105"/>
      <w:bookmarkEnd w:id="106"/>
      <w:bookmarkEnd w:id="107"/>
      <w:bookmarkEnd w:id="108"/>
      <w:bookmarkEnd w:id="109"/>
      <w:bookmarkEnd w:id="110"/>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1.若发现仪器故障，检修时需要仪器设备停用、拆除或更换的，应事先报经</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同意。</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auto"/>
          <w:sz w:val="24"/>
          <w:szCs w:val="24"/>
          <w:highlight w:val="none"/>
          <w:lang w:eastAsia="zh-CN"/>
        </w:rPr>
        <w:t>发现故障后</w:t>
      </w:r>
      <w:r>
        <w:rPr>
          <w:rFonts w:hint="eastAsia" w:ascii="宋体" w:hAnsi="宋体" w:eastAsia="宋体" w:cs="宋体"/>
          <w:color w:val="auto"/>
          <w:sz w:val="24"/>
          <w:szCs w:val="24"/>
          <w:highlight w:val="none"/>
        </w:rPr>
        <w:t>，在4小时内</w:t>
      </w:r>
      <w:r>
        <w:rPr>
          <w:rFonts w:hint="eastAsia" w:ascii="宋体" w:hAnsi="宋体" w:eastAsia="宋体" w:cs="宋体"/>
          <w:color w:val="000000"/>
          <w:sz w:val="24"/>
          <w:szCs w:val="24"/>
          <w:highlight w:val="none"/>
        </w:rPr>
        <w:t>赶到现场进行处理。对于一些容易诊断的故障，维修时间不超过24小时；对不易诊断和维修的仪器故障，若72小时内无法排除，使用备机。</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2.仪器经过维修后，在正常使用和运行之前应确保维修内容全部完成，性能通过检测程序。若对监测仪器进行了核心部件更换，在正常使用和运行之前应对仪器进行一次多点校准和性能考核。</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3.若数据存储/控制仪发生故障，在24小时内给出解决方案，48小时内修复或更换，并保证已采集的数据不丢失。</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4.检修人员进行维修时及时做好维修记录。维修记录应包含该故障发生的时间、故障现象、维修措施和内容、维修结果、校准检查等记录。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5.对于重大事故，严重影响系统运行或无法运行时，双方组织有关领导和技术人员到现场进行实地考察，经研究后，共同商定解决方案。</w:t>
      </w:r>
    </w:p>
    <w:bookmarkEnd w:id="111"/>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bookmarkStart w:id="112" w:name="_Toc440621209"/>
      <w:bookmarkStart w:id="113" w:name="_Toc436815028"/>
      <w:bookmarkStart w:id="114" w:name="_Toc272221154"/>
      <w:bookmarkStart w:id="115" w:name="_Toc323393830"/>
      <w:r>
        <w:rPr>
          <w:rFonts w:hint="eastAsia" w:ascii="宋体" w:hAnsi="宋体" w:eastAsia="宋体" w:cs="宋体"/>
          <w:b/>
          <w:bCs/>
          <w:color w:val="000000"/>
          <w:sz w:val="24"/>
          <w:szCs w:val="24"/>
          <w:highlight w:val="none"/>
        </w:rPr>
        <w:t>(八) 系统年度维护及大修工作</w:t>
      </w:r>
      <w:bookmarkEnd w:id="112"/>
      <w:bookmarkEnd w:id="113"/>
      <w:bookmarkEnd w:id="114"/>
      <w:bookmarkEnd w:id="115"/>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为了保证空气自动监测站的长期正常运行，每年度对系统进行年度维护和大修，必要时，对气路和关键零部件进行更换，对不合理的地方进行改造。具体内容如下：</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（1）对仪器电路各测试点进行测试与调整。</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（2）对仪器进行气路检漏和流量检查。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（3）对仪器光路、气路、电路板和各种接头及插座等进行检查和清洁处理。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（4）对仪器的输出零点和满量程进行检查和校准，并检查仪器的输出线性。</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（5）在每次完成仪器年度维护和大修后，或更换了仪器中的关键零部件后，应对仪器重新进行多点校准和检查。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（6）维护人员在进行年度维护和大修时，应及时做好维护记录。维护记录需包含对仪器采取的维护措施和内容，以及校准核查等记录。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（7）对所有的历史图谱、数据、文件进行备份。</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（九）仪器质控措施</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长光程仪器每半年进行1次多点校准和2次零点校正并做好记录（臭氧零点和多点不得在每</w:t>
      </w:r>
      <w:r>
        <w:rPr>
          <w:rFonts w:hint="eastAsia" w:ascii="宋体" w:hAnsi="宋体" w:eastAsia="宋体" w:cs="宋体"/>
          <w:color w:val="auto"/>
          <w:sz w:val="24"/>
          <w:szCs w:val="24"/>
          <w:highlight w:val="none"/>
        </w:rPr>
        <w:t>日9-1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时进行</w:t>
      </w:r>
      <w:r>
        <w:rPr>
          <w:rFonts w:hint="eastAsia" w:ascii="宋体" w:hAnsi="宋体" w:eastAsia="宋体" w:cs="宋体"/>
          <w:color w:val="000000"/>
          <w:sz w:val="24"/>
          <w:szCs w:val="24"/>
          <w:highlight w:val="none"/>
        </w:rPr>
        <w:t>）；多元气体校准仪：每年进行一次标气和零气的质量流量计校准并做好记录。(使用有效期内的国家一级标准气体或其它权威部门确定的标准气体并提供标物证书复印件（随气体钢瓶提供）。校准使用的气压、温度计必须经过计量检定部门检定并处于有效期内（检定/校准证书复印件跟随仪器）。</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（十）平台数据查看和数据审核</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常驻中心人员每日上午8:30报到，查看仪器运行状况、工作参数、数据采集和传输情况（包括市平台、省平台及国家平台）是否正常（网络查看），于每日中午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点前完成前一日数据审核工作，每日查看</w:t>
      </w:r>
      <w:r>
        <w:rPr>
          <w:rFonts w:hint="eastAsia" w:ascii="宋体" w:hAnsi="宋体" w:eastAsia="宋体" w:cs="宋体"/>
          <w:color w:val="auto"/>
          <w:sz w:val="24"/>
          <w:szCs w:val="24"/>
          <w:highlight w:val="none"/>
          <w:lang w:eastAsia="zh-CN"/>
        </w:rPr>
        <w:t>各站点</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不少于三</w:t>
      </w:r>
      <w:r>
        <w:rPr>
          <w:rFonts w:hint="eastAsia" w:ascii="宋体" w:hAnsi="宋体" w:eastAsia="宋体" w:cs="宋体"/>
          <w:color w:val="auto"/>
          <w:sz w:val="24"/>
          <w:szCs w:val="24"/>
          <w:highlight w:val="none"/>
        </w:rPr>
        <w:t>次（上午9:00前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下午16:00</w:t>
      </w:r>
      <w:r>
        <w:rPr>
          <w:rFonts w:hint="eastAsia" w:ascii="宋体" w:hAnsi="宋体" w:eastAsia="宋体" w:cs="宋体"/>
          <w:color w:val="auto"/>
          <w:sz w:val="24"/>
          <w:szCs w:val="24"/>
          <w:highlight w:val="none"/>
          <w:lang w:eastAsia="zh-CN"/>
        </w:rPr>
        <w:t>前，晚上</w:t>
      </w:r>
      <w:r>
        <w:rPr>
          <w:rFonts w:hint="eastAsia" w:ascii="宋体" w:hAnsi="宋体" w:eastAsia="宋体" w:cs="宋体"/>
          <w:color w:val="auto"/>
          <w:sz w:val="24"/>
          <w:szCs w:val="24"/>
          <w:highlight w:val="none"/>
          <w:lang w:val="en-US" w:eastAsia="zh-CN"/>
        </w:rPr>
        <w:t>10：00前</w:t>
      </w:r>
      <w:r>
        <w:rPr>
          <w:rFonts w:hint="eastAsia" w:ascii="宋体" w:hAnsi="宋体" w:eastAsia="宋体" w:cs="宋体"/>
          <w:color w:val="auto"/>
          <w:sz w:val="24"/>
          <w:szCs w:val="24"/>
          <w:highlight w:val="none"/>
        </w:rPr>
        <w:t>）并做好记录，若发现问题，及时查明原因并按应急管理中的时限要求处理。</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(十</w:t>
      </w:r>
      <w:r>
        <w:rPr>
          <w:rFonts w:hint="eastAsia" w:ascii="宋体" w:hAnsi="宋体" w:eastAsia="宋体" w:cs="宋体"/>
          <w:b/>
          <w:bCs/>
          <w:color w:val="000000"/>
          <w:sz w:val="24"/>
          <w:szCs w:val="24"/>
          <w:highlight w:val="none"/>
          <w:lang w:eastAsia="zh-CN"/>
        </w:rPr>
        <w:t>一</w:t>
      </w:r>
      <w:r>
        <w:rPr>
          <w:rFonts w:hint="eastAsia" w:ascii="宋体" w:hAnsi="宋体" w:eastAsia="宋体" w:cs="宋体"/>
          <w:b/>
          <w:bCs/>
          <w:color w:val="000000"/>
          <w:sz w:val="24"/>
          <w:szCs w:val="24"/>
          <w:highlight w:val="none"/>
        </w:rPr>
        <w:t>) 其他</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及上级主管部门进行气站质量保证和质量控制工作。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(2)随时接受</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及上级主管部门的工作考核及质量考核。</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(3)质量审核支持性文件《环境空气质量自动监测技术规范》</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做好质量审核工作，质量审核内容和时间视</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要求而定。</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(5)配合计量院做好强检工作。</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(十</w:t>
      </w:r>
      <w:r>
        <w:rPr>
          <w:rFonts w:hint="eastAsia" w:ascii="宋体" w:hAnsi="宋体" w:eastAsia="宋体" w:cs="宋体"/>
          <w:b/>
          <w:bCs/>
          <w:color w:val="000000"/>
          <w:sz w:val="24"/>
          <w:szCs w:val="24"/>
          <w:highlight w:val="none"/>
          <w:lang w:eastAsia="zh-CN"/>
        </w:rPr>
        <w:t>二</w:t>
      </w:r>
      <w:r>
        <w:rPr>
          <w:rFonts w:hint="eastAsia" w:ascii="宋体" w:hAnsi="宋体" w:eastAsia="宋体" w:cs="宋体"/>
          <w:b/>
          <w:bCs/>
          <w:color w:val="000000"/>
          <w:sz w:val="24"/>
          <w:szCs w:val="24"/>
          <w:highlight w:val="none"/>
        </w:rPr>
        <w:t>)应急管理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1.出现监测数据异常、仪器故障或通讯故障，应在</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小时内到达</w:t>
      </w:r>
      <w:r>
        <w:rPr>
          <w:rFonts w:hint="eastAsia" w:ascii="宋体" w:hAnsi="宋体" w:eastAsia="宋体" w:cs="宋体"/>
          <w:color w:val="auto"/>
          <w:sz w:val="24"/>
          <w:szCs w:val="24"/>
          <w:highlight w:val="none"/>
          <w:lang w:eastAsia="zh-CN"/>
        </w:rPr>
        <w:t>站点</w:t>
      </w:r>
      <w:r>
        <w:rPr>
          <w:rFonts w:hint="eastAsia" w:ascii="宋体" w:hAnsi="宋体" w:eastAsia="宋体" w:cs="宋体"/>
          <w:color w:val="auto"/>
          <w:sz w:val="24"/>
          <w:szCs w:val="24"/>
          <w:highlight w:val="none"/>
        </w:rPr>
        <w:t>处理故障并将信息反馈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故障严重不能及时解决时，应关闭故障仪器的数据采集通道并告知中心站。如不能在72小时内排除故障，应更换备机，故障设备运回中心站，并负责维修仪器，故障设备应在一周内完成维修，维修完毕及时替换备机，并做好相应维修记录。如因自身技术能力不足无法修复仪器，需</w:t>
      </w:r>
      <w:r>
        <w:rPr>
          <w:rFonts w:hint="eastAsia" w:ascii="宋体" w:hAnsi="宋体" w:eastAsia="宋体" w:cs="宋体"/>
          <w:color w:val="000000"/>
          <w:sz w:val="24"/>
          <w:szCs w:val="24"/>
          <w:highlight w:val="none"/>
        </w:rPr>
        <w:t>委托仪器生产厂商服务的，运维单位须负责相关费用。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2.设备检修周期安排：每六个月对仪器进行一次预防性维护和各测试参数检查，同时做好记录。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3.故障处理措施：投标人必须提供完善的故障处理预案。</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注：《环境空气自动监测质量现场检查评分表》详见附件</w:t>
      </w:r>
      <w:r>
        <w:rPr>
          <w:rFonts w:hint="eastAsia" w:ascii="宋体" w:hAnsi="宋体" w:cs="宋体"/>
          <w:b/>
          <w:bCs/>
          <w:color w:val="auto"/>
          <w:sz w:val="24"/>
          <w:szCs w:val="24"/>
          <w:highlight w:val="none"/>
          <w:lang w:val="en-US" w:eastAsia="zh-CN"/>
        </w:rPr>
        <w:t>18</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b/>
          <w:bCs/>
          <w:color w:val="000000"/>
          <w:sz w:val="24"/>
          <w:szCs w:val="24"/>
          <w:highlight w:val="none"/>
          <w:lang w:val="en-US" w:eastAsia="zh-CN"/>
        </w:rPr>
      </w:pPr>
      <w:r>
        <w:rPr>
          <w:rFonts w:hint="eastAsia"/>
          <w:b/>
          <w:bCs/>
          <w:color w:val="000000"/>
          <w:sz w:val="24"/>
          <w:szCs w:val="24"/>
          <w:highlight w:val="none"/>
          <w:lang w:val="en-US" w:eastAsia="zh-CN"/>
        </w:rPr>
        <w:t>标项三、标项四水质自动监测站服务需求：</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1、工作内容</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1.1运维</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照技术规范和相关要求对仪器进行运行维护及管理，包括日常维护、日常数据初审、仪器维修、故障处理、备品备件耗材提供。按要求完成质控措施，填写运维记录、仪器校准记录、质控记录、故障排除记录等。服务期内仪器维修费、耗材及备品备件、站点运行所需</w:t>
      </w:r>
      <w:r>
        <w:rPr>
          <w:rFonts w:hint="eastAsia" w:ascii="宋体" w:hAnsi="宋体" w:eastAsia="宋体" w:cs="宋体"/>
          <w:color w:val="000000"/>
          <w:sz w:val="24"/>
          <w:szCs w:val="24"/>
          <w:highlight w:val="none"/>
          <w:lang w:eastAsia="zh-CN"/>
        </w:rPr>
        <w:t>水费、</w:t>
      </w:r>
      <w:r>
        <w:rPr>
          <w:rFonts w:hint="eastAsia" w:ascii="宋体" w:hAnsi="宋体" w:eastAsia="宋体" w:cs="宋体"/>
          <w:color w:val="000000"/>
          <w:sz w:val="24"/>
          <w:szCs w:val="24"/>
          <w:highlight w:val="none"/>
        </w:rPr>
        <w:t>电费、网络费、防雷检测报告由中标人承担及提供。</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w:t>
      </w:r>
      <w:r>
        <w:rPr>
          <w:rFonts w:hint="eastAsia" w:ascii="宋体" w:hAnsi="宋体" w:eastAsia="宋体" w:cs="宋体"/>
          <w:b/>
          <w:bCs/>
          <w:color w:val="auto"/>
          <w:sz w:val="24"/>
          <w:szCs w:val="24"/>
          <w:highlight w:val="none"/>
          <w:lang w:eastAsia="zh-CN"/>
        </w:rPr>
        <w:t>监理</w:t>
      </w:r>
      <w:r>
        <w:rPr>
          <w:rFonts w:hint="eastAsia" w:ascii="宋体" w:hAnsi="宋体" w:eastAsia="宋体" w:cs="宋体"/>
          <w:b/>
          <w:bCs/>
          <w:color w:val="auto"/>
          <w:sz w:val="24"/>
          <w:szCs w:val="24"/>
          <w:highlight w:val="none"/>
        </w:rPr>
        <w:t>检查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运维服务期内，标项</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和标项</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中标单位</w:t>
      </w:r>
      <w:r>
        <w:rPr>
          <w:rFonts w:hint="eastAsia" w:ascii="宋体" w:hAnsi="宋体" w:eastAsia="宋体" w:cs="宋体"/>
          <w:color w:val="auto"/>
          <w:sz w:val="24"/>
          <w:szCs w:val="24"/>
          <w:highlight w:val="none"/>
          <w:lang w:eastAsia="zh-CN"/>
        </w:rPr>
        <w:t>配合监理单位进行监理</w:t>
      </w:r>
      <w:r>
        <w:rPr>
          <w:rFonts w:hint="eastAsia" w:ascii="宋体" w:hAnsi="宋体" w:eastAsia="宋体" w:cs="宋体"/>
          <w:color w:val="auto"/>
          <w:sz w:val="24"/>
          <w:szCs w:val="24"/>
          <w:highlight w:val="none"/>
        </w:rPr>
        <w:t>检查，</w:t>
      </w:r>
      <w:r>
        <w:rPr>
          <w:rFonts w:hint="eastAsia" w:ascii="宋体" w:hAnsi="宋体" w:eastAsia="宋体" w:cs="宋体"/>
          <w:color w:val="auto"/>
          <w:sz w:val="24"/>
          <w:szCs w:val="24"/>
          <w:highlight w:val="none"/>
          <w:lang w:eastAsia="zh-CN"/>
        </w:rPr>
        <w:t>监理</w:t>
      </w:r>
      <w:r>
        <w:rPr>
          <w:rFonts w:hint="eastAsia" w:ascii="宋体" w:hAnsi="宋体" w:eastAsia="宋体" w:cs="宋体"/>
          <w:color w:val="auto"/>
          <w:sz w:val="24"/>
          <w:szCs w:val="24"/>
          <w:highlight w:val="none"/>
        </w:rPr>
        <w:t>检查工作包括但不限于运维体系检查、数据质量监督检查、异常数据检查和盲样考核等</w:t>
      </w:r>
      <w:r>
        <w:rPr>
          <w:rFonts w:hint="eastAsia" w:ascii="宋体" w:hAnsi="宋体" w:eastAsia="宋体" w:cs="宋体"/>
          <w:color w:val="auto"/>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2、总体要求</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2.1项目实施技术规范和标准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1、生态环境部发布的相关水质在线监测技术标准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2、国家标准方法和《水和废水监测分析方法》（第四版）</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3、《地表水自动监测技术规范（试行）》（HJ 915-2017）</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4、《地表水水质自动监测站运行维护技术要求（试行）》</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5、《国家地表水自动监测站运行管理办法》</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6、《浙江省地表水环境自动监测技术规范》</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7、《浙江省地表水水质自动监测系统运行管理细则》</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浙江省地表水水质自动监测站运行维护与质量控制技术规定</w:t>
      </w:r>
      <w:r>
        <w:rPr>
          <w:rFonts w:hint="eastAsia" w:ascii="宋体" w:hAnsi="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（试行）</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9、《环境水质监测质量保证手册》</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HYPERLINK "http://www.sepa.gov.cn/image20010518/1782.pdf"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地表水和污水监测技术规范》（HJ/T91-2002 ）</w:t>
      </w:r>
      <w:r>
        <w:rPr>
          <w:rFonts w:hint="eastAsia" w:ascii="宋体" w:hAnsi="宋体" w:eastAsia="宋体" w:cs="宋体"/>
          <w:color w:val="000000"/>
          <w:sz w:val="24"/>
          <w:szCs w:val="24"/>
          <w:highlight w:val="none"/>
        </w:rPr>
        <w:fldChar w:fldCharType="end"/>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11、《水质 采样技术指导》（HJ 494—2009 ）</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12、《水质 河流采样技术指导》（HJ/T52-1999）</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13、《水质 湖泊和水库采样技术指导》（GBT 14581-93）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14、《pH水质自动分析仪技术要求》（HJ/T96-2003）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15、《电导率水质自动分析仪技术要求》（HJ/T97-2003）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16、《浊度水质自动分析仪技术要求》（HJ/T98-2003）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17、《溶解氧（DO）水质自动分析仪技术要求》（HJ/T99-2003）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18、《高锰酸盐指数水质自动分析仪技术要求》（HJ/T100-2003）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19、《氨氮水质自动分析仪技术要求》（HJ/T101-</w:t>
      </w:r>
      <w:r>
        <w:rPr>
          <w:rFonts w:hint="eastAsia" w:ascii="宋体" w:hAnsi="宋体" w:cs="宋体"/>
          <w:color w:val="000000"/>
          <w:sz w:val="24"/>
          <w:szCs w:val="24"/>
          <w:highlight w:val="none"/>
          <w:lang w:val="en-US" w:eastAsia="zh-CN"/>
        </w:rPr>
        <w:t>2019</w:t>
      </w:r>
      <w:r>
        <w:rPr>
          <w:rFonts w:hint="eastAsia" w:ascii="宋体" w:hAnsi="宋体" w:eastAsia="宋体" w:cs="宋体"/>
          <w:color w:val="000000"/>
          <w:sz w:val="24"/>
          <w:szCs w:val="24"/>
          <w:highlight w:val="none"/>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20、《总氮水质自动分析仪技术要求》（HJ/T102-2003）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21、《总磷水质自动分析仪技术要求》（HJ/T103-2003）</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招标文件中未明确的质控管理要求，按照浙江省已制定的相关规范性文件执行，若出台新的管理办法或技术规范时，按新要求执行。</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2.2对运维单位的要求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2.2.1投标人必须有较强的系统集成能力，具有地表水、饮用水源地自动监测站运维能力，承担过类似的水质自动监测运维工作，在业界有良好的信誉和口碑，且具备稳定的专业服务团队；</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2.2.2为本项目配置专业的运维人员和车辆（标项</w:t>
      </w:r>
      <w:r>
        <w:rPr>
          <w:rFonts w:hint="eastAsia" w:ascii="宋体" w:hAnsi="宋体" w:eastAsia="宋体" w:cs="宋体"/>
          <w:color w:val="000000"/>
          <w:sz w:val="24"/>
          <w:szCs w:val="24"/>
          <w:highlight w:val="none"/>
          <w:lang w:val="en-US" w:eastAsia="zh-CN"/>
        </w:rPr>
        <w:t>三</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四</w:t>
      </w:r>
      <w:r>
        <w:rPr>
          <w:rFonts w:hint="eastAsia" w:ascii="宋体" w:hAnsi="宋体" w:eastAsia="宋体" w:cs="宋体"/>
          <w:color w:val="000000"/>
          <w:sz w:val="24"/>
          <w:szCs w:val="24"/>
          <w:highlight w:val="none"/>
        </w:rPr>
        <w:t>各须至少5名专业</w:t>
      </w:r>
      <w:r>
        <w:rPr>
          <w:rFonts w:hint="eastAsia" w:ascii="宋体" w:hAnsi="宋体" w:eastAsia="宋体" w:cs="宋体"/>
          <w:color w:val="000000"/>
          <w:sz w:val="24"/>
          <w:szCs w:val="24"/>
          <w:highlight w:val="none"/>
          <w:lang w:val="en-US" w:eastAsia="zh-CN"/>
        </w:rPr>
        <w:t>运维</w:t>
      </w:r>
      <w:r>
        <w:rPr>
          <w:rFonts w:hint="eastAsia" w:ascii="宋体" w:hAnsi="宋体" w:eastAsia="宋体" w:cs="宋体"/>
          <w:color w:val="000000"/>
          <w:sz w:val="24"/>
          <w:szCs w:val="24"/>
          <w:highlight w:val="none"/>
        </w:rPr>
        <w:t>人员，配备专用车辆3辆；标项</w:t>
      </w:r>
      <w:r>
        <w:rPr>
          <w:rFonts w:hint="eastAsia" w:ascii="宋体" w:hAnsi="宋体" w:eastAsia="宋体" w:cs="宋体"/>
          <w:color w:val="000000"/>
          <w:sz w:val="24"/>
          <w:szCs w:val="24"/>
          <w:highlight w:val="none"/>
          <w:lang w:val="en-US" w:eastAsia="zh-CN"/>
        </w:rPr>
        <w:t>三</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四</w:t>
      </w:r>
      <w:r>
        <w:rPr>
          <w:rFonts w:hint="eastAsia" w:ascii="宋体" w:hAnsi="宋体" w:eastAsia="宋体" w:cs="宋体"/>
          <w:color w:val="000000"/>
          <w:sz w:val="24"/>
          <w:szCs w:val="24"/>
          <w:highlight w:val="none"/>
        </w:rPr>
        <w:t>分别各提供一名技术人员常驻浙江省台州生态环境监测中心），驻站人员须熟练掌握浙江省地表水、饮用水源地自动监测数据审核等相关知识，胜任数据审核及报告编制工作。运维人员需有</w:t>
      </w:r>
      <w:r>
        <w:rPr>
          <w:rFonts w:hint="eastAsia" w:ascii="宋体" w:hAnsi="宋体" w:cs="宋体"/>
          <w:color w:val="auto"/>
          <w:sz w:val="24"/>
          <w:szCs w:val="24"/>
          <w:highlight w:val="none"/>
          <w:lang w:eastAsia="zh-CN"/>
        </w:rPr>
        <w:t>一</w:t>
      </w:r>
      <w:r>
        <w:rPr>
          <w:rFonts w:hint="eastAsia" w:ascii="宋体" w:hAnsi="宋体" w:eastAsia="宋体" w:cs="宋体"/>
          <w:color w:val="000000"/>
          <w:sz w:val="24"/>
          <w:szCs w:val="24"/>
          <w:highlight w:val="none"/>
        </w:rPr>
        <w:t>年以上相关工作经验且具有省级及以上环境监测主管部门或环境协会颁发的水质自动站运维培训合格证，并在有效期内。运维车辆和技术人员必须为本项目专用，不得与其他项目兼用。专业技术人员队伍应保持相对稳定，并在投标时提供聘用合同及职工社会保险缴纳有效材料（原件及复印件）供采购人查验。</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2.2.3 委托运维期间，要求运维公司提供7×24小时全天候服务，当项目运维清单中设备发生故障时，须向采购人报告，中标人承担所有维修费用，故障须尽快解决，故障超过1天须说明原因并提供维修证明，维修时间最</w:t>
      </w:r>
      <w:r>
        <w:rPr>
          <w:rFonts w:hint="eastAsia" w:ascii="宋体" w:hAnsi="宋体" w:eastAsia="宋体" w:cs="宋体"/>
          <w:color w:val="000000"/>
          <w:sz w:val="24"/>
          <w:szCs w:val="24"/>
          <w:highlight w:val="none"/>
          <w:lang w:eastAsia="zh-CN"/>
        </w:rPr>
        <w:t>长</w:t>
      </w:r>
      <w:r>
        <w:rPr>
          <w:rFonts w:hint="eastAsia" w:ascii="宋体" w:hAnsi="宋体" w:eastAsia="宋体" w:cs="宋体"/>
          <w:color w:val="000000"/>
          <w:sz w:val="24"/>
          <w:szCs w:val="24"/>
          <w:highlight w:val="none"/>
        </w:rPr>
        <w:t>不得超过3天，如在3天内无法修复的设备，须提供相当性能、功能的备机，但备机不得连续使用超过一个月。</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2.2.4运维单位应建立备品备件备机制度，</w:t>
      </w:r>
      <w:r>
        <w:rPr>
          <w:rFonts w:hint="eastAsia" w:ascii="宋体" w:hAnsi="宋体" w:eastAsia="宋体" w:cs="宋体"/>
          <w:color w:val="000000"/>
          <w:sz w:val="24"/>
          <w:szCs w:val="24"/>
          <w:highlight w:val="none"/>
          <w:lang w:eastAsia="zh-CN"/>
        </w:rPr>
        <w:t>按</w:t>
      </w:r>
      <w:r>
        <w:rPr>
          <w:rFonts w:hint="eastAsia" w:ascii="宋体" w:hAnsi="宋体" w:eastAsia="宋体" w:cs="宋体"/>
          <w:color w:val="000000"/>
          <w:sz w:val="24"/>
          <w:szCs w:val="24"/>
          <w:highlight w:val="none"/>
        </w:rPr>
        <w:t>照不低于10</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1的比例配备备品备件和备机，备机种类应当覆盖水站所有监测参数，备机的监测原理应当与在用仪器设备一致，性能满足相关标准规范要求，同时配备专用工具耗材（便携式电脑、万用表、远程数据查询系统、各种硬件接口线、接口调试软件及常用零部件等）、药品试剂等</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2.2.5运维单位不得以任何形式对自动监测站所涉及的资产进行租用、出售、抵押、转移或处置；在委托运营维护及管理期间，运维单位有责任保证上述全部资产的完整、安全并始终处于良好状态。</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2.2.6在地表水、饮用水源地自动监测站运维及管理期间，严格按照相关规范标准和仪器设备说明书对所管理的系统及仪器设备进行规范操作和精心维护及必要维修，保证系统及仪器设备的正常运行，达到</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提出的系统及仪器设备考核指标要求。运行单位须积极协助和配合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完成上级部门对自动监测站运行检查及考核工作。运维过程中的耗材、备品备件需采用原厂件，如确实采购不到原厂件的，需向采购人报备并采购具有相同技术指标的耗材或配件。</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2.2.7提供完整的地表水、饮用水源地自动监测系统运维实施方案（含应急事故处理方案），提出解决问题的措施，明确维护方法、周期、内容及技术保障（包含本项目所含主要分析设备的日常维护和常见故障诊断方法）。有完善的管理制度及技术人员培训制度，指定项目负责人，并组织专职人员负责日常运营及质量管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2.2.8数据保密，在委托管理期间，运维单位应对系统状况和数据严格保密。未经委托方同意，运维单位不得利用本项目的任意资料对外开展技术交流、科学研究、业务联系、数据交换等。</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2.2.9 运维单位须签订《廉洁履约承诺书》和《防范人为干扰监测承诺书》，承诺书为运维合同履行不可分割的一部分；运维单位</w:t>
      </w:r>
      <w:r>
        <w:rPr>
          <w:rFonts w:hint="default" w:ascii="宋体" w:hAnsi="宋体" w:eastAsia="宋体" w:cs="宋体"/>
          <w:color w:val="000000"/>
          <w:sz w:val="24"/>
          <w:szCs w:val="24"/>
          <w:highlight w:val="none"/>
          <w:lang w:val="en-US" w:eastAsia="zh-CN"/>
        </w:rPr>
        <w:t>负责保管</w:t>
      </w:r>
      <w:r>
        <w:rPr>
          <w:rFonts w:hint="eastAsia" w:ascii="宋体" w:hAnsi="宋体" w:eastAsia="宋体" w:cs="宋体"/>
          <w:color w:val="000000"/>
          <w:sz w:val="24"/>
          <w:szCs w:val="24"/>
          <w:highlight w:val="none"/>
          <w:lang w:val="en-US" w:eastAsia="zh-CN"/>
        </w:rPr>
        <w:t>站点</w:t>
      </w:r>
      <w:r>
        <w:rPr>
          <w:rFonts w:hint="default" w:ascii="宋体" w:hAnsi="宋体" w:eastAsia="宋体" w:cs="宋体"/>
          <w:color w:val="000000"/>
          <w:sz w:val="24"/>
          <w:szCs w:val="24"/>
          <w:highlight w:val="none"/>
          <w:lang w:val="en-US" w:eastAsia="zh-CN"/>
        </w:rPr>
        <w:t>站房和实体围栏钥匙，不得将钥匙交予他人或放置在现场</w:t>
      </w:r>
      <w:r>
        <w:rPr>
          <w:rFonts w:hint="eastAsia" w:ascii="宋体" w:hAnsi="宋体" w:eastAsia="宋体" w:cs="宋体"/>
          <w:color w:val="000000"/>
          <w:sz w:val="24"/>
          <w:szCs w:val="24"/>
          <w:highlight w:val="none"/>
          <w:lang w:val="en-US" w:eastAsia="zh-CN"/>
        </w:rPr>
        <w:t>；运维单位应</w:t>
      </w:r>
      <w:r>
        <w:rPr>
          <w:rFonts w:hint="default" w:ascii="宋体" w:hAnsi="宋体" w:eastAsia="宋体" w:cs="宋体"/>
          <w:color w:val="000000"/>
          <w:sz w:val="24"/>
          <w:szCs w:val="24"/>
          <w:highlight w:val="none"/>
          <w:lang w:val="en-US" w:eastAsia="zh-CN"/>
        </w:rPr>
        <w:t>建立防范人为干扰监测的工作机制，发现并确认异常情况和原因后及时报送</w:t>
      </w:r>
      <w:r>
        <w:rPr>
          <w:rFonts w:hint="eastAsia" w:ascii="宋体" w:hAnsi="宋体" w:eastAsia="宋体" w:cs="宋体"/>
          <w:color w:val="000000"/>
          <w:sz w:val="24"/>
          <w:szCs w:val="24"/>
          <w:highlight w:val="none"/>
          <w:lang w:val="en-US" w:eastAsia="zh-CN"/>
        </w:rPr>
        <w:t>采购人；运维单位</w:t>
      </w:r>
      <w:r>
        <w:rPr>
          <w:rFonts w:hint="default" w:ascii="宋体" w:hAnsi="宋体" w:eastAsia="宋体" w:cs="宋体"/>
          <w:color w:val="000000"/>
          <w:sz w:val="24"/>
          <w:szCs w:val="24"/>
          <w:highlight w:val="none"/>
          <w:lang w:val="en-US" w:eastAsia="zh-CN"/>
        </w:rPr>
        <w:t>应建立运行维护专业队伍，加强</w:t>
      </w:r>
      <w:r>
        <w:rPr>
          <w:rFonts w:hint="eastAsia" w:ascii="宋体" w:hAnsi="宋体" w:eastAsia="宋体" w:cs="宋体"/>
          <w:color w:val="000000"/>
          <w:sz w:val="24"/>
          <w:szCs w:val="24"/>
          <w:highlight w:val="none"/>
          <w:lang w:val="en-US" w:eastAsia="zh-CN"/>
        </w:rPr>
        <w:t>站点</w:t>
      </w:r>
      <w:r>
        <w:rPr>
          <w:rFonts w:hint="default" w:ascii="宋体" w:hAnsi="宋体" w:eastAsia="宋体" w:cs="宋体"/>
          <w:color w:val="000000"/>
          <w:sz w:val="24"/>
          <w:szCs w:val="24"/>
          <w:highlight w:val="none"/>
          <w:lang w:val="en-US" w:eastAsia="zh-CN"/>
        </w:rPr>
        <w:t>的日常运行和维护工作</w:t>
      </w:r>
      <w:r>
        <w:rPr>
          <w:rFonts w:hint="eastAsia" w:ascii="宋体" w:hAnsi="宋体" w:eastAsia="宋体" w:cs="宋体"/>
          <w:color w:val="000000"/>
          <w:sz w:val="24"/>
          <w:szCs w:val="24"/>
          <w:highlight w:val="none"/>
          <w:lang w:val="en-US"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2.2.10运维单位应建立站点档案管理制度，所有资料妥善保管，便于使用和检查：</w:t>
      </w:r>
      <w:r>
        <w:rPr>
          <w:rFonts w:hint="default" w:ascii="宋体" w:hAnsi="宋体" w:eastAsia="宋体" w:cs="宋体"/>
          <w:color w:val="000000"/>
          <w:sz w:val="24"/>
          <w:szCs w:val="24"/>
          <w:highlight w:val="none"/>
          <w:lang w:val="en-US" w:eastAsia="zh-CN"/>
        </w:rPr>
        <w:t>建立站点档案，并在相关内容发生变动时及时更新</w:t>
      </w:r>
      <w:r>
        <w:rPr>
          <w:rFonts w:hint="eastAsia" w:ascii="宋体" w:hAnsi="宋体" w:eastAsia="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建立仪器设备档案，包括仪器说明书、初次安装信息、调试报告、验收报告、关键技术参数调整及测试报告等</w:t>
      </w:r>
      <w:r>
        <w:rPr>
          <w:rFonts w:hint="eastAsia" w:ascii="宋体" w:hAnsi="宋体" w:eastAsia="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建立运行维护档案，详细记录</w:t>
      </w:r>
      <w:r>
        <w:rPr>
          <w:rFonts w:hint="eastAsia" w:ascii="宋体" w:hAnsi="宋体" w:eastAsia="宋体" w:cs="宋体"/>
          <w:color w:val="000000"/>
          <w:sz w:val="24"/>
          <w:szCs w:val="24"/>
          <w:highlight w:val="none"/>
          <w:lang w:val="en-US" w:eastAsia="zh-CN"/>
        </w:rPr>
        <w:t>站点</w:t>
      </w:r>
      <w:r>
        <w:rPr>
          <w:rFonts w:hint="default" w:ascii="宋体" w:hAnsi="宋体" w:eastAsia="宋体" w:cs="宋体"/>
          <w:color w:val="000000"/>
          <w:sz w:val="24"/>
          <w:szCs w:val="24"/>
          <w:highlight w:val="none"/>
          <w:lang w:val="en-US" w:eastAsia="zh-CN"/>
        </w:rPr>
        <w:t>运行过程和运行事件</w:t>
      </w:r>
      <w:r>
        <w:rPr>
          <w:rFonts w:hint="eastAsia" w:ascii="宋体" w:hAnsi="宋体" w:eastAsia="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编制</w:t>
      </w:r>
      <w:r>
        <w:rPr>
          <w:rFonts w:hint="eastAsia" w:ascii="宋体" w:hAnsi="宋体" w:eastAsia="宋体" w:cs="宋体"/>
          <w:color w:val="000000"/>
          <w:sz w:val="24"/>
          <w:szCs w:val="24"/>
          <w:highlight w:val="none"/>
          <w:lang w:val="en-US" w:eastAsia="zh-CN"/>
        </w:rPr>
        <w:t>站点</w:t>
      </w:r>
      <w:r>
        <w:rPr>
          <w:rFonts w:hint="default" w:ascii="宋体" w:hAnsi="宋体" w:eastAsia="宋体" w:cs="宋体"/>
          <w:color w:val="000000"/>
          <w:sz w:val="24"/>
          <w:szCs w:val="24"/>
          <w:highlight w:val="none"/>
          <w:lang w:val="en-US" w:eastAsia="zh-CN"/>
        </w:rPr>
        <w:t>运行与维护作业指导书，说明运维内容、程序、责任人及其职责要求，确定仪器设备关键技术参数、出厂参数设置范围、参数设置条件等</w:t>
      </w:r>
      <w:r>
        <w:rPr>
          <w:rFonts w:hint="eastAsia" w:ascii="宋体" w:hAnsi="宋体" w:eastAsia="宋体" w:cs="宋体"/>
          <w:color w:val="000000"/>
          <w:sz w:val="24"/>
          <w:szCs w:val="24"/>
          <w:highlight w:val="none"/>
          <w:lang w:val="en-US" w:eastAsia="zh-CN"/>
        </w:rPr>
        <w:t>；运维单位须按照技术规范和管理细则要求填写仪器运维表格，做好站点运行管理记录和存档（每次到站房运维后须为每台仪器填写运维表格，包括仪器原始设置、报警、维修、更换、保养、仪器校准、标样使用、采水管清洁等运行维护内容）；运维期结束后所有原始记录须整理成册上交给采购人；每次更换下来的耗材、配件须保存好，标注更换日期，经采购人认可后方可处理；运维期结束后所有原始记录须整理成册上交给采购人；每次更换下来的耗材、配件须保存好，标注更换日期，经采购人认可后方可处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每月</w:t>
      </w:r>
      <w:r>
        <w:rPr>
          <w:rFonts w:hint="eastAsia" w:ascii="宋体" w:hAnsi="宋体" w:eastAsia="宋体" w:cs="宋体"/>
          <w:color w:val="auto"/>
          <w:sz w:val="24"/>
          <w:szCs w:val="24"/>
          <w:highlight w:val="none"/>
          <w:lang w:val="en-US" w:eastAsia="zh-CN"/>
        </w:rPr>
        <w:t>10日前</w:t>
      </w:r>
      <w:r>
        <w:rPr>
          <w:rFonts w:hint="eastAsia" w:ascii="宋体" w:hAnsi="宋体" w:eastAsia="宋体" w:cs="宋体"/>
          <w:color w:val="auto"/>
          <w:sz w:val="24"/>
          <w:szCs w:val="24"/>
          <w:highlight w:val="none"/>
        </w:rPr>
        <w:t>对</w:t>
      </w:r>
      <w:r>
        <w:rPr>
          <w:rFonts w:hint="eastAsia" w:ascii="宋体" w:hAnsi="宋体" w:cs="宋体"/>
          <w:color w:val="auto"/>
          <w:sz w:val="24"/>
          <w:szCs w:val="24"/>
          <w:highlight w:val="none"/>
          <w:lang w:eastAsia="zh-CN"/>
        </w:rPr>
        <w:t>上月</w:t>
      </w:r>
      <w:r>
        <w:rPr>
          <w:rFonts w:hint="eastAsia" w:ascii="宋体" w:hAnsi="宋体" w:eastAsia="宋体" w:cs="宋体"/>
          <w:color w:val="auto"/>
          <w:sz w:val="24"/>
          <w:szCs w:val="24"/>
          <w:highlight w:val="none"/>
        </w:rPr>
        <w:t>运维站点出现的异常数据提交异常分析报告</w:t>
      </w:r>
      <w:r>
        <w:rPr>
          <w:rFonts w:hint="eastAsia" w:ascii="宋体" w:hAnsi="宋体" w:eastAsia="宋体" w:cs="宋体"/>
          <w:color w:val="auto"/>
          <w:sz w:val="24"/>
          <w:szCs w:val="24"/>
          <w:highlight w:val="none"/>
          <w:lang w:eastAsia="zh-CN"/>
        </w:rPr>
        <w:t>和防人为干扰环境质量检查汇总表</w:t>
      </w:r>
      <w:r>
        <w:rPr>
          <w:rFonts w:hint="eastAsia" w:ascii="宋体" w:hAnsi="宋体" w:eastAsia="宋体" w:cs="宋体"/>
          <w:color w:val="auto"/>
          <w:sz w:val="24"/>
          <w:szCs w:val="24"/>
          <w:highlight w:val="none"/>
        </w:rPr>
        <w:t>，并在报告中详细阐明异常原因和异常时段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w:t>
      </w:r>
      <w:r>
        <w:rPr>
          <w:rFonts w:hint="eastAsia" w:ascii="宋体" w:hAnsi="宋体" w:eastAsia="宋体" w:cs="宋体"/>
          <w:color w:val="auto"/>
          <w:sz w:val="24"/>
          <w:szCs w:val="24"/>
          <w:highlight w:val="none"/>
          <w:lang w:eastAsia="zh-CN"/>
        </w:rPr>
        <w:t>季度</w:t>
      </w:r>
      <w:r>
        <w:rPr>
          <w:rFonts w:hint="eastAsia" w:ascii="宋体" w:hAnsi="宋体" w:eastAsia="宋体" w:cs="宋体"/>
          <w:color w:val="auto"/>
          <w:sz w:val="24"/>
          <w:szCs w:val="24"/>
          <w:highlight w:val="none"/>
        </w:rPr>
        <w:t>提交一次运维报告，年度运维完成后提交总报告。</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2.3运维工作要求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中标单位须按照</w:t>
      </w:r>
      <w:r>
        <w:rPr>
          <w:rFonts w:hint="eastAsia" w:ascii="宋体" w:hAnsi="宋体" w:eastAsia="宋体" w:cs="宋体"/>
          <w:color w:val="000000"/>
          <w:sz w:val="24"/>
          <w:szCs w:val="24"/>
          <w:highlight w:val="none"/>
          <w:lang w:val="en-US" w:eastAsia="zh-CN"/>
        </w:rPr>
        <w:t>相关</w:t>
      </w:r>
      <w:r>
        <w:rPr>
          <w:rFonts w:hint="eastAsia" w:ascii="宋体" w:hAnsi="宋体" w:eastAsia="宋体" w:cs="宋体"/>
          <w:color w:val="000000"/>
          <w:sz w:val="24"/>
          <w:szCs w:val="24"/>
          <w:highlight w:val="none"/>
        </w:rPr>
        <w:t>技术和质量控制要求，全面负责水站（站房、采水、所有仪器设备等）的日常运行维护。当国家和省级出台新的运维</w:t>
      </w:r>
      <w:r>
        <w:rPr>
          <w:rFonts w:hint="eastAsia" w:ascii="宋体" w:hAnsi="宋体" w:eastAsia="宋体" w:cs="宋体"/>
          <w:color w:val="000000"/>
          <w:sz w:val="24"/>
          <w:szCs w:val="24"/>
          <w:highlight w:val="none"/>
          <w:lang w:val="en-US" w:eastAsia="zh-CN"/>
        </w:rPr>
        <w:t>和质控</w:t>
      </w:r>
      <w:r>
        <w:rPr>
          <w:rFonts w:hint="eastAsia" w:ascii="宋体" w:hAnsi="宋体" w:eastAsia="宋体" w:cs="宋体"/>
          <w:color w:val="000000"/>
          <w:sz w:val="24"/>
          <w:szCs w:val="24"/>
          <w:highlight w:val="none"/>
        </w:rPr>
        <w:t>要求时，以新要求为准。</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2.3.1.总体要求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水站运行维护包括开展水站远程维护、现场维护和应急维护等工作，保证监测数据质量，并对维护过程进行详细记录。</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2.3.2.远程维护要求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运维人员应每天通过平台查看监测数据，对水站运行状态和数据质量进行相应判断，对站点的运维情况及相关信息进行统计和评价。</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（1）远程巡视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每日对水站运行条件及设备运行状况进行远程查看，具体工作如下:</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a.检查数据采集与传输状况，确认是否获取了水站全部仪器的监测数据和过程日志；</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b.根据仪器质控结果、过程日志判断仪器运行情况及数据的可靠性；</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c.对前一天监测数据有效性进行审核并对异常数据进行标记，形成监测数据审核日志；</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d.远程监视采水设施、水位以及站房内外情况，如发现异常，应及时上报；</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e.远程查看是否存在非法入侵行为；</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f.远程查看是否存在干扰水站运行的施工、工程治理等项目。</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（2）远程控制</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a.通过远程控制，可对监测仪器进行校时、复位、水样/标样测试、校准、清洗等工作；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b.当监测数据出现异常时，运维人员远程发送必要的质控测试指令和留样指令，根据测试结果综合判断数据有效性。一旦确定水质发生重大变化或仪器设备故障，应及时赴现场处理。</w:t>
      </w:r>
    </w:p>
    <w:p>
      <w:pPr>
        <w:keepNext w:val="0"/>
        <w:keepLines w:val="0"/>
        <w:pageBreakBefore w:val="0"/>
        <w:widowControl w:val="0"/>
        <w:shd w:val="clear" w:color="auto" w:fill="auto"/>
        <w:kinsoku/>
        <w:wordWrap/>
        <w:overflowPunct/>
        <w:topLinePunct w:val="0"/>
        <w:bidi w:val="0"/>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2.3.3现场维护要求</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现场维护包括</w:t>
      </w:r>
      <w:r>
        <w:rPr>
          <w:rFonts w:hint="eastAsia" w:ascii="宋体" w:hAnsi="宋体" w:eastAsia="宋体" w:cs="宋体"/>
          <w:color w:val="000000"/>
          <w:sz w:val="24"/>
          <w:szCs w:val="24"/>
          <w:highlight w:val="none"/>
          <w:lang w:eastAsia="zh-CN"/>
        </w:rPr>
        <w:t>但不限于</w:t>
      </w:r>
      <w:r>
        <w:rPr>
          <w:rFonts w:hint="eastAsia" w:ascii="宋体" w:hAnsi="宋体" w:eastAsia="宋体" w:cs="宋体"/>
          <w:color w:val="000000"/>
          <w:sz w:val="24"/>
          <w:szCs w:val="24"/>
          <w:highlight w:val="none"/>
        </w:rPr>
        <w:t>运维技术人员到水站现场完成的例行巡检、定期养护和现场质控工作。</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(1)每周例行巡检</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a.检查采水点水体颜色、嗅味、漂浮物、水位变化及杂物存在情况，并及时进行清理；</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b.检查站房空调及保温措施，保持温度稳定；检查站房内水泵及空压机固定情况，避免仪器振动的影响；检查空压机、不间断电源（UPS）、除藻装置、纯水机等辅助设备运行状态，并及时更换耗材；</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c.检查水站电路系统是否正常，接地线路是否可靠，检查采样和排液管路是否有漏液或堵塞现象，排水排气装置工作是否正常；</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d.检查采配水单元是否正常，如采水浮筒固定情况，自吸泵、增压泵、空气泵等运行情况、手阀电动阀工作情况等需要时应清洗采配水单元，包括采水头、泵体、沉砂池、过滤头、水样杯、阀门及相关管路等，对于无法清洗干净的须及时更换；</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e.检查控制单元运行状态是否正常，工控机操作系统及软件有无中毒现象；</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f.检查上传至平台数据和现场数据的一致性，检查仪器与系统的通讯线路是否正常；</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g.查看水质监测仪器及辅助设备的运行状态，判断运行是否正常。检查有无漏液，进样管路、试剂管路中是否有气泡存在，如有及时将气泡排出；</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h.检查试剂使用状况，是否需要添加或更换试剂，所用纯水和</w:t>
      </w:r>
      <w:r>
        <w:rPr>
          <w:rFonts w:hint="eastAsia" w:ascii="宋体" w:hAnsi="宋体" w:eastAsia="宋体" w:cs="宋体"/>
          <w:color w:val="000000"/>
          <w:sz w:val="24"/>
          <w:szCs w:val="24"/>
          <w:highlight w:val="none"/>
          <w:lang w:eastAsia="zh-CN"/>
        </w:rPr>
        <w:t>试剂</w:t>
      </w:r>
      <w:r>
        <w:rPr>
          <w:rFonts w:hint="eastAsia" w:ascii="宋体" w:hAnsi="宋体" w:eastAsia="宋体" w:cs="宋体"/>
          <w:color w:val="000000"/>
          <w:sz w:val="24"/>
          <w:szCs w:val="24"/>
          <w:highlight w:val="none"/>
        </w:rPr>
        <w:t>须符合相关规范要求，更换周期不得超过规定的试剂保质期；</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i.应及时清除站房周围的杂草和积水，站房是否有漏水现象，检查防雷设施是否可靠，站房外围的其他设施是否有损坏或被水淹没，在封冻期来临前做好采水管路和站房保温等维护工作；</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j.整理站房及仪器，完成废液收集并</w:t>
      </w:r>
      <w:r>
        <w:rPr>
          <w:rFonts w:hint="eastAsia" w:ascii="宋体" w:hAnsi="宋体" w:eastAsia="宋体" w:cs="宋体"/>
          <w:color w:val="000000"/>
          <w:sz w:val="24"/>
          <w:szCs w:val="24"/>
          <w:highlight w:val="none"/>
          <w:lang w:eastAsia="zh-CN"/>
        </w:rPr>
        <w:t>严格</w:t>
      </w:r>
      <w:r>
        <w:rPr>
          <w:rFonts w:hint="eastAsia" w:ascii="宋体" w:hAnsi="宋体" w:eastAsia="宋体" w:cs="宋体"/>
          <w:color w:val="000000"/>
          <w:sz w:val="24"/>
          <w:szCs w:val="24"/>
          <w:highlight w:val="none"/>
        </w:rPr>
        <w:t>按相关规定要求做好处置工作，且留档备查；保持站房及各仪器干净整洁，及时关闭门窗，避免日光直射仪器设备</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k.</w:t>
      </w:r>
      <w:r>
        <w:rPr>
          <w:rFonts w:hint="eastAsia" w:ascii="宋体" w:hAnsi="宋体" w:eastAsia="宋体" w:cs="宋体"/>
          <w:color w:val="000000"/>
          <w:sz w:val="24"/>
          <w:szCs w:val="24"/>
          <w:highlight w:val="none"/>
        </w:rPr>
        <w:t>记录巡检情况，如果发现影响站点代表性和监测正常运行的环境变化，应及时</w:t>
      </w:r>
      <w:r>
        <w:rPr>
          <w:rFonts w:hint="eastAsia" w:ascii="宋体" w:hAnsi="宋体" w:eastAsia="宋体" w:cs="宋体"/>
          <w:color w:val="000000"/>
          <w:sz w:val="24"/>
          <w:szCs w:val="24"/>
          <w:highlight w:val="none"/>
          <w:lang w:eastAsia="zh-CN"/>
        </w:rPr>
        <w:t>取证并</w:t>
      </w:r>
      <w:r>
        <w:rPr>
          <w:rFonts w:hint="eastAsia" w:ascii="宋体" w:hAnsi="宋体" w:eastAsia="宋体" w:cs="宋体"/>
          <w:color w:val="000000"/>
          <w:sz w:val="24"/>
          <w:szCs w:val="24"/>
          <w:highlight w:val="none"/>
        </w:rPr>
        <w:t>报告</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l</w:t>
      </w:r>
      <w:r>
        <w:rPr>
          <w:rFonts w:hint="eastAsia" w:ascii="宋体" w:hAnsi="宋体" w:eastAsia="宋体" w:cs="宋体"/>
          <w:color w:val="000000"/>
          <w:sz w:val="24"/>
          <w:szCs w:val="24"/>
          <w:highlight w:val="none"/>
        </w:rPr>
        <w:t>.查看站点是否</w:t>
      </w:r>
      <w:r>
        <w:rPr>
          <w:rFonts w:hint="eastAsia" w:ascii="宋体" w:hAnsi="宋体" w:eastAsia="宋体" w:cs="宋体"/>
          <w:color w:val="000000"/>
          <w:sz w:val="24"/>
          <w:szCs w:val="24"/>
          <w:highlight w:val="none"/>
          <w:lang w:eastAsia="zh-CN"/>
        </w:rPr>
        <w:t>存在</w:t>
      </w:r>
      <w:r>
        <w:rPr>
          <w:rFonts w:hint="eastAsia" w:ascii="宋体" w:hAnsi="宋体" w:eastAsia="宋体" w:cs="宋体"/>
          <w:color w:val="000000"/>
          <w:sz w:val="24"/>
          <w:szCs w:val="24"/>
          <w:highlight w:val="none"/>
        </w:rPr>
        <w:t>人为干扰监测情况</w:t>
      </w:r>
      <w:r>
        <w:rPr>
          <w:rFonts w:hint="eastAsia" w:ascii="宋体" w:hAnsi="宋体" w:eastAsia="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(2)定期养护</w:t>
      </w:r>
    </w:p>
    <w:p>
      <w:pPr>
        <w:keepNext w:val="0"/>
        <w:keepLines w:val="0"/>
        <w:pageBreakBefore w:val="0"/>
        <w:widowControl w:val="0"/>
        <w:shd w:val="clear" w:color="auto" w:fill="auto"/>
        <w:kinsoku/>
        <w:wordWrap/>
        <w:overflowPunct/>
        <w:topLinePunct w:val="0"/>
        <w:bidi w:val="0"/>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水站定期养护项目及最低频次不得低于表三要求。</w:t>
      </w:r>
    </w:p>
    <w:p>
      <w:pPr>
        <w:shd w:val="clear" w:color="auto" w:fill="auto"/>
        <w:bidi w:val="0"/>
        <w:spacing w:line="360" w:lineRule="auto"/>
        <w:ind w:firstLine="482" w:firstLineChars="200"/>
        <w:jc w:val="center"/>
        <w:rPr>
          <w:rFonts w:hint="eastAsia" w:ascii="宋体" w:hAnsi="宋体" w:eastAsia="宋体" w:cs="宋体"/>
          <w:b/>
          <w:bCs/>
          <w:color w:val="000000"/>
          <w:sz w:val="24"/>
          <w:szCs w:val="24"/>
          <w:highlight w:val="none"/>
        </w:rPr>
      </w:pPr>
    </w:p>
    <w:p>
      <w:pPr>
        <w:pStyle w:val="2"/>
        <w:rPr>
          <w:rFonts w:hint="eastAsia" w:ascii="宋体" w:hAnsi="宋体" w:eastAsia="宋体" w:cs="宋体"/>
          <w:b/>
          <w:bCs/>
          <w:color w:val="000000"/>
          <w:sz w:val="24"/>
          <w:szCs w:val="24"/>
          <w:highlight w:val="none"/>
        </w:rPr>
      </w:pPr>
    </w:p>
    <w:p>
      <w:pPr>
        <w:pStyle w:val="3"/>
        <w:rPr>
          <w:rFonts w:hint="eastAsia"/>
        </w:rPr>
      </w:pPr>
    </w:p>
    <w:p>
      <w:pPr>
        <w:shd w:val="clear" w:color="auto" w:fill="auto"/>
        <w:bidi w:val="0"/>
        <w:spacing w:line="360" w:lineRule="auto"/>
        <w:ind w:firstLine="482" w:firstLineChars="200"/>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表三  定期养护内容及频次要求</w:t>
      </w:r>
    </w:p>
    <w:tbl>
      <w:tblPr>
        <w:tblStyle w:val="20"/>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753"/>
        <w:gridCol w:w="744"/>
        <w:gridCol w:w="744"/>
        <w:gridCol w:w="744"/>
        <w:gridCol w:w="744"/>
        <w:gridCol w:w="74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工作内容</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周</w:t>
            </w:r>
          </w:p>
        </w:tc>
        <w:tc>
          <w:tcPr>
            <w:tcW w:w="744" w:type="dxa"/>
            <w:noWrap/>
            <w:vAlign w:val="center"/>
          </w:tcPr>
          <w:p>
            <w:pPr>
              <w:pStyle w:val="10"/>
              <w:shd w:val="clear" w:color="auto" w:fill="auto"/>
              <w:ind w:left="0" w:leftChars="0" w:firstLine="0" w:firstLineChars="0"/>
              <w:jc w:val="center"/>
              <w:rPr>
                <w:rFonts w:hint="eastAsia"/>
                <w:color w:val="000000"/>
                <w:highlight w:val="none"/>
              </w:rPr>
            </w:pPr>
            <w:r>
              <w:rPr>
                <w:rFonts w:hint="eastAsia"/>
                <w:color w:val="000000"/>
                <w:highlight w:val="none"/>
              </w:rPr>
              <w:t>月</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季度</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半年</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w:t>
            </w: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站房</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消防设施更换</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具体根据设施有效期情况执行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防雷检测</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空调及供暖设施维护</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采配水单元</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采水头清洗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具体根据现场情况执行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潜水泵清洗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kern w:val="2"/>
                <w:sz w:val="24"/>
                <w:szCs w:val="24"/>
                <w:highlight w:val="none"/>
                <w:lang w:val="en-US" w:eastAsia="zh-CN" w:bidi="ar-SA"/>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采水辅助设施</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五参数检测池清洗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沉降池清洗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过滤器清洗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水样杯清洗</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分析单元</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试剂更换</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具体根据仪器要求执行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发光菌更换</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具体根据仪器运行情况执行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耗材及配件更换</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废液处置</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保养检修</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试剂贮存箱温度检查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控制单元及数据采集传输单元</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网络通讯设备检查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工控机</w:t>
            </w:r>
            <w:r>
              <w:rPr>
                <w:rFonts w:hint="eastAsia" w:ascii="宋体" w:hAnsi="宋体" w:cs="宋体"/>
                <w:color w:val="000000"/>
                <w:sz w:val="24"/>
                <w:szCs w:val="24"/>
                <w:highlight w:val="none"/>
                <w:lang w:eastAsia="zh-CN"/>
              </w:rPr>
              <w:t>检查与维护</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网络安全防护设施检查及维护</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cs="宋体"/>
                <w:color w:val="00000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辅助设备</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稳压电源检查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UPS检查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eastAsia="zh-CN"/>
              </w:rPr>
              <w:t>增压泵和</w:t>
            </w:r>
            <w:r>
              <w:rPr>
                <w:rFonts w:hint="eastAsia" w:ascii="宋体" w:hAnsi="宋体" w:eastAsia="宋体" w:cs="宋体"/>
                <w:color w:val="000000"/>
                <w:sz w:val="24"/>
                <w:szCs w:val="24"/>
                <w:highlight w:val="none"/>
              </w:rPr>
              <w:t>空压机检查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纯水机滤芯维护</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视频设备检查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自动采样器</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数据备份</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生物毒性仪</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温度校准和标样测试</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其它</w:t>
            </w:r>
          </w:p>
        </w:tc>
        <w:tc>
          <w:tcPr>
            <w:tcW w:w="2753"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防人为干扰检查</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744"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c>
          <w:tcPr>
            <w:tcW w:w="1537"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bl>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2.3.4站房</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(1)定期对站房进行全面的养护；</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(2)保证站房内空调及供暖设施运行正常；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(3)定期对站房内灭火装置进行维护；</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(4)每年需通过具有资质的专业机构对防雷设施进行检测、维护或更换，并出具报告。</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2.3.5分析单元</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(1)定期按需对监测仪器进行校准；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(2)应定期更换易耗品及备品备件，生物毒性仪应根据仪器CF值和发光强度更换发光菌；</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(3)定期清洗和更换仪器管路；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(4)建立零配件库，根据不同零配件和易耗件的使用情况提前备货；</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(5)应根据试剂的更换周期定期更换试剂，试剂的更换周期原则上不得超过30天；试剂更换后，应按需求进行仪器校准或标液核查，同时更换时应做好记录；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(6)定期对监测仪器光路、液路、电路板和各种接头及插座等进行检查和清洁处理；应根据使用寿命定期更换监测仪器的光源、电极、泵、阀、传感器等关键零部件</w:t>
      </w:r>
      <w:r>
        <w:rPr>
          <w:rFonts w:hint="eastAsia" w:ascii="宋体" w:hAnsi="宋体" w:cs="宋体"/>
          <w:color w:val="auto"/>
          <w:sz w:val="24"/>
          <w:szCs w:val="24"/>
          <w:highlight w:val="none"/>
          <w:lang w:eastAsia="zh-CN"/>
        </w:rPr>
        <w:t>，更换后应进行仪器校准，必要时进行标液核查</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2.3.6控制单元及通讯单元</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(1)定期复位工控机查看是否可以自动启动，并运行操作系统、加载现场监控软件，查看串口通讯是否正常；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(2)定期对网络通讯设备进行重启，查看启动后是否通讯正常；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(3)每月检查开机过程中硬件自检过程是否有异常数据传输和报警；</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(4)每月对工控机操作系统及软件进行一次杀毒操作，保证软件正常运行。</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2.3.7其他辅助设备</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(1)定期检查稳压电源及UPS的输出是否符合技术要求，异常情况须及时排查处理。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(2)每月至少检查一次空气压缩机气泵和清水增压泵的工作状况，并对空气过滤器放水。</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(3)定期检查并清洗自动留样器取样头滤网，检查采样泵、采样分配单元、低温冷藏模块、传感器等的工作状况是否正常，采样瓶是否清洁、是否破损；</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(4)定期检查摄像头是否破损，视频设备功能是否正常，包括摄像机、视频存储、云台控制等。</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2.3.8数据备份</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每月对水站监测数据进行一次备份，备份数据单独存储。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2.3.9数据异常情况处理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出现以下情况的可确认为数据异常：监测中断的数据；监测数据长时间（连续3组）不变或短时间突变；监测仪器设备状态参数异常、过程日志异常或监测仪器设备故障的监测数据；通过监测项目之间相关性分析、气象条件、水站所在地历史数据分析认为明显违背常理的监测数据。</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发生数据异常情况时，根据现场情况应采取标样核查、现场排查、实际水样比对等措施进行排查，查明并分析原因，记录备案并上报。当水质监测数据异常或水质下降至水质类别发生变化时应启动留样，留样后应按照应急维护要求执行。</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（1）确认仪器通讯存在障碍或仪器状态异常、仪器故障的，应尽快前往现场查明原因，进行故障处理；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（2）远程启动标样核查，核查未通过时应前往现场查明原因，进行故障处理。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2.3.10水站系统异常处理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（1）当水站出现故障时运维单位应在规定时间内响应并解决；</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（2）对于在现场能够诊断明确且可通过更换备件解决的问题则在现场进行检修；</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（3）对于其它不易诊断和检修的故障，或48小时内无法排除的仪器故障，应采用备用仪器替代发生故障的仪器，同时对备机开展标样核查。</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2.4站房和采水设施管理规定</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（1）非运维人员确因工作需要进入水站，须由运维人员陪同，并做好登记备案。</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（2）非运维人员进入站内不得有干扰正常监测工作的操作或行为，包括操作仪表、拷贝数据等，如有上述行为运维人员应及时制止并上报。</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（3）运维机构发现有干扰采样的情形的，应及时报告。</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因自然原因（台风、潮汐、暴雨、径流变化等）导致采水口位置发生变化的，运维机构应将采水装置恢复原位；确因客观原因无法恢复至原位的，应及时告知采购人，向采购人申请，审核同意后，将采水装置按照采样相关技术要求进行调整，并以书面形式将调整结果告知采购人。</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（5）运维机构发现水站站房（含配套及辅助设施）、采水设施损坏或未达到相关技术要求的，应以书面形式及时向采购人进行反馈，并配合修复或重建工作。</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cs="宋体"/>
          <w:b/>
          <w:bCs/>
          <w:color w:val="000000"/>
          <w:sz w:val="24"/>
          <w:szCs w:val="24"/>
          <w:highlight w:val="none"/>
          <w:lang w:eastAsia="zh-CN"/>
        </w:rPr>
      </w:pPr>
      <w:r>
        <w:rPr>
          <w:rFonts w:hint="eastAsia" w:ascii="宋体" w:hAnsi="宋体" w:eastAsia="宋体" w:cs="宋体"/>
          <w:b/>
          <w:bCs/>
          <w:color w:val="000000"/>
          <w:sz w:val="24"/>
          <w:szCs w:val="24"/>
          <w:highlight w:val="none"/>
        </w:rPr>
        <w:t>2.5</w:t>
      </w:r>
      <w:r>
        <w:rPr>
          <w:rFonts w:hint="eastAsia" w:ascii="宋体" w:hAnsi="宋体" w:cs="宋体"/>
          <w:b/>
          <w:bCs/>
          <w:color w:val="000000"/>
          <w:sz w:val="24"/>
          <w:szCs w:val="24"/>
          <w:highlight w:val="none"/>
          <w:lang w:eastAsia="zh-CN"/>
        </w:rPr>
        <w:t>档案与记录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2.5.1.技术档案</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技术档案包括仪器说明书、操作手册、原始参数，系统安</w:t>
      </w:r>
      <w:r>
        <w:rPr>
          <w:rFonts w:hint="default" w:ascii="宋体" w:hAnsi="宋体" w:eastAsia="宋体" w:cs="宋体"/>
          <w:color w:val="000000"/>
          <w:sz w:val="24"/>
          <w:szCs w:val="24"/>
          <w:highlight w:val="none"/>
          <w:lang w:val="en-US" w:eastAsia="zh-CN"/>
        </w:rPr>
        <w:t xml:space="preserve">装调试记录、试运行记录、验收比对记录，质控报告、仪器适用性检测报告、防雷检测报告，各类运维记录表。 </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2.5.2.运维记录表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运维单位可根据实际需求及管理需要自行设计各类记录表，各记录表包含内容至少包含如下内容。</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水站基本情况信息应包含水站所在流域及水体名称、水站名称、水站地址、经纬度、上下游污染源情况、支流汇入情况、水系图、运维单位、水站类型、站房面积、采水方式、取水口与岸边距离、取水口到站房距离、通讯方式、投运时间、监测项目、设备品牌型号及生产商、出厂编号、仪器分析原理、适用性检测报告编号、运维商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水站仪器关键参数设置及变更记录表需包含水站名称、仪器名称及型号、测量原理及分析方法、测试周期、仪表关键参数（包括工作曲线斜率和截距、线性相关系数、消解温度及时间、显色温度及时间）、水样进样量、试剂用量等信息。关键参数变更后情况及变更原因说明。</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（3）水站远程巡视记录需包含水站名称、巡视日期、运维单位、巡视人员、各仪器工作状态、监测数据获取状况、24小时零点核查和跨度核查情况、视频监视情况和异常情况处理措施等信息。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（4）水站巡检维护记录需包含水站名称、维护日期、运维单位、维护人员、巡检内容及处理说明（包含采样单元检查、仪器设备检查、数据采集传输单元检查、辅助单元检查和异常情况处理）等。</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（5）水站试剂及标准样品更换记录需包含水站名称、维护日期、运维单位、维护人员、仪器名称、试剂名称、标液浓度、试剂体积、试剂配置时间、试剂有效期、试剂更换时间等信息。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（6）监测仪器校准记录需包含水站名称、测试日期、运维单位、测试人员、仪器名称、本次校准及校准后标液核查情况（包含校准试剂、校准是否通过、核查时间、核查是否合格）等信息。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仪器设备检修记录需包含水站名称、维护日期、运维单位、维护人员、故障仪器或设备型号及编号、故障情况及发生时间、检修情况说明、部件更换说明、修复后质控测试情况说明、正常投入使用时间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（8）易耗品和备品备件更换记录需包含水站名称、维护日期、运维单位、维护人员、易耗品或备品备件名称、规格型号、数量、更换日期、更换原因说明等信息。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（9）废液处置记录表应记录废液处置时间、处置方式、处置量、处置经手人（运维人员）、处置单位等信息。</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填写《</w:t>
      </w:r>
      <w:r>
        <w:rPr>
          <w:rFonts w:hint="eastAsia" w:ascii="宋体" w:hAnsi="宋体" w:eastAsia="宋体" w:cs="宋体"/>
          <w:color w:val="000000"/>
          <w:sz w:val="24"/>
          <w:szCs w:val="24"/>
          <w:highlight w:val="none"/>
          <w:lang w:eastAsia="zh-CN"/>
        </w:rPr>
        <w:t>防人为干扰检查表</w:t>
      </w:r>
      <w:r>
        <w:rPr>
          <w:rFonts w:hint="eastAsia" w:ascii="宋体" w:hAnsi="宋体" w:eastAsia="宋体" w:cs="宋体"/>
          <w:color w:val="000000"/>
          <w:sz w:val="24"/>
          <w:szCs w:val="24"/>
          <w:highlight w:val="none"/>
        </w:rPr>
        <w:t>》</w:t>
      </w:r>
      <w:r>
        <w:rPr>
          <w:rFonts w:hint="eastAsia" w:ascii="宋体" w:hAnsi="宋体" w:cs="宋体"/>
          <w:color w:val="auto"/>
          <w:sz w:val="24"/>
          <w:szCs w:val="24"/>
          <w:highlight w:val="none"/>
          <w:lang w:eastAsia="zh-CN"/>
        </w:rPr>
        <w:t>（详见附件</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lang w:eastAsia="zh-CN"/>
        </w:rPr>
        <w:t>）</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如发现人为干扰情况</w:t>
      </w:r>
      <w:r>
        <w:rPr>
          <w:rFonts w:hint="eastAsia" w:ascii="宋体" w:hAnsi="宋体" w:eastAsia="宋体" w:cs="宋体"/>
          <w:color w:val="000000"/>
          <w:sz w:val="24"/>
          <w:szCs w:val="24"/>
          <w:highlight w:val="none"/>
          <w:lang w:eastAsia="zh-CN"/>
        </w:rPr>
        <w:t>应及时取证并向采购人报告，并于</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eastAsia="zh-CN"/>
        </w:rPr>
        <w:t>小时内提交书面报告。</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2.6质量保证与质量控制要求</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000000"/>
          <w:sz w:val="24"/>
          <w:szCs w:val="24"/>
          <w:highlight w:val="none"/>
          <w:lang w:val="en-US" w:eastAsia="zh-CN"/>
        </w:rPr>
        <w:t>按照</w:t>
      </w:r>
      <w:r>
        <w:rPr>
          <w:rFonts w:hint="eastAsia" w:ascii="宋体" w:hAnsi="宋体" w:eastAsia="宋体" w:cs="宋体"/>
          <w:color w:val="000000"/>
          <w:sz w:val="24"/>
          <w:szCs w:val="24"/>
          <w:highlight w:val="none"/>
        </w:rPr>
        <w:t>《地表水自动监测技术规范（试行）》（HJ 915-2017）、《地表水水质自动监测站运行维护技术要求（试行）》、《国家地表水自动监测站运行管理办法》、《浙江省地表水环境自动监测技术规范》、《浙江省地表水水质自动监测系统运行管理细则》、《浙江省地表水</w:t>
      </w:r>
      <w:r>
        <w:rPr>
          <w:rFonts w:hint="eastAsia" w:ascii="宋体" w:hAnsi="宋体" w:cs="宋体"/>
          <w:color w:val="000000"/>
          <w:sz w:val="24"/>
          <w:szCs w:val="24"/>
          <w:highlight w:val="none"/>
          <w:lang w:eastAsia="zh-CN"/>
        </w:rPr>
        <w:t>水质自动监测站运行维护与质量控制技术规定</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eastAsia="zh-CN"/>
        </w:rPr>
        <w:t>（试行）</w:t>
      </w:r>
      <w:r>
        <w:rPr>
          <w:rFonts w:hint="eastAsia" w:ascii="宋体" w:hAnsi="宋体" w:eastAsia="宋体" w:cs="宋体"/>
          <w:color w:val="000000"/>
          <w:sz w:val="24"/>
          <w:szCs w:val="24"/>
          <w:highlight w:val="none"/>
        </w:rPr>
        <w:t>等相关技术规范里的要求进行质量保证与质</w:t>
      </w:r>
      <w:r>
        <w:rPr>
          <w:rFonts w:hint="eastAsia" w:ascii="宋体" w:hAnsi="宋体" w:eastAsia="宋体" w:cs="宋体"/>
          <w:color w:val="000000"/>
          <w:sz w:val="24"/>
          <w:szCs w:val="24"/>
          <w:highlight w:val="none"/>
          <w:lang w:val="en-US" w:eastAsia="zh-CN"/>
        </w:rPr>
        <w:t>量</w:t>
      </w:r>
      <w:r>
        <w:rPr>
          <w:rFonts w:hint="eastAsia" w:ascii="宋体" w:hAnsi="宋体" w:eastAsia="宋体" w:cs="宋体"/>
          <w:color w:val="000000"/>
          <w:sz w:val="24"/>
          <w:szCs w:val="24"/>
          <w:highlight w:val="none"/>
        </w:rPr>
        <w:t>控控制</w:t>
      </w:r>
      <w:r>
        <w:rPr>
          <w:rFonts w:hint="eastAsia" w:ascii="宋体" w:hAnsi="宋体" w:cs="宋体"/>
          <w:color w:val="000000"/>
          <w:sz w:val="24"/>
          <w:szCs w:val="24"/>
          <w:highlight w:val="none"/>
          <w:lang w:eastAsia="zh-CN"/>
        </w:rPr>
        <w:t>，</w:t>
      </w:r>
      <w:r>
        <w:rPr>
          <w:rFonts w:hint="eastAsia" w:ascii="宋体" w:hAnsi="宋体" w:cs="宋体"/>
          <w:color w:val="auto"/>
          <w:sz w:val="24"/>
          <w:szCs w:val="24"/>
          <w:highlight w:val="none"/>
          <w:lang w:eastAsia="zh-CN"/>
        </w:rPr>
        <w:t>如国家水站质控措施技术要求有更新，以最新要求为准</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bCs/>
          <w:color w:val="auto"/>
          <w:sz w:val="24"/>
          <w:szCs w:val="24"/>
          <w:highlight w:val="none"/>
        </w:rPr>
        <w:t>平台数据查看和数据审核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常驻中心人员每日上午8:30报到，查看仪器运行状况、工作参数、数据采集和传输情况（包括市平台、省平台及国家平台）是否正常（网络查看），于每日中午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点前完成前一日数据审核工作，每日查看</w:t>
      </w:r>
      <w:r>
        <w:rPr>
          <w:rFonts w:hint="eastAsia" w:ascii="宋体" w:hAnsi="宋体" w:eastAsia="宋体" w:cs="宋体"/>
          <w:color w:val="auto"/>
          <w:sz w:val="24"/>
          <w:szCs w:val="24"/>
          <w:highlight w:val="none"/>
          <w:lang w:eastAsia="zh-CN"/>
        </w:rPr>
        <w:t>各站点</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不少于三</w:t>
      </w:r>
      <w:r>
        <w:rPr>
          <w:rFonts w:hint="eastAsia" w:ascii="宋体" w:hAnsi="宋体" w:eastAsia="宋体" w:cs="宋体"/>
          <w:color w:val="auto"/>
          <w:sz w:val="24"/>
          <w:szCs w:val="24"/>
          <w:highlight w:val="none"/>
        </w:rPr>
        <w:t>次（上午9:00前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下午16:00</w:t>
      </w:r>
      <w:r>
        <w:rPr>
          <w:rFonts w:hint="eastAsia" w:ascii="宋体" w:hAnsi="宋体" w:eastAsia="宋体" w:cs="宋体"/>
          <w:color w:val="auto"/>
          <w:sz w:val="24"/>
          <w:szCs w:val="24"/>
          <w:highlight w:val="none"/>
          <w:lang w:eastAsia="zh-CN"/>
        </w:rPr>
        <w:t>前，晚上</w:t>
      </w:r>
      <w:r>
        <w:rPr>
          <w:rFonts w:hint="eastAsia" w:ascii="宋体" w:hAnsi="宋体" w:eastAsia="宋体" w:cs="宋体"/>
          <w:color w:val="auto"/>
          <w:sz w:val="24"/>
          <w:szCs w:val="24"/>
          <w:highlight w:val="none"/>
          <w:lang w:val="en-US" w:eastAsia="zh-CN"/>
        </w:rPr>
        <w:t>10：00前</w:t>
      </w:r>
      <w:r>
        <w:rPr>
          <w:rFonts w:hint="eastAsia" w:ascii="宋体" w:hAnsi="宋体" w:eastAsia="宋体" w:cs="宋体"/>
          <w:color w:val="auto"/>
          <w:sz w:val="24"/>
          <w:szCs w:val="24"/>
          <w:highlight w:val="none"/>
        </w:rPr>
        <w:t>）并做好记录，若发现问题，及时查明原因并按应急管理中的时限要求处理。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2.8</w:t>
      </w:r>
      <w:r>
        <w:rPr>
          <w:rFonts w:hint="eastAsia" w:ascii="宋体" w:hAnsi="宋体" w:eastAsia="宋体" w:cs="宋体"/>
          <w:b/>
          <w:bCs/>
          <w:color w:val="000000"/>
          <w:sz w:val="24"/>
          <w:szCs w:val="24"/>
          <w:highlight w:val="none"/>
        </w:rPr>
        <w:t>其他</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及上级主管部门进行</w:t>
      </w:r>
      <w:r>
        <w:rPr>
          <w:rFonts w:hint="eastAsia" w:ascii="宋体" w:hAnsi="宋体" w:eastAsia="宋体" w:cs="宋体"/>
          <w:color w:val="000000"/>
          <w:sz w:val="24"/>
          <w:szCs w:val="24"/>
          <w:highlight w:val="none"/>
          <w:lang w:eastAsia="zh-CN"/>
        </w:rPr>
        <w:t>水</w:t>
      </w:r>
      <w:r>
        <w:rPr>
          <w:rFonts w:hint="eastAsia" w:ascii="宋体" w:hAnsi="宋体" w:eastAsia="宋体" w:cs="宋体"/>
          <w:color w:val="000000"/>
          <w:sz w:val="24"/>
          <w:szCs w:val="24"/>
          <w:highlight w:val="none"/>
        </w:rPr>
        <w:t>站质量保证和质量控制工作。</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(2)随时接受</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及上级主管部门的工作考核及质量考核。</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(3)质量审核支持性文件《</w:t>
      </w:r>
      <w:r>
        <w:rPr>
          <w:rFonts w:hint="eastAsia" w:ascii="宋体" w:hAnsi="宋体" w:eastAsia="宋体" w:cs="宋体"/>
          <w:color w:val="000000"/>
          <w:sz w:val="24"/>
          <w:szCs w:val="24"/>
          <w:highlight w:val="none"/>
          <w:lang w:eastAsia="zh-CN"/>
        </w:rPr>
        <w:t>水质</w:t>
      </w:r>
      <w:r>
        <w:rPr>
          <w:rFonts w:hint="eastAsia" w:ascii="宋体" w:hAnsi="宋体" w:eastAsia="宋体" w:cs="宋体"/>
          <w:color w:val="000000"/>
          <w:sz w:val="24"/>
          <w:szCs w:val="24"/>
          <w:highlight w:val="none"/>
        </w:rPr>
        <w:t>自动监测技术规范》</w:t>
      </w:r>
      <w:r>
        <w:rPr>
          <w:rFonts w:hint="eastAsia" w:ascii="宋体" w:hAnsi="宋体" w:cs="宋体"/>
          <w:color w:val="000000"/>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(4)配合</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做好质量审核工作，质量审核内容和时间视</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要求而定。</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(5)配合计量院做好强检工作。</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2.9</w:t>
      </w:r>
      <w:r>
        <w:rPr>
          <w:rFonts w:hint="eastAsia" w:ascii="宋体" w:hAnsi="宋体" w:eastAsia="宋体" w:cs="宋体"/>
          <w:b/>
          <w:bCs/>
          <w:color w:val="000000"/>
          <w:sz w:val="24"/>
          <w:szCs w:val="24"/>
          <w:highlight w:val="none"/>
        </w:rPr>
        <w:t>应急管理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1.出现监测数据异常、仪器故障或通讯故障，应在</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小时内到达</w:t>
      </w:r>
      <w:r>
        <w:rPr>
          <w:rFonts w:hint="eastAsia" w:ascii="宋体" w:hAnsi="宋体" w:eastAsia="宋体" w:cs="宋体"/>
          <w:color w:val="auto"/>
          <w:sz w:val="24"/>
          <w:szCs w:val="24"/>
          <w:highlight w:val="none"/>
          <w:lang w:eastAsia="zh-CN"/>
        </w:rPr>
        <w:t>站点</w:t>
      </w:r>
      <w:r>
        <w:rPr>
          <w:rFonts w:hint="eastAsia" w:ascii="宋体" w:hAnsi="宋体" w:eastAsia="宋体" w:cs="宋体"/>
          <w:color w:val="auto"/>
          <w:sz w:val="24"/>
          <w:szCs w:val="24"/>
          <w:highlight w:val="none"/>
        </w:rPr>
        <w:t>处理故障并将信息反馈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；故障严重不能及时解决时，应关闭故障仪器的数据采集通道并告知</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。如不能在72小时内排除故障，应更换备机，故障设备运回中心站，并负责维修仪器，故障设备应在一周内完成维修，维修完毕及时替换备机，并做好相应维修记录。如因自身技术能力不足无法修复仪器，需</w:t>
      </w:r>
      <w:r>
        <w:rPr>
          <w:rFonts w:hint="eastAsia" w:ascii="宋体" w:hAnsi="宋体" w:eastAsia="宋体" w:cs="宋体"/>
          <w:color w:val="000000"/>
          <w:sz w:val="24"/>
          <w:szCs w:val="24"/>
          <w:highlight w:val="none"/>
        </w:rPr>
        <w:t>委托仪器生产厂商服务的，运维单位须负责相关费用。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2.设备检修周期安排：每六个月对仪器进行一次预防性维护和各测试参数检查，同时做好记录。</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3.故障处理措施：投标人必须提供完善的故障处理预案。</w:t>
      </w:r>
    </w:p>
    <w:p>
      <w:pPr>
        <w:pStyle w:val="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eastAsia="宋体"/>
          <w:b/>
          <w:bCs/>
          <w:color w:val="auto"/>
          <w:lang w:val="en-US" w:eastAsia="zh-CN"/>
        </w:rPr>
      </w:pPr>
      <w:r>
        <w:rPr>
          <w:rFonts w:hint="eastAsia" w:ascii="宋体" w:hAnsi="宋体" w:cs="宋体"/>
          <w:b/>
          <w:bCs/>
          <w:color w:val="auto"/>
          <w:sz w:val="24"/>
          <w:szCs w:val="24"/>
          <w:highlight w:val="none"/>
          <w:lang w:eastAsia="zh-CN"/>
        </w:rPr>
        <w:t>注：省控地表水水质自动监测站运维质量现场检查评分表详见附件</w:t>
      </w:r>
      <w:r>
        <w:rPr>
          <w:rFonts w:hint="eastAsia" w:ascii="宋体" w:hAnsi="宋体" w:cs="宋体"/>
          <w:b/>
          <w:bCs/>
          <w:color w:val="auto"/>
          <w:sz w:val="24"/>
          <w:szCs w:val="24"/>
          <w:highlight w:val="none"/>
          <w:lang w:val="en-US" w:eastAsia="zh-CN"/>
        </w:rPr>
        <w:t>19</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Calibri" w:hAnsi="Calibri" w:eastAsia="宋体" w:cs="Times New Roman"/>
          <w:b/>
          <w:bCs/>
          <w:color w:val="000000"/>
          <w:kern w:val="2"/>
          <w:sz w:val="24"/>
          <w:szCs w:val="24"/>
          <w:highlight w:val="none"/>
          <w:lang w:val="en-US" w:eastAsia="zh-CN" w:bidi="ar-SA"/>
        </w:rPr>
      </w:pPr>
      <w:r>
        <w:rPr>
          <w:rFonts w:hint="eastAsia" w:ascii="Times New Roman" w:hAnsi="Times New Roman" w:eastAsia="宋体" w:cs="Times New Roman"/>
          <w:b/>
          <w:bCs/>
          <w:color w:val="000000"/>
          <w:kern w:val="2"/>
          <w:sz w:val="24"/>
          <w:szCs w:val="24"/>
          <w:highlight w:val="none"/>
          <w:lang w:val="en-US" w:eastAsia="zh-CN" w:bidi="ar-SA"/>
        </w:rPr>
        <w:t>标项五：运维监理项目招标需求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一、项目背景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根据浙江省生态环境厅《关于印发〈浙江省地表水水质自动监测系统运行管理细则〉〈浙江省环境空气质量自动监测系统运行管理细则〉的通知》（浙环函〔2020〕127号）、浙江省生态环境厅《关于做好省控环境质量自动监测站上收移交工作的函》（浙环便函〔2021〕198号）要求，为进一步加强省级环境空气及地表水水质自动监测系统运行管理，确保自动监测系统稳定运行，自动监测数据的良好的代表性、精密性、准确性和可比性，现对台州市23个省控地表水和饮用水源地水质环境自动监测站以及21个省控环境空气和重点工业园区环境质量自动站开展运维检查服务，为环境管理和政府决策提供科学的、准确的依据。受委托机构在监理工作中须遵循实事求是、公平、公正的原则。</w:t>
      </w:r>
    </w:p>
    <w:p>
      <w:pPr>
        <w:keepNext w:val="0"/>
        <w:keepLines w:val="0"/>
        <w:pageBreakBefore w:val="0"/>
        <w:widowControl w:val="0"/>
        <w:kinsoku/>
        <w:wordWrap/>
        <w:overflowPunct/>
        <w:topLinePunct w:val="0"/>
        <w:autoSpaceDE/>
        <w:autoSpaceDN/>
        <w:bidi w:val="0"/>
        <w:adjustRightInd/>
        <w:snapToGrid w:val="0"/>
        <w:spacing w:line="360" w:lineRule="auto"/>
        <w:ind w:firstLine="663" w:firstLineChars="275"/>
        <w:textAlignment w:val="auto"/>
        <w:rPr>
          <w:rFonts w:ascii="宋体" w:hAnsi="宋体" w:cs="宋体"/>
          <w:color w:val="000000"/>
          <w:sz w:val="24"/>
        </w:rPr>
      </w:pPr>
      <w:r>
        <w:rPr>
          <w:rFonts w:hint="eastAsia" w:ascii="宋体" w:hAnsi="宋体" w:cs="宋体"/>
          <w:b/>
          <w:bCs/>
          <w:color w:val="000000"/>
          <w:sz w:val="24"/>
        </w:rPr>
        <w:t>二、监理总体要求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一）气站运维监理工作包括运维体系检查、异常数据检查、双随机检查和颗粒物比对等，通过对站点运维和数据质量情况进行考核来监理第三方运维单位工作完成情况，采购人依据监理考核评价支付第三方运维单位的服务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本项目气站工作开展需符合以下标准，</w:t>
      </w:r>
      <w:r>
        <w:rPr>
          <w:rFonts w:hint="eastAsia" w:ascii="宋体" w:hAnsi="宋体" w:cs="宋体"/>
          <w:kern w:val="0"/>
          <w:sz w:val="24"/>
          <w:lang w:bidi="ar"/>
        </w:rPr>
        <w:t>但不限于以下标准，如果国家、浙江省相关部门、监测站等有新的相关技术标准发布，则执行新的标准：</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《环境空气气态污染物（SO2、NO2、O3、CO）连续自动监测系统运行与质控技术规范》（HJ818-2018）</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《环境空气颗粒物（PM10和PM2.5)连续自动监测系统运行和质控技术规范》（HJ817-2018）</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《国家环境空气监测网环境空气挥发性有机物连续自动监测质量控制技术规定(试行)》</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《国家环境空气质量监测网城市站运行管理实施细则》、《浙江省环境空气质量自动监测系统运行管理细则》</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《浙江省省控环境空气自动监测站及重点工业园区环境空气自动监测站管理实施细则》（浙环监函[2021]12号）</w:t>
      </w:r>
    </w:p>
    <w:p>
      <w:pPr>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《浙江省城市环境空气自动监测系统运维检查和质控考核工作方案》（浙环监发[2020]18号）等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kern w:val="0"/>
          <w:sz w:val="24"/>
          <w:lang w:bidi="ar"/>
        </w:rPr>
        <w:t>（二）水站运维监理工作包括运维体系检查、质控工作、计划外检查等，</w:t>
      </w:r>
      <w:r>
        <w:rPr>
          <w:rFonts w:hint="eastAsia" w:ascii="宋体" w:hAnsi="宋体" w:cs="宋体"/>
          <w:color w:val="000000"/>
          <w:sz w:val="24"/>
        </w:rPr>
        <w:t>通过对站点运维和数据质量情况进行考核来监理第三方运维单位工作完成情况，采购人依据监理考核评价支付第三方运维单位的服务费。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本项目水站工作开展需严格遵循以下标准，但不限于以下标准，如果国家、浙江省相关部门、监测站等有新的相关技术标准发布，则执行新的标准：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1、国家及浙江省发布的相关水质在线监测技术标准和规范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2、《浙江省地表水水质自动监测系统运行管理细则》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3、《环境水质监测质量保证手册》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 xml:space="preserve">4、《地表水和污水监测技术规范》（HJ/T91-2002 ）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 xml:space="preserve">5、《pH水质自动分析仪技术要求》（HJ/T96-2003）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6、《电导率水质自动分析仪技术要求》（HJ/T97-2003）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7、《浊度水质自动分析仪技术要求》（HJ/T98-2003）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8、《溶解氧（DO）水质自动分析仪技术要求》（HJ/T99-2003）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9、《高锰酸盐指数水质自动分析仪技术要求》（HJ/T100-2003）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10、《氨氮水质自动分析仪技术要求》（HJ/T101-20</w:t>
      </w:r>
      <w:r>
        <w:rPr>
          <w:rFonts w:hint="eastAsia" w:ascii="宋体" w:hAnsi="宋体" w:cs="宋体"/>
          <w:kern w:val="0"/>
          <w:sz w:val="24"/>
          <w:lang w:val="en-US" w:eastAsia="zh-CN" w:bidi="ar"/>
        </w:rPr>
        <w:t>19</w:t>
      </w:r>
      <w:r>
        <w:rPr>
          <w:rFonts w:hint="eastAsia" w:ascii="宋体" w:hAnsi="宋体" w:cs="宋体"/>
          <w:kern w:val="0"/>
          <w:sz w:val="24"/>
          <w:lang w:bidi="ar"/>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kern w:val="0"/>
          <w:sz w:val="24"/>
          <w:lang w:bidi="ar"/>
        </w:rPr>
      </w:pPr>
      <w:r>
        <w:rPr>
          <w:rFonts w:hint="eastAsia" w:ascii="宋体" w:hAnsi="宋体" w:cs="宋体"/>
          <w:kern w:val="0"/>
          <w:sz w:val="24"/>
          <w:lang w:bidi="ar"/>
        </w:rPr>
        <w:t>11、《总氮水质自动分析仪技术要求》（GB/T 11894-1989）</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kern w:val="0"/>
          <w:sz w:val="24"/>
          <w:lang w:bidi="ar"/>
        </w:rPr>
        <w:t>12、《总磷水质自动分析仪技术要求》（GB/T 11893-1989）等</w:t>
      </w:r>
    </w:p>
    <w:p>
      <w:pPr>
        <w:keepNext w:val="0"/>
        <w:keepLines w:val="0"/>
        <w:pageBreakBefore w:val="0"/>
        <w:widowControl w:val="0"/>
        <w:kinsoku/>
        <w:wordWrap/>
        <w:overflowPunct/>
        <w:topLinePunct w:val="0"/>
        <w:autoSpaceDE/>
        <w:autoSpaceDN/>
        <w:bidi w:val="0"/>
        <w:adjustRightInd/>
        <w:snapToGrid w:val="0"/>
        <w:spacing w:line="360" w:lineRule="auto"/>
        <w:ind w:firstLine="723" w:firstLineChars="300"/>
        <w:textAlignment w:val="auto"/>
        <w:rPr>
          <w:rFonts w:ascii="宋体" w:hAnsi="宋体" w:cs="宋体"/>
          <w:b/>
          <w:bCs/>
          <w:color w:val="000000"/>
          <w:sz w:val="24"/>
        </w:rPr>
      </w:pPr>
      <w:r>
        <w:rPr>
          <w:rFonts w:hint="eastAsia" w:ascii="宋体" w:hAnsi="宋体" w:cs="宋体"/>
          <w:b/>
          <w:bCs/>
          <w:color w:val="000000"/>
          <w:sz w:val="24"/>
        </w:rPr>
        <w:t>三、人员、车辆、设备配备要求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（一）. 人员车辆配备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auto"/>
          <w:sz w:val="24"/>
        </w:rPr>
        <w:t>监理单位为本项目配备经验丰富且稳定的专业技术团队，</w:t>
      </w:r>
      <w:r>
        <w:rPr>
          <w:rFonts w:hint="eastAsia" w:ascii="宋体" w:hAnsi="宋体" w:cs="宋体"/>
          <w:color w:val="000000"/>
          <w:sz w:val="24"/>
        </w:rPr>
        <w:t>技术人员不少于4名（含1名驻站人员，驻站人员常驻浙江省台州生态环境监测中心，须熟练掌握浙江省环境空气、地表水和饮用水源地自动监测数据审核等相关知识，胜任数据审核），具有两年以上相关工作经验且具有省级及以上环境监测主管部门或环境协会颁发的环境空气或水质自动站运维培训合格证，并在有效期内。运维检查专用车辆数量不少于2辆，技术人员队伍应保持相对稳定，并在投标时提供聘用合同及职工社会保险缴纳有效材料（复印件加盖投标人公章）供采购人查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（二）. 核查用设备与标准品要求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1、所使用标准气体需要为</w:t>
      </w:r>
      <w:r>
        <w:rPr>
          <w:rFonts w:hint="eastAsia" w:ascii="宋体" w:hAnsi="宋体" w:cs="宋体"/>
          <w:color w:val="000000"/>
          <w:sz w:val="24"/>
          <w:lang w:eastAsia="zh-Hans"/>
        </w:rPr>
        <w:t>国家一级</w:t>
      </w:r>
      <w:r>
        <w:rPr>
          <w:rFonts w:hint="eastAsia" w:ascii="宋体" w:hAnsi="宋体" w:cs="宋体"/>
          <w:color w:val="000000"/>
          <w:sz w:val="24"/>
        </w:rPr>
        <w:t>标准气体；使用的臭氧校准设备需在</w:t>
      </w:r>
      <w:r>
        <w:rPr>
          <w:rFonts w:hint="eastAsia" w:ascii="宋体" w:hAnsi="宋体" w:cs="宋体"/>
          <w:color w:val="000000"/>
          <w:sz w:val="24"/>
          <w:lang w:eastAsia="zh-Hans"/>
        </w:rPr>
        <w:t>浙江省</w:t>
      </w:r>
      <w:r>
        <w:rPr>
          <w:rFonts w:hint="eastAsia" w:ascii="宋体" w:hAnsi="宋体" w:cs="宋体"/>
          <w:color w:val="000000"/>
          <w:sz w:val="24"/>
        </w:rPr>
        <w:t>环境监测中心NIST SRP 56#传递的一级标准光度计进行传递后使用。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2、5ml-30L标准流量计，要求精度≤±2%。</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标准大气压力传感器。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highlight w:val="yellow"/>
        </w:rPr>
      </w:pPr>
      <w:r>
        <w:rPr>
          <w:rFonts w:ascii="宋体" w:hAnsi="宋体" w:cs="宋体"/>
          <w:color w:val="000000"/>
          <w:sz w:val="24"/>
        </w:rPr>
        <w:t>4</w:t>
      </w:r>
      <w:r>
        <w:rPr>
          <w:rFonts w:hint="eastAsia" w:ascii="宋体" w:hAnsi="宋体" w:cs="宋体"/>
          <w:color w:val="000000"/>
          <w:sz w:val="24"/>
        </w:rPr>
        <w:t>、所有核查用的设备均由投标人自备，且每台设备均有相关计量部门的计量认证证书，且使用时，应在取得的证书有效期内。</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sz w:val="24"/>
        </w:rPr>
      </w:pPr>
      <w:bookmarkStart w:id="116" w:name="_Toc86134620"/>
      <w:bookmarkStart w:id="117" w:name="_Toc86134570"/>
      <w:r>
        <w:rPr>
          <w:rFonts w:hint="eastAsia" w:ascii="宋体" w:hAnsi="宋体" w:cs="宋体"/>
          <w:b/>
          <w:bCs/>
          <w:color w:val="000000"/>
          <w:sz w:val="24"/>
        </w:rPr>
        <w:t>四、工作目标</w:t>
      </w:r>
      <w:bookmarkEnd w:id="116"/>
      <w:bookmarkEnd w:id="117"/>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1．运维体系检查任务完成率100%；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 异常数据检查任务完成处理率100%；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 数据质量监督检查任务完成处理率大于或等于95%；</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 双随机检查任务完成处理率100%；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 颗粒物比对工作完成率100%；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 检查报告完成率100%；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 工作执行率100%。</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cs="宋体"/>
          <w:b/>
          <w:bCs/>
          <w:color w:val="000000"/>
          <w:sz w:val="24"/>
        </w:rPr>
      </w:pPr>
      <w:bookmarkStart w:id="118" w:name="_Toc86134621"/>
      <w:bookmarkStart w:id="119" w:name="_Toc86134571"/>
      <w:r>
        <w:rPr>
          <w:rFonts w:hint="eastAsia" w:ascii="宋体" w:hAnsi="宋体" w:cs="宋体"/>
          <w:b/>
          <w:bCs/>
          <w:color w:val="000000"/>
          <w:sz w:val="24"/>
        </w:rPr>
        <w:t>五、工作形式</w:t>
      </w:r>
      <w:bookmarkEnd w:id="118"/>
      <w:bookmarkEnd w:id="119"/>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1．投标单位中标以后需提供详细的</w:t>
      </w:r>
      <w:r>
        <w:rPr>
          <w:rFonts w:hint="eastAsia" w:ascii="宋体" w:hAnsi="宋体" w:cs="宋体"/>
          <w:color w:val="000000"/>
          <w:sz w:val="24"/>
          <w:lang w:eastAsia="zh-Hans"/>
        </w:rPr>
        <w:t>常规检查</w:t>
      </w:r>
      <w:r>
        <w:rPr>
          <w:rFonts w:hint="eastAsia" w:ascii="宋体" w:hAnsi="宋体" w:cs="宋体"/>
          <w:color w:val="000000"/>
          <w:sz w:val="24"/>
        </w:rPr>
        <w:t>、</w:t>
      </w:r>
      <w:r>
        <w:rPr>
          <w:rFonts w:hint="eastAsia" w:ascii="宋体" w:hAnsi="宋体" w:cs="宋体"/>
          <w:color w:val="000000"/>
          <w:sz w:val="24"/>
          <w:lang w:eastAsia="zh-Hans"/>
        </w:rPr>
        <w:t>质控检查</w:t>
      </w:r>
      <w:r>
        <w:rPr>
          <w:rFonts w:hint="eastAsia" w:ascii="宋体" w:hAnsi="宋体" w:cs="宋体"/>
          <w:color w:val="000000"/>
          <w:sz w:val="24"/>
        </w:rPr>
        <w:t>方案，并经业主方认可，双方签字确认；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2．根据招标要求，对台州市事权上收的2</w:t>
      </w:r>
      <w:r>
        <w:rPr>
          <w:rFonts w:hint="eastAsia" w:ascii="宋体" w:hAnsi="宋体" w:cs="宋体"/>
          <w:color w:val="000000"/>
          <w:sz w:val="24"/>
          <w:lang w:eastAsia="zh"/>
        </w:rPr>
        <w:t>1</w:t>
      </w:r>
      <w:r>
        <w:rPr>
          <w:rFonts w:hint="eastAsia" w:ascii="宋体" w:hAnsi="宋体" w:cs="宋体"/>
          <w:color w:val="000000"/>
          <w:sz w:val="24"/>
        </w:rPr>
        <w:t>个省控城市环境空气质量和重点园区环境环境空气质量自动监测站点，23个省控地表水站和饮用水源地水质自动站</w:t>
      </w:r>
      <w:r>
        <w:rPr>
          <w:rFonts w:hint="eastAsia" w:ascii="宋体" w:hAnsi="宋体" w:cs="宋体"/>
          <w:color w:val="000000"/>
          <w:sz w:val="24"/>
          <w:lang w:eastAsia="zh-Hans"/>
        </w:rPr>
        <w:t>进行常规检查和质控检查工作，</w:t>
      </w:r>
      <w:r>
        <w:rPr>
          <w:rFonts w:hint="eastAsia" w:ascii="宋体" w:hAnsi="宋体" w:cs="宋体"/>
          <w:color w:val="000000"/>
          <w:sz w:val="24"/>
        </w:rPr>
        <w:t>同时确保检查完成后各站点仪器正常运行；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3．对检查情况及时记录，并汇报；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4．按时提交站点检查报告（内容包括：站点月、季度及年终检查报告汇总、运维单位工作考核评价等）；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5．根据采购人的要求，开展其他环境空气、地表水水质自动监测质量监督检查相关的工作；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6．根据监理检查工作发现的问题，及时以书面或口头形式向采购单位提出建设性意见及整改方案。</w:t>
      </w:r>
    </w:p>
    <w:p>
      <w:pPr>
        <w:pStyle w:val="2"/>
        <w:keepNext w:val="0"/>
        <w:keepLines w:val="0"/>
        <w:pageBreakBefore w:val="0"/>
        <w:widowControl w:val="0"/>
        <w:kinsoku/>
        <w:wordWrap/>
        <w:overflowPunct/>
        <w:topLinePunct w:val="0"/>
        <w:autoSpaceDE/>
        <w:autoSpaceDN/>
        <w:bidi w:val="0"/>
        <w:adjustRightInd/>
        <w:snapToGrid w:val="0"/>
        <w:spacing w:line="360" w:lineRule="auto"/>
        <w:ind w:left="0" w:leftChars="0" w:firstLine="482" w:firstLineChars="200"/>
        <w:textAlignment w:val="auto"/>
        <w:rPr>
          <w:b/>
          <w:bCs/>
          <w:sz w:val="24"/>
          <w:szCs w:val="24"/>
        </w:rPr>
      </w:pPr>
      <w:r>
        <w:rPr>
          <w:rFonts w:hint="eastAsia"/>
          <w:b/>
          <w:bCs/>
          <w:sz w:val="24"/>
          <w:szCs w:val="24"/>
        </w:rPr>
        <w:t>六、监理工作内容</w:t>
      </w:r>
    </w:p>
    <w:p>
      <w:pPr>
        <w:pStyle w:val="3"/>
        <w:keepNext w:val="0"/>
        <w:keepLines w:val="0"/>
        <w:pageBreakBefore w:val="0"/>
        <w:widowControl w:val="0"/>
        <w:kinsoku/>
        <w:wordWrap/>
        <w:overflowPunct/>
        <w:topLinePunct w:val="0"/>
        <w:autoSpaceDE/>
        <w:autoSpaceDN/>
        <w:bidi w:val="0"/>
        <w:adjustRightInd/>
        <w:snapToGrid w:val="0"/>
        <w:spacing w:after="0" w:line="360" w:lineRule="auto"/>
        <w:ind w:left="0" w:leftChars="0"/>
        <w:textAlignment w:val="auto"/>
        <w:rPr>
          <w:b/>
          <w:bCs/>
          <w:sz w:val="24"/>
        </w:rPr>
      </w:pPr>
      <w:r>
        <w:rPr>
          <w:rFonts w:hint="eastAsia"/>
          <w:b/>
          <w:bCs/>
          <w:sz w:val="24"/>
        </w:rPr>
        <w:t>（一）气站运维监理工作内容</w:t>
      </w:r>
    </w:p>
    <w:p>
      <w:pPr>
        <w:pStyle w:val="3"/>
        <w:keepNext w:val="0"/>
        <w:keepLines w:val="0"/>
        <w:pageBreakBefore w:val="0"/>
        <w:widowControl w:val="0"/>
        <w:kinsoku/>
        <w:wordWrap/>
        <w:overflowPunct/>
        <w:topLinePunct w:val="0"/>
        <w:autoSpaceDE/>
        <w:autoSpaceDN/>
        <w:bidi w:val="0"/>
        <w:adjustRightInd/>
        <w:snapToGrid w:val="0"/>
        <w:spacing w:after="0" w:line="360" w:lineRule="auto"/>
        <w:ind w:left="0" w:leftChars="0"/>
        <w:textAlignment w:val="auto"/>
        <w:rPr>
          <w:rFonts w:ascii="宋体" w:hAnsi="宋体" w:cs="宋体"/>
          <w:b/>
          <w:bCs/>
          <w:color w:val="000000"/>
          <w:sz w:val="24"/>
        </w:rPr>
      </w:pPr>
      <w:r>
        <w:rPr>
          <w:rFonts w:hint="eastAsia" w:ascii="宋体" w:hAnsi="宋体" w:cs="宋体"/>
          <w:b/>
          <w:bCs/>
          <w:color w:val="000000"/>
          <w:sz w:val="24"/>
        </w:rPr>
        <w:t>1.运维体系检查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监理人员对第三方运维公司的运维体系进行检查，检查结果及时报告采购人。检查内容包括但不限于：</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1.1</w:t>
      </w:r>
      <w:r>
        <w:rPr>
          <w:rFonts w:hint="eastAsia" w:ascii="宋体" w:hAnsi="宋体" w:cs="宋体"/>
          <w:b/>
          <w:bCs/>
          <w:color w:val="000000"/>
          <w:sz w:val="24"/>
        </w:rPr>
        <w:t>站点或采样口周边环境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1）站点用地、电力供应、安全保障工作及周边环境</w:t>
      </w:r>
      <w:r>
        <w:rPr>
          <w:rFonts w:hint="eastAsia" w:ascii="宋体" w:hAnsi="宋体" w:cs="宋体"/>
          <w:color w:val="000000"/>
          <w:sz w:val="24"/>
          <w:lang w:eastAsia="zh-Hans"/>
        </w:rPr>
        <w:t>是否</w:t>
      </w:r>
      <w:r>
        <w:rPr>
          <w:rFonts w:hint="eastAsia" w:ascii="宋体" w:hAnsi="宋体" w:cs="宋体"/>
          <w:color w:val="000000"/>
          <w:sz w:val="24"/>
        </w:rPr>
        <w:t>异常；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2）站点周围树木生长</w:t>
      </w:r>
      <w:r>
        <w:rPr>
          <w:rFonts w:hint="eastAsia" w:ascii="宋体" w:hAnsi="宋体" w:cs="宋体"/>
          <w:color w:val="000000"/>
          <w:sz w:val="24"/>
          <w:lang w:eastAsia="zh-Hans"/>
        </w:rPr>
        <w:t>是否</w:t>
      </w:r>
      <w:r>
        <w:rPr>
          <w:rFonts w:hint="eastAsia" w:ascii="宋体" w:hAnsi="宋体" w:cs="宋体"/>
          <w:color w:val="000000"/>
          <w:sz w:val="24"/>
        </w:rPr>
        <w:t>影响自动监测设备的采样工作；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3）站点四周栅栏、安全警示标志</w:t>
      </w:r>
      <w:r>
        <w:rPr>
          <w:rFonts w:hint="eastAsia" w:ascii="宋体" w:hAnsi="宋体" w:cs="宋体"/>
          <w:color w:val="000000"/>
          <w:sz w:val="24"/>
          <w:lang w:eastAsia="zh-Hans"/>
        </w:rPr>
        <w:t>是否</w:t>
      </w:r>
      <w:r>
        <w:rPr>
          <w:rFonts w:hint="eastAsia" w:ascii="宋体" w:hAnsi="宋体" w:cs="宋体"/>
          <w:color w:val="000000"/>
          <w:sz w:val="24"/>
        </w:rPr>
        <w:t>配备齐全；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4）站点四周目视范围内</w:t>
      </w:r>
      <w:r>
        <w:rPr>
          <w:rFonts w:hint="eastAsia" w:ascii="宋体" w:hAnsi="宋体" w:cs="宋体"/>
          <w:color w:val="000000"/>
          <w:sz w:val="24"/>
          <w:lang w:eastAsia="zh-Hans"/>
        </w:rPr>
        <w:t>是否</w:t>
      </w:r>
      <w:r>
        <w:rPr>
          <w:rFonts w:hint="eastAsia" w:ascii="宋体" w:hAnsi="宋体" w:cs="宋体"/>
          <w:color w:val="000000"/>
          <w:sz w:val="24"/>
        </w:rPr>
        <w:t>存在影响监测数据的局地污染源：如烟囱、餐饮油烟等；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5）有</w:t>
      </w:r>
      <w:r>
        <w:rPr>
          <w:rFonts w:hint="eastAsia" w:ascii="宋体" w:hAnsi="宋体" w:cs="宋体"/>
          <w:color w:val="000000"/>
          <w:sz w:val="24"/>
          <w:lang w:eastAsia="zh-Hans"/>
        </w:rPr>
        <w:t>无</w:t>
      </w:r>
      <w:r>
        <w:rPr>
          <w:rFonts w:hint="eastAsia" w:ascii="宋体" w:hAnsi="宋体" w:cs="宋体"/>
          <w:color w:val="000000"/>
          <w:sz w:val="24"/>
        </w:rPr>
        <w:t>非运维人员在未获得许可的情况下进入站房、站房顶、站点栅栏内及采样口20米范围内；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6）站点或采样口周边50米范围内，有雾炮喷淋等改变环境空气质量的装置；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7）存在其他影响站点周边环境代表性的情况。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1.2</w:t>
      </w:r>
      <w:r>
        <w:rPr>
          <w:rFonts w:hint="eastAsia" w:ascii="宋体" w:hAnsi="宋体" w:cs="宋体"/>
          <w:b/>
          <w:bCs/>
          <w:color w:val="000000"/>
          <w:sz w:val="24"/>
        </w:rPr>
        <w:t>站房环境情况</w:t>
      </w:r>
      <w:r>
        <w:rPr>
          <w:rFonts w:hint="eastAsia" w:ascii="宋体" w:hAnsi="宋体" w:cs="宋体"/>
          <w:b/>
          <w:bCs/>
          <w:color w:val="000000"/>
          <w:sz w:val="24"/>
        </w:rPr>
        <w:tab/>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1）站房周边及站房顶有杂草、积水，地面卫生</w:t>
      </w:r>
      <w:r>
        <w:rPr>
          <w:rFonts w:hint="eastAsia" w:ascii="宋体" w:hAnsi="宋体" w:cs="宋体"/>
          <w:color w:val="000000"/>
          <w:sz w:val="24"/>
          <w:lang w:eastAsia="zh-Hans"/>
        </w:rPr>
        <w:t>是否</w:t>
      </w:r>
      <w:r>
        <w:rPr>
          <w:rFonts w:hint="eastAsia" w:ascii="宋体" w:hAnsi="宋体" w:cs="宋体"/>
          <w:color w:val="000000"/>
          <w:sz w:val="24"/>
        </w:rPr>
        <w:t>保持清洁；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2）站房内环境脏</w:t>
      </w:r>
      <w:r>
        <w:rPr>
          <w:rFonts w:hint="eastAsia" w:ascii="宋体" w:hAnsi="宋体" w:cs="宋体"/>
          <w:color w:val="000000"/>
          <w:sz w:val="24"/>
          <w:lang w:eastAsia="zh-Hans"/>
        </w:rPr>
        <w:t>有无</w:t>
      </w:r>
      <w:r>
        <w:rPr>
          <w:rFonts w:hint="eastAsia" w:ascii="宋体" w:hAnsi="宋体" w:cs="宋体"/>
          <w:color w:val="000000"/>
          <w:sz w:val="24"/>
        </w:rPr>
        <w:t>明显灰尘、蛛网等；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3）站房内是否有明显的异味；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4）站房内物品是否摆放整齐，标气瓶是否固定；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5）站房内电源线路、网络线路、气体/采样管路等</w:t>
      </w:r>
      <w:r>
        <w:rPr>
          <w:rFonts w:hint="eastAsia" w:ascii="宋体" w:hAnsi="宋体" w:cs="宋体"/>
          <w:color w:val="000000"/>
          <w:sz w:val="24"/>
          <w:lang w:eastAsia="zh-Hans"/>
        </w:rPr>
        <w:t>是否</w:t>
      </w:r>
      <w:r>
        <w:rPr>
          <w:rFonts w:hint="eastAsia" w:ascii="宋体" w:hAnsi="宋体" w:cs="宋体"/>
          <w:color w:val="000000"/>
          <w:sz w:val="24"/>
        </w:rPr>
        <w:t>规整；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6）站点有跟本监测站无关的设备及杂物(地方资产和运维有关工具设备除外)。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7）站房未配置温湿度计，温湿度计检定</w:t>
      </w:r>
      <w:r>
        <w:rPr>
          <w:rFonts w:hint="eastAsia" w:ascii="宋体" w:hAnsi="宋体" w:cs="宋体"/>
          <w:color w:val="000000"/>
          <w:sz w:val="24"/>
          <w:lang w:eastAsia="zh-Hans"/>
        </w:rPr>
        <w:t>是否</w:t>
      </w:r>
      <w:r>
        <w:rPr>
          <w:rFonts w:hint="eastAsia" w:ascii="宋体" w:hAnsi="宋体" w:cs="宋体"/>
          <w:color w:val="000000"/>
          <w:sz w:val="24"/>
        </w:rPr>
        <w:t>过期；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8）站房温湿度是否在允许范围内(温度超25±5℃范围，相对湿度超80%)。</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9）站房内排气扇是否正常；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10）站房内是否有漏水；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11）检查防雷设施是否异常，应有防雷检测报告(报告有效期应符合要求)；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12）供电是否异常，网络传输是否异常，稳压器、UPS等是否正常工作；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13）灭火器等消防设施是否符合要求；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14）无视频监控，视频监控未正常运行或无法正常监视采样口、仪器间、站点出入口情况，视频无法回放，录像保存时长应满足最少30天；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15）空调是否正常运行、空调应具备来电自启功能；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16）空调</w:t>
      </w:r>
      <w:r>
        <w:rPr>
          <w:rFonts w:hint="eastAsia" w:ascii="宋体" w:hAnsi="宋体" w:cs="宋体"/>
          <w:color w:val="000000"/>
          <w:sz w:val="24"/>
          <w:lang w:eastAsia="zh-Hans"/>
        </w:rPr>
        <w:t>是否</w:t>
      </w:r>
      <w:r>
        <w:rPr>
          <w:rFonts w:hint="eastAsia" w:ascii="宋体" w:hAnsi="宋体" w:cs="宋体"/>
          <w:color w:val="000000"/>
          <w:sz w:val="24"/>
        </w:rPr>
        <w:t>直吹采样管。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1.3运维</w:t>
      </w:r>
      <w:r>
        <w:rPr>
          <w:rFonts w:hint="eastAsia" w:ascii="宋体" w:hAnsi="宋体" w:cs="宋体"/>
          <w:b/>
          <w:bCs/>
          <w:color w:val="000000"/>
          <w:sz w:val="24"/>
        </w:rPr>
        <w:t>人员</w:t>
      </w:r>
      <w:r>
        <w:rPr>
          <w:rFonts w:hint="eastAsia" w:ascii="宋体" w:hAnsi="宋体" w:cs="宋体"/>
          <w:b/>
          <w:bCs/>
          <w:color w:val="000000"/>
          <w:sz w:val="24"/>
          <w:lang w:eastAsia="zh-Hans"/>
        </w:rPr>
        <w:t>情况</w:t>
      </w:r>
      <w:r>
        <w:rPr>
          <w:rFonts w:hint="eastAsia" w:ascii="宋体" w:hAnsi="宋体" w:cs="宋体"/>
          <w:b/>
          <w:bCs/>
          <w:color w:val="000000"/>
          <w:sz w:val="24"/>
        </w:rPr>
        <w:t>、数据传输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运维人员是否持有省级以上环保部门或环境协会颁发的气站培训合格证书；证书过期或人证不符（未持证运维人员在取得上岗证前，需在持证人员指导下开展运维工作，并在开展运维工作的六个月内取得上岗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2）分析仪数据、数采软件数据、中心站原始数据库三者数据</w:t>
      </w:r>
      <w:r>
        <w:rPr>
          <w:rFonts w:hint="eastAsia" w:ascii="宋体" w:hAnsi="宋体" w:cs="宋体"/>
          <w:color w:val="000000"/>
          <w:sz w:val="24"/>
          <w:lang w:eastAsia="zh-Hans"/>
        </w:rPr>
        <w:t>是否</w:t>
      </w:r>
      <w:r>
        <w:rPr>
          <w:rFonts w:hint="eastAsia" w:ascii="宋体" w:hAnsi="宋体" w:cs="宋体"/>
          <w:color w:val="000000"/>
          <w:sz w:val="24"/>
        </w:rPr>
        <w:t>保持一致；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3）工控机、设备时间与北京时间误差超±5min，且工控机时间与设备时间误差超±5min。</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1.4</w:t>
      </w:r>
      <w:r>
        <w:rPr>
          <w:rFonts w:hint="eastAsia" w:ascii="宋体" w:hAnsi="宋体" w:cs="宋体"/>
          <w:b/>
          <w:bCs/>
          <w:color w:val="000000"/>
          <w:sz w:val="24"/>
        </w:rPr>
        <w:t>采样系统</w:t>
      </w:r>
      <w:r>
        <w:rPr>
          <w:rFonts w:hint="eastAsia" w:ascii="宋体" w:hAnsi="宋体" w:cs="宋体"/>
          <w:b/>
          <w:bCs/>
          <w:color w:val="000000"/>
          <w:sz w:val="24"/>
        </w:rPr>
        <w:tab/>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1）采样总管抽、排气风扇是否运转正常；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2）采样总管应竖直安装；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3）采样口到站点顶垂直距离＜1m；</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4）采样总管内径超1.5cm～15cm范围，各支管接头间隔＜8cm。采样支管长度应</w:t>
      </w:r>
      <w:r>
        <w:rPr>
          <w:rFonts w:hint="eastAsia" w:ascii="宋体" w:hAnsi="宋体" w:cs="宋体"/>
          <w:color w:val="000000"/>
          <w:sz w:val="24"/>
          <w:lang w:eastAsia="zh-Hans"/>
        </w:rPr>
        <w:t>不</w:t>
      </w:r>
      <w:r>
        <w:rPr>
          <w:rFonts w:hint="eastAsia" w:ascii="宋体" w:hAnsi="宋体" w:cs="宋体"/>
          <w:color w:val="000000"/>
          <w:sz w:val="24"/>
        </w:rPr>
        <w:t>大于3m。</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5）采样总管应配备加热系统；温度应控制在30～50℃范围内。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6）仪器废气、采样总管尾气</w:t>
      </w:r>
      <w:r>
        <w:rPr>
          <w:rFonts w:hint="eastAsia" w:ascii="宋体" w:hAnsi="宋体" w:cs="宋体"/>
          <w:color w:val="000000"/>
          <w:sz w:val="24"/>
          <w:lang w:eastAsia="zh-Hans"/>
        </w:rPr>
        <w:t>是否排放室外</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7）采样管路连接是否规范(如：无固定或在连接处应用胶布缠绕)。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8）颗粒物采样头滤网应保持完好；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9）颗粒物加热装置工作状态，参数设置应符合要求(动态加热湿度应设置为35％)。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1.5</w:t>
      </w:r>
      <w:r>
        <w:rPr>
          <w:rFonts w:hint="eastAsia" w:ascii="宋体" w:hAnsi="宋体" w:cs="宋体"/>
          <w:b/>
          <w:bCs/>
          <w:color w:val="000000"/>
          <w:sz w:val="24"/>
        </w:rPr>
        <w:t>日常维护及</w:t>
      </w:r>
      <w:r>
        <w:rPr>
          <w:rFonts w:hint="eastAsia" w:ascii="宋体" w:hAnsi="宋体" w:cs="宋体"/>
          <w:b/>
          <w:bCs/>
          <w:color w:val="000000"/>
          <w:sz w:val="24"/>
          <w:lang w:eastAsia="zh-Hans"/>
        </w:rPr>
        <w:t>溯源工作</w:t>
      </w:r>
      <w:r>
        <w:rPr>
          <w:rFonts w:hint="eastAsia" w:ascii="宋体" w:hAnsi="宋体" w:cs="宋体"/>
          <w:b/>
          <w:bCs/>
          <w:color w:val="000000"/>
          <w:sz w:val="24"/>
        </w:rPr>
        <w:tab/>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1）空调</w:t>
      </w:r>
      <w:r>
        <w:rPr>
          <w:rFonts w:hint="eastAsia" w:ascii="宋体" w:hAnsi="宋体" w:cs="宋体"/>
          <w:color w:val="000000"/>
          <w:sz w:val="24"/>
          <w:lang w:eastAsia="zh-Hans"/>
        </w:rPr>
        <w:t>滤网是否</w:t>
      </w:r>
      <w:r>
        <w:rPr>
          <w:rFonts w:hint="eastAsia" w:ascii="宋体" w:hAnsi="宋体" w:cs="宋体"/>
          <w:color w:val="000000"/>
          <w:sz w:val="24"/>
        </w:rPr>
        <w:t>清洁；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2）仪器、工控机等散热风扇是否正常，过滤网是否缺失，过滤网是否清洁；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3）各采样管路应保持清洁，无冷凝水、积灰等；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4）颗粒物采样头、切割器</w:t>
      </w:r>
      <w:r>
        <w:rPr>
          <w:rFonts w:hint="eastAsia" w:ascii="宋体" w:hAnsi="宋体" w:cs="宋体"/>
          <w:color w:val="000000"/>
          <w:sz w:val="24"/>
          <w:lang w:eastAsia="zh-Hans"/>
        </w:rPr>
        <w:t>是否</w:t>
      </w:r>
      <w:r>
        <w:rPr>
          <w:rFonts w:hint="eastAsia" w:ascii="宋体" w:hAnsi="宋体" w:cs="宋体"/>
          <w:color w:val="000000"/>
          <w:sz w:val="24"/>
        </w:rPr>
        <w:t>清洁；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5）干燥剂、氧化剂、活性炭耗材和分子筛应及时更换；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6）采样泵相关耗材未及时更换，空压机未及时维护；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7）气态污染物分析仪滤膜脏污，未及时更换；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8）检查</w:t>
      </w:r>
      <w:r>
        <w:rPr>
          <w:rFonts w:hint="eastAsia" w:ascii="宋体" w:hAnsi="宋体" w:cs="宋体"/>
          <w:color w:val="000000"/>
          <w:sz w:val="24"/>
          <w:lang w:val="zh-CN"/>
        </w:rPr>
        <w:t>记录表格</w:t>
      </w:r>
      <w:r>
        <w:rPr>
          <w:rFonts w:hint="eastAsia" w:ascii="宋体" w:hAnsi="宋体" w:cs="宋体"/>
          <w:color w:val="000000"/>
          <w:sz w:val="24"/>
        </w:rPr>
        <w:t>的填写是否完整规范，</w:t>
      </w:r>
      <w:r>
        <w:rPr>
          <w:rFonts w:hint="eastAsia" w:ascii="宋体" w:hAnsi="宋体" w:cs="宋体"/>
          <w:color w:val="000000"/>
          <w:sz w:val="24"/>
          <w:lang w:val="zh-CN"/>
        </w:rPr>
        <w:t>应包括各项运维工作、质控工作、维修工作等，并放置于点位现场备查；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9）设备维修记录、耗品耗材更换记录，</w:t>
      </w:r>
      <w:r>
        <w:rPr>
          <w:rFonts w:hint="eastAsia" w:ascii="宋体" w:hAnsi="宋体" w:cs="宋体"/>
          <w:color w:val="000000"/>
          <w:sz w:val="24"/>
          <w:lang w:eastAsia="zh-Hans"/>
        </w:rPr>
        <w:t>是否</w:t>
      </w:r>
      <w:r>
        <w:rPr>
          <w:rFonts w:hint="eastAsia" w:ascii="宋体" w:hAnsi="宋体" w:cs="宋体"/>
          <w:color w:val="000000"/>
          <w:sz w:val="24"/>
        </w:rPr>
        <w:t>完整，填写内容是否准确；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10）数据缺失情况说明、异常数据情况记录，记录填写</w:t>
      </w:r>
      <w:r>
        <w:rPr>
          <w:rFonts w:hint="eastAsia" w:ascii="宋体" w:hAnsi="宋体" w:cs="宋体"/>
          <w:color w:val="000000"/>
          <w:sz w:val="24"/>
          <w:lang w:eastAsia="zh-Hans"/>
        </w:rPr>
        <w:t>是否</w:t>
      </w:r>
      <w:r>
        <w:rPr>
          <w:rFonts w:hint="eastAsia" w:ascii="宋体" w:hAnsi="宋体" w:cs="宋体"/>
          <w:color w:val="000000"/>
          <w:sz w:val="24"/>
        </w:rPr>
        <w:t>完整，填写内容是否准确；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11）</w:t>
      </w:r>
      <w:r>
        <w:rPr>
          <w:rFonts w:hint="eastAsia" w:ascii="宋体" w:hAnsi="宋体" w:cs="宋体"/>
          <w:color w:val="000000"/>
          <w:sz w:val="24"/>
          <w:lang w:val="zh-CN"/>
        </w:rPr>
        <w:t>量值溯源</w:t>
      </w:r>
      <w:r>
        <w:rPr>
          <w:rFonts w:hint="eastAsia" w:ascii="宋体" w:hAnsi="宋体" w:cs="宋体"/>
          <w:color w:val="000000"/>
          <w:sz w:val="24"/>
        </w:rPr>
        <w:t>。</w:t>
      </w:r>
      <w:r>
        <w:rPr>
          <w:rFonts w:hint="eastAsia" w:ascii="宋体" w:hAnsi="宋体" w:cs="宋体"/>
          <w:color w:val="000000"/>
          <w:sz w:val="24"/>
          <w:lang w:val="zh-CN"/>
        </w:rPr>
        <w:t>用于测试流量的流量计、温度计、压力计是否通过计量检定</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rPr>
        <w:t>12）</w:t>
      </w:r>
      <w:r>
        <w:rPr>
          <w:rFonts w:hint="eastAsia" w:ascii="宋体" w:hAnsi="宋体" w:cs="宋体"/>
          <w:color w:val="000000"/>
          <w:sz w:val="24"/>
          <w:lang w:val="zh-CN"/>
        </w:rPr>
        <w:t>标气</w:t>
      </w:r>
      <w:r>
        <w:rPr>
          <w:rFonts w:hint="eastAsia" w:ascii="宋体" w:hAnsi="宋体" w:cs="宋体"/>
          <w:color w:val="000000"/>
          <w:sz w:val="24"/>
        </w:rPr>
        <w:t>和气体发生器情况。检查标气</w:t>
      </w:r>
      <w:r>
        <w:rPr>
          <w:rFonts w:hint="eastAsia" w:ascii="宋体" w:hAnsi="宋体" w:cs="宋体"/>
          <w:color w:val="000000"/>
          <w:sz w:val="24"/>
          <w:lang w:val="zh-CN"/>
        </w:rPr>
        <w:t>和辅助气</w:t>
      </w:r>
      <w:r>
        <w:rPr>
          <w:rFonts w:hint="eastAsia" w:ascii="宋体" w:hAnsi="宋体" w:cs="宋体"/>
          <w:color w:val="000000"/>
          <w:sz w:val="24"/>
        </w:rPr>
        <w:t>是否在</w:t>
      </w:r>
      <w:r>
        <w:rPr>
          <w:rFonts w:hint="eastAsia" w:ascii="宋体" w:hAnsi="宋体" w:cs="宋体"/>
          <w:color w:val="000000"/>
          <w:sz w:val="24"/>
          <w:lang w:val="zh-CN"/>
        </w:rPr>
        <w:t>有效期</w:t>
      </w:r>
      <w:r>
        <w:rPr>
          <w:rFonts w:hint="eastAsia" w:ascii="宋体" w:hAnsi="宋体" w:cs="宋体"/>
          <w:color w:val="000000"/>
          <w:sz w:val="24"/>
        </w:rPr>
        <w:t>内，</w:t>
      </w:r>
      <w:r>
        <w:rPr>
          <w:rFonts w:hint="eastAsia" w:ascii="宋体" w:hAnsi="宋体" w:cs="宋体"/>
          <w:color w:val="000000"/>
          <w:sz w:val="24"/>
          <w:lang w:val="zh-CN"/>
        </w:rPr>
        <w:t>压力</w:t>
      </w:r>
      <w:r>
        <w:rPr>
          <w:rFonts w:hint="eastAsia" w:ascii="宋体" w:hAnsi="宋体" w:cs="宋体"/>
          <w:color w:val="000000"/>
          <w:sz w:val="24"/>
        </w:rPr>
        <w:t>是否满足工作要求</w:t>
      </w:r>
      <w:r>
        <w:rPr>
          <w:rFonts w:hint="eastAsia" w:ascii="宋体" w:hAnsi="宋体" w:cs="宋体"/>
          <w:color w:val="000000"/>
          <w:sz w:val="24"/>
          <w:lang w:val="zh-CN"/>
        </w:rPr>
        <w:t>；气体发生器硅胶、活性碳和无水氯化钙</w:t>
      </w:r>
      <w:r>
        <w:rPr>
          <w:rFonts w:hint="eastAsia" w:ascii="宋体" w:hAnsi="宋体" w:cs="宋体"/>
          <w:color w:val="000000"/>
          <w:sz w:val="24"/>
        </w:rPr>
        <w:t>是否更换及时等</w:t>
      </w:r>
      <w:r>
        <w:rPr>
          <w:rFonts w:hint="eastAsia" w:ascii="宋体" w:hAnsi="宋体" w:cs="宋体"/>
          <w:color w:val="000000"/>
          <w:sz w:val="24"/>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rPr>
        <w:t>13）</w:t>
      </w:r>
      <w:r>
        <w:rPr>
          <w:rFonts w:hint="eastAsia" w:ascii="宋体" w:hAnsi="宋体" w:cs="宋体"/>
          <w:color w:val="000000"/>
          <w:sz w:val="24"/>
          <w:lang w:val="zh-CN"/>
        </w:rPr>
        <w:t>检查数据采集、传输与网络通讯是否正常，采集数据与仪器内部数据是否一致性。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14）</w:t>
      </w:r>
      <w:r>
        <w:rPr>
          <w:rFonts w:hint="eastAsia" w:ascii="宋体" w:hAnsi="宋体" w:cs="宋体"/>
          <w:color w:val="000000"/>
          <w:sz w:val="24"/>
          <w:lang w:val="zh-CN"/>
        </w:rPr>
        <w:t>备件耗材管理。包括每次更换下来的耗材、配件是否保存好，更换耗材备件是否标注更换日期，需经采购人认可后方可处理。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lang w:eastAsia="zh-Hans"/>
        </w:rPr>
        <w:t>1.6</w:t>
      </w:r>
      <w:r>
        <w:rPr>
          <w:rFonts w:hint="eastAsia" w:ascii="宋体" w:hAnsi="宋体" w:cs="宋体"/>
          <w:b/>
          <w:bCs/>
          <w:color w:val="000000"/>
          <w:sz w:val="24"/>
        </w:rPr>
        <w:t>故障维修</w:t>
      </w:r>
      <w:r>
        <w:rPr>
          <w:rFonts w:hint="eastAsia" w:ascii="宋体" w:hAnsi="宋体" w:cs="宋体"/>
          <w:b/>
          <w:bCs/>
          <w:color w:val="000000"/>
          <w:sz w:val="24"/>
        </w:rPr>
        <w:tab/>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1）主要因子分析设备(SO2、NOx、O3、CO、PM10、PM2.5、VOCs等)发生故障导致数据异常未4小时响应，故障无法在72小时内排除又未启用备机，更换备机后或更换的备机是否向采购人备案。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2）非主要因子分析设备故障应及时修复，故障持续时间不能超48小时。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lang w:eastAsia="zh-Hans"/>
        </w:rPr>
      </w:pPr>
      <w:r>
        <w:rPr>
          <w:rFonts w:hint="eastAsia" w:ascii="宋体" w:hAnsi="宋体" w:cs="宋体"/>
          <w:b/>
          <w:bCs/>
          <w:color w:val="000000"/>
          <w:sz w:val="24"/>
          <w:lang w:eastAsia="zh-Hans"/>
        </w:rPr>
        <w:t>1.7设备运行情况检查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1）检查各分析仪内部运行参数，了解仪器工作状态是否正常，</w:t>
      </w:r>
      <w:r>
        <w:rPr>
          <w:rFonts w:hint="eastAsia" w:ascii="宋体" w:hAnsi="宋体" w:cs="宋体"/>
          <w:color w:val="000000"/>
          <w:sz w:val="24"/>
          <w:lang w:eastAsia="zh-Hans"/>
        </w:rPr>
        <w:t>同时记录各设备运行参数</w:t>
      </w:r>
      <w:r>
        <w:rPr>
          <w:rFonts w:hint="eastAsia" w:ascii="宋体" w:hAnsi="宋体" w:cs="宋体"/>
          <w:color w:val="000000"/>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lang w:eastAsia="zh-Hans"/>
        </w:rPr>
      </w:pPr>
      <w:r>
        <w:rPr>
          <w:rFonts w:hint="eastAsia" w:ascii="宋体" w:hAnsi="宋体" w:cs="宋体"/>
          <w:color w:val="000000"/>
          <w:sz w:val="24"/>
        </w:rPr>
        <w:t>2）检查气象参数、站房内温湿度传感器工作状态。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2．数据质量监督检查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驻站人员日常协助采购人开展环境空气和VOCs等数据审核。根据数据审核等工作中发现的异常监测数据，开展异常数据检查，并于3天内提交初步数据异常原因，15天内提交数据异常分析报告，并在报告中详细阐明异常原因和异常时段。异常数据检查内容包括但不限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1）运维记录检查（调取平台运维记录，检查其是否符合要求）；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2）重要仪器参数变化情况检查（调取参数记录，检查其是否符合要求）；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3）站房周边环境检查，核查是否存在人为干扰自动在线监测的情况并填写核查记录（现场检查，拍照）；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4）现场质控检查，根据异常项目，携带相关质控设备开展现场检查（质控设备性能需确认合格，并详细记录检查结果）。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3．双随机检查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在季度运维监理工作之外，根据数据及运维情况再开展双随机检查。双随机检查计划上报采购人（或根据采购人指定的时间）开展，检查过程中，及时向采购人报告检查发现的问题，检查完成后3日内（或根据采购人指定的时间）提交双随机检查报告。双随机检查包括但不限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1）发现或怀疑数据异常的点位；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2）重点站点等运维检查单位怀疑可能存在人为干扰监测数据的点位；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3）飞行检查；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4）使用备机超过30天时；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5）设备因故停机超过3天时；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6）设备更新后；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7）站房迁移后；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8）进行可能影响校准结果的维修或维护后；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9）站房周边环境调整后；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10）相关县（市、区）生态环境分局提出异议；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11）根据国家、省、市要求而组织的专项检查；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s="宋体"/>
          <w:b/>
          <w:bCs/>
          <w:color w:val="000000"/>
          <w:sz w:val="24"/>
        </w:rPr>
      </w:pPr>
      <w:r>
        <w:rPr>
          <w:rFonts w:hint="eastAsia" w:ascii="宋体" w:hAnsi="宋体" w:cs="宋体"/>
          <w:color w:val="000000"/>
          <w:sz w:val="24"/>
        </w:rPr>
        <w:t>12）其他临时性检查。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4．质控检查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b/>
          <w:bCs/>
          <w:color w:val="000000"/>
          <w:sz w:val="24"/>
          <w:lang w:eastAsia="zh-Hans"/>
        </w:rPr>
      </w:pPr>
      <w:r>
        <w:rPr>
          <w:rFonts w:hint="eastAsia" w:ascii="宋体" w:hAnsi="宋体" w:cs="宋体"/>
          <w:b/>
          <w:bCs/>
          <w:color w:val="000000"/>
          <w:sz w:val="24"/>
          <w:lang w:eastAsia="zh-Hans"/>
        </w:rPr>
        <w:t>4.1常规监测因子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w:t>
      </w:r>
      <w:r>
        <w:rPr>
          <w:rFonts w:hint="eastAsia" w:ascii="宋体" w:hAnsi="宋体" w:cs="宋体"/>
          <w:color w:val="auto"/>
          <w:sz w:val="24"/>
          <w:highlight w:val="none"/>
        </w:rPr>
        <w:t>对点式设备</w:t>
      </w:r>
      <w:r>
        <w:rPr>
          <w:rFonts w:hint="eastAsia" w:ascii="宋体" w:hAnsi="宋体" w:cs="宋体"/>
          <w:color w:val="auto"/>
          <w:sz w:val="24"/>
          <w:highlight w:val="none"/>
          <w:lang w:eastAsia="zh-CN"/>
        </w:rPr>
        <w:t>气态</w:t>
      </w:r>
      <w:r>
        <w:rPr>
          <w:rFonts w:hint="eastAsia" w:ascii="宋体" w:hAnsi="宋体" w:cs="宋体"/>
          <w:color w:val="000000"/>
          <w:sz w:val="24"/>
          <w:highlight w:val="none"/>
          <w:lang w:eastAsia="zh-CN"/>
        </w:rPr>
        <w:t>污染物</w:t>
      </w:r>
      <w:r>
        <w:rPr>
          <w:rFonts w:hint="eastAsia" w:ascii="宋体" w:hAnsi="宋体" w:cs="宋体"/>
          <w:color w:val="000000"/>
          <w:sz w:val="24"/>
          <w:highlight w:val="none"/>
        </w:rPr>
        <w:t>及VOCs</w:t>
      </w:r>
      <w:r>
        <w:rPr>
          <w:rFonts w:hint="eastAsia" w:ascii="宋体" w:hAnsi="宋体" w:cs="宋体"/>
          <w:color w:val="000000"/>
          <w:sz w:val="24"/>
          <w:highlight w:val="none"/>
          <w:lang w:eastAsia="zh-CN"/>
        </w:rPr>
        <w:t>自动监测设备质控考核每年至少开展一次</w:t>
      </w:r>
      <w:r>
        <w:rPr>
          <w:rFonts w:hint="eastAsia" w:ascii="宋体" w:hAnsi="宋体" w:cs="宋体"/>
          <w:color w:val="000000"/>
          <w:sz w:val="24"/>
          <w:highlight w:val="none"/>
        </w:rPr>
        <w:t>，</w:t>
      </w:r>
      <w:r>
        <w:rPr>
          <w:rFonts w:hint="eastAsia" w:ascii="宋体" w:hAnsi="宋体" w:cs="宋体"/>
          <w:color w:val="000000"/>
          <w:sz w:val="24"/>
          <w:lang w:eastAsia="zh-Hans"/>
        </w:rPr>
        <w:t>质控样</w:t>
      </w:r>
      <w:r>
        <w:rPr>
          <w:rFonts w:hint="eastAsia" w:ascii="宋体" w:hAnsi="宋体" w:cs="宋体"/>
          <w:color w:val="000000"/>
          <w:sz w:val="24"/>
        </w:rPr>
        <w:t>由监理单位提供，现场质控考核必须符合相关技术要求。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b/>
          <w:bCs/>
          <w:color w:val="000000"/>
          <w:sz w:val="24"/>
        </w:rPr>
        <w:t>表4  质控考核目标汇总表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89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类别</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检查项目</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质控考核目标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气态污染物分析仪零点、跨度测试结果/盲样考核</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SO2</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≤5ppb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CO</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≤0.5ppm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NO</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≤5ppb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O3</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≤5ppb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气态污染物分析仪采样流量测试</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SO2</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CO</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NO</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O3</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颗粒物分析仪测试检查</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验漏结果（L/min）</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≤±1.0L/min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采样流量偏差（%）</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3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标准膜测试</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动态校准仪</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标气MFC流量</w:t>
            </w:r>
          </w:p>
        </w:tc>
        <w:tc>
          <w:tcPr>
            <w:tcW w:w="24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5</w:t>
            </w:r>
            <w:r>
              <w:rPr>
                <w:rFonts w:hint="eastAsia" w:ascii="宋体" w:hAnsi="宋体" w:cs="宋体"/>
                <w:color w:val="000000"/>
                <w:sz w:val="24"/>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ascii="宋体" w:hAnsi="宋体" w:cs="宋体"/>
          <w:color w:val="000000"/>
          <w:sz w:val="24"/>
        </w:rPr>
      </w:pPr>
      <w:r>
        <w:rPr>
          <w:rFonts w:hint="eastAsia" w:ascii="宋体" w:hAnsi="宋体" w:cs="宋体"/>
          <w:color w:val="000000"/>
          <w:sz w:val="24"/>
        </w:rPr>
        <w:t>2）核验第三方运维单位使用的流量计、臭氧光度计、校准仪等是否送有资质的相关单位检定或与省中心相关标准进行过比对追溯校验，并查验相关佐证材料。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3）现场需使用比对追溯校验后的标准品（如更高等级的标准气体、追溯过的臭氧光度计），对气态分析仪进行多点校验，测试各测量因子与标准品之间的偏差、斜率、截距、相关系数。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4）现场需对氮氧化物分析仪钼转化炉进行性能多点测试，并在同时对二氧化氮测值亦进行多点校准，测量其偏差、斜率、截距、相关系数。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5）SO2、CO、O3、NO2及VOCs等气态仪器精密度检查和多点检查。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6）现场需使用比对追溯校验后的流量计，对颗粒物分析仪的流量进行校验，记录分析仪内部的温度压力测值，对相关的偏差进行计算并记录。</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b/>
          <w:bCs/>
          <w:color w:val="000000"/>
          <w:sz w:val="24"/>
          <w:lang w:eastAsia="zh-Hans"/>
        </w:rPr>
      </w:pPr>
      <w:r>
        <w:rPr>
          <w:rFonts w:hint="eastAsia" w:ascii="宋体" w:hAnsi="宋体" w:cs="宋体"/>
          <w:b/>
          <w:bCs/>
          <w:color w:val="000000"/>
          <w:sz w:val="24"/>
        </w:rPr>
        <w:t>4</w:t>
      </w:r>
      <w:r>
        <w:rPr>
          <w:rFonts w:hint="eastAsia" w:ascii="宋体" w:hAnsi="宋体" w:cs="宋体"/>
          <w:b/>
          <w:bCs/>
          <w:color w:val="000000"/>
          <w:sz w:val="24"/>
          <w:lang w:eastAsia="zh-Hans"/>
        </w:rPr>
        <w:t>.2 VOC</w:t>
      </w:r>
      <w:r>
        <w:rPr>
          <w:rFonts w:hint="eastAsia" w:ascii="宋体" w:hAnsi="宋体" w:cs="宋体"/>
          <w:b/>
          <w:bCs/>
          <w:color w:val="000000"/>
          <w:sz w:val="24"/>
        </w:rPr>
        <w:t>s</w:t>
      </w:r>
      <w:r>
        <w:rPr>
          <w:rFonts w:hint="eastAsia" w:ascii="宋体" w:hAnsi="宋体" w:cs="宋体"/>
          <w:b/>
          <w:bCs/>
          <w:color w:val="000000"/>
          <w:sz w:val="24"/>
          <w:lang w:eastAsia="zh-Hans"/>
        </w:rPr>
        <w:t>监测质控</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eastAsia="zh-Hans"/>
        </w:rPr>
      </w:pPr>
      <w:r>
        <w:rPr>
          <w:rFonts w:hint="eastAsia" w:ascii="宋体" w:hAnsi="宋体" w:cs="宋体"/>
          <w:color w:val="000000"/>
          <w:sz w:val="24"/>
        </w:rPr>
        <w:t>按照《浙江省城市环境空气自动监测系统运维检查和质控考核工作方案》（浙环监发[2020]18号）文件对VOCs仪器规定的质控内容进行检查。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1）气密性。检查仪器气密性。</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2）采样流量。采样流量偏差小于5%。</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3）多点校准。进行6个点的校准；所有物质线性系数满足R≥0.99（决定系数R2≥0.98）。</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4）系统空白。每种物质系统空白低于0.1ppb。</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5）分离度。环戊烷和异戊烷的分离度、2，3-二甲基戊烷和2甲基己烷的分离度、邻二甲苯和苯乙烯的分离度均应＞1。</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6）准确度。2ppb重复7次测试，FID≤±10%，MS≤±15%。</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7）精密度。2ppb重复7次测试， FID≤±10%，MS≤±15%。</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8）保留时间偏移。保留时间漂移检查，应小于0.1min。</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9）内标稳定性。一个月内内标响应变化小于50%。</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10）检出限。连续通入7次不高于标准曲线最低点浓度，90%的组分（至少包括乙烷和乙烯）的方法检出限应≤0.1nmol/mol。</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val="zh-CN"/>
        </w:rPr>
      </w:pPr>
      <w:r>
        <w:rPr>
          <w:rFonts w:hint="eastAsia" w:ascii="宋体" w:hAnsi="宋体" w:cs="宋体"/>
          <w:color w:val="000000"/>
          <w:sz w:val="24"/>
          <w:lang w:val="zh-CN"/>
        </w:rPr>
        <w:t>11）残留。通入标准曲线最高浓度点结果后连续2次通入高纯氮气或零气测试系统，90%的组分系统残留浓度≤0.1nmol/mol。</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eastAsia="zh-Hans"/>
        </w:rPr>
      </w:pPr>
      <w:r>
        <w:rPr>
          <w:rFonts w:hint="eastAsia" w:ascii="宋体" w:hAnsi="宋体" w:cs="宋体"/>
          <w:color w:val="000000"/>
          <w:sz w:val="24"/>
          <w:lang w:val="zh-CN"/>
        </w:rPr>
        <w:t>12）日校准数据。超差率＜30%。</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5．颗粒物比对</w:t>
      </w:r>
    </w:p>
    <w:p>
      <w:pPr>
        <w:keepNext w:val="0"/>
        <w:keepLines w:val="0"/>
        <w:pageBreakBefore w:val="0"/>
        <w:kinsoku/>
        <w:wordWrap/>
        <w:overflowPunct/>
        <w:topLinePunct w:val="0"/>
        <w:autoSpaceDE/>
        <w:autoSpaceDN/>
        <w:bidi w:val="0"/>
        <w:snapToGrid w:val="0"/>
        <w:spacing w:line="360" w:lineRule="auto"/>
        <w:ind w:firstLine="480" w:firstLineChars="200"/>
        <w:textAlignment w:val="auto"/>
      </w:pPr>
      <w:r>
        <w:rPr>
          <w:rFonts w:hint="eastAsia" w:ascii="宋体" w:hAnsi="宋体" w:eastAsia="宋体" w:cs="宋体"/>
          <w:color w:val="000000"/>
          <w:sz w:val="24"/>
          <w:lang w:eastAsia="zh-CN"/>
        </w:rPr>
        <w:t>运维监理服务期内秋冬季对辖区内</w:t>
      </w:r>
      <w:r>
        <w:rPr>
          <w:rFonts w:hint="eastAsia" w:ascii="宋体" w:hAnsi="宋体" w:eastAsia="宋体" w:cs="宋体"/>
          <w:color w:val="000000"/>
          <w:sz w:val="24"/>
          <w:lang w:val="en-US" w:eastAsia="zh-CN"/>
        </w:rPr>
        <w:t>30%省控点位的颗粒物自动监测设备开展一次手工比对，手工与自动监测设备</w:t>
      </w:r>
      <w:r>
        <w:rPr>
          <w:rFonts w:hint="eastAsia" w:ascii="宋体" w:hAnsi="宋体" w:eastAsia="宋体" w:cs="宋体"/>
          <w:color w:val="000000"/>
          <w:sz w:val="24"/>
          <w:lang w:val="en-GB" w:eastAsia="zh-CN"/>
        </w:rPr>
        <w:t>同时段、同地点开展不少于</w:t>
      </w:r>
      <w:r>
        <w:rPr>
          <w:rFonts w:hint="eastAsia" w:ascii="宋体" w:hAnsi="宋体" w:eastAsia="宋体" w:cs="宋体"/>
          <w:color w:val="000000"/>
          <w:sz w:val="24"/>
          <w:lang w:val="en-US" w:eastAsia="zh-CN"/>
        </w:rPr>
        <w:t>7</w:t>
      </w:r>
      <w:r>
        <w:rPr>
          <w:rFonts w:hint="eastAsia" w:ascii="宋体" w:hAnsi="宋体" w:eastAsia="宋体" w:cs="宋体"/>
          <w:color w:val="000000"/>
          <w:sz w:val="24"/>
          <w:lang w:val="en-GB" w:eastAsia="zh-CN"/>
        </w:rPr>
        <w:t>个比对日的比对工作。</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6、气站检查频次</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6.1.每日工作</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每日查看各站点数据不少于三次（上午9:00前，下午16:00前，晚上10：00前）并做好记录，若发现问题，及时督促运维单位开展核实并整改。</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6.2.每月工作</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lang w:eastAsia="zh-Hans"/>
        </w:rPr>
      </w:pPr>
      <w:r>
        <w:rPr>
          <w:rFonts w:hint="eastAsia" w:ascii="宋体" w:hAnsi="宋体" w:cs="宋体"/>
          <w:color w:val="000000"/>
          <w:sz w:val="24"/>
        </w:rPr>
        <w:t>对台州市1</w:t>
      </w:r>
      <w:r>
        <w:rPr>
          <w:rFonts w:hint="eastAsia" w:ascii="宋体" w:hAnsi="宋体" w:cs="宋体"/>
          <w:color w:val="000000"/>
          <w:sz w:val="24"/>
          <w:lang w:val="en-US" w:eastAsia="zh-CN"/>
        </w:rPr>
        <w:t>2</w:t>
      </w:r>
      <w:r>
        <w:rPr>
          <w:rFonts w:hint="eastAsia" w:ascii="宋体" w:hAnsi="宋体" w:cs="宋体"/>
          <w:color w:val="000000"/>
          <w:sz w:val="24"/>
        </w:rPr>
        <w:t>个省控城市环境空气质量自动监测站和10个重点园区环境空气质量自动监测站采用抽查方式，每季度全覆盖一次</w:t>
      </w:r>
      <w:r>
        <w:rPr>
          <w:rFonts w:hint="eastAsia" w:ascii="宋体" w:hAnsi="宋体" w:cs="宋体"/>
          <w:color w:val="000000"/>
          <w:sz w:val="24"/>
          <w:lang w:eastAsia="zh-Hans"/>
        </w:rPr>
        <w:t>。</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6.3.每季度工作</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质控考核频次为每季度全覆盖一次，期间根据各站点运维和数据情况开展双随机检查。</w:t>
      </w:r>
    </w:p>
    <w:p>
      <w:pPr>
        <w:keepNext w:val="0"/>
        <w:keepLines w:val="0"/>
        <w:pageBreakBefore w:val="0"/>
        <w:kinsoku/>
        <w:wordWrap/>
        <w:overflowPunct/>
        <w:topLinePunct w:val="0"/>
        <w:autoSpaceDE/>
        <w:autoSpaceDN/>
        <w:bidi w:val="0"/>
        <w:snapToGrid w:val="0"/>
        <w:spacing w:line="360" w:lineRule="auto"/>
        <w:textAlignment w:val="auto"/>
        <w:rPr>
          <w:rFonts w:ascii="宋体" w:hAnsi="宋体" w:cs="宋体"/>
          <w:b/>
          <w:bCs/>
          <w:color w:val="000000"/>
          <w:sz w:val="24"/>
        </w:rPr>
      </w:pPr>
      <w:r>
        <w:rPr>
          <w:rFonts w:hint="eastAsia" w:ascii="宋体" w:hAnsi="宋体" w:cs="宋体"/>
          <w:b/>
          <w:bCs/>
          <w:color w:val="000000"/>
          <w:sz w:val="24"/>
        </w:rPr>
        <w:t>7、检查报告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7.1．年度检查报告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年度检查完毕后一个月内，运维监理单位根据站点年内多次检查的结果，进行站点检查报告的汇总，指出空气自动监测运维质量、运维管理工作存在的问题提出改善建议，并对本期监理工作进行总结。</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7.2．季度检查报告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每季度检查完毕后，于下季度首月10日前汇总各站点的检查结果，根据相关考核办法对运维单位的监测数据质量、数据有效率、运维质量、是否存在原则性问题等内容进行打分，生成付款依据，对运维中出现的问题进行总结，提出意见和建议。</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7.3.月度检查报告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每个月抽查结束完成后5个工作日内提交月度检查报告，报告需实事求是反映第三方运维工作开展情况，如检查过程中发现严重影响环境质量自动监测数据质量问题（包括人为干扰）的情况须第一时间报告采购人。</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7.4．双随机检查报告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b/>
          <w:bCs/>
          <w:sz w:val="24"/>
        </w:rPr>
      </w:pPr>
      <w:r>
        <w:rPr>
          <w:rFonts w:hint="eastAsia" w:ascii="宋体" w:hAnsi="宋体" w:cs="宋体"/>
          <w:color w:val="000000"/>
          <w:sz w:val="24"/>
        </w:rPr>
        <w:t>双随机检查结束后，对运维中出现的问题进行总结，编写检查通报，</w:t>
      </w:r>
      <w:bookmarkStart w:id="120" w:name="_Hlk117155659"/>
      <w:r>
        <w:rPr>
          <w:rFonts w:hint="eastAsia" w:ascii="宋体" w:hAnsi="宋体" w:cs="宋体"/>
          <w:color w:val="000000"/>
          <w:sz w:val="24"/>
        </w:rPr>
        <w:t>检查完成后5个工作日内提交</w:t>
      </w:r>
      <w:bookmarkEnd w:id="120"/>
      <w:r>
        <w:rPr>
          <w:rFonts w:hint="eastAsia" w:ascii="宋体" w:hAnsi="宋体" w:cs="宋体"/>
          <w:color w:val="000000"/>
          <w:sz w:val="24"/>
        </w:rPr>
        <w:t>。</w:t>
      </w:r>
    </w:p>
    <w:p>
      <w:pPr>
        <w:keepNext w:val="0"/>
        <w:keepLines w:val="0"/>
        <w:pageBreakBefore w:val="0"/>
        <w:widowControl/>
        <w:kinsoku/>
        <w:wordWrap/>
        <w:overflowPunct/>
        <w:topLinePunct w:val="0"/>
        <w:autoSpaceDE/>
        <w:autoSpaceDN/>
        <w:bidi w:val="0"/>
        <w:snapToGrid w:val="0"/>
        <w:spacing w:line="360" w:lineRule="auto"/>
        <w:jc w:val="left"/>
        <w:textAlignment w:val="auto"/>
        <w:rPr>
          <w:rFonts w:ascii="宋体" w:hAnsi="宋体" w:cs="宋体"/>
          <w:b/>
          <w:bCs/>
          <w:sz w:val="24"/>
        </w:rPr>
      </w:pPr>
      <w:r>
        <w:rPr>
          <w:rFonts w:hint="eastAsia" w:ascii="宋体" w:hAnsi="宋体" w:cs="宋体"/>
          <w:b/>
          <w:bCs/>
          <w:sz w:val="24"/>
        </w:rPr>
        <w:t>（二）、水站运维监理工作内容</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sz w:val="24"/>
        </w:rPr>
      </w:pPr>
      <w:r>
        <w:rPr>
          <w:rFonts w:hint="eastAsia" w:ascii="宋体" w:hAnsi="宋体" w:cs="宋体"/>
          <w:b/>
          <w:bCs/>
          <w:sz w:val="24"/>
        </w:rPr>
        <w:t>1、检查频次</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对台州市23个地表水、饮用水源地水质自动监测站开展运维检查工作，所有站点运维体系检查一个季度覆盖一次，质控考核工作一个季度覆盖一次，根据采购人要求，开展其他水质自动监测检查工作。</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2、运维体系检查内容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运维体系检查应参照《浙江省地表水水质自动监测系统运行管理细则》等相关技术规范和管理细则要求。</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2.1断面点位检查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1）不人为改变河流现状</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2）不人为改变断面水体环境</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3）河流监测断面选择在水质分布均匀、流速稳定的平直河段，距上游入河口或排污口的距离大于1km，不得设置在回水区、死水区以及容易造成淤积和水草生长处。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4）防人为干扰检查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站房、取水口周边显著位置是否安装有标识牌及警示牌；采用无人机、无人船等科技设备对水站河流站点的采水口上游1500米、下游300米内或湖库站点500米范围内进行检查：查看是否存在强行改变水体理化性质，导致采集水样异常的行为；是否存在针对水站采水环境实施人为干扰，导致站点失去污染监控作用的情况；是否存在破坏、损毁监测设备站房、通讯线路、仪器设备的情况；流域水环境治理或河道整治项目是否存在干扰水质监测的情况；仪器端原始数据与数采仪、平台数据是否一致；仪器原始参数是否变更，变更情况是否记录并报告采购人。</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sz w:val="24"/>
        </w:rPr>
      </w:pPr>
      <w:r>
        <w:rPr>
          <w:rFonts w:hint="eastAsia" w:ascii="宋体" w:hAnsi="宋体" w:cs="宋体"/>
          <w:b/>
          <w:bCs/>
          <w:sz w:val="24"/>
        </w:rPr>
        <w:t>2.2站房环境检查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1）不得有人为强制断电、断水、断网情况。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2）站房外部无杂草和积水，内部无漏雨；外围设施完好（如围栏、照明、栈桥、爬梯）；有防雷设施，并检查防雷报告，年检记录。</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3）站房内部干净整洁，设施摆放有序；仪器表面无明显灰尘，阳光不能直射各仪器。</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4）站房内配备空调设备，具备来电自动复位功能，室内温度控制在18～28℃，湿度在60%以内；配备灭火器、排风扇。</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5）采水管不得使用软管，具备保温措施，埋地部分埋入冻土层下或安装于水泥堰槽内，外露部分安装保温套管进行隔热处理。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检查中如发现采水点位周边环境不符合要求等情况，如实记录，并立即向采购人报告。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2.3仪器设备状态检查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1）设备无报警，出现报警可视为设备运行不良；</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2）设备主要参数，系数、截距不得更改；消解时间、温度根据设备说明书，不得随意更改；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设备备品备件检查，按照设备说明书要求，定期更换管路、柱塞泵等耗材，耗材余量应满足当年需求，并及时补充原厂符合质量要求的备品备件，超过质量保质期不得使用；备机需定期维护、校准，并记录，做到可立即投入使用；</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4）检查试剂、校准液的有效性，关键试剂额外检查试剂配置记录、空白检查记录，如过硫酸钾试剂；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5）数据检查，结合工控机、设备、数据平台的历史数据，之间传输误差不得超过1%，不得出现漏传情况，严禁设置固定值、上限值等，数据上传必须及时、准确。</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6）不得在仪器设备安装不允许的插件和远程控制软件。</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检查中如发现采样系统未正常工作，仪器设备异常等情况，如实记录，并立即向采购人报告。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2.4采水系统检查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1）采水头固定牢靠，无论水位如何变化，均应保证位于水下0.5~1.0米，不大幅度漂移；</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2）不直接或间接影响采样设备的正常工作；</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3）采水系统工作正常，配水系统清洁，流通池清洁；</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4）采样和排液管路无堵塞、漏液，无额外其它管路；</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5）排水、溢流管路通畅，电磁阀开关合理，气吹、除藻系统正常运行；</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6）采水用双泵/双管路交替式采水方式，一用一备，自动切换，流量保障在3t/h以上。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2.5记录档案检查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1）全部记录不得随意修改、涂抹、撕毁，若填写错误，划线更改并签名；</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2）有试剂（标准液）添加、更换记录，并有试剂（标准液）来源证明、标签（标签应包含试剂（标准液）名称、浓度、配制时间、更换时间、过期试剂、配置人全名等信息）；</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3）有废液处置记录及与有资质的废液处理机构签订的委托处理协议；</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4）有设备维护记录、故障维修记录，有备品备件耗材更换记录，如泵管、接头、密封件等；</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5）有设备维护保养、维修记录，每年至少进行一次常规保养维护。</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2.6巡检情况检查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1）每周至少进行一次现场维护，有对应维护记录，不得缺失；</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2）巡检维护内容至少应包括现场异常情况检查、设备运行情况检查、控制系统检查、试剂检查、站房环境检查、取水环境、取水系统检查等内容。</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2.7维护保养、维修情况检查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1）设备、系统定期维护保养，备品备件耗材等定期更换，并形成记录；</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2）根据设备运行情况、平台巡检情况、出现异常数据情况等，展开针对性维修，并记录维修过程及结果，维修过程更换的零配件也要进行记录。</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2.8质控措施检查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质控检查应参照《浙江省地表水水质自动监测系统运行管理细则》等相关技术规范和管理细则要求。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1）有质控核查记录：</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按照规范要求的频次和方法开展相关项目的标样核查、实际水样比对、仪器校准、多点线性核查、精密度检查等质控核查活动。</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2）质控工作频次：</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a.每周进行标液核查；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b.每月进行实际水样比对；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c.每月至少进行一次仪器校准工作（更换试剂或者关键零部件后，必须进行一次校准）；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d.每半年至少进行一次多点线性核查和精密度检查；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e.每月对备机进行一次标样核查。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3）当水质自动分析仪相关质控核查结果数据接近质控要求限值时，应及时进行预防性维护；</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4）针对质控核查记录，对照对应分析仪的历史记录，记录中的数据与仪器中的数据应一致。</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2.9运维人员检查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1）人员持证上岗；</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2）无关人员不得在未报备的情况进入站房；</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3）维护人员不得在监测站房进行非运维工作。</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2.10文件、质量体系检查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检查内容包括但不限于：</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1）针对异常情况的应急预案；</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2）人员及设备的管理制度等。</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2.11异常情况记录及上报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在检查过程中如发现被巡检站点存在异常情况是，第一时间将所见在检查记录表上如实详尽的进行记录，记录内容客观公正，以所见为准，不在运维机构临时纠正后随意更改检查结果，并对异常情况拍照留档，共同签字确认。重大异常情况除及时、如实的记录外，同时在第一时间上报采购人，事后及时编写并递交书面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3、质控考核</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每季度开展一次质控考核，对高锰酸盐指数、总磷、总氮、氨氮使用有证标准物质进行盲样考核，水温、pH、电导率、溶解氧、浊度等采用便携式设备进行现场比对，藻类每年进行1次比对核查。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考核结束后按要求记录考核结果，并对结果进行统计分析，每月形成比对报告。</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4、参与计划外检查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计划外检查由采购人根据每季度例行运维检查、盲样考核、视频检查结果，结合各点位水质异常波动情况，不定期对部分“监测结果存疑”点位开展计划外检查。并针对投诉、举报等各种渠道反馈的有人为干扰嫌疑的点位开展计划外检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rPr>
      </w:pPr>
      <w:r>
        <w:rPr>
          <w:rFonts w:hint="eastAsia" w:ascii="宋体" w:hAnsi="宋体" w:cs="宋体"/>
          <w:sz w:val="24"/>
        </w:rPr>
        <w:t>中标人需参与计划外检查，负责相应的技术支持和后勤保障等工作，并根据采购人要求完成指定项目的实验室分析及其它任务。</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计划外检查在例行检查的基础上，根据工作需要，根据采购人安排进行其他检查任务，包括对水质异常波动情况检查、对监测结果存疑点位检查、对人为干扰监测的行为检查、对投诉、举报等情况进行核实检查。检查的相关要求参照例行检查要求进行。</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4.1水质异常情况波动检查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1）水质连续超标；</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2）水质突然连续变好。</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4.2监测结果存疑检查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1）运维检查、质控考核检查等不合格站点；</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2）同流域相近站点数据变化趋势相比不一致；</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4.3人为干扰检查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1）视频监控检查发现异常；</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2）改变设备参数致数据失真；</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3）改变监测样品致数据失真；</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4）改变原系统设计，包括管路、过滤、沉沙、清洗等系统致数据失真。</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4.4投诉情况检查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1）核实投诉情况，根据投诉内容对站点开展针对性检查；</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2）污染投诉自动站应急响应情况检查。</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5、报告编写要求</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5.1年度检查报告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年度检查完毕后一个月内，运维检查单位根据一个站点年内多次检查的结果，进行站点检查报告的汇总，并对该站点检查的结果进行小结。</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5.2季度检查报告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每季度检查完毕后，于下季度首月10日前汇总各站点的检查结果，进行统计与汇总，形成专项报告，并对运维中出现的问题进行总结，对核查的方式方法的改进与改动提出建议。</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5.3月度查核报告</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rPr>
      </w:pPr>
      <w:r>
        <w:rPr>
          <w:rFonts w:hint="eastAsia" w:ascii="宋体" w:hAnsi="宋体" w:cs="宋体"/>
          <w:sz w:val="24"/>
        </w:rPr>
        <w:t>每月检查完毕后，应对已完成检查子站的检查结果，进行统计与汇总，并对运维中出现的问题进行总结，检查完成后5个工作日内提交。</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sz w:val="24"/>
        </w:rPr>
      </w:pPr>
      <w:r>
        <w:rPr>
          <w:rFonts w:hint="eastAsia" w:ascii="宋体" w:hAnsi="宋体" w:cs="宋体"/>
          <w:b/>
          <w:bCs/>
          <w:sz w:val="24"/>
        </w:rPr>
        <w:t>5.4运维改善建议书</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宋体" w:hAnsi="宋体" w:cs="宋体"/>
          <w:sz w:val="24"/>
        </w:rPr>
      </w:pPr>
      <w:r>
        <w:rPr>
          <w:rFonts w:hint="eastAsia" w:ascii="宋体" w:hAnsi="宋体" w:cs="宋体"/>
          <w:sz w:val="24"/>
        </w:rPr>
        <w:t>根据年度检查的结果，向采购人提交水质自动监测运维质量品质改善建议书，提出运维方运维工作改善建议、运维品质改善管理建议。</w:t>
      </w:r>
    </w:p>
    <w:p>
      <w:pPr>
        <w:pStyle w:val="65"/>
        <w:keepNext w:val="0"/>
        <w:keepLines w:val="0"/>
        <w:pageBreakBefore w:val="0"/>
        <w:kinsoku/>
        <w:wordWrap/>
        <w:overflowPunct/>
        <w:topLinePunct w:val="0"/>
        <w:autoSpaceDE/>
        <w:autoSpaceDN/>
        <w:bidi w:val="0"/>
        <w:snapToGrid w:val="0"/>
        <w:spacing w:line="360" w:lineRule="auto"/>
        <w:ind w:firstLine="482" w:firstLineChars="200"/>
        <w:textAlignment w:val="auto"/>
        <w:rPr>
          <w:rFonts w:hAnsi="宋体" w:cs="宋体"/>
          <w:b/>
          <w:bCs/>
          <w:color w:val="000000"/>
          <w:sz w:val="24"/>
          <w:lang w:val="en-US"/>
        </w:rPr>
      </w:pPr>
      <w:r>
        <w:rPr>
          <w:rFonts w:hint="eastAsia" w:ascii="宋体" w:hAnsi="宋体" w:cs="宋体"/>
          <w:b/>
          <w:bCs/>
          <w:color w:val="000000"/>
          <w:sz w:val="24"/>
          <w:lang w:val="en-US"/>
        </w:rPr>
        <w:t>七、</w:t>
      </w:r>
      <w:r>
        <w:rPr>
          <w:rFonts w:hint="eastAsia" w:hAnsi="宋体" w:cs="宋体"/>
          <w:b/>
          <w:bCs/>
          <w:color w:val="000000"/>
          <w:sz w:val="24"/>
          <w:lang w:val="en-US"/>
        </w:rPr>
        <w:t>运维单位考核办法</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cs="宋体"/>
          <w:color w:val="auto"/>
          <w:kern w:val="2"/>
        </w:rPr>
        <w:t>标段</w:t>
      </w:r>
      <w:r>
        <w:rPr>
          <w:rFonts w:hint="eastAsia" w:cs="宋体"/>
          <w:color w:val="auto"/>
          <w:kern w:val="2"/>
          <w:lang w:eastAsia="zh-CN"/>
        </w:rPr>
        <w:t>一至标段</w:t>
      </w:r>
      <w:r>
        <w:rPr>
          <w:rFonts w:cs="宋体"/>
          <w:color w:val="auto"/>
          <w:kern w:val="2"/>
        </w:rPr>
        <w:t>四</w:t>
      </w:r>
      <w:r>
        <w:rPr>
          <w:rFonts w:cs="宋体"/>
          <w:kern w:val="2"/>
        </w:rPr>
        <w:t>运维机构接受监理单位定期考核，监理单位根据站点数据有效率、数据质控合格率和运行维护情况综合评分：</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1.1.单站设备数据获取率必须高于90%（含），数据质控合格率必须高于80%，否则考核总分以0分计。</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hint="default" w:cs="宋体"/>
          <w:kern w:val="2"/>
        </w:rPr>
        <w:t>2.单站监测数据质控合格率高于90%（含）的，得70 分；80%至90%的，得分为70×（数据质控合格率/90%）。</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hint="default" w:cs="宋体"/>
          <w:kern w:val="2"/>
        </w:rPr>
        <w:t>3.运行维护情况共计30分，核查内容包括日常运维任务完成情况、异常情况处理情况、站房环境保障效果、采样系统维护效果、仪器日常维护效果、质量控制效果、通讯系统维护效果（数据上传情况）、人员与档案记录管理情况等。</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hint="eastAsia" w:cs="宋体"/>
          <w:kern w:val="2"/>
          <w:lang w:val="en-US" w:eastAsia="zh-CN"/>
        </w:rPr>
        <w:t>1.4.</w:t>
      </w:r>
      <w:r>
        <w:rPr>
          <w:rFonts w:hint="eastAsia" w:cs="宋体"/>
          <w:kern w:val="2"/>
          <w:lang w:eastAsia="zh-CN"/>
        </w:rPr>
        <w:t>经业主同意确需变更人员的，项目负责人每次扣</w:t>
      </w:r>
      <w:r>
        <w:rPr>
          <w:rFonts w:hint="eastAsia" w:cs="宋体"/>
          <w:kern w:val="2"/>
          <w:lang w:val="en-US" w:eastAsia="zh-CN"/>
        </w:rPr>
        <w:t>10分，其他人员每人次扣2分；变更的人员资质不满足投标文件的，</w:t>
      </w:r>
      <w:r>
        <w:rPr>
          <w:rFonts w:hint="eastAsia" w:cs="宋体"/>
          <w:kern w:val="2"/>
          <w:lang w:eastAsia="zh-CN"/>
        </w:rPr>
        <w:t>项目负责人每次扣</w:t>
      </w:r>
      <w:r>
        <w:rPr>
          <w:rFonts w:hint="eastAsia" w:cs="宋体"/>
          <w:kern w:val="2"/>
          <w:lang w:val="en-US" w:eastAsia="zh-CN"/>
        </w:rPr>
        <w:t>10分，其他人员每人次扣2分；影响周期按季度和站点计算。</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hint="eastAsia" w:cs="宋体"/>
          <w:kern w:val="2"/>
          <w:lang w:val="en-US" w:eastAsia="zh-CN"/>
        </w:rPr>
        <w:t>5</w:t>
      </w:r>
      <w:r>
        <w:rPr>
          <w:rFonts w:hint="default" w:cs="宋体"/>
          <w:kern w:val="2"/>
        </w:rPr>
        <w:t>.考核总分低于80分的，不予支付该站点当期运维费；绩效考核总分95（含）分以上的，支付该站点当期全额运维费；绩效考核总分在80（含）至95分的，该站点当期运维费=（实际考核总分/95）×单站点当期全额运维费。</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hint="eastAsia" w:cs="宋体"/>
          <w:kern w:val="2"/>
          <w:lang w:val="en-US" w:eastAsia="zh-CN"/>
        </w:rPr>
        <w:t>6</w:t>
      </w:r>
      <w:r>
        <w:rPr>
          <w:rFonts w:hint="default" w:cs="宋体"/>
          <w:kern w:val="2"/>
        </w:rPr>
        <w:t>.运维机构考核出现10%以上站点未达到数据有效性要求的，给予警告；连续2次考核出现10%以上站点，或者单次考核20%以上站点未达到数据有效性要求的，终止运维合同。</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1.</w:t>
      </w:r>
      <w:r>
        <w:rPr>
          <w:rFonts w:hint="eastAsia" w:cs="宋体"/>
          <w:kern w:val="2"/>
          <w:lang w:val="en-US" w:eastAsia="zh-CN"/>
        </w:rPr>
        <w:t>7</w:t>
      </w:r>
      <w:r>
        <w:rPr>
          <w:rFonts w:cs="宋体"/>
          <w:kern w:val="2"/>
        </w:rPr>
        <w:t>.根据每月考核情况，采购人根据综合评分情况支付运维费用。</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2.运维机构有下列情形之一的，由采购人按照运维合同规定，扣除当月绩效考核成绩和运行经费，并给予警告。</w:t>
      </w:r>
      <w:r>
        <w:rPr>
          <w:rFonts w:hint="default" w:cs="宋体"/>
          <w:kern w:val="2"/>
        </w:rPr>
        <w:t>对警告三次仍不改正的运维机构，</w:t>
      </w:r>
      <w:r>
        <w:rPr>
          <w:rFonts w:cs="宋体"/>
          <w:kern w:val="2"/>
        </w:rPr>
        <w:t>采购人</w:t>
      </w:r>
      <w:r>
        <w:rPr>
          <w:rFonts w:hint="default" w:cs="宋体"/>
          <w:kern w:val="2"/>
        </w:rPr>
        <w:t>可提前终止运维合同。</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2.1.监测数据传输中断，但未及时向采购人报告并说明原因的；</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w:t>
      </w:r>
      <w:r>
        <w:rPr>
          <w:rFonts w:hint="default" w:cs="宋体"/>
          <w:kern w:val="2"/>
        </w:rPr>
        <w:t>2.未按时审核监测数据的；</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w:t>
      </w:r>
      <w:r>
        <w:rPr>
          <w:rFonts w:hint="default" w:cs="宋体"/>
          <w:kern w:val="2"/>
        </w:rPr>
        <w:t>3.拖延、阻碍、拒绝质量检查或飞行检查的；</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w:t>
      </w:r>
      <w:r>
        <w:rPr>
          <w:rFonts w:hint="default" w:cs="宋体"/>
          <w:kern w:val="2"/>
        </w:rPr>
        <w:t>4.发现采样、分析、数据采集和传输等过程人为干扰，未按要求及时向</w:t>
      </w:r>
      <w:r>
        <w:rPr>
          <w:rFonts w:cs="宋体"/>
          <w:kern w:val="2"/>
        </w:rPr>
        <w:t>采购人</w:t>
      </w:r>
      <w:r>
        <w:rPr>
          <w:rFonts w:hint="default" w:cs="宋体"/>
          <w:kern w:val="2"/>
        </w:rPr>
        <w:t>报告的；</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default" w:cs="宋体"/>
          <w:kern w:val="2"/>
        </w:rPr>
      </w:pPr>
      <w:r>
        <w:rPr>
          <w:rFonts w:cs="宋体"/>
          <w:kern w:val="2"/>
        </w:rPr>
        <w:t>2.</w:t>
      </w:r>
      <w:r>
        <w:rPr>
          <w:rFonts w:hint="default" w:cs="宋体"/>
          <w:kern w:val="2"/>
        </w:rPr>
        <w:t>5.未按要求开展运行维护，导致省控站非正常运行的；</w:t>
      </w:r>
    </w:p>
    <w:p>
      <w:pPr>
        <w:pStyle w:val="17"/>
        <w:keepNext w:val="0"/>
        <w:keepLines w:val="0"/>
        <w:pageBreakBefore w:val="0"/>
        <w:widowControl/>
        <w:kinsoku/>
        <w:wordWrap/>
        <w:overflowPunct/>
        <w:topLinePunct w:val="0"/>
        <w:autoSpaceDE/>
        <w:autoSpaceDN/>
        <w:bidi w:val="0"/>
        <w:snapToGrid w:val="0"/>
        <w:spacing w:line="360" w:lineRule="auto"/>
        <w:ind w:firstLine="480" w:firstLineChars="200"/>
        <w:textAlignment w:val="auto"/>
      </w:pPr>
      <w:r>
        <w:rPr>
          <w:rFonts w:cs="宋体"/>
          <w:kern w:val="2"/>
        </w:rPr>
        <w:t>2.</w:t>
      </w:r>
      <w:r>
        <w:rPr>
          <w:rFonts w:hint="default" w:cs="宋体"/>
          <w:kern w:val="2"/>
        </w:rPr>
        <w:t>6.其他不履行规定职责的情形。</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ascii="宋体" w:hAnsi="宋体" w:cs="宋体"/>
          <w:b/>
          <w:bCs/>
          <w:color w:val="000000"/>
          <w:sz w:val="24"/>
        </w:rPr>
      </w:pPr>
      <w:r>
        <w:rPr>
          <w:rFonts w:hint="eastAsia" w:ascii="宋体" w:hAnsi="宋体" w:cs="宋体"/>
          <w:b/>
          <w:bCs/>
          <w:color w:val="000000"/>
          <w:sz w:val="24"/>
        </w:rPr>
        <w:t>八、监理单位考核办法</w:t>
      </w:r>
    </w:p>
    <w:p>
      <w:pPr>
        <w:keepNext w:val="0"/>
        <w:keepLines w:val="0"/>
        <w:pageBreakBefore w:val="0"/>
        <w:kinsoku/>
        <w:wordWrap/>
        <w:overflowPunct/>
        <w:topLinePunct w:val="0"/>
        <w:autoSpaceDE/>
        <w:autoSpaceDN/>
        <w:bidi w:val="0"/>
        <w:snapToGrid w:val="0"/>
        <w:spacing w:line="360" w:lineRule="auto"/>
        <w:ind w:firstLine="439" w:firstLineChars="182"/>
        <w:textAlignment w:val="auto"/>
        <w:rPr>
          <w:rFonts w:ascii="宋体" w:hAnsi="宋体" w:cs="宋体"/>
          <w:b/>
          <w:bCs/>
          <w:color w:val="000000"/>
          <w:sz w:val="24"/>
        </w:rPr>
      </w:pPr>
      <w:r>
        <w:rPr>
          <w:rFonts w:hint="eastAsia" w:ascii="宋体" w:hAnsi="宋体" w:cs="宋体"/>
          <w:b/>
          <w:bCs/>
          <w:color w:val="000000"/>
          <w:sz w:val="24"/>
          <w:lang w:val="en-US" w:eastAsia="zh-CN"/>
        </w:rPr>
        <w:t>8</w:t>
      </w:r>
      <w:r>
        <w:rPr>
          <w:rFonts w:hint="eastAsia" w:ascii="宋体" w:hAnsi="宋体" w:cs="宋体"/>
          <w:b/>
          <w:bCs/>
          <w:color w:val="000000"/>
          <w:sz w:val="24"/>
        </w:rPr>
        <w:t>.1.考核办法</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考核由采购人按季度实施的方式，检查中标人各项工作是否按相关程序及监测技术规范执行。考核采取百分制。</w:t>
      </w:r>
    </w:p>
    <w:tbl>
      <w:tblPr>
        <w:tblStyle w:val="20"/>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8"/>
        <w:gridCol w:w="1665"/>
        <w:gridCol w:w="2286"/>
        <w:gridCol w:w="2784"/>
        <w:gridCol w:w="55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418"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考评项目</w:t>
            </w:r>
          </w:p>
        </w:tc>
        <w:tc>
          <w:tcPr>
            <w:tcW w:w="5070" w:type="dxa"/>
            <w:gridSpan w:val="2"/>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考评要求及细则</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扣分</w:t>
            </w:r>
          </w:p>
        </w:tc>
        <w:tc>
          <w:tcPr>
            <w:tcW w:w="1031"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扣分描述（事例）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一、</w:t>
            </w:r>
          </w:p>
        </w:tc>
        <w:tc>
          <w:tcPr>
            <w:tcW w:w="8321" w:type="dxa"/>
            <w:gridSpan w:val="5"/>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组织管理（20分）得分：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1</w:t>
            </w:r>
          </w:p>
        </w:tc>
        <w:tc>
          <w:tcPr>
            <w:tcW w:w="1665" w:type="dxa"/>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项目组织管理</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按照要求，提交的监理实施方案（项目部架构、人员职责及安排、监理大纲、工具设备保障），缺少一项，扣1分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2</w:t>
            </w:r>
          </w:p>
        </w:tc>
        <w:tc>
          <w:tcPr>
            <w:tcW w:w="1665"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auto"/>
                <w:sz w:val="24"/>
              </w:rPr>
              <w:t>人员变更：</w:t>
            </w:r>
            <w:r>
              <w:rPr>
                <w:rFonts w:hint="eastAsia" w:ascii="宋体" w:hAnsi="宋体" w:cs="宋体"/>
                <w:color w:val="auto"/>
                <w:sz w:val="24"/>
                <w:lang w:eastAsia="zh-CN"/>
              </w:rPr>
              <w:t>经业主同意确需变更人员的，项目负责人每次扣</w:t>
            </w:r>
            <w:r>
              <w:rPr>
                <w:rFonts w:hint="eastAsia" w:ascii="宋体" w:hAnsi="宋体" w:cs="宋体"/>
                <w:color w:val="auto"/>
                <w:sz w:val="24"/>
                <w:lang w:val="en-US" w:eastAsia="zh-CN"/>
              </w:rPr>
              <w:t>10分，其他人员每人次扣2分；变更的人员资质不满足投标文件的，</w:t>
            </w:r>
            <w:r>
              <w:rPr>
                <w:rFonts w:hint="eastAsia" w:ascii="宋体" w:hAnsi="宋体" w:cs="宋体"/>
                <w:color w:val="auto"/>
                <w:sz w:val="24"/>
                <w:lang w:eastAsia="zh-CN"/>
              </w:rPr>
              <w:t>项目负责人每次扣</w:t>
            </w:r>
            <w:r>
              <w:rPr>
                <w:rFonts w:hint="eastAsia" w:ascii="宋体" w:hAnsi="宋体" w:cs="宋体"/>
                <w:color w:val="auto"/>
                <w:sz w:val="24"/>
                <w:lang w:val="en-US" w:eastAsia="zh-CN"/>
              </w:rPr>
              <w:t>10分，其他人员每人次扣2分；影响周期按季度计算。</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3</w:t>
            </w:r>
          </w:p>
        </w:tc>
        <w:tc>
          <w:tcPr>
            <w:tcW w:w="1665"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人员资质管理：监理人员无资质或没有到位，每人次扣1分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4</w:t>
            </w:r>
          </w:p>
        </w:tc>
        <w:tc>
          <w:tcPr>
            <w:tcW w:w="1665" w:type="dxa"/>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rPr>
              <w:t>车辆、设备配备</w:t>
            </w:r>
            <w:r>
              <w:rPr>
                <w:rFonts w:hint="eastAsia" w:ascii="宋体" w:hAnsi="宋体" w:cs="宋体"/>
                <w:color w:val="000000"/>
                <w:sz w:val="24"/>
                <w:lang w:eastAsia="zh-Hans"/>
              </w:rPr>
              <w:t>是否满足要求，一项不满足扣5分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二、</w:t>
            </w:r>
          </w:p>
        </w:tc>
        <w:tc>
          <w:tcPr>
            <w:tcW w:w="8321" w:type="dxa"/>
            <w:gridSpan w:val="5"/>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lang w:eastAsia="zh-Hans"/>
              </w:rPr>
              <w:t>项目运行管理</w:t>
            </w:r>
            <w:r>
              <w:rPr>
                <w:rFonts w:hint="eastAsia" w:ascii="宋体" w:hAnsi="宋体" w:cs="宋体"/>
                <w:color w:val="000000"/>
                <w:sz w:val="24"/>
              </w:rPr>
              <w:t>（50分）得分：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1</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rPr>
              <w:t>数据质量监督检查</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rPr>
              <w:t>对数据质量监督检查结果进行审核，及时发现异常检查结果，并告知监测中心，</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2</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lang w:eastAsia="zh-Hans"/>
              </w:rPr>
              <w:t>常规检</w:t>
            </w:r>
            <w:r>
              <w:rPr>
                <w:rFonts w:hint="eastAsia" w:ascii="宋体" w:hAnsi="宋体" w:cs="宋体"/>
                <w:color w:val="000000"/>
                <w:sz w:val="24"/>
              </w:rPr>
              <w:t>查</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按照市中心要求完成各站点</w:t>
            </w:r>
            <w:r>
              <w:rPr>
                <w:rFonts w:hint="eastAsia" w:ascii="宋体" w:hAnsi="宋体" w:cs="宋体"/>
                <w:color w:val="000000"/>
                <w:sz w:val="24"/>
                <w:lang w:eastAsia="zh-Hans"/>
              </w:rPr>
              <w:t>环境</w:t>
            </w:r>
            <w:r>
              <w:rPr>
                <w:rFonts w:hint="eastAsia" w:ascii="宋体" w:hAnsi="宋体" w:cs="宋体"/>
                <w:color w:val="000000"/>
                <w:sz w:val="24"/>
              </w:rPr>
              <w:t>、模块、分析仪各参数性能</w:t>
            </w:r>
            <w:r>
              <w:rPr>
                <w:rFonts w:hint="eastAsia" w:ascii="宋体" w:hAnsi="宋体" w:cs="宋体"/>
                <w:color w:val="000000"/>
                <w:sz w:val="24"/>
                <w:lang w:eastAsia="zh-Hans"/>
              </w:rPr>
              <w:t>等</w:t>
            </w:r>
            <w:r>
              <w:rPr>
                <w:rFonts w:hint="eastAsia" w:ascii="宋体" w:hAnsi="宋体" w:cs="宋体"/>
                <w:color w:val="000000"/>
                <w:sz w:val="24"/>
              </w:rPr>
              <w:t>检查，</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3</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lang w:eastAsia="zh-Hans"/>
              </w:rPr>
              <w:t>质控</w:t>
            </w:r>
            <w:r>
              <w:rPr>
                <w:rFonts w:hint="eastAsia" w:ascii="宋体" w:hAnsi="宋体" w:cs="宋体"/>
                <w:color w:val="000000"/>
                <w:sz w:val="24"/>
              </w:rPr>
              <w:t>核查、</w:t>
            </w:r>
            <w:r>
              <w:rPr>
                <w:rFonts w:hint="eastAsia" w:ascii="宋体" w:hAnsi="宋体" w:cs="宋体"/>
                <w:color w:val="000000"/>
                <w:sz w:val="24"/>
                <w:lang w:eastAsia="zh-Hans"/>
              </w:rPr>
              <w:t>双随机检查以及颗粒物比对工作</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携带质控设备和标准品前往各站点核查数据准确性，</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4</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月度报告编写</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每月检查完毕后，完成检查子站的检查结果，进行统计与汇总，并对运维中出现的问题进行总结，</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5</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季度报告编写</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每季度检查完毕后汇总各站点检查结果，进行统计与汇总，形成专项报告，</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6</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项目质量监督</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根据项目执行情况实行全过程质量监督，</w:t>
            </w:r>
            <w:r>
              <w:rPr>
                <w:rFonts w:hint="eastAsia" w:ascii="宋体" w:hAnsi="宋体" w:cs="宋体"/>
                <w:color w:val="000000"/>
                <w:sz w:val="24"/>
                <w:lang w:eastAsia="zh-Hans"/>
              </w:rPr>
              <w:t>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三、</w:t>
            </w:r>
          </w:p>
        </w:tc>
        <w:tc>
          <w:tcPr>
            <w:tcW w:w="8321" w:type="dxa"/>
            <w:gridSpan w:val="5"/>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lang w:eastAsia="zh-Hans"/>
              </w:rPr>
              <w:t>项目</w:t>
            </w:r>
            <w:r>
              <w:rPr>
                <w:rFonts w:hint="eastAsia" w:ascii="宋体" w:hAnsi="宋体" w:cs="宋体"/>
                <w:color w:val="000000"/>
                <w:sz w:val="24"/>
              </w:rPr>
              <w:t>进度</w:t>
            </w:r>
            <w:r>
              <w:rPr>
                <w:rFonts w:hint="eastAsia" w:ascii="宋体" w:hAnsi="宋体" w:cs="宋体"/>
                <w:color w:val="000000"/>
                <w:sz w:val="24"/>
                <w:lang w:eastAsia="zh-Hans"/>
              </w:rPr>
              <w:t>管理</w:t>
            </w:r>
            <w:r>
              <w:rPr>
                <w:rFonts w:hint="eastAsia" w:ascii="宋体" w:hAnsi="宋体" w:cs="宋体"/>
                <w:color w:val="000000"/>
                <w:sz w:val="24"/>
              </w:rPr>
              <w:t>（10分）得分：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1</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lang w:eastAsia="zh-Hans"/>
              </w:rPr>
              <w:t>监理计划</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lang w:eastAsia="zh-Hans"/>
              </w:rPr>
              <w:t>按时提交每月检查计划，未按时提交扣2分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2</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lang w:eastAsia="zh-Hans"/>
              </w:rPr>
              <w:t>检查情况反馈</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lang w:eastAsia="zh-Hans"/>
              </w:rPr>
              <w:t>现场检查好后需第一时间反馈监测中心，问题反馈不及时，每发现一次扣2分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3</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lang w:eastAsia="zh-Hans"/>
              </w:rPr>
              <w:t>进度</w:t>
            </w:r>
            <w:r>
              <w:rPr>
                <w:rFonts w:hint="eastAsia" w:ascii="宋体" w:hAnsi="宋体" w:cs="宋体"/>
                <w:color w:val="000000"/>
                <w:sz w:val="24"/>
              </w:rPr>
              <w:t>管理</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rPr>
              <w:t>未按时完成</w:t>
            </w:r>
            <w:r>
              <w:rPr>
                <w:rFonts w:hint="eastAsia" w:ascii="宋体" w:hAnsi="宋体" w:cs="宋体"/>
                <w:color w:val="000000"/>
                <w:sz w:val="24"/>
                <w:lang w:eastAsia="zh-Hans"/>
              </w:rPr>
              <w:t>检查任务</w:t>
            </w:r>
            <w:r>
              <w:rPr>
                <w:rFonts w:hint="eastAsia" w:ascii="宋体" w:hAnsi="宋体" w:cs="宋体"/>
                <w:color w:val="000000"/>
                <w:sz w:val="24"/>
              </w:rPr>
              <w:t>，</w:t>
            </w:r>
            <w:r>
              <w:rPr>
                <w:rFonts w:hint="eastAsia" w:ascii="宋体" w:hAnsi="宋体" w:cs="宋体"/>
                <w:color w:val="000000"/>
                <w:sz w:val="24"/>
                <w:lang w:eastAsia="zh-Hans"/>
              </w:rPr>
              <w:t>每次扣2分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四、</w:t>
            </w:r>
          </w:p>
        </w:tc>
        <w:tc>
          <w:tcPr>
            <w:tcW w:w="8321" w:type="dxa"/>
            <w:gridSpan w:val="5"/>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rPr>
            </w:pPr>
            <w:r>
              <w:rPr>
                <w:rFonts w:hint="eastAsia" w:ascii="宋体" w:hAnsi="宋体" w:cs="宋体"/>
                <w:color w:val="000000"/>
                <w:sz w:val="24"/>
                <w:lang w:eastAsia="zh-Hans"/>
              </w:rPr>
              <w:t>资料管理</w:t>
            </w:r>
            <w:r>
              <w:rPr>
                <w:rFonts w:hint="eastAsia" w:ascii="宋体" w:hAnsi="宋体" w:cs="宋体"/>
                <w:color w:val="000000"/>
                <w:sz w:val="24"/>
              </w:rPr>
              <w:t>（10分）得分：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1</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lang w:eastAsia="zh-Hans"/>
              </w:rPr>
              <w:t>现场检查资料管理</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lang w:eastAsia="zh-Hans"/>
              </w:rPr>
              <w:t>每轮次检查都现场记录表以及打分表都要统一整理，并交给监测中心，未按要求进行扣2分。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2</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lang w:eastAsia="zh-Hans"/>
              </w:rPr>
              <w:t>溯源资料管理</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lang w:eastAsia="zh-Hans"/>
              </w:rPr>
              <w:t>设备校准报告、检定报告、标气溯源报告、臭氧溯源报告等，一项不符合要求扣2分。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418"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r>
              <w:rPr>
                <w:rFonts w:hint="eastAsia" w:ascii="宋体" w:hAnsi="宋体" w:cs="宋体"/>
                <w:color w:val="000000"/>
                <w:sz w:val="24"/>
              </w:rPr>
              <w:t>3</w:t>
            </w:r>
          </w:p>
        </w:tc>
        <w:tc>
          <w:tcPr>
            <w:tcW w:w="1665" w:type="dxa"/>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lang w:eastAsia="zh-Hans"/>
              </w:rPr>
            </w:pPr>
            <w:r>
              <w:rPr>
                <w:rFonts w:hint="eastAsia" w:ascii="宋体" w:hAnsi="宋体" w:cs="宋体"/>
                <w:color w:val="000000"/>
                <w:sz w:val="24"/>
                <w:lang w:eastAsia="zh-Hans"/>
              </w:rPr>
              <w:t>报告资料管理</w:t>
            </w:r>
          </w:p>
        </w:tc>
        <w:tc>
          <w:tcPr>
            <w:tcW w:w="5070" w:type="dxa"/>
            <w:gridSpan w:val="2"/>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left"/>
              <w:textAlignment w:val="auto"/>
              <w:rPr>
                <w:rFonts w:ascii="宋体" w:hAnsi="宋体" w:cs="宋体"/>
                <w:color w:val="000000"/>
                <w:sz w:val="24"/>
                <w:lang w:eastAsia="zh-Hans"/>
              </w:rPr>
            </w:pPr>
            <w:r>
              <w:rPr>
                <w:rFonts w:hint="eastAsia" w:ascii="宋体" w:hAnsi="宋体" w:cs="宋体"/>
                <w:color w:val="000000"/>
                <w:sz w:val="24"/>
                <w:lang w:eastAsia="zh-Hans"/>
              </w:rPr>
              <w:t>每轮次检查完成后等月度、季度报告是否都备份保存，并及时交给监测中心，未按要求整理提交每次扣2分</w:t>
            </w:r>
          </w:p>
        </w:tc>
        <w:tc>
          <w:tcPr>
            <w:tcW w:w="555" w:type="dxa"/>
            <w:noWrap w:val="0"/>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c>
          <w:tcPr>
            <w:tcW w:w="1031" w:type="dxa"/>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4369" w:type="dxa"/>
            <w:gridSpan w:val="3"/>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ascii="宋体" w:hAnsi="宋体" w:cs="宋体"/>
                <w:color w:val="000000"/>
                <w:sz w:val="24"/>
              </w:rPr>
            </w:pPr>
            <w:r>
              <w:rPr>
                <w:rFonts w:hint="eastAsia" w:ascii="宋体" w:hAnsi="宋体" w:cs="宋体"/>
                <w:color w:val="000000"/>
                <w:sz w:val="24"/>
              </w:rPr>
              <w:t>考评时间：</w:t>
            </w:r>
          </w:p>
        </w:tc>
        <w:tc>
          <w:tcPr>
            <w:tcW w:w="4370" w:type="dxa"/>
            <w:gridSpan w:val="3"/>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ascii="宋体" w:hAnsi="宋体" w:cs="宋体"/>
                <w:color w:val="000000"/>
                <w:sz w:val="24"/>
              </w:rPr>
            </w:pPr>
            <w:r>
              <w:rPr>
                <w:rFonts w:hint="eastAsia" w:ascii="宋体" w:hAnsi="宋体" w:cs="宋体"/>
                <w:color w:val="000000"/>
                <w:sz w:val="24"/>
              </w:rPr>
              <w:t>考评单位：</w:t>
            </w:r>
          </w:p>
        </w:tc>
      </w:tr>
    </w:tbl>
    <w:p>
      <w:pPr>
        <w:spacing w:line="360" w:lineRule="auto"/>
        <w:rPr>
          <w:rFonts w:ascii="宋体" w:hAnsi="宋体" w:cs="宋体"/>
          <w:b/>
          <w:bCs/>
          <w:color w:val="000000"/>
          <w:sz w:val="24"/>
        </w:rPr>
      </w:pPr>
      <w:r>
        <w:rPr>
          <w:rFonts w:hint="eastAsia" w:ascii="宋体" w:hAnsi="宋体" w:cs="宋体"/>
          <w:b/>
          <w:bCs/>
          <w:color w:val="000000"/>
          <w:sz w:val="24"/>
          <w:lang w:val="en-US" w:eastAsia="zh-CN"/>
        </w:rPr>
        <w:t>8</w:t>
      </w:r>
      <w:r>
        <w:rPr>
          <w:rFonts w:hint="eastAsia" w:ascii="宋体" w:hAnsi="宋体" w:cs="宋体"/>
          <w:b/>
          <w:bCs/>
          <w:color w:val="000000"/>
          <w:sz w:val="24"/>
        </w:rPr>
        <w:t>.2．运维检查费用核算办法</w:t>
      </w:r>
    </w:p>
    <w:p>
      <w:pPr>
        <w:spacing w:line="360" w:lineRule="auto"/>
        <w:ind w:firstLine="480" w:firstLineChars="200"/>
        <w:rPr>
          <w:rFonts w:ascii="宋体" w:hAnsi="宋体" w:cs="宋体"/>
          <w:color w:val="000000"/>
          <w:sz w:val="24"/>
        </w:rPr>
      </w:pPr>
      <w:r>
        <w:rPr>
          <w:rFonts w:hint="eastAsia" w:ascii="宋体" w:hAnsi="宋体" w:cs="宋体"/>
          <w:color w:val="000000"/>
          <w:sz w:val="24"/>
        </w:rPr>
        <w:t>1）考核总分在90分（含）以上，全额支付当期运维检查费；</w:t>
      </w:r>
    </w:p>
    <w:p>
      <w:pPr>
        <w:spacing w:line="360" w:lineRule="auto"/>
        <w:ind w:firstLine="480" w:firstLineChars="200"/>
        <w:rPr>
          <w:rFonts w:ascii="宋体" w:hAnsi="宋体" w:cs="宋体"/>
          <w:color w:val="000000"/>
          <w:sz w:val="24"/>
        </w:rPr>
      </w:pPr>
      <w:r>
        <w:rPr>
          <w:rFonts w:hint="eastAsia" w:ascii="宋体" w:hAnsi="宋体" w:cs="宋体"/>
          <w:color w:val="000000"/>
          <w:sz w:val="24"/>
        </w:rPr>
        <w:t>2）考核总分在80（含）-90分（不含）之间，扣除当期运维检查费10%；</w:t>
      </w:r>
    </w:p>
    <w:p>
      <w:pPr>
        <w:spacing w:line="360" w:lineRule="auto"/>
        <w:ind w:firstLine="480" w:firstLineChars="200"/>
        <w:rPr>
          <w:rFonts w:ascii="宋体" w:hAnsi="宋体" w:cs="宋体"/>
          <w:color w:val="000000"/>
          <w:sz w:val="24"/>
        </w:rPr>
      </w:pPr>
      <w:r>
        <w:rPr>
          <w:rFonts w:hint="eastAsia" w:ascii="宋体" w:hAnsi="宋体" w:cs="宋体"/>
          <w:color w:val="000000"/>
          <w:sz w:val="24"/>
        </w:rPr>
        <w:t>3）考核结果在70（含）-80分（不含）之间，扣除当期运维检查费30%；</w:t>
      </w:r>
    </w:p>
    <w:p>
      <w:pPr>
        <w:spacing w:line="360" w:lineRule="auto"/>
        <w:ind w:firstLine="480" w:firstLineChars="200"/>
        <w:rPr>
          <w:rFonts w:ascii="宋体" w:hAnsi="宋体" w:cs="宋体"/>
          <w:b/>
          <w:bCs/>
          <w:sz w:val="24"/>
        </w:rPr>
      </w:pPr>
      <w:r>
        <w:rPr>
          <w:rFonts w:hint="eastAsia" w:ascii="宋体" w:hAnsi="宋体" w:cs="宋体"/>
          <w:color w:val="000000"/>
          <w:sz w:val="24"/>
        </w:rPr>
        <w:t>4）考核结果在70分（不含）以下，扣除当期全额运维检查费。</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lang w:eastAsia="zh-CN"/>
        </w:rPr>
        <w:t>九</w:t>
      </w:r>
      <w:r>
        <w:rPr>
          <w:rFonts w:hint="eastAsia" w:ascii="宋体" w:hAnsi="宋体" w:cs="宋体"/>
          <w:b/>
          <w:bCs/>
          <w:color w:val="000000"/>
          <w:sz w:val="24"/>
        </w:rPr>
        <w:t>、数据归属及保密</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本项目所形成的所有检查形成的数据及报告的所有权均归采购人所有。未经采购人授权，中标人无权使用任何检查结果或将检查结果发送给任何第三方。报告发送和保管人员应遵守相关保密规定，为采购人保密。</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十、人员纪律</w:t>
      </w:r>
    </w:p>
    <w:p>
      <w:pPr>
        <w:spacing w:line="360" w:lineRule="auto"/>
        <w:ind w:firstLine="480" w:firstLineChars="200"/>
        <w:rPr>
          <w:sz w:val="24"/>
        </w:rPr>
      </w:pPr>
      <w:r>
        <w:rPr>
          <w:rFonts w:hint="eastAsia"/>
          <w:sz w:val="24"/>
        </w:rPr>
        <w:t>运维检查人员需严格要求自己，公平公正对待检查工作，提交的检查报告需真实有效，对检查结果负责。检查人员不得以任何形式收受运维单位贿赂或在运维检查过程中与运维单位串通、弄虚作假。一经发现并查实，立即终止合同，由此产生的一切责任全部由中标人承担，并将其列入黑名单，情节严重的移交司法部门。</w:t>
      </w:r>
    </w:p>
    <w:p>
      <w:pPr>
        <w:spacing w:line="360" w:lineRule="auto"/>
        <w:rPr>
          <w:rFonts w:hint="eastAsia" w:ascii="宋体" w:hAnsi="宋体" w:cs="宋体"/>
          <w:b/>
          <w:bCs/>
          <w:color w:val="000000"/>
          <w:sz w:val="24"/>
          <w:lang w:val="en-US" w:eastAsia="zh-CN"/>
        </w:rPr>
      </w:pPr>
      <w:r>
        <w:rPr>
          <w:rFonts w:hint="eastAsia" w:ascii="宋体" w:hAnsi="宋体" w:cs="宋体"/>
          <w:b/>
          <w:bCs/>
          <w:color w:val="000000"/>
          <w:sz w:val="24"/>
          <w:lang w:val="en-US" w:eastAsia="zh-CN"/>
        </w:rPr>
        <w:t>五、</w:t>
      </w:r>
      <w:r>
        <w:rPr>
          <w:rFonts w:hint="eastAsia" w:ascii="宋体" w:hAnsi="宋体" w:cs="宋体"/>
          <w:b/>
          <w:bCs/>
          <w:color w:val="000000"/>
          <w:sz w:val="24"/>
        </w:rPr>
        <w:t>运营服务成果要求</w:t>
      </w:r>
    </w:p>
    <w:p>
      <w:pPr>
        <w:keepNext w:val="0"/>
        <w:keepLines w:val="0"/>
        <w:pageBreakBefore w:val="0"/>
        <w:shd w:val="clear" w:color="auto" w:fill="auto"/>
        <w:kinsoku/>
        <w:wordWrap/>
        <w:overflowPunct/>
        <w:topLinePunct w:val="0"/>
        <w:autoSpaceDE/>
        <w:autoSpaceDN/>
        <w:bidi w:val="0"/>
        <w:spacing w:line="360" w:lineRule="auto"/>
        <w:ind w:firstLine="482" w:firstLineChars="20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标项一、标项二：</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(1)认真、及时做好各类记录，以周计划、月总结的形式报</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，书面报告作为运行维护考核依据之一，包括：</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a.每日远程监控记录表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b.每周工作计划表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c.每周巡视结果记录表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b.仪器设备维护记录表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d.备件耗材更换记录表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f.故障处理申报表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g.质控检查结果记录表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h.月度自动监测数据统计表</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(2)每季维护结束后10日内提交季度维护报告。（含各子站整体运行状况、故障处理与原因分析、故障预防措施、异常监测数据分析等内容）。</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(3)每年维护结束后10日内提交年度维护报告。（含各子站整体运行状况、故障处理与原因分析、故障预防措施、异常监测数据分析等内容）。</w:t>
      </w:r>
    </w:p>
    <w:p>
      <w:pPr>
        <w:keepNext w:val="0"/>
        <w:keepLines w:val="0"/>
        <w:pageBreakBefore w:val="0"/>
        <w:shd w:val="clear" w:color="auto" w:fill="auto"/>
        <w:kinsoku/>
        <w:wordWrap/>
        <w:overflowPunct/>
        <w:topLinePunct w:val="0"/>
        <w:autoSpaceDE/>
        <w:autoSpaceDN/>
        <w:bidi w:val="0"/>
        <w:spacing w:line="360" w:lineRule="auto"/>
        <w:ind w:firstLine="482" w:firstLineChars="20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标项三、标项四：</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运维单位必须建立完善的运行维护工作规范与质量管理体系，确保提供及时、准确、有效的监测数据，站点的运行质量应达到以下指标：</w:t>
      </w:r>
    </w:p>
    <w:tbl>
      <w:tblPr>
        <w:tblStyle w:val="20"/>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6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目标值</w:t>
            </w:r>
          </w:p>
        </w:tc>
        <w:tc>
          <w:tcPr>
            <w:tcW w:w="6568"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数据有效率计算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有效数据获取率≥95％，以每站统计</w:t>
            </w:r>
          </w:p>
        </w:tc>
        <w:tc>
          <w:tcPr>
            <w:tcW w:w="6568" w:type="dxa"/>
            <w:vMerge w:val="restart"/>
            <w:noWrap/>
            <w:vAlign w:val="center"/>
          </w:tcPr>
          <w:p>
            <w:pPr>
              <w:shd w:val="clear" w:color="auto" w:fill="auto"/>
              <w:bidi w:val="0"/>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（1）数据有效率计算如下：（应获取数据-无效数据）/应获取数据*100%；</w:t>
            </w:r>
          </w:p>
          <w:p>
            <w:pPr>
              <w:shd w:val="clear" w:color="auto" w:fill="auto"/>
              <w:bidi w:val="0"/>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（2）因停电、停水（自来水）或采水设施损坏等原因导致的停站的缺失数据不纳入应获取数据；</w:t>
            </w:r>
          </w:p>
          <w:p>
            <w:pPr>
              <w:shd w:val="clear" w:color="auto" w:fill="auto"/>
              <w:bidi w:val="0"/>
              <w:spacing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（3）因断流或水位过低、地震、封航、暴雨、台风等不可抗力因素停站或无法维护导致的无效数据不纳入应获取数据。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质控样核查合格率≥90％，以每站统计</w:t>
            </w:r>
          </w:p>
        </w:tc>
        <w:tc>
          <w:tcPr>
            <w:tcW w:w="6568"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5" w:type="dxa"/>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实验室比对合格率≥90％，以每站统计</w:t>
            </w:r>
          </w:p>
        </w:tc>
        <w:tc>
          <w:tcPr>
            <w:tcW w:w="6568" w:type="dxa"/>
            <w:vMerge w:val="continue"/>
            <w:noWrap/>
            <w:vAlign w:val="center"/>
          </w:tcPr>
          <w:p>
            <w:pPr>
              <w:shd w:val="clear" w:color="auto" w:fill="auto"/>
              <w:bidi w:val="0"/>
              <w:spacing w:line="360" w:lineRule="auto"/>
              <w:jc w:val="center"/>
              <w:rPr>
                <w:rFonts w:hint="eastAsia" w:ascii="宋体" w:hAnsi="宋体" w:eastAsia="宋体" w:cs="宋体"/>
                <w:color w:val="000000"/>
                <w:sz w:val="24"/>
                <w:szCs w:val="24"/>
                <w:highlight w:val="none"/>
              </w:rPr>
            </w:pPr>
          </w:p>
        </w:tc>
      </w:tr>
    </w:tbl>
    <w:p>
      <w:pPr>
        <w:pStyle w:val="65"/>
        <w:spacing w:line="360" w:lineRule="auto"/>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六、惩罚性条款</w:t>
      </w:r>
    </w:p>
    <w:p>
      <w:pPr>
        <w:pStyle w:val="17"/>
        <w:widowControl/>
        <w:spacing w:line="360" w:lineRule="auto"/>
        <w:ind w:firstLine="480" w:firstLineChars="200"/>
        <w:rPr>
          <w:rFonts w:hint="default" w:cs="宋体"/>
          <w:kern w:val="2"/>
        </w:rPr>
      </w:pPr>
      <w:r>
        <w:rPr>
          <w:rFonts w:hint="default" w:cs="宋体"/>
          <w:kern w:val="2"/>
        </w:rPr>
        <w:t>从事省控站运行管理活动的</w:t>
      </w:r>
      <w:r>
        <w:rPr>
          <w:rFonts w:hint="eastAsia" w:cs="宋体"/>
          <w:kern w:val="2"/>
          <w:lang w:eastAsia="zh-CN"/>
        </w:rPr>
        <w:t>运维及</w:t>
      </w:r>
      <w:r>
        <w:rPr>
          <w:rFonts w:cs="宋体"/>
          <w:kern w:val="2"/>
        </w:rPr>
        <w:t>监理</w:t>
      </w:r>
      <w:r>
        <w:rPr>
          <w:rFonts w:hint="default" w:cs="宋体"/>
          <w:kern w:val="2"/>
        </w:rPr>
        <w:t>机构，具有以下情形的，</w:t>
      </w:r>
      <w:r>
        <w:rPr>
          <w:rFonts w:cs="宋体"/>
          <w:kern w:val="2"/>
        </w:rPr>
        <w:t>采购人</w:t>
      </w:r>
      <w:r>
        <w:rPr>
          <w:rFonts w:hint="default" w:cs="宋体"/>
          <w:kern w:val="2"/>
        </w:rPr>
        <w:t>有权提前终止服务合同，追究其违约责任</w:t>
      </w:r>
      <w:r>
        <w:rPr>
          <w:rFonts w:cs="宋体"/>
          <w:kern w:val="2"/>
        </w:rPr>
        <w:t>，</w:t>
      </w:r>
      <w:r>
        <w:rPr>
          <w:rFonts w:hint="default" w:cs="宋体"/>
          <w:kern w:val="2"/>
        </w:rPr>
        <w:t>同时上报</w:t>
      </w:r>
      <w:r>
        <w:rPr>
          <w:rFonts w:cs="宋体"/>
          <w:kern w:val="2"/>
        </w:rPr>
        <w:t>浙江省生态环境监测</w:t>
      </w:r>
      <w:r>
        <w:rPr>
          <w:rFonts w:hint="default" w:cs="宋体"/>
          <w:kern w:val="2"/>
        </w:rPr>
        <w:t>中心。</w:t>
      </w:r>
    </w:p>
    <w:p>
      <w:pPr>
        <w:pStyle w:val="17"/>
        <w:widowControl/>
        <w:spacing w:line="360" w:lineRule="auto"/>
        <w:ind w:firstLine="480" w:firstLineChars="200"/>
        <w:rPr>
          <w:rFonts w:hint="default" w:cs="宋体"/>
          <w:kern w:val="2"/>
        </w:rPr>
      </w:pPr>
      <w:r>
        <w:rPr>
          <w:rFonts w:hint="default" w:cs="宋体"/>
          <w:kern w:val="2"/>
        </w:rPr>
        <w:t>1.存在《环境监测数据弄虚作假行为判定及处理办法》中认定的篡改、伪造或者指使篡改、伪造监测数据行为的；</w:t>
      </w:r>
    </w:p>
    <w:p>
      <w:pPr>
        <w:pStyle w:val="17"/>
        <w:widowControl/>
        <w:spacing w:line="360" w:lineRule="auto"/>
        <w:ind w:firstLine="480" w:firstLineChars="200"/>
        <w:rPr>
          <w:rFonts w:hint="default" w:cs="宋体"/>
          <w:kern w:val="2"/>
        </w:rPr>
      </w:pPr>
      <w:r>
        <w:rPr>
          <w:rFonts w:hint="default" w:cs="宋体"/>
          <w:kern w:val="2"/>
        </w:rPr>
        <w:t>2.实施或强令、指使、授意他人实施修改参数，或者干扰采样致使监测数据严重失真的；</w:t>
      </w:r>
    </w:p>
    <w:p>
      <w:pPr>
        <w:pStyle w:val="17"/>
        <w:widowControl/>
        <w:spacing w:line="360" w:lineRule="auto"/>
        <w:ind w:firstLine="480" w:firstLineChars="200"/>
        <w:rPr>
          <w:rFonts w:hint="default" w:cs="宋体"/>
          <w:kern w:val="2"/>
        </w:rPr>
      </w:pPr>
      <w:r>
        <w:rPr>
          <w:rFonts w:hint="default" w:cs="宋体"/>
          <w:kern w:val="2"/>
        </w:rPr>
        <w:t>3.实施、参与或默认他人实施干扰自动监测设施、破坏环境质量监测系统的；</w:t>
      </w:r>
    </w:p>
    <w:p>
      <w:pPr>
        <w:pStyle w:val="17"/>
        <w:widowControl/>
        <w:spacing w:line="360" w:lineRule="auto"/>
        <w:ind w:firstLine="480" w:firstLineChars="200"/>
        <w:rPr>
          <w:rFonts w:hint="eastAsia" w:eastAsia="宋体" w:cs="宋体"/>
          <w:kern w:val="2"/>
          <w:lang w:eastAsia="zh-CN"/>
        </w:rPr>
      </w:pPr>
      <w:r>
        <w:rPr>
          <w:rFonts w:hint="default" w:cs="宋体"/>
          <w:kern w:val="2"/>
        </w:rPr>
        <w:t>4.其他破坏环境质量监测系统的情形</w:t>
      </w:r>
      <w:r>
        <w:rPr>
          <w:rFonts w:hint="eastAsia" w:cs="宋体"/>
          <w:kern w:val="2"/>
          <w:lang w:eastAsia="zh-CN"/>
        </w:rPr>
        <w:t>；</w:t>
      </w:r>
    </w:p>
    <w:p>
      <w:pPr>
        <w:shd w:val="clear" w:color="auto" w:fill="auto"/>
        <w:bidi w:val="0"/>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rPr>
        <w:t>拖延、阻碍、拒绝质量检查的，不支付当季度运行维护费用</w:t>
      </w:r>
      <w:r>
        <w:rPr>
          <w:rFonts w:hint="eastAsia" w:ascii="宋体" w:hAnsi="宋体" w:cs="宋体"/>
          <w:color w:val="000000"/>
          <w:sz w:val="24"/>
          <w:szCs w:val="24"/>
          <w:highlight w:val="none"/>
          <w:lang w:eastAsia="zh-CN"/>
        </w:rPr>
        <w:t>；</w:t>
      </w:r>
    </w:p>
    <w:p>
      <w:pPr>
        <w:shd w:val="clear" w:color="auto" w:fill="auto"/>
        <w:bidi w:val="0"/>
        <w:spacing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rPr>
        <w:t>未按要求开展运行维护，导致</w:t>
      </w:r>
      <w:r>
        <w:rPr>
          <w:rFonts w:hint="eastAsia" w:ascii="宋体" w:hAnsi="宋体" w:eastAsia="宋体" w:cs="宋体"/>
          <w:color w:val="000000"/>
          <w:sz w:val="24"/>
          <w:szCs w:val="24"/>
          <w:highlight w:val="none"/>
          <w:lang w:eastAsia="zh-CN"/>
        </w:rPr>
        <w:t>站点</w:t>
      </w:r>
      <w:r>
        <w:rPr>
          <w:rFonts w:hint="eastAsia" w:ascii="宋体" w:hAnsi="宋体" w:eastAsia="宋体" w:cs="宋体"/>
          <w:color w:val="000000"/>
          <w:sz w:val="24"/>
          <w:szCs w:val="24"/>
          <w:highlight w:val="none"/>
        </w:rPr>
        <w:t>非正常运行的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不支付当季度运行维护费用</w:t>
      </w:r>
      <w:r>
        <w:rPr>
          <w:rFonts w:hint="eastAsia" w:ascii="宋体" w:hAnsi="宋体" w:cs="宋体"/>
          <w:color w:val="000000"/>
          <w:sz w:val="24"/>
          <w:szCs w:val="24"/>
          <w:highlight w:val="none"/>
          <w:lang w:eastAsia="zh-CN"/>
        </w:rPr>
        <w:t>；</w:t>
      </w:r>
    </w:p>
    <w:p>
      <w:pPr>
        <w:pStyle w:val="3"/>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rPr>
        <w:t>因运维不当导致仪器损毁的，中标单位应依运维合同的约定，承担相应责任。</w:t>
      </w:r>
    </w:p>
    <w:p>
      <w:pPr>
        <w:pStyle w:val="65"/>
        <w:spacing w:line="360" w:lineRule="auto"/>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auto"/>
          <w:sz w:val="24"/>
          <w:szCs w:val="24"/>
          <w:highlight w:val="none"/>
        </w:rPr>
        <w:t>▲</w:t>
      </w:r>
      <w:r>
        <w:rPr>
          <w:rFonts w:hint="eastAsia" w:ascii="宋体" w:hAnsi="宋体" w:eastAsia="宋体" w:cs="宋体"/>
          <w:b/>
          <w:bCs/>
          <w:color w:val="000000"/>
          <w:kern w:val="2"/>
          <w:sz w:val="24"/>
          <w:szCs w:val="24"/>
          <w:highlight w:val="none"/>
          <w:lang w:val="en-US" w:eastAsia="zh-CN" w:bidi="ar-SA"/>
        </w:rPr>
        <w:t>七、其他要求</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供应商在中标后一个月之内按投标文件承诺及招标文件的有关要求把设备、人员安排到位并按合同约定投入正常运行，若未能按时按要求配置设备及人员的，逾期五天的，采购人有权</w:t>
      </w:r>
      <w:r>
        <w:rPr>
          <w:rFonts w:hint="eastAsia" w:ascii="宋体" w:hAnsi="宋体" w:eastAsia="宋体" w:cs="宋体"/>
          <w:color w:val="000000"/>
          <w:sz w:val="24"/>
          <w:szCs w:val="24"/>
          <w:highlight w:val="none"/>
          <w:lang w:eastAsia="zh-CN"/>
        </w:rPr>
        <w:t>取消合同</w:t>
      </w:r>
      <w:r>
        <w:rPr>
          <w:rFonts w:hint="eastAsia" w:ascii="宋体" w:hAnsi="宋体" w:eastAsia="宋体" w:cs="宋体"/>
          <w:color w:val="000000"/>
          <w:sz w:val="24"/>
          <w:szCs w:val="24"/>
          <w:highlight w:val="none"/>
        </w:rPr>
        <w:t>，由此引起的一切后果由供应商自行承担。</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投标供应商中标后人员必须保证在一个月内到位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中标供应商在入场进行服务时必须确保人员、设备等按要求同时进场。</w:t>
      </w:r>
    </w:p>
    <w:p>
      <w:pPr>
        <w:shd w:val="clear" w:color="auto" w:fill="auto"/>
        <w:bidi w:val="0"/>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（3）在项目整个周期内，</w:t>
      </w:r>
      <w:r>
        <w:rPr>
          <w:rFonts w:hint="eastAsia" w:ascii="宋体" w:hAnsi="宋体" w:eastAsia="宋体" w:cs="宋体"/>
          <w:color w:val="000000"/>
          <w:sz w:val="24"/>
          <w:szCs w:val="24"/>
          <w:highlight w:val="none"/>
          <w:lang w:eastAsia="zh-CN"/>
        </w:rPr>
        <w:t>项目负责人和项目组成员须与投标文件一致，中途无特殊情况（如离职等不可抗力因素除外）不得更换，如不得不更换须经采购人书面同意后按同等或更高资质人员替换。</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数据归属及保密</w:t>
      </w:r>
    </w:p>
    <w:p>
      <w:pPr>
        <w:pStyle w:val="2"/>
        <w:rPr>
          <w:rFonts w:hint="eastAsia" w:eastAsia="宋体"/>
          <w:lang w:val="en-US" w:eastAsia="zh-CN"/>
        </w:rPr>
      </w:pPr>
      <w:r>
        <w:rPr>
          <w:rFonts w:hint="eastAsia" w:ascii="宋体" w:hAnsi="宋体" w:eastAsia="宋体" w:cs="宋体"/>
          <w:color w:val="000000"/>
          <w:sz w:val="24"/>
          <w:szCs w:val="24"/>
          <w:highlight w:val="none"/>
        </w:rPr>
        <w:t>本项目所形成的所有检查形成的数据及报告的所有权均归采购方所有。未经采购方授权，中标供应商无权使用任何检查结果或将检查结果发送给任何第三方。报告发送和保管人员应遵守相关保密规定，为采购方保密。</w:t>
      </w:r>
    </w:p>
    <w:p>
      <w:pPr>
        <w:rPr>
          <w:rFonts w:hint="eastAsia"/>
          <w:lang w:val="en-US" w:eastAsia="zh-CN"/>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r>
        <w:rPr>
          <w:rFonts w:hint="eastAsia" w:hAnsi="宋体" w:cs="宋体"/>
          <w:b/>
          <w:bCs/>
          <w:color w:val="000000"/>
          <w:kern w:val="2"/>
          <w:sz w:val="24"/>
          <w:szCs w:val="24"/>
          <w:highlight w:val="none"/>
          <w:lang w:val="en-US" w:eastAsia="zh-CN" w:bidi="ar-SA"/>
        </w:rPr>
        <w:t>八、</w:t>
      </w:r>
      <w:r>
        <w:rPr>
          <w:rFonts w:hint="eastAsia" w:ascii="宋体" w:hAnsi="宋体" w:eastAsia="宋体" w:cs="宋体"/>
          <w:b/>
          <w:bCs/>
          <w:color w:val="000000"/>
          <w:kern w:val="2"/>
          <w:sz w:val="24"/>
          <w:szCs w:val="24"/>
          <w:highlight w:val="none"/>
          <w:lang w:val="en-US" w:eastAsia="zh-CN" w:bidi="ar-SA"/>
        </w:rPr>
        <w:t>商务需求</w:t>
      </w:r>
    </w:p>
    <w:p>
      <w:pPr>
        <w:pStyle w:val="65"/>
        <w:numPr>
          <w:ilvl w:val="0"/>
          <w:numId w:val="0"/>
        </w:num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运维期</w:t>
      </w:r>
      <w:r>
        <w:rPr>
          <w:rFonts w:hint="eastAsia" w:ascii="宋体" w:hAnsi="宋体" w:eastAsia="宋体" w:cs="宋体"/>
          <w:color w:val="auto"/>
          <w:sz w:val="24"/>
          <w:szCs w:val="24"/>
          <w:highlight w:val="none"/>
        </w:rPr>
        <w:t>限：</w:t>
      </w:r>
      <w:r>
        <w:rPr>
          <w:rFonts w:hint="eastAsia" w:hAnsi="宋体" w:cs="宋体"/>
          <w:color w:val="auto"/>
          <w:sz w:val="24"/>
          <w:szCs w:val="24"/>
          <w:highlight w:val="none"/>
          <w:lang w:eastAsia="zh-CN"/>
        </w:rPr>
        <w:t>一年，</w:t>
      </w:r>
      <w:r>
        <w:rPr>
          <w:rFonts w:hint="eastAsia" w:ascii="宋体" w:hAnsi="宋体" w:eastAsia="宋体" w:cs="宋体"/>
          <w:color w:val="auto"/>
          <w:sz w:val="24"/>
          <w:szCs w:val="24"/>
          <w:highlight w:val="none"/>
        </w:rPr>
        <w:t>合</w:t>
      </w:r>
      <w:r>
        <w:rPr>
          <w:rFonts w:hint="eastAsia" w:ascii="宋体" w:hAnsi="宋体" w:eastAsia="宋体" w:cs="宋体"/>
          <w:color w:val="000000"/>
          <w:sz w:val="24"/>
          <w:szCs w:val="24"/>
          <w:highlight w:val="none"/>
        </w:rPr>
        <w:t>同签订生效之日至202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年11月30日。</w:t>
      </w:r>
    </w:p>
    <w:p>
      <w:pPr>
        <w:shd w:val="clear" w:color="auto" w:fill="auto"/>
        <w:bidi w:val="0"/>
        <w:spacing w:line="360" w:lineRule="auto"/>
        <w:ind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付款方式：</w:t>
      </w:r>
    </w:p>
    <w:p>
      <w:pPr>
        <w:shd w:val="clear" w:color="auto" w:fill="auto"/>
        <w:bidi w:val="0"/>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合同生</w:t>
      </w:r>
      <w:r>
        <w:rPr>
          <w:rFonts w:hint="eastAsia" w:ascii="宋体" w:hAnsi="宋体" w:eastAsia="宋体" w:cs="宋体"/>
          <w:color w:val="auto"/>
          <w:sz w:val="24"/>
          <w:szCs w:val="24"/>
          <w:highlight w:val="none"/>
        </w:rPr>
        <w:t>效</w:t>
      </w:r>
      <w:r>
        <w:rPr>
          <w:rFonts w:hint="eastAsia" w:ascii="宋体" w:hAnsi="宋体" w:eastAsia="宋体" w:cs="宋体"/>
          <w:color w:val="auto"/>
          <w:sz w:val="24"/>
          <w:szCs w:val="24"/>
          <w:highlight w:val="none"/>
          <w:lang w:eastAsia="zh-CN"/>
        </w:rPr>
        <w:t>后</w:t>
      </w:r>
      <w:r>
        <w:rPr>
          <w:rFonts w:hint="eastAsia" w:ascii="宋体" w:hAnsi="宋体" w:cs="宋体"/>
          <w:color w:val="auto"/>
          <w:sz w:val="24"/>
          <w:szCs w:val="24"/>
          <w:highlight w:val="none"/>
          <w:lang w:eastAsia="zh-CN"/>
        </w:rPr>
        <w:t>以及具备实施条件后</w:t>
      </w:r>
      <w:r>
        <w:rPr>
          <w:rFonts w:hint="eastAsia" w:ascii="宋体" w:hAnsi="宋体" w:cs="宋体"/>
          <w:color w:val="auto"/>
          <w:sz w:val="24"/>
          <w:szCs w:val="24"/>
          <w:highlight w:val="none"/>
          <w:lang w:val="en-US" w:eastAsia="zh-CN"/>
        </w:rPr>
        <w:t>7个工作日内</w:t>
      </w:r>
      <w:r>
        <w:rPr>
          <w:rFonts w:hint="eastAsia" w:ascii="宋体" w:hAnsi="宋体" w:eastAsia="宋体" w:cs="宋体"/>
          <w:color w:val="auto"/>
          <w:sz w:val="24"/>
          <w:szCs w:val="24"/>
          <w:highlight w:val="none"/>
        </w:rPr>
        <w:t>支付合同总额的40%作为预付款，</w:t>
      </w:r>
      <w:r>
        <w:rPr>
          <w:rFonts w:hint="eastAsia" w:ascii="宋体" w:hAnsi="宋体" w:eastAsia="宋体" w:cs="宋体"/>
          <w:color w:val="auto"/>
          <w:sz w:val="24"/>
          <w:szCs w:val="24"/>
          <w:highlight w:val="none"/>
          <w:lang w:eastAsia="zh-CN"/>
        </w:rPr>
        <w:t>合同到期后，根据第四方监理考核结果及验收意见支付剩余尾款</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eastAsia="zh-CN"/>
        </w:rPr>
        <w:t>发票随付款进度一并提交</w:t>
      </w:r>
      <w:r>
        <w:rPr>
          <w:rFonts w:hint="eastAsia" w:ascii="宋体" w:hAnsi="宋体" w:cs="宋体"/>
          <w:color w:val="auto"/>
          <w:sz w:val="24"/>
          <w:szCs w:val="24"/>
          <w:highlight w:val="none"/>
          <w:lang w:val="zh-CN" w:eastAsia="zh-CN"/>
        </w:rPr>
        <w:t>，</w:t>
      </w:r>
      <w:r>
        <w:rPr>
          <w:rFonts w:hint="eastAsia" w:ascii="宋体" w:hAnsi="宋体" w:eastAsia="宋体" w:cs="宋体"/>
          <w:color w:val="auto"/>
          <w:sz w:val="24"/>
          <w:szCs w:val="24"/>
          <w:highlight w:val="none"/>
          <w:lang w:val="zh-CN" w:eastAsia="zh-CN"/>
        </w:rPr>
        <w:t>中标人须在采购人支付预付款之前向采购人出具预付款保函。</w:t>
      </w: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pStyle w:val="65"/>
        <w:numPr>
          <w:ilvl w:val="0"/>
          <w:numId w:val="0"/>
        </w:numPr>
        <w:spacing w:line="360" w:lineRule="auto"/>
        <w:rPr>
          <w:rFonts w:hint="eastAsia" w:ascii="宋体" w:hAnsi="宋体" w:eastAsia="宋体" w:cs="宋体"/>
          <w:b/>
          <w:bCs/>
          <w:color w:val="000000"/>
          <w:kern w:val="2"/>
          <w:sz w:val="24"/>
          <w:szCs w:val="24"/>
          <w:highlight w:val="none"/>
          <w:lang w:val="en-US" w:eastAsia="zh-CN" w:bidi="ar-SA"/>
        </w:rPr>
      </w:pPr>
    </w:p>
    <w:p>
      <w:pPr>
        <w:numPr>
          <w:ilvl w:val="0"/>
          <w:numId w:val="4"/>
        </w:numPr>
        <w:spacing w:line="360" w:lineRule="auto"/>
        <w:jc w:val="center"/>
        <w:rPr>
          <w:rFonts w:asciiTheme="minorEastAsia" w:hAnsiTheme="minorEastAsia" w:eastAsiaTheme="minorEastAsia"/>
          <w:b/>
          <w:sz w:val="36"/>
          <w:szCs w:val="36"/>
        </w:rPr>
      </w:pPr>
      <w:bookmarkStart w:id="121" w:name="_Toc31173_WPSOffice_Level1"/>
      <w:r>
        <w:rPr>
          <w:rFonts w:hint="eastAsia" w:asciiTheme="minorEastAsia" w:hAnsiTheme="minorEastAsia" w:eastAsiaTheme="minorEastAsia"/>
          <w:b/>
          <w:sz w:val="36"/>
          <w:szCs w:val="36"/>
        </w:rPr>
        <w:t>评标</w:t>
      </w:r>
      <w:bookmarkEnd w:id="121"/>
    </w:p>
    <w:p>
      <w:pPr>
        <w:spacing w:line="360" w:lineRule="auto"/>
        <w:ind w:firstLine="482" w:firstLineChars="200"/>
        <w:rPr>
          <w:rFonts w:ascii="宋体" w:hAnsi="宋体" w:cs="宋体"/>
          <w:b/>
          <w:bCs/>
          <w:sz w:val="24"/>
        </w:rPr>
      </w:pPr>
      <w:r>
        <w:rPr>
          <w:rFonts w:hint="eastAsia" w:ascii="宋体" w:hAnsi="宋体" w:cs="宋体"/>
          <w:b/>
          <w:bCs/>
          <w:sz w:val="24"/>
        </w:rPr>
        <w:t>一、评标方法</w:t>
      </w:r>
    </w:p>
    <w:p>
      <w:pPr>
        <w:spacing w:line="360" w:lineRule="auto"/>
        <w:ind w:firstLine="480" w:firstLineChars="200"/>
        <w:rPr>
          <w:rFonts w:ascii="宋体" w:hAnsi="宋体" w:cs="宋体"/>
          <w:sz w:val="24"/>
        </w:rPr>
      </w:pPr>
      <w:r>
        <w:rPr>
          <w:rFonts w:hint="eastAsia" w:ascii="宋体" w:hAnsi="宋体" w:cs="宋体"/>
          <w:sz w:val="24"/>
        </w:rPr>
        <w:t>综合评分法,是指投标文件满足招标文件全部实质性要求，且按照评审因素的量化指标评审得分最高的投标人为中标候选人的评标方法。</w:t>
      </w:r>
    </w:p>
    <w:p>
      <w:pPr>
        <w:spacing w:line="360" w:lineRule="auto"/>
        <w:ind w:firstLine="482" w:firstLineChars="200"/>
        <w:rPr>
          <w:rFonts w:ascii="宋体" w:hAnsi="宋体" w:cs="宋体"/>
          <w:b/>
          <w:bCs/>
          <w:sz w:val="24"/>
        </w:rPr>
      </w:pPr>
      <w:r>
        <w:rPr>
          <w:rFonts w:hint="eastAsia" w:ascii="宋体" w:hAnsi="宋体" w:cs="宋体"/>
          <w:b/>
          <w:bCs/>
          <w:sz w:val="24"/>
        </w:rPr>
        <w:t>二、评标原则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（十一）投标文件有效期不足的；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（十二）逾期或未按要求提交投标文件的；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（十三）其他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w:t>
      </w:r>
      <w:r>
        <w:rPr>
          <w:rFonts w:hint="eastAsia" w:cs="宋体"/>
          <w:lang w:eastAsia="zh-CN"/>
        </w:rPr>
        <w:t>况</w:t>
      </w:r>
      <w:r>
        <w:rPr>
          <w:rFonts w:cs="宋体"/>
        </w:rPr>
        <w:t>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0" w:firstLineChars="200"/>
        <w:rPr>
          <w:rFonts w:ascii="宋体"/>
          <w:sz w:val="24"/>
          <w:lang w:val="zh-CN"/>
        </w:rPr>
      </w:pPr>
      <w:r>
        <w:rPr>
          <w:rFonts w:hint="eastAsia" w:ascii="宋体"/>
          <w:sz w:val="24"/>
        </w:rPr>
        <w:t>（一）</w:t>
      </w:r>
      <w:r>
        <w:rPr>
          <w:rFonts w:hint="eastAsia" w:ascii="宋体"/>
          <w:sz w:val="24"/>
          <w:lang w:val="zh-CN"/>
        </w:rPr>
        <w:t>政府采购政策及优惠：</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6</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和《产品适用政府采购政策情况表》，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color w:val="auto"/>
          <w:sz w:val="24"/>
        </w:rPr>
        <w:t>1</w:t>
      </w:r>
      <w:r>
        <w:rPr>
          <w:rFonts w:hint="eastAsia" w:ascii="宋体"/>
          <w:color w:val="auto"/>
          <w:sz w:val="24"/>
          <w:lang w:val="en-US" w:eastAsia="zh-CN"/>
        </w:rPr>
        <w:t>6</w:t>
      </w:r>
      <w:r>
        <w:rPr>
          <w:rFonts w:hint="eastAsia" w:ascii="宋体"/>
          <w:sz w:val="24"/>
          <w:lang w:val="zh-CN"/>
        </w:rPr>
        <w:t>）和《产品适用政府采购政策情况表》，视同小型、微型企业，享受小微企业政府采购优惠政策。</w:t>
      </w:r>
    </w:p>
    <w:p>
      <w:pPr>
        <w:pStyle w:val="8"/>
        <w:spacing w:line="360" w:lineRule="auto"/>
        <w:ind w:firstLine="480" w:firstLineChars="200"/>
        <w:jc w:val="both"/>
        <w:rPr>
          <w:rFonts w:ascii="宋体" w:hAnsi="宋体" w:cs="宋体"/>
          <w:sz w:val="24"/>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8"/>
        <w:spacing w:line="360" w:lineRule="auto"/>
        <w:ind w:firstLine="480" w:firstLineChars="200"/>
        <w:jc w:val="both"/>
        <w:rPr>
          <w:lang w:val="zh-CN"/>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0" w:firstLineChars="200"/>
        <w:rPr>
          <w:lang w:val="zh-CN"/>
        </w:rPr>
      </w:pPr>
      <w:r>
        <w:rPr>
          <w:rFonts w:hint="eastAsia" w:ascii="宋体"/>
          <w:sz w:val="24"/>
        </w:rPr>
        <w:t>（二）价格扣除相关要求：</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对于非联合体投标，小型微型企业产品的价格给予</w:t>
      </w:r>
      <w:r>
        <w:rPr>
          <w:rFonts w:hint="eastAsia" w:ascii="宋体"/>
          <w:b/>
          <w:bCs/>
          <w:sz w:val="24"/>
          <w:u w:val="single"/>
          <w:lang w:val="zh-CN"/>
        </w:rPr>
        <w:t xml:space="preserve"> </w:t>
      </w:r>
      <w:r>
        <w:rPr>
          <w:rFonts w:hint="eastAsia" w:ascii="宋体"/>
          <w:b/>
          <w:bCs/>
          <w:sz w:val="24"/>
          <w:u w:val="single"/>
          <w:lang w:val="en-US" w:eastAsia="zh-CN"/>
        </w:rPr>
        <w:t>1</w:t>
      </w:r>
      <w:r>
        <w:rPr>
          <w:rFonts w:hint="eastAsia" w:ascii="宋体"/>
          <w:b/>
          <w:bCs/>
          <w:sz w:val="24"/>
          <w:u w:val="single"/>
        </w:rPr>
        <w:t>0</w:t>
      </w:r>
      <w:r>
        <w:rPr>
          <w:rFonts w:hint="eastAsia" w:ascii="宋体"/>
          <w:b/>
          <w:bCs/>
          <w:sz w:val="24"/>
          <w:u w:val="single"/>
          <w:lang w:val="zh-CN"/>
        </w:rPr>
        <w:t xml:space="preserve"> %</w:t>
      </w:r>
      <w:r>
        <w:rPr>
          <w:rFonts w:hint="eastAsia" w:ascii="宋体"/>
          <w:sz w:val="24"/>
          <w:lang w:val="zh-CN"/>
        </w:rPr>
        <w:t>的扣除，用扣除后的价格计算评标基准价和投标报价。同一投标人，小微企业、监狱企业、残疾人福利性单位价格扣除优惠只享受一次，不得重复享受。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，采购人或采购组织机构依法对投标人的资格进行审查，对审查发现无效的进行必要的询标，</w:t>
      </w:r>
      <w:r>
        <w:rPr>
          <w:rFonts w:hint="eastAsia"/>
          <w:sz w:val="24"/>
        </w:rPr>
        <w:t>在政采云平台公布</w:t>
      </w:r>
      <w:r>
        <w:rPr>
          <w:rFonts w:asciiTheme="minorEastAsia" w:hAnsiTheme="minorEastAsia" w:eastAsiaTheme="minorEastAsia"/>
          <w:sz w:val="24"/>
        </w:rPr>
        <w:t>无效投标的投标人名单、投标无效的原因。</w:t>
      </w:r>
    </w:p>
    <w:p>
      <w:pPr>
        <w:pStyle w:val="8"/>
        <w:spacing w:line="360" w:lineRule="auto"/>
        <w:ind w:firstLine="480" w:firstLineChars="200"/>
        <w:jc w:val="both"/>
        <w:rPr>
          <w:rFonts w:asciiTheme="minorEastAsia" w:hAnsiTheme="minorEastAsia" w:eastAsiaTheme="minorEastAsia"/>
          <w:sz w:val="24"/>
        </w:rPr>
      </w:pPr>
    </w:p>
    <w:tbl>
      <w:tblPr>
        <w:tblStyle w:val="20"/>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vAlign w:val="center"/>
          </w:tcPr>
          <w:p>
            <w:pPr>
              <w:pStyle w:val="46"/>
              <w:spacing w:before="1" w:line="360" w:lineRule="auto"/>
              <w:ind w:right="146"/>
              <w:rPr>
                <w:szCs w:val="21"/>
              </w:rPr>
            </w:pPr>
            <w:r>
              <w:rPr>
                <w:rFonts w:hint="eastAsia"/>
                <w:szCs w:val="21"/>
              </w:rPr>
              <w:t>具有独立承担民事责任的能力</w:t>
            </w:r>
          </w:p>
        </w:tc>
        <w:tc>
          <w:tcPr>
            <w:tcW w:w="7423" w:type="dxa"/>
            <w:vAlign w:val="center"/>
          </w:tcPr>
          <w:p>
            <w:pPr>
              <w:pStyle w:val="46"/>
              <w:spacing w:line="360" w:lineRule="auto"/>
              <w:ind w:right="63" w:firstLine="420" w:firstLineChars="200"/>
              <w:rPr>
                <w:szCs w:val="21"/>
              </w:rPr>
            </w:pPr>
            <w:r>
              <w:rPr>
                <w:rFonts w:hint="eastAsia"/>
                <w:szCs w:val="21"/>
              </w:rPr>
              <w:t>在中华人民共和国境内注册的法人或其他组织或自然人，投标时提交有效的营业执照（或事业法人登记证或身份证等相关证明）副本扫描件。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694" w:type="dxa"/>
            <w:shd w:val="clear" w:color="auto" w:fill="F6F6F6"/>
            <w:vAlign w:val="center"/>
          </w:tcPr>
          <w:p>
            <w:pPr>
              <w:pStyle w:val="46"/>
              <w:spacing w:before="1" w:line="360" w:lineRule="auto"/>
              <w:ind w:right="146"/>
              <w:rPr>
                <w:szCs w:val="21"/>
              </w:rPr>
            </w:pPr>
            <w:r>
              <w:rPr>
                <w:rFonts w:hint="eastAsia"/>
                <w:szCs w:val="21"/>
              </w:rPr>
              <w:t>有依法缴纳税收和社会保障资金的良好记录</w:t>
            </w:r>
          </w:p>
        </w:tc>
        <w:tc>
          <w:tcPr>
            <w:tcW w:w="7423" w:type="dxa"/>
            <w:shd w:val="clear" w:color="auto" w:fill="F6F6F6"/>
            <w:vAlign w:val="center"/>
          </w:tcPr>
          <w:p>
            <w:pPr>
              <w:pStyle w:val="46"/>
              <w:spacing w:line="360" w:lineRule="auto"/>
              <w:ind w:right="63" w:firstLine="420" w:firstLineChars="200"/>
              <w:rPr>
                <w:szCs w:val="21"/>
              </w:rPr>
            </w:pPr>
            <w:r>
              <w:rPr>
                <w:rFonts w:hint="eastAsia"/>
                <w:szCs w:val="21"/>
              </w:rPr>
              <w:t>提供投标截止日前6个月内任意1个月依法缴纳税收和社会保障资金的相关材料。如依法免税或不需要缴纳社会保障资金的，提供相应证明材料。</w:t>
            </w:r>
            <w:r>
              <w:rPr>
                <w:rFonts w:hint="eastAsia"/>
                <w:lang w:eastAsia="zh-CN"/>
              </w:rPr>
              <w:t>（中小企业可以以书面承诺代替相关证明材料）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vAlign w:val="center"/>
          </w:tcPr>
          <w:p>
            <w:pPr>
              <w:pStyle w:val="46"/>
              <w:spacing w:before="1" w:line="360" w:lineRule="auto"/>
              <w:ind w:right="146"/>
              <w:rPr>
                <w:szCs w:val="21"/>
              </w:rPr>
            </w:pPr>
            <w:r>
              <w:rPr>
                <w:rFonts w:hint="eastAsia"/>
                <w:szCs w:val="21"/>
              </w:rPr>
              <w:t>具有良好的商业信誉和健全的财务会计制度</w:t>
            </w:r>
          </w:p>
        </w:tc>
        <w:tc>
          <w:tcPr>
            <w:tcW w:w="7423" w:type="dxa"/>
            <w:vAlign w:val="center"/>
          </w:tcPr>
          <w:p>
            <w:pPr>
              <w:pStyle w:val="46"/>
              <w:spacing w:before="117" w:line="360" w:lineRule="auto"/>
              <w:ind w:firstLine="420" w:firstLineChars="200"/>
              <w:rPr>
                <w:szCs w:val="21"/>
              </w:rPr>
            </w:pPr>
            <w:r>
              <w:rPr>
                <w:rFonts w:hint="eastAsia"/>
                <w:szCs w:val="21"/>
              </w:rPr>
              <w:t>提供上一年度财务状况报告或基本开户行出具的资信证明。</w:t>
            </w:r>
            <w:r>
              <w:rPr>
                <w:rFonts w:hint="eastAsia"/>
                <w:lang w:eastAsia="zh-CN"/>
              </w:rPr>
              <w:t>（中小企业可以以书面承诺代替相关证明材料）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F6F6F6"/>
            <w:vAlign w:val="center"/>
          </w:tcPr>
          <w:p>
            <w:pPr>
              <w:pStyle w:val="46"/>
              <w:spacing w:before="1" w:line="360" w:lineRule="auto"/>
              <w:ind w:right="146"/>
              <w:rPr>
                <w:szCs w:val="21"/>
              </w:rPr>
            </w:pPr>
            <w:r>
              <w:rPr>
                <w:rFonts w:hint="eastAsia"/>
                <w:szCs w:val="21"/>
              </w:rPr>
              <w:t>履行合同所必需的设备和专业技术能力</w:t>
            </w:r>
          </w:p>
        </w:tc>
        <w:tc>
          <w:tcPr>
            <w:tcW w:w="7423" w:type="dxa"/>
            <w:shd w:val="clear" w:color="auto" w:fill="F6F6F6"/>
            <w:vAlign w:val="center"/>
          </w:tcPr>
          <w:p>
            <w:pPr>
              <w:pStyle w:val="46"/>
              <w:spacing w:before="1" w:line="360" w:lineRule="auto"/>
              <w:ind w:firstLine="420" w:firstLineChars="200"/>
              <w:rPr>
                <w:szCs w:val="21"/>
              </w:rPr>
            </w:pPr>
            <w:r>
              <w:rPr>
                <w:rFonts w:hint="eastAsia"/>
                <w:szCs w:val="21"/>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694" w:type="dxa"/>
            <w:vAlign w:val="center"/>
          </w:tcPr>
          <w:p>
            <w:pPr>
              <w:pStyle w:val="46"/>
              <w:spacing w:line="360" w:lineRule="auto"/>
              <w:ind w:right="146"/>
              <w:rPr>
                <w:szCs w:val="21"/>
              </w:rPr>
            </w:pPr>
            <w:r>
              <w:rPr>
                <w:rFonts w:hint="eastAsia"/>
                <w:szCs w:val="21"/>
              </w:rPr>
              <w:t>参加采购活动前3年内，在经营活动中没有重大违法记录</w:t>
            </w:r>
          </w:p>
        </w:tc>
        <w:tc>
          <w:tcPr>
            <w:tcW w:w="7423" w:type="dxa"/>
            <w:vAlign w:val="center"/>
          </w:tcPr>
          <w:p>
            <w:pPr>
              <w:pStyle w:val="46"/>
              <w:spacing w:before="48" w:line="360" w:lineRule="auto"/>
              <w:ind w:right="63" w:firstLine="420" w:firstLineChars="200"/>
              <w:rPr>
                <w:szCs w:val="21"/>
              </w:rPr>
            </w:pPr>
            <w:r>
              <w:rPr>
                <w:rFonts w:hint="eastAsia"/>
                <w:szCs w:val="21"/>
              </w:rPr>
              <w:t>参照投标声明书相关承诺内容。</w:t>
            </w:r>
            <w:r>
              <w:rPr>
                <w:rFonts w:hint="eastAsia"/>
                <w:lang w:eastAsia="zh-CN"/>
              </w:rPr>
              <w:t>（中小企业可以以书面承诺代替相关证明材料）</w:t>
            </w:r>
            <w:r>
              <w:rPr>
                <w:rFonts w:hint="eastAsia"/>
                <w:lang w:val="en-US" w:eastAsia="zh-CN"/>
              </w:rPr>
              <w:t xml:space="preserve"> </w:t>
            </w:r>
            <w:r>
              <w:rPr>
                <w:rFonts w:hint="eastAsia"/>
                <w:szCs w:val="21"/>
              </w:rPr>
              <w:t>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1694" w:type="dxa"/>
            <w:shd w:val="clear" w:color="auto" w:fill="F6F6F6"/>
            <w:vAlign w:val="center"/>
          </w:tcPr>
          <w:p>
            <w:pPr>
              <w:pStyle w:val="46"/>
              <w:spacing w:line="360" w:lineRule="auto"/>
              <w:ind w:left="64"/>
              <w:rPr>
                <w:szCs w:val="21"/>
              </w:rPr>
            </w:pPr>
            <w:r>
              <w:rPr>
                <w:rFonts w:hint="eastAsia"/>
                <w:szCs w:val="21"/>
              </w:rPr>
              <w:t>信用记录</w:t>
            </w:r>
          </w:p>
        </w:tc>
        <w:tc>
          <w:tcPr>
            <w:tcW w:w="7423" w:type="dxa"/>
            <w:shd w:val="clear" w:color="auto" w:fill="F6F6F6"/>
            <w:vAlign w:val="center"/>
          </w:tcPr>
          <w:p>
            <w:pPr>
              <w:ind w:firstLine="420" w:firstLineChars="200"/>
              <w:rPr>
                <w:rFonts w:ascii="宋体" w:hAnsi="宋体" w:cs="宋体"/>
                <w:szCs w:val="21"/>
              </w:rPr>
            </w:pPr>
            <w:r>
              <w:rPr>
                <w:rFonts w:hint="eastAsia"/>
              </w:rPr>
              <w:t>1.</w:t>
            </w:r>
            <w:r>
              <w:t>截止时点：</w:t>
            </w:r>
            <w:r>
              <w:rPr>
                <w:rFonts w:hint="eastAsia"/>
              </w:rPr>
              <w:t>开标后评标前</w:t>
            </w:r>
            <w:r>
              <w:t>。</w:t>
            </w:r>
          </w:p>
          <w:p>
            <w:pPr>
              <w:ind w:firstLine="420" w:firstLineChars="200"/>
              <w:rPr>
                <w:rFonts w:ascii="宋体" w:hAnsi="宋体" w:cs="宋体"/>
                <w:szCs w:val="21"/>
              </w:rPr>
            </w:pPr>
            <w:r>
              <w:rPr>
                <w:rFonts w:hint="eastAsia"/>
              </w:rPr>
              <w:t>2.</w:t>
            </w:r>
            <w:r>
              <w:t>信用信息查询记录和证据留存的具体方式：由采购组织机构在规定查询时间内打印信用信息查询记录并归入项目档案。</w:t>
            </w:r>
            <w:r>
              <w:br w:type="textWrapping"/>
            </w:r>
            <w:r>
              <w:rPr>
                <w:rFonts w:hint="eastAsia"/>
              </w:rPr>
              <w:t xml:space="preserve">    3.</w:t>
            </w:r>
            <w:r>
              <w:t>使用规则</w:t>
            </w:r>
            <w:r>
              <w:rPr>
                <w:rFonts w:hint="eastAsia"/>
              </w:rPr>
              <w:t>：投标人</w:t>
            </w:r>
            <w:r>
              <w:t>未被列入“信用中国”失信被执行人或重大税收违法案件当事人名单；</w:t>
            </w:r>
            <w:r>
              <w:rPr>
                <w:rFonts w:hint="eastAsia"/>
              </w:rPr>
              <w:t>未</w:t>
            </w:r>
            <w:r>
              <w:t>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694" w:type="dxa"/>
            <w:vAlign w:val="center"/>
          </w:tcPr>
          <w:p>
            <w:pPr>
              <w:pStyle w:val="46"/>
              <w:spacing w:line="360" w:lineRule="auto"/>
              <w:ind w:right="146"/>
              <w:rPr>
                <w:szCs w:val="21"/>
              </w:rPr>
            </w:pPr>
            <w:r>
              <w:rPr>
                <w:rFonts w:hint="eastAsia"/>
                <w:szCs w:val="21"/>
              </w:rPr>
              <w:t>必须符合法律、行政法规规定的其他条件</w:t>
            </w:r>
          </w:p>
        </w:tc>
        <w:tc>
          <w:tcPr>
            <w:tcW w:w="7423" w:type="dxa"/>
            <w:vAlign w:val="center"/>
          </w:tcPr>
          <w:p>
            <w:pPr>
              <w:pStyle w:val="46"/>
              <w:spacing w:before="48" w:line="360" w:lineRule="auto"/>
              <w:ind w:right="63" w:firstLine="420" w:firstLineChars="200"/>
              <w:rPr>
                <w:szCs w:val="21"/>
              </w:rPr>
            </w:pPr>
            <w:r>
              <w:rPr>
                <w:rFonts w:hint="eastAsia"/>
                <w:szCs w:val="21"/>
              </w:rPr>
              <w:t>1.单位负责人为同一人或者存在直接控股、管理关系的不同供应商，不得同时参加本项目投标。</w:t>
            </w:r>
          </w:p>
          <w:p>
            <w:pPr>
              <w:pStyle w:val="46"/>
              <w:spacing w:before="48" w:line="360" w:lineRule="auto"/>
              <w:ind w:right="63" w:firstLine="420" w:firstLineChars="200"/>
              <w:rPr>
                <w:szCs w:val="21"/>
              </w:rPr>
            </w:pPr>
            <w:r>
              <w:rPr>
                <w:rFonts w:hint="eastAsia"/>
                <w:szCs w:val="21"/>
              </w:rPr>
              <w:t>2.为本项目提供整体设计、规范编制或者项目管理、监理、检测等服务的供应商，不得再参与本项目投标。</w:t>
            </w:r>
          </w:p>
          <w:p>
            <w:pPr>
              <w:pStyle w:val="46"/>
              <w:spacing w:before="48" w:line="360" w:lineRule="auto"/>
              <w:ind w:right="63" w:firstLine="420" w:firstLineChars="200"/>
              <w:rPr>
                <w:szCs w:val="21"/>
              </w:rPr>
            </w:pPr>
            <w:r>
              <w:rPr>
                <w:rFonts w:hint="eastAsia"/>
                <w:szCs w:val="21"/>
              </w:rPr>
              <w:t>3.投标（报价）函相关承诺要求内容。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694" w:type="dxa"/>
            <w:vAlign w:val="center"/>
          </w:tcPr>
          <w:p>
            <w:pPr>
              <w:pStyle w:val="46"/>
              <w:spacing w:line="360" w:lineRule="auto"/>
              <w:ind w:right="146" w:rightChars="0"/>
              <w:rPr>
                <w:rFonts w:hint="eastAsia"/>
                <w:color w:val="auto"/>
                <w:szCs w:val="21"/>
              </w:rPr>
            </w:pPr>
            <w:r>
              <w:rPr>
                <w:rFonts w:hint="eastAsia"/>
                <w:color w:val="auto"/>
                <w:szCs w:val="21"/>
              </w:rPr>
              <w:t>法定代表人/负责人资格证明书及授权委托书</w:t>
            </w:r>
          </w:p>
        </w:tc>
        <w:tc>
          <w:tcPr>
            <w:tcW w:w="7423" w:type="dxa"/>
            <w:vAlign w:val="center"/>
          </w:tcPr>
          <w:p>
            <w:pPr>
              <w:pStyle w:val="46"/>
              <w:spacing w:before="48" w:line="360" w:lineRule="auto"/>
              <w:rPr>
                <w:rFonts w:hint="eastAsia"/>
                <w:color w:val="auto"/>
                <w:szCs w:val="21"/>
              </w:rPr>
            </w:pPr>
            <w:r>
              <w:rPr>
                <w:rFonts w:hint="eastAsia"/>
                <w:color w:val="auto"/>
                <w:szCs w:val="21"/>
              </w:rPr>
              <w:t>法定代表人/负责人资格证明书及授权委托书，按对应格式文件签署、盖章。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694" w:type="dxa"/>
            <w:shd w:val="clear" w:color="auto" w:fill="F6F6F6"/>
            <w:vAlign w:val="center"/>
          </w:tcPr>
          <w:p>
            <w:pPr>
              <w:pStyle w:val="46"/>
              <w:spacing w:before="48" w:line="360" w:lineRule="auto"/>
              <w:ind w:left="64"/>
              <w:rPr>
                <w:szCs w:val="21"/>
              </w:rPr>
            </w:pPr>
            <w:r>
              <w:rPr>
                <w:rFonts w:hint="eastAsia"/>
                <w:szCs w:val="21"/>
              </w:rPr>
              <w:t>联合体投标</w:t>
            </w:r>
          </w:p>
        </w:tc>
        <w:tc>
          <w:tcPr>
            <w:tcW w:w="7423" w:type="dxa"/>
            <w:shd w:val="clear" w:color="auto" w:fill="F6F6F6"/>
            <w:vAlign w:val="center"/>
          </w:tcPr>
          <w:p>
            <w:pPr>
              <w:pStyle w:val="46"/>
              <w:spacing w:before="48" w:line="360" w:lineRule="auto"/>
              <w:ind w:left="64" w:firstLine="420" w:firstLineChars="200"/>
              <w:rPr>
                <w:rFonts w:hint="eastAsia"/>
                <w:color w:val="FF0000"/>
                <w:szCs w:val="21"/>
              </w:rPr>
            </w:pPr>
            <w:r>
              <w:rPr>
                <w:rFonts w:hint="eastAsia"/>
                <w:color w:val="auto"/>
                <w:szCs w:val="21"/>
              </w:rPr>
              <w:t>本项目</w:t>
            </w:r>
            <w:r>
              <w:rPr>
                <w:rFonts w:hint="eastAsia"/>
                <w:color w:val="auto"/>
                <w:szCs w:val="21"/>
                <w:lang w:eastAsia="zh-CN"/>
              </w:rPr>
              <w:t>不</w:t>
            </w:r>
            <w:r>
              <w:rPr>
                <w:rFonts w:hint="eastAsia"/>
                <w:color w:val="auto"/>
                <w:szCs w:val="21"/>
              </w:rPr>
              <w:t>接受联合体投标。</w:t>
            </w: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评标委员会应当对符合资格的投标人的投标文件进行符合性审查，以确定其是否满足招标文件的实质性要求，对审查发现无效的进行必要的询标，</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860" w:type="dxa"/>
            <w:vAlign w:val="center"/>
          </w:tcPr>
          <w:p>
            <w:pPr>
              <w:pStyle w:val="46"/>
              <w:spacing w:line="360" w:lineRule="auto"/>
              <w:ind w:right="146"/>
              <w:rPr>
                <w:szCs w:val="21"/>
              </w:rPr>
            </w:pPr>
            <w:r>
              <w:rPr>
                <w:rFonts w:hint="eastAsia"/>
                <w:szCs w:val="21"/>
              </w:rPr>
              <w:t>投标文件</w:t>
            </w:r>
          </w:p>
        </w:tc>
        <w:tc>
          <w:tcPr>
            <w:tcW w:w="7476" w:type="dxa"/>
            <w:vAlign w:val="center"/>
          </w:tcPr>
          <w:p>
            <w:pPr>
              <w:pStyle w:val="46"/>
              <w:spacing w:before="48" w:line="360" w:lineRule="auto"/>
              <w:rPr>
                <w:szCs w:val="21"/>
              </w:rPr>
            </w:pPr>
            <w:r>
              <w:rPr>
                <w:rFonts w:hint="eastAsia"/>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860" w:type="dxa"/>
            <w:vAlign w:val="center"/>
          </w:tcPr>
          <w:p>
            <w:pPr>
              <w:pStyle w:val="46"/>
              <w:spacing w:line="360" w:lineRule="auto"/>
              <w:ind w:right="146"/>
              <w:rPr>
                <w:szCs w:val="21"/>
              </w:rPr>
            </w:pPr>
            <w:r>
              <w:rPr>
                <w:rFonts w:hint="eastAsia"/>
                <w:szCs w:val="21"/>
              </w:rPr>
              <w:t>“▲”实质性条款</w:t>
            </w:r>
          </w:p>
        </w:tc>
        <w:tc>
          <w:tcPr>
            <w:tcW w:w="7476" w:type="dxa"/>
            <w:vAlign w:val="center"/>
          </w:tcPr>
          <w:p>
            <w:pPr>
              <w:pStyle w:val="46"/>
              <w:spacing w:before="48" w:line="360" w:lineRule="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860" w:type="dxa"/>
            <w:shd w:val="clear" w:color="auto" w:fill="F6F6F6"/>
            <w:vAlign w:val="center"/>
          </w:tcPr>
          <w:p>
            <w:pPr>
              <w:pStyle w:val="46"/>
              <w:spacing w:line="360" w:lineRule="auto"/>
              <w:ind w:right="146"/>
              <w:rPr>
                <w:szCs w:val="21"/>
              </w:rPr>
            </w:pPr>
            <w:r>
              <w:rPr>
                <w:rFonts w:hint="eastAsia"/>
                <w:szCs w:val="21"/>
              </w:rPr>
              <w:t>串通投标</w:t>
            </w:r>
          </w:p>
        </w:tc>
        <w:tc>
          <w:tcPr>
            <w:tcW w:w="7476" w:type="dxa"/>
            <w:shd w:val="clear" w:color="auto" w:fill="F6F6F6"/>
            <w:vAlign w:val="center"/>
          </w:tcPr>
          <w:p>
            <w:pPr>
              <w:pStyle w:val="46"/>
              <w:spacing w:before="48" w:line="360" w:lineRule="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860" w:type="dxa"/>
            <w:vAlign w:val="center"/>
          </w:tcPr>
          <w:p>
            <w:pPr>
              <w:pStyle w:val="46"/>
              <w:spacing w:line="360" w:lineRule="auto"/>
              <w:ind w:right="146"/>
              <w:rPr>
                <w:szCs w:val="21"/>
              </w:rPr>
            </w:pPr>
            <w:r>
              <w:rPr>
                <w:rFonts w:hint="eastAsia"/>
                <w:szCs w:val="21"/>
              </w:rPr>
              <w:t>附加条件</w:t>
            </w:r>
          </w:p>
        </w:tc>
        <w:tc>
          <w:tcPr>
            <w:tcW w:w="7476" w:type="dxa"/>
            <w:vAlign w:val="center"/>
          </w:tcPr>
          <w:p>
            <w:pPr>
              <w:pStyle w:val="46"/>
              <w:spacing w:before="48" w:line="360" w:lineRule="auto"/>
              <w:rPr>
                <w:szCs w:val="21"/>
              </w:rPr>
            </w:pPr>
            <w:r>
              <w:rPr>
                <w:rFonts w:hint="eastAsia"/>
                <w:szCs w:val="21"/>
              </w:rPr>
              <w:t>投标文件未含有采购人不可接受的附加条件。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860" w:type="dxa"/>
            <w:vAlign w:val="center"/>
          </w:tcPr>
          <w:p>
            <w:pPr>
              <w:pStyle w:val="46"/>
              <w:spacing w:line="360" w:lineRule="auto"/>
              <w:ind w:right="146"/>
              <w:rPr>
                <w:rFonts w:hint="eastAsia" w:eastAsia="宋体"/>
                <w:color w:val="auto"/>
                <w:szCs w:val="21"/>
                <w:lang w:eastAsia="zh-CN"/>
              </w:rPr>
            </w:pPr>
            <w:r>
              <w:rPr>
                <w:rFonts w:hint="eastAsia"/>
                <w:color w:val="auto"/>
                <w:szCs w:val="21"/>
                <w:lang w:eastAsia="zh-CN"/>
              </w:rPr>
              <w:t>报价</w:t>
            </w:r>
          </w:p>
        </w:tc>
        <w:tc>
          <w:tcPr>
            <w:tcW w:w="7476" w:type="dxa"/>
            <w:vAlign w:val="center"/>
          </w:tcPr>
          <w:p>
            <w:pPr>
              <w:pStyle w:val="46"/>
              <w:spacing w:before="48" w:line="360" w:lineRule="auto"/>
              <w:rPr>
                <w:rFonts w:hint="eastAsia"/>
                <w:color w:val="auto"/>
                <w:szCs w:val="21"/>
              </w:rPr>
            </w:pPr>
            <w:r>
              <w:rPr>
                <w:rFonts w:hint="eastAsia"/>
                <w:color w:val="auto"/>
                <w:szCs w:val="21"/>
              </w:rPr>
              <w:t>投标文件报价不超过招标文件中规定的预算金额/最高限价（不得出现投标总报价等其他相关金额）</w:t>
            </w:r>
            <w:r>
              <w:rPr>
                <w:rFonts w:hint="eastAsia"/>
                <w:color w:val="auto"/>
                <w:szCs w:val="21"/>
                <w:lang w:eastAsia="zh-CN"/>
              </w:rPr>
              <w:t>，</w:t>
            </w:r>
            <w:r>
              <w:rPr>
                <w:rFonts w:hint="eastAsia"/>
                <w:color w:val="auto"/>
                <w:szCs w:val="21"/>
              </w:rPr>
              <w:t>提供承诺函（格式自拟）。</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keepNext w:val="0"/>
        <w:keepLines w:val="0"/>
        <w:pageBreakBefore w:val="0"/>
        <w:widowControl w:val="0"/>
        <w:kinsoku/>
        <w:wordWrap/>
        <w:overflowPunct/>
        <w:topLinePunct w:val="0"/>
        <w:autoSpaceDE w:val="0"/>
        <w:autoSpaceDN w:val="0"/>
        <w:bidi w:val="0"/>
        <w:snapToGrid w:val="0"/>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kern w:val="0"/>
          <w:sz w:val="24"/>
          <w:u w:val="single"/>
          <w:lang w:eastAsia="zh-CN"/>
        </w:rPr>
        <w:t>一</w:t>
      </w:r>
      <w:r>
        <w:rPr>
          <w:rFonts w:hint="eastAsia" w:asciiTheme="minorEastAsia" w:hAnsiTheme="minorEastAsia" w:eastAsiaTheme="minorEastAsia"/>
          <w:kern w:val="0"/>
          <w:sz w:val="24"/>
          <w:lang w:eastAsia="zh-CN"/>
        </w:rPr>
        <w:t>至</w:t>
      </w:r>
      <w:r>
        <w:rPr>
          <w:rFonts w:hint="eastAsia" w:asciiTheme="minorEastAsia" w:hAnsiTheme="minorEastAsia" w:eastAsiaTheme="minorEastAsia"/>
          <w:kern w:val="0"/>
          <w:sz w:val="24"/>
          <w:u w:val="single"/>
          <w:lang w:eastAsia="zh-CN"/>
        </w:rPr>
        <w:t>五</w:t>
      </w:r>
      <w:r>
        <w:rPr>
          <w:rFonts w:hint="eastAsia" w:asciiTheme="minorEastAsia" w:hAnsiTheme="minorEastAsia" w:eastAsiaTheme="minorEastAsia"/>
          <w:kern w:val="0"/>
          <w:sz w:val="24"/>
        </w:rPr>
        <w:t>标项项目评标方法为综合评分法，</w:t>
      </w:r>
      <w:r>
        <w:rPr>
          <w:rFonts w:hint="eastAsia" w:asciiTheme="minorEastAsia" w:hAnsiTheme="minorEastAsia" w:eastAsiaTheme="minorEastAsia"/>
          <w:kern w:val="0"/>
          <w:sz w:val="24"/>
          <w:lang w:eastAsia="zh-CN"/>
        </w:rPr>
        <w:t>各标项</w:t>
      </w:r>
      <w:r>
        <w:rPr>
          <w:rFonts w:hint="eastAsia" w:asciiTheme="minorEastAsia" w:hAnsiTheme="minorEastAsia" w:eastAsiaTheme="minorEastAsia"/>
          <w:kern w:val="0"/>
          <w:sz w:val="24"/>
        </w:rPr>
        <w:t>总计</w:t>
      </w:r>
      <w:r>
        <w:rPr>
          <w:rFonts w:hint="eastAsia" w:asciiTheme="minorEastAsia" w:hAnsiTheme="minorEastAsia" w:eastAsiaTheme="minorEastAsia"/>
          <w:kern w:val="0"/>
          <w:sz w:val="24"/>
          <w:lang w:eastAsia="zh-CN"/>
        </w:rPr>
        <w:t>均为</w:t>
      </w:r>
      <w:r>
        <w:rPr>
          <w:rFonts w:hint="eastAsia" w:asciiTheme="minorEastAsia" w:hAnsiTheme="minorEastAsia" w:eastAsiaTheme="minorEastAsia"/>
          <w:kern w:val="0"/>
          <w:sz w:val="24"/>
        </w:rPr>
        <w:t>100分，评标按以下标准及要求进行：</w:t>
      </w: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360" w:lineRule="auto"/>
        <w:ind w:right="85" w:firstLine="482" w:firstLineChars="200"/>
        <w:textAlignment w:val="auto"/>
        <w:rPr>
          <w:rFonts w:ascii="宋体"/>
          <w:b/>
          <w:bCs/>
          <w:sz w:val="24"/>
        </w:rPr>
      </w:pPr>
      <w:r>
        <w:rPr>
          <w:rFonts w:hint="eastAsia" w:ascii="宋体"/>
          <w:b/>
          <w:bCs/>
          <w:sz w:val="24"/>
        </w:rPr>
        <w:t>评分标准</w:t>
      </w:r>
    </w:p>
    <w:p>
      <w:pPr>
        <w:keepNext w:val="0"/>
        <w:keepLines w:val="0"/>
        <w:pageBreakBefore w:val="0"/>
        <w:widowControl w:val="0"/>
        <w:shd w:val="clear" w:color="auto" w:fill="auto"/>
        <w:kinsoku/>
        <w:wordWrap/>
        <w:overflowPunct/>
        <w:topLinePunct w:val="0"/>
        <w:bidi w:val="0"/>
        <w:snapToGrid w:val="0"/>
        <w:spacing w:line="360" w:lineRule="auto"/>
        <w:ind w:firstLine="482" w:firstLineChars="200"/>
        <w:textAlignment w:val="auto"/>
        <w:rPr>
          <w:rFonts w:hint="eastAsia" w:ascii="宋体" w:hAnsi="宋体" w:eastAsia="宋体" w:cs="宋体"/>
          <w:b/>
          <w:bCs/>
          <w:color w:val="000000"/>
          <w:sz w:val="24"/>
          <w:szCs w:val="32"/>
          <w:highlight w:val="none"/>
          <w:lang w:val="en-US" w:eastAsia="zh-CN"/>
        </w:rPr>
      </w:pPr>
      <w:r>
        <w:rPr>
          <w:rFonts w:hint="eastAsia" w:ascii="宋体" w:hAnsi="宋体" w:eastAsia="宋体" w:cs="宋体"/>
          <w:b/>
          <w:bCs/>
          <w:color w:val="000000"/>
          <w:sz w:val="24"/>
          <w:szCs w:val="32"/>
          <w:highlight w:val="none"/>
          <w:lang w:val="en-US" w:eastAsia="zh-CN"/>
        </w:rPr>
        <w:t>标项一、标项二：</w:t>
      </w:r>
    </w:p>
    <w:tbl>
      <w:tblPr>
        <w:tblStyle w:val="20"/>
        <w:tblW w:w="9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21"/>
        <w:gridCol w:w="726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评分项目</w:t>
            </w:r>
          </w:p>
        </w:tc>
        <w:tc>
          <w:tcPr>
            <w:tcW w:w="726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评审细则</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服务需求响应</w:t>
            </w:r>
          </w:p>
        </w:tc>
        <w:tc>
          <w:tcPr>
            <w:tcW w:w="726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依据标书</w:t>
            </w:r>
            <w:r>
              <w:rPr>
                <w:rFonts w:hint="eastAsia" w:ascii="宋体" w:hAnsi="宋体" w:eastAsia="宋体" w:cs="宋体"/>
                <w:color w:val="auto"/>
                <w:sz w:val="21"/>
                <w:szCs w:val="21"/>
                <w:highlight w:val="none"/>
                <w:lang w:eastAsia="zh-CN"/>
              </w:rPr>
              <w:t>第三章中四、服务需求</w:t>
            </w:r>
            <w:r>
              <w:rPr>
                <w:rFonts w:hint="eastAsia" w:ascii="宋体" w:hAnsi="宋体" w:eastAsia="宋体" w:cs="宋体"/>
                <w:color w:val="auto"/>
                <w:sz w:val="21"/>
                <w:szCs w:val="21"/>
                <w:highlight w:val="none"/>
              </w:rPr>
              <w:t>里的2.2、2.3内容，</w:t>
            </w:r>
            <w:r>
              <w:rPr>
                <w:rFonts w:hint="eastAsia" w:ascii="宋体" w:hAnsi="宋体" w:eastAsia="宋体" w:cs="宋体"/>
                <w:color w:val="auto"/>
                <w:sz w:val="21"/>
                <w:szCs w:val="21"/>
                <w:highlight w:val="none"/>
                <w:lang w:val="en-US" w:eastAsia="zh-CN"/>
              </w:rPr>
              <w:t>结合</w:t>
            </w:r>
            <w:r>
              <w:rPr>
                <w:rFonts w:hint="eastAsia" w:ascii="宋体" w:hAnsi="宋体" w:eastAsia="宋体" w:cs="宋体"/>
                <w:color w:val="auto"/>
                <w:sz w:val="21"/>
                <w:szCs w:val="21"/>
                <w:highlight w:val="none"/>
              </w:rPr>
              <w:t>投标人提供的服务需求响应情况进行评审：完全满足招标要求得2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分，每项偏离扣2分。基本分扣完为止。</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0-2</w:t>
            </w:r>
            <w:r>
              <w:rPr>
                <w:rFonts w:hint="eastAsia" w:ascii="宋体" w:hAnsi="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121" w:type="dxa"/>
            <w:noWrap/>
            <w:vAlign w:val="center"/>
          </w:tcPr>
          <w:p>
            <w:pPr>
              <w:keepNext w:val="0"/>
              <w:keepLines w:val="0"/>
              <w:pageBreakBefore w:val="0"/>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体系认证</w:t>
            </w:r>
          </w:p>
        </w:tc>
        <w:tc>
          <w:tcPr>
            <w:tcW w:w="7264" w:type="dxa"/>
            <w:noWrap/>
            <w:vAlign w:val="center"/>
          </w:tcPr>
          <w:p>
            <w:pPr>
              <w:keepNext w:val="0"/>
              <w:keepLines w:val="0"/>
              <w:pageBreakBefore w:val="0"/>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投标人具有有效的ISO9001质量管理体系认证、ISO14001环境管理体系认证、OHSAS18001（GB/T2800)</w:t>
            </w:r>
            <w:r>
              <w:rPr>
                <w:rFonts w:hint="eastAsia" w:ascii="宋体" w:hAnsi="宋体" w:eastAsia="宋体" w:cs="宋体"/>
                <w:color w:val="auto"/>
                <w:sz w:val="21"/>
                <w:szCs w:val="21"/>
              </w:rPr>
              <w:t>或</w:t>
            </w:r>
            <w:r>
              <w:rPr>
                <w:rFonts w:hint="eastAsia" w:ascii="宋体" w:hAnsi="宋体" w:eastAsia="宋体" w:cs="宋体"/>
                <w:color w:val="000000"/>
                <w:sz w:val="21"/>
                <w:szCs w:val="21"/>
              </w:rPr>
              <w:t>ISO45001（GB/T45001)职业健康安全管理体系认证，ISO 20000信息技术服务管理体系认证、ISO27001信息安全管理体系认证，全部具备的得5分，每少一个扣1分，扣完为止。</w:t>
            </w:r>
          </w:p>
          <w:p>
            <w:pPr>
              <w:keepNext w:val="0"/>
              <w:keepLines w:val="0"/>
              <w:pageBreakBefore w:val="0"/>
              <w:kinsoku/>
              <w:wordWrap/>
              <w:overflowPunct/>
              <w:topLinePunct w:val="0"/>
              <w:autoSpaceDE/>
              <w:autoSpaceDN/>
              <w:bidi w:val="0"/>
              <w:adjustRightInd/>
              <w:snapToGrid w:val="0"/>
              <w:spacing w:line="348" w:lineRule="auto"/>
              <w:textAlignment w:val="auto"/>
              <w:rPr>
                <w:rFonts w:hint="eastAsia" w:ascii="宋体" w:hAnsi="宋体" w:eastAsia="宋体" w:cs="宋体"/>
                <w:sz w:val="21"/>
                <w:szCs w:val="21"/>
              </w:rPr>
            </w:pPr>
            <w:r>
              <w:rPr>
                <w:rFonts w:hint="eastAsia" w:ascii="宋体" w:hAnsi="宋体" w:eastAsia="宋体" w:cs="宋体"/>
                <w:color w:val="000000"/>
                <w:sz w:val="21"/>
                <w:szCs w:val="21"/>
              </w:rPr>
              <w:t>注：须提供证明材料，未提供不得分。</w:t>
            </w:r>
          </w:p>
        </w:tc>
        <w:tc>
          <w:tcPr>
            <w:tcW w:w="670" w:type="dxa"/>
            <w:noWrap/>
            <w:vAlign w:val="center"/>
          </w:tcPr>
          <w:p>
            <w:pPr>
              <w:keepNext w:val="0"/>
              <w:keepLines w:val="0"/>
              <w:pageBreakBefore w:val="0"/>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企业服务能力</w:t>
            </w:r>
          </w:p>
        </w:tc>
        <w:tc>
          <w:tcPr>
            <w:tcW w:w="7264" w:type="dxa"/>
            <w:noWrap/>
            <w:vAlign w:val="center"/>
          </w:tcPr>
          <w:p>
            <w:pPr>
              <w:keepNext w:val="0"/>
              <w:keepLines w:val="0"/>
              <w:pageBreakBefore w:val="0"/>
              <w:widowControl w:val="0"/>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rPr>
              <w:t>（1）具有</w:t>
            </w:r>
            <w:r>
              <w:rPr>
                <w:rFonts w:hint="eastAsia" w:ascii="宋体" w:hAnsi="宋体" w:eastAsia="宋体" w:cs="宋体"/>
                <w:color w:val="000000"/>
                <w:sz w:val="21"/>
                <w:szCs w:val="21"/>
                <w:lang w:val="zh-CN"/>
              </w:rPr>
              <w:t>环境空气连续自动监测系统运营服务认证证书二级以上的得3分，没有不得分。</w:t>
            </w:r>
          </w:p>
          <w:p>
            <w:pPr>
              <w:keepNext w:val="0"/>
              <w:keepLines w:val="0"/>
              <w:pageBreakBefore w:val="0"/>
              <w:widowControl w:val="0"/>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（2）投标人自有或具有合作协议的CMA计量认证实验室,且检测能力覆盖环境空气常规6参数和VOCs的，得3分，每少一个扣0.5分，扣完为止。</w:t>
            </w:r>
          </w:p>
          <w:p>
            <w:pPr>
              <w:keepNext w:val="0"/>
              <w:keepLines w:val="0"/>
              <w:pageBreakBefore w:val="0"/>
              <w:widowControl w:val="0"/>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（3）投标人具有商品售后服务评价体系五星级认证证书（认证范围包括环保监测仪器的售后服务）的得3分，没有或认证内容不符的不得分。</w:t>
            </w:r>
          </w:p>
          <w:p>
            <w:pPr>
              <w:keepNext w:val="0"/>
              <w:keepLines w:val="0"/>
              <w:pageBreakBefore w:val="0"/>
              <w:widowControl w:val="0"/>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注：须提供相关证明文件，未提供不得分。</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同类业绩</w:t>
            </w:r>
          </w:p>
        </w:tc>
        <w:tc>
          <w:tcPr>
            <w:tcW w:w="7264" w:type="dxa"/>
            <w:noWrap/>
            <w:vAlign w:val="top"/>
          </w:tcPr>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投标人自</w:t>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000000"/>
                <w:sz w:val="21"/>
                <w:szCs w:val="21"/>
                <w:highlight w:val="none"/>
              </w:rPr>
              <w:t>年1月1日以来承担过</w:t>
            </w:r>
            <w:r>
              <w:rPr>
                <w:rFonts w:hint="eastAsia" w:ascii="宋体" w:hAnsi="宋体" w:eastAsia="宋体" w:cs="宋体"/>
                <w:color w:val="auto"/>
                <w:sz w:val="21"/>
                <w:szCs w:val="21"/>
                <w:lang w:val="zh-CN"/>
              </w:rPr>
              <w:t>环境空气连续自动监测系统运维</w:t>
            </w:r>
            <w:r>
              <w:rPr>
                <w:rFonts w:hint="eastAsia" w:ascii="宋体" w:hAnsi="宋体" w:cs="宋体"/>
                <w:color w:val="auto"/>
                <w:sz w:val="21"/>
                <w:szCs w:val="21"/>
                <w:highlight w:val="none"/>
                <w:lang w:eastAsia="zh-CN"/>
              </w:rPr>
              <w:t>类似</w:t>
            </w:r>
            <w:r>
              <w:rPr>
                <w:rFonts w:hint="eastAsia" w:ascii="宋体" w:hAnsi="宋体" w:eastAsia="宋体" w:cs="宋体"/>
                <w:color w:val="000000"/>
                <w:sz w:val="21"/>
                <w:szCs w:val="21"/>
                <w:highlight w:val="none"/>
              </w:rPr>
              <w:t>成功案例的，每个项目得0.</w:t>
            </w:r>
            <w:r>
              <w:rPr>
                <w:rFonts w:hint="eastAsia" w:ascii="宋体" w:hAnsi="宋体" w:eastAsia="宋体" w:cs="宋体"/>
                <w:color w:val="000000"/>
                <w:sz w:val="21"/>
                <w:szCs w:val="21"/>
                <w:highlight w:val="none"/>
                <w:lang w:val="en-US" w:eastAsia="zh-CN"/>
              </w:rPr>
              <w:t>25</w:t>
            </w:r>
            <w:r>
              <w:rPr>
                <w:rFonts w:hint="eastAsia" w:ascii="宋体" w:hAnsi="宋体" w:eastAsia="宋体" w:cs="宋体"/>
                <w:color w:val="000000"/>
                <w:sz w:val="21"/>
                <w:szCs w:val="21"/>
                <w:highlight w:val="none"/>
              </w:rPr>
              <w:t>分，本项最高得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000000"/>
                <w:sz w:val="21"/>
                <w:szCs w:val="21"/>
                <w:highlight w:val="none"/>
              </w:rPr>
              <w:t>分。（以合同签订时间为准，须同时提供合同及中标通知书</w:t>
            </w:r>
            <w:r>
              <w:rPr>
                <w:rFonts w:hint="eastAsia" w:ascii="宋体" w:hAnsi="宋体" w:eastAsia="宋体" w:cs="宋体"/>
                <w:color w:val="auto"/>
                <w:sz w:val="21"/>
                <w:szCs w:val="21"/>
                <w:highlight w:val="none"/>
              </w:rPr>
              <w:t>）注：相同站点不同年份的运维业绩不重复计算</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2"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5</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项目实施方案</w:t>
            </w:r>
          </w:p>
        </w:tc>
        <w:tc>
          <w:tcPr>
            <w:tcW w:w="7264"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项目了解程度（0-</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分）：对本项目各站的熟悉了解程度，充分结合本项目提出当前各站运维存在的问题和应对措施；</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投标人对项目重点、难点的把握精准，解决方案便捷有效的给</w:t>
            </w:r>
            <w:r>
              <w:rPr>
                <w:rFonts w:hint="eastAsia" w:ascii="宋体" w:hAnsi="宋体" w:eastAsia="宋体" w:cs="宋体"/>
                <w:color w:val="000000"/>
                <w:sz w:val="21"/>
                <w:szCs w:val="21"/>
                <w:highlight w:val="none"/>
                <w:lang w:val="en-US" w:eastAsia="zh-CN"/>
              </w:rPr>
              <w:t>5.1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投标人对项目重点、难点的把握一般，解决方案基本可用的给</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投标人对项目重点、难点的把握较差，解决方案不太适用的给</w:t>
            </w:r>
            <w:r>
              <w:rPr>
                <w:rFonts w:hint="eastAsia" w:ascii="宋体" w:hAnsi="宋体" w:eastAsia="宋体" w:cs="宋体"/>
                <w:color w:val="000000"/>
                <w:sz w:val="21"/>
                <w:szCs w:val="21"/>
                <w:highlight w:val="none"/>
                <w:lang w:val="en-US" w:eastAsia="zh-CN"/>
              </w:rPr>
              <w:t>1-2.9</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缺项得0分。 </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（2）运维方案（0-1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分）：根据投标人提供的运维方案、运维服务质量保证措施等内容进行评议：</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运维方案及关键技术措施编制合理、清晰，运维方案中编制依据、技术措施等完全符合本项目、关键技术措施内容详尽</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得1</w:t>
            </w:r>
            <w:r>
              <w:rPr>
                <w:rFonts w:hint="eastAsia" w:ascii="宋体" w:hAnsi="宋体" w:eastAsia="宋体" w:cs="宋体"/>
                <w:color w:val="000000"/>
                <w:sz w:val="21"/>
                <w:szCs w:val="21"/>
                <w:highlight w:val="none"/>
                <w:lang w:val="en-US" w:eastAsia="zh-CN"/>
              </w:rPr>
              <w:t>2.1</w:t>
            </w: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分；运维方案及关键技术措施编制得合理性、清晰度有欠缺，运维方案中编制依据、技术措施等部分适用本项目，关键技术措施内容较为详尽</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得</w:t>
            </w:r>
            <w:r>
              <w:rPr>
                <w:rFonts w:hint="eastAsia" w:ascii="宋体" w:hAnsi="宋体" w:eastAsia="宋体" w:cs="宋体"/>
                <w:color w:val="000000"/>
                <w:sz w:val="21"/>
                <w:szCs w:val="21"/>
                <w:highlight w:val="none"/>
                <w:lang w:val="en-US" w:eastAsia="zh-CN"/>
              </w:rPr>
              <w:t>8</w:t>
            </w: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分；运维方案及关键技术措施编制内容粗糙，得0-</w:t>
            </w:r>
            <w:r>
              <w:rPr>
                <w:rFonts w:hint="eastAsia" w:ascii="宋体" w:hAnsi="宋体" w:eastAsia="宋体" w:cs="宋体"/>
                <w:color w:val="000000"/>
                <w:sz w:val="21"/>
                <w:szCs w:val="21"/>
                <w:highlight w:val="none"/>
                <w:lang w:val="en-US" w:eastAsia="zh-CN"/>
              </w:rPr>
              <w:t>7.9</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运维管理制度（0-</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分）：制定合理完善、切实有效的运维管理制度，是否全面、有针对性，措施是否完善等情况进行打分。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制度及管理措施科学合理可行性大的得</w:t>
            </w:r>
            <w:r>
              <w:rPr>
                <w:rFonts w:hint="eastAsia" w:ascii="宋体" w:hAnsi="宋体" w:eastAsia="宋体" w:cs="宋体"/>
                <w:color w:val="000000"/>
                <w:sz w:val="21"/>
                <w:szCs w:val="21"/>
                <w:highlight w:val="none"/>
                <w:lang w:val="en-US" w:eastAsia="zh-CN"/>
              </w:rPr>
              <w:t>4.1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lang w:eastAsia="zh-CN"/>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制度及管理措施基本合理可行的得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lang w:eastAsia="zh-CN"/>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制度及管理措施存在隐患或缺陷的得</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1.9</w:t>
            </w:r>
            <w:r>
              <w:rPr>
                <w:rFonts w:hint="eastAsia" w:ascii="宋体" w:hAnsi="宋体" w:eastAsia="宋体" w:cs="宋体"/>
                <w:color w:val="000000"/>
                <w:sz w:val="21"/>
                <w:szCs w:val="21"/>
                <w:highlight w:val="none"/>
                <w:lang w:eastAsia="zh-CN"/>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缺项得0分。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default" w:ascii="宋体" w:hAnsi="宋体" w:eastAsia="宋体" w:cs="宋体"/>
                <w:color w:val="000000"/>
                <w:sz w:val="21"/>
                <w:szCs w:val="21"/>
                <w:highlight w:val="none"/>
                <w:lang w:val="en-US"/>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val="zh-CN"/>
              </w:rPr>
              <w:t>根据投标人提供的备品备件库建立程序，是否详细完善等情况进行打分</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服务保障完善得4.1-5；服务保障一般得3-4；服务保障有得1-2.9，缺项得0分。</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6</w:t>
            </w:r>
          </w:p>
        </w:tc>
        <w:tc>
          <w:tcPr>
            <w:tcW w:w="1121"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技术及运维力量</w:t>
            </w:r>
          </w:p>
        </w:tc>
        <w:tc>
          <w:tcPr>
            <w:tcW w:w="7264"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（1）项目负责人配置（0-4分）：项目负责人具备环境类高级职称（含副高）的得2分，中级职称的得1分</w:t>
            </w:r>
            <w:r>
              <w:rPr>
                <w:rFonts w:hint="eastAsia" w:ascii="宋体" w:hAnsi="宋体" w:eastAsia="宋体" w:cs="宋体"/>
                <w:color w:val="auto"/>
                <w:sz w:val="21"/>
                <w:szCs w:val="21"/>
                <w:highlight w:val="none"/>
                <w:lang w:eastAsia="zh-CN"/>
              </w:rPr>
              <w:t>（同一人此项不重复得分）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项目负责人具有</w:t>
            </w:r>
            <w:r>
              <w:rPr>
                <w:rFonts w:hint="eastAsia" w:ascii="宋体" w:hAnsi="宋体" w:eastAsia="宋体" w:cs="宋体"/>
                <w:color w:val="auto"/>
                <w:sz w:val="21"/>
                <w:szCs w:val="21"/>
                <w:highlight w:val="none"/>
              </w:rPr>
              <w:t>省级</w:t>
            </w:r>
            <w:r>
              <w:rPr>
                <w:rFonts w:hint="eastAsia" w:ascii="宋体" w:hAnsi="宋体" w:eastAsia="宋体" w:cs="宋体"/>
                <w:color w:val="auto"/>
                <w:sz w:val="21"/>
                <w:szCs w:val="21"/>
                <w:highlight w:val="none"/>
                <w:lang w:eastAsia="zh-CN"/>
              </w:rPr>
              <w:t>及以上</w:t>
            </w:r>
            <w:r>
              <w:rPr>
                <w:rFonts w:hint="eastAsia" w:ascii="宋体" w:hAnsi="宋体" w:eastAsia="宋体" w:cs="宋体"/>
                <w:color w:val="auto"/>
                <w:sz w:val="21"/>
                <w:szCs w:val="21"/>
                <w:highlight w:val="none"/>
              </w:rPr>
              <w:t>环境监测主管部门或环境监测协会颁发</w:t>
            </w:r>
            <w:r>
              <w:rPr>
                <w:rFonts w:hint="eastAsia" w:ascii="宋体" w:hAnsi="宋体" w:eastAsia="宋体" w:cs="宋体"/>
                <w:color w:val="000000"/>
                <w:sz w:val="21"/>
                <w:szCs w:val="21"/>
                <w:highlight w:val="none"/>
              </w:rPr>
              <w:t>的大气环境自动监测系统运维考核合格证的得2分，其他不得分。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（2）技术力量配置（0-16分）：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根据各投标人拟派本项目工作小组人员组成情况（人员数量、人员资质、人员工作经验等）以及车辆配备情况进行综合评分。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sz w:val="21"/>
                <w:szCs w:val="21"/>
                <w:highlight w:val="none"/>
              </w:rPr>
              <w:t>1、具有一年以上空气自动站运维经验</w:t>
            </w:r>
            <w:r>
              <w:rPr>
                <w:rFonts w:hint="eastAsia" w:ascii="宋体" w:hAnsi="宋体" w:eastAsia="宋体" w:cs="宋体"/>
                <w:color w:val="auto"/>
                <w:sz w:val="21"/>
                <w:szCs w:val="21"/>
                <w:highlight w:val="none"/>
              </w:rPr>
              <w:t>的技术人员</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以及</w:t>
            </w:r>
            <w:r>
              <w:rPr>
                <w:rFonts w:hint="eastAsia" w:ascii="宋体" w:hAnsi="宋体" w:eastAsia="宋体" w:cs="宋体"/>
                <w:color w:val="auto"/>
                <w:sz w:val="21"/>
                <w:szCs w:val="21"/>
                <w:highlight w:val="none"/>
                <w:lang w:val="en-US" w:eastAsia="zh-CN"/>
              </w:rPr>
              <w:t>车辆</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辆</w:t>
            </w:r>
            <w:r>
              <w:rPr>
                <w:rFonts w:hint="eastAsia" w:ascii="宋体" w:hAnsi="宋体" w:cs="宋体"/>
                <w:color w:val="auto"/>
                <w:sz w:val="21"/>
                <w:szCs w:val="21"/>
                <w:highlight w:val="none"/>
                <w:lang w:val="en-US" w:eastAsia="zh-CN"/>
              </w:rPr>
              <w:t>的基础上</w:t>
            </w:r>
            <w:r>
              <w:rPr>
                <w:rFonts w:hint="eastAsia" w:ascii="宋体" w:hAnsi="宋体" w:eastAsia="宋体" w:cs="宋体"/>
                <w:color w:val="auto"/>
                <w:sz w:val="21"/>
                <w:szCs w:val="21"/>
                <w:highlight w:val="none"/>
              </w:rPr>
              <w:t>，每</w:t>
            </w:r>
            <w:r>
              <w:rPr>
                <w:rFonts w:hint="eastAsia" w:ascii="宋体" w:hAnsi="宋体" w:cs="宋体"/>
                <w:color w:val="auto"/>
                <w:sz w:val="21"/>
                <w:szCs w:val="21"/>
                <w:highlight w:val="none"/>
                <w:lang w:eastAsia="zh-CN"/>
              </w:rPr>
              <w:t>多</w:t>
            </w:r>
            <w:r>
              <w:rPr>
                <w:rFonts w:hint="eastAsia" w:ascii="宋体" w:hAnsi="宋体" w:eastAsia="宋体" w:cs="宋体"/>
                <w:color w:val="auto"/>
                <w:sz w:val="21"/>
                <w:szCs w:val="21"/>
                <w:highlight w:val="none"/>
              </w:rPr>
              <w:t>1人</w:t>
            </w:r>
            <w:r>
              <w:rPr>
                <w:rFonts w:hint="eastAsia" w:ascii="宋体" w:hAnsi="宋体" w:eastAsia="宋体" w:cs="宋体"/>
                <w:color w:val="auto"/>
                <w:sz w:val="21"/>
                <w:szCs w:val="21"/>
                <w:highlight w:val="none"/>
                <w:lang w:val="en-US" w:eastAsia="zh-CN"/>
              </w:rPr>
              <w:t>或1车</w:t>
            </w:r>
            <w:r>
              <w:rPr>
                <w:rFonts w:hint="eastAsia" w:ascii="宋体" w:hAnsi="宋体" w:cs="宋体"/>
                <w:color w:val="auto"/>
                <w:sz w:val="21"/>
                <w:szCs w:val="21"/>
                <w:highlight w:val="none"/>
                <w:lang w:eastAsia="zh-CN"/>
              </w:rPr>
              <w:t>加</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6分</w:t>
            </w:r>
            <w:r>
              <w:rPr>
                <w:rFonts w:hint="eastAsia" w:ascii="宋体" w:hAnsi="宋体" w:eastAsia="宋体" w:cs="宋体"/>
                <w:color w:val="auto"/>
                <w:sz w:val="21"/>
                <w:szCs w:val="21"/>
                <w:highlight w:val="none"/>
              </w:rPr>
              <w:t>。（至少有1人具备VOCs设备运维经验</w:t>
            </w:r>
            <w:r>
              <w:rPr>
                <w:rFonts w:hint="eastAsia" w:ascii="宋体" w:hAnsi="宋体" w:cs="宋体"/>
                <w:color w:val="auto"/>
                <w:sz w:val="21"/>
                <w:szCs w:val="21"/>
                <w:highlight w:val="none"/>
                <w:lang w:eastAsia="zh-CN"/>
              </w:rPr>
              <w:t>，不具备的本项不得分，</w:t>
            </w:r>
            <w:r>
              <w:rPr>
                <w:rFonts w:hint="eastAsia" w:ascii="宋体" w:hAnsi="宋体" w:eastAsia="宋体" w:cs="宋体"/>
                <w:color w:val="auto"/>
                <w:sz w:val="21"/>
                <w:szCs w:val="21"/>
                <w:highlight w:val="none"/>
              </w:rPr>
              <w:t>需提供本单位的近6个月社保证明</w:t>
            </w:r>
            <w:r>
              <w:rPr>
                <w:rFonts w:hint="eastAsia" w:ascii="宋体" w:hAnsi="宋体" w:cs="宋体"/>
                <w:color w:val="auto"/>
                <w:sz w:val="21"/>
                <w:szCs w:val="21"/>
                <w:highlight w:val="none"/>
                <w:lang w:eastAsia="zh-CN"/>
              </w:rPr>
              <w:t>，运维经验</w:t>
            </w:r>
            <w:r>
              <w:rPr>
                <w:rFonts w:hint="eastAsia" w:ascii="宋体" w:hAnsi="宋体" w:eastAsia="宋体" w:cs="宋体"/>
                <w:color w:val="auto"/>
                <w:sz w:val="21"/>
                <w:szCs w:val="21"/>
                <w:highlight w:val="none"/>
              </w:rPr>
              <w:t>证明材料</w:t>
            </w:r>
            <w:r>
              <w:rPr>
                <w:rFonts w:hint="eastAsia" w:ascii="宋体" w:hAnsi="宋体" w:cs="宋体"/>
                <w:color w:val="auto"/>
                <w:sz w:val="21"/>
                <w:szCs w:val="21"/>
                <w:highlight w:val="none"/>
                <w:lang w:eastAsia="zh-CN"/>
              </w:rPr>
              <w:t>须有业主盖章</w:t>
            </w:r>
            <w:r>
              <w:rPr>
                <w:rFonts w:hint="eastAsia" w:ascii="宋体" w:hAnsi="宋体" w:eastAsia="宋体" w:cs="宋体"/>
                <w:color w:val="auto"/>
                <w:sz w:val="21"/>
                <w:szCs w:val="21"/>
                <w:highlight w:val="none"/>
              </w:rPr>
              <w:t>）（0-6分）</w:t>
            </w:r>
            <w:r>
              <w:rPr>
                <w:rFonts w:hint="eastAsia" w:ascii="宋体" w:hAnsi="宋体" w:cs="宋体"/>
                <w:color w:val="auto"/>
                <w:sz w:val="21"/>
                <w:szCs w:val="21"/>
                <w:highlight w:val="non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auto"/>
                <w:sz w:val="21"/>
                <w:szCs w:val="21"/>
                <w:highlight w:val="none"/>
              </w:rPr>
              <w:t>2、运维人员持有省级</w:t>
            </w:r>
            <w:r>
              <w:rPr>
                <w:rFonts w:hint="eastAsia" w:ascii="宋体" w:hAnsi="宋体" w:eastAsia="宋体" w:cs="宋体"/>
                <w:color w:val="auto"/>
                <w:sz w:val="21"/>
                <w:szCs w:val="21"/>
                <w:highlight w:val="none"/>
                <w:lang w:eastAsia="zh-CN"/>
              </w:rPr>
              <w:t>及以上</w:t>
            </w:r>
            <w:r>
              <w:rPr>
                <w:rFonts w:hint="eastAsia" w:ascii="宋体" w:hAnsi="宋体" w:eastAsia="宋体" w:cs="宋体"/>
                <w:color w:val="auto"/>
                <w:sz w:val="21"/>
                <w:szCs w:val="21"/>
                <w:highlight w:val="none"/>
              </w:rPr>
              <w:t>环境监测主管部门或环境监测协会颁发的大气环境自动监测系统运维考核合格证，每人仅限提供1本，每本得</w:t>
            </w:r>
            <w:r>
              <w:rPr>
                <w:rFonts w:hint="eastAsia" w:ascii="宋体" w:hAnsi="宋体" w:eastAsia="宋体" w:cs="宋体"/>
                <w:color w:val="000000"/>
                <w:sz w:val="21"/>
                <w:szCs w:val="21"/>
                <w:highlight w:val="none"/>
              </w:rPr>
              <w:t>1分，最高可得5分，不提供不得分。（0-5分）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3、VOC</w:t>
            </w:r>
            <w:r>
              <w:rPr>
                <w:rFonts w:hint="eastAsia" w:ascii="宋体" w:hAnsi="宋体" w:cs="宋体"/>
                <w:color w:val="000000"/>
                <w:sz w:val="21"/>
                <w:szCs w:val="21"/>
                <w:highlight w:val="none"/>
                <w:lang w:val="en-US" w:eastAsia="zh-CN"/>
              </w:rPr>
              <w:t>s</w:t>
            </w:r>
            <w:r>
              <w:rPr>
                <w:rFonts w:hint="eastAsia" w:ascii="宋体" w:hAnsi="宋体" w:eastAsia="宋体" w:cs="宋体"/>
                <w:color w:val="000000"/>
                <w:sz w:val="21"/>
                <w:szCs w:val="21"/>
                <w:highlight w:val="none"/>
              </w:rPr>
              <w:t>数据审核和报告编制人员具有研究生</w:t>
            </w:r>
            <w:r>
              <w:rPr>
                <w:rFonts w:hint="eastAsia" w:ascii="宋体" w:hAnsi="宋体" w:eastAsia="宋体" w:cs="宋体"/>
                <w:color w:val="000000"/>
                <w:sz w:val="21"/>
                <w:szCs w:val="21"/>
                <w:highlight w:val="none"/>
                <w:lang w:val="en-US" w:eastAsia="zh-CN"/>
              </w:rPr>
              <w:t>学历</w:t>
            </w:r>
            <w:r>
              <w:rPr>
                <w:rFonts w:hint="eastAsia" w:ascii="宋体" w:hAnsi="宋体" w:eastAsia="宋体" w:cs="宋体"/>
                <w:color w:val="000000"/>
                <w:sz w:val="21"/>
                <w:szCs w:val="21"/>
                <w:highlight w:val="none"/>
              </w:rPr>
              <w:t>的得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分，本科的得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分，本科以下不得分，需提供化学相关专业的学历证明，不提供不得分。（0-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rPr>
              <w:t>注：</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val="zh-CN"/>
              </w:rPr>
              <w:t>自有车辆设备须提供设备照片、购车发票、车辆行驶证及机动车登记证书清晰扫描件；</w:t>
            </w: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val="zh-CN"/>
              </w:rPr>
              <w:t>企业租赁车辆的须提供设备照片、租赁协议及车辆行驶证清晰扫描件；</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val="zh-CN"/>
              </w:rPr>
              <w:t>以上评分点均须提供相关人员证书及</w:t>
            </w:r>
            <w:r>
              <w:rPr>
                <w:rFonts w:hint="eastAsia" w:ascii="宋体" w:hAnsi="宋体" w:eastAsia="宋体" w:cs="宋体"/>
                <w:color w:val="auto"/>
                <w:sz w:val="21"/>
                <w:szCs w:val="21"/>
                <w:highlight w:val="none"/>
                <w:lang w:val="zh-CN"/>
              </w:rPr>
              <w:t>本单位的近6个月社保证明和相关证明材料</w:t>
            </w:r>
            <w:r>
              <w:rPr>
                <w:rFonts w:hint="eastAsia" w:ascii="宋体" w:hAnsi="宋体" w:eastAsia="宋体" w:cs="宋体"/>
                <w:color w:val="000000"/>
                <w:sz w:val="21"/>
                <w:szCs w:val="21"/>
                <w:highlight w:val="none"/>
                <w:lang w:val="zh-CN"/>
              </w:rPr>
              <w:t>，否则不得分。</w:t>
            </w:r>
          </w:p>
        </w:tc>
        <w:tc>
          <w:tcPr>
            <w:tcW w:w="67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p>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ign w:val="center"/>
          </w:tcPr>
          <w:p>
            <w:pPr>
              <w:keepNext w:val="0"/>
              <w:keepLines w:val="0"/>
              <w:pageBreakBefore w:val="0"/>
              <w:kinsoku/>
              <w:wordWrap/>
              <w:overflowPunct/>
              <w:topLinePunct w:val="0"/>
              <w:autoSpaceDE/>
              <w:autoSpaceDN/>
              <w:bidi w:val="0"/>
              <w:adjustRightInd/>
              <w:snapToGrid w:val="0"/>
              <w:spacing w:after="0" w:line="348" w:lineRule="auto"/>
              <w:jc w:val="center"/>
              <w:textAlignment w:val="auto"/>
              <w:rPr>
                <w:rFonts w:ascii="宋体" w:hAnsi="宋体" w:cs="宋体"/>
                <w:color w:val="auto"/>
                <w:szCs w:val="21"/>
              </w:rPr>
            </w:pPr>
            <w:r>
              <w:rPr>
                <w:rFonts w:hint="eastAsia" w:ascii="宋体" w:hAnsi="宋体" w:cs="宋体"/>
                <w:color w:val="auto"/>
                <w:szCs w:val="21"/>
              </w:rPr>
              <w:t>价格分</w:t>
            </w:r>
          </w:p>
          <w:p>
            <w:pPr>
              <w:keepNext w:val="0"/>
              <w:keepLines w:val="0"/>
              <w:pageBreakBefore w:val="0"/>
              <w:kinsoku/>
              <w:wordWrap/>
              <w:overflowPunct/>
              <w:topLinePunct w:val="0"/>
              <w:autoSpaceDE/>
              <w:autoSpaceDN/>
              <w:bidi w:val="0"/>
              <w:adjustRightInd/>
              <w:snapToGrid w:val="0"/>
              <w:spacing w:after="0" w:line="348"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Cs w:val="21"/>
                <w:lang w:val="en-US" w:eastAsia="zh-CN"/>
              </w:rPr>
              <w:t>1</w:t>
            </w:r>
            <w:r>
              <w:rPr>
                <w:rFonts w:hint="eastAsia" w:ascii="宋体" w:hAnsi="宋体" w:cs="宋体"/>
                <w:color w:val="auto"/>
                <w:szCs w:val="21"/>
              </w:rPr>
              <w:t>0分</w:t>
            </w:r>
          </w:p>
        </w:tc>
        <w:tc>
          <w:tcPr>
            <w:tcW w:w="8385" w:type="dxa"/>
            <w:gridSpan w:val="2"/>
            <w:noWrap/>
            <w:vAlign w:val="center"/>
          </w:tcPr>
          <w:p>
            <w:pPr>
              <w:keepNext w:val="0"/>
              <w:keepLines w:val="0"/>
              <w:pageBreakBefore w:val="0"/>
              <w:widowControl/>
              <w:kinsoku/>
              <w:wordWrap/>
              <w:overflowPunct/>
              <w:topLinePunct w:val="0"/>
              <w:autoSpaceDE/>
              <w:autoSpaceDN/>
              <w:bidi w:val="0"/>
              <w:adjustRightInd/>
              <w:snapToGrid w:val="0"/>
              <w:spacing w:after="0" w:line="348" w:lineRule="auto"/>
              <w:jc w:val="left"/>
              <w:textAlignment w:val="auto"/>
              <w:rPr>
                <w:rFonts w:hint="eastAsia" w:ascii="宋体" w:hAnsi="宋体" w:eastAsia="宋体" w:cs="宋体"/>
                <w:color w:val="auto"/>
                <w:sz w:val="21"/>
                <w:szCs w:val="21"/>
                <w:highlight w:val="none"/>
                <w:lang w:val="zh-CN"/>
              </w:rPr>
            </w:pPr>
            <w:r>
              <w:rPr>
                <w:rFonts w:hint="eastAsia" w:ascii="宋体" w:hAnsi="宋体" w:cs="宋体"/>
                <w:color w:val="auto"/>
                <w:szCs w:val="21"/>
              </w:rPr>
              <w:t>满足招标文件要求且报价最低的供应商的价格为报价基准价，其价格分为</w:t>
            </w:r>
            <w:r>
              <w:rPr>
                <w:rFonts w:hint="eastAsia" w:ascii="宋体" w:hAnsi="宋体" w:cs="宋体"/>
                <w:color w:val="auto"/>
                <w:szCs w:val="21"/>
                <w:lang w:val="en-US" w:eastAsia="zh-CN"/>
              </w:rPr>
              <w:t>1</w:t>
            </w:r>
            <w:r>
              <w:rPr>
                <w:rFonts w:hint="eastAsia" w:ascii="宋体" w:hAnsi="宋体" w:cs="宋体"/>
                <w:color w:val="auto"/>
                <w:szCs w:val="21"/>
              </w:rPr>
              <w:t>0分；其他供应商的价格分按下列公式计算：投标报价得分＝（报价基准价/投标报价）×</w:t>
            </w:r>
            <w:r>
              <w:rPr>
                <w:rFonts w:hint="eastAsia" w:ascii="宋体" w:hAnsi="宋体" w:cs="宋体"/>
                <w:color w:val="auto"/>
                <w:szCs w:val="21"/>
                <w:lang w:val="en-US" w:eastAsia="zh-CN"/>
              </w:rPr>
              <w:t>1</w:t>
            </w:r>
            <w:r>
              <w:rPr>
                <w:rFonts w:hint="eastAsia" w:ascii="宋体" w:hAnsi="宋体" w:cs="宋体"/>
                <w:color w:val="auto"/>
                <w:szCs w:val="21"/>
              </w:rPr>
              <w:t>0分（小数点后保留2位小数）。此项由磋商小组集体核实后统一打分。</w:t>
            </w:r>
          </w:p>
        </w:tc>
        <w:tc>
          <w:tcPr>
            <w:tcW w:w="670" w:type="dxa"/>
            <w:tcBorders>
              <w:bottom w:val="single" w:color="auto" w:sz="4" w:space="0"/>
            </w:tcBorders>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r>
    </w:tbl>
    <w:p>
      <w:pPr>
        <w:shd w:val="clear" w:color="auto" w:fill="auto"/>
        <w:bidi w:val="0"/>
        <w:spacing w:line="360" w:lineRule="auto"/>
        <w:rPr>
          <w:rFonts w:hint="eastAsia" w:ascii="宋体" w:hAnsi="宋体" w:eastAsia="宋体" w:cs="宋体"/>
          <w:b/>
          <w:bCs/>
          <w:color w:val="000000"/>
          <w:sz w:val="24"/>
          <w:szCs w:val="24"/>
          <w:highlight w:val="none"/>
          <w:lang w:val="en-US" w:eastAsia="zh-CN"/>
        </w:rPr>
      </w:pPr>
      <w:r>
        <w:rPr>
          <w:rFonts w:hint="eastAsia"/>
          <w:b/>
          <w:bCs/>
        </w:rPr>
        <w:t>注：请扫描上传合同、证书、报告及其他相关证明材料的原件至投标文件，并加盖电子印章。</w:t>
      </w:r>
    </w:p>
    <w:p>
      <w:pPr>
        <w:shd w:val="clear" w:color="auto" w:fill="auto"/>
        <w:bidi w:val="0"/>
        <w:spacing w:line="360" w:lineRule="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标项三、标项四：</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65"/>
        <w:gridCol w:w="7220"/>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评分项目</w:t>
            </w:r>
          </w:p>
        </w:tc>
        <w:tc>
          <w:tcPr>
            <w:tcW w:w="722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评审细则</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服务需求响应</w:t>
            </w:r>
          </w:p>
        </w:tc>
        <w:tc>
          <w:tcPr>
            <w:tcW w:w="722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依据标书</w:t>
            </w:r>
            <w:r>
              <w:rPr>
                <w:rFonts w:hint="eastAsia" w:ascii="宋体" w:hAnsi="宋体" w:eastAsia="宋体" w:cs="宋体"/>
                <w:color w:val="auto"/>
                <w:sz w:val="21"/>
                <w:szCs w:val="21"/>
                <w:highlight w:val="none"/>
                <w:lang w:eastAsia="zh-CN"/>
              </w:rPr>
              <w:t>第三章中四、服务需求</w:t>
            </w:r>
            <w:r>
              <w:rPr>
                <w:rFonts w:hint="eastAsia" w:ascii="宋体" w:hAnsi="宋体" w:eastAsia="宋体" w:cs="宋体"/>
                <w:color w:val="auto"/>
                <w:sz w:val="21"/>
                <w:szCs w:val="21"/>
                <w:highlight w:val="none"/>
              </w:rPr>
              <w:t>里的2.2、2.3内容，</w:t>
            </w:r>
            <w:r>
              <w:rPr>
                <w:rFonts w:hint="eastAsia" w:ascii="宋体" w:hAnsi="宋体" w:eastAsia="宋体" w:cs="宋体"/>
                <w:color w:val="auto"/>
                <w:sz w:val="21"/>
                <w:szCs w:val="21"/>
                <w:highlight w:val="none"/>
                <w:lang w:val="en-US" w:eastAsia="zh-CN"/>
              </w:rPr>
              <w:t>结合</w:t>
            </w:r>
            <w:r>
              <w:rPr>
                <w:rFonts w:hint="eastAsia" w:ascii="宋体" w:hAnsi="宋体" w:eastAsia="宋体" w:cs="宋体"/>
                <w:color w:val="auto"/>
                <w:sz w:val="21"/>
                <w:szCs w:val="21"/>
                <w:highlight w:val="none"/>
              </w:rPr>
              <w:t>投标人提供的服务需求响应情况进行评审：完全满足招标要求得2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分，每项偏离扣2分。基本分扣完为止。</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0-2</w:t>
            </w:r>
            <w:r>
              <w:rPr>
                <w:rFonts w:hint="eastAsia" w:ascii="宋体" w:hAnsi="宋体" w:cs="宋体"/>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体系认证</w:t>
            </w:r>
          </w:p>
        </w:tc>
        <w:tc>
          <w:tcPr>
            <w:tcW w:w="722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36"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投标人具有有效的ISO9001质量管理体系认证、ISO14001环境管理体系认证、OHSAS18001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GB/T2800)</w:t>
            </w:r>
            <w:r>
              <w:rPr>
                <w:rFonts w:hint="eastAsia" w:ascii="宋体" w:hAnsi="宋体" w:eastAsia="宋体" w:cs="宋体"/>
                <w:color w:val="000000"/>
                <w:sz w:val="21"/>
                <w:szCs w:val="21"/>
                <w:highlight w:val="none"/>
              </w:rPr>
              <w:t>或</w:t>
            </w:r>
            <w:r>
              <w:rPr>
                <w:rFonts w:hint="eastAsia" w:ascii="宋体" w:hAnsi="宋体" w:eastAsia="宋体" w:cs="宋体"/>
                <w:color w:val="000000"/>
                <w:sz w:val="21"/>
                <w:szCs w:val="21"/>
                <w:highlight w:val="none"/>
                <w:lang w:val="en-US" w:eastAsia="zh-CN"/>
              </w:rPr>
              <w:t>ISO45001（</w:t>
            </w:r>
            <w:r>
              <w:rPr>
                <w:rFonts w:hint="eastAsia" w:ascii="宋体" w:hAnsi="宋体" w:eastAsia="宋体" w:cs="宋体"/>
                <w:color w:val="000000"/>
                <w:sz w:val="21"/>
                <w:szCs w:val="21"/>
                <w:highlight w:val="none"/>
              </w:rPr>
              <w:t>GB/T</w:t>
            </w:r>
            <w:r>
              <w:rPr>
                <w:rFonts w:hint="eastAsia" w:ascii="宋体" w:hAnsi="宋体" w:eastAsia="宋体" w:cs="宋体"/>
                <w:color w:val="000000"/>
                <w:sz w:val="21"/>
                <w:szCs w:val="21"/>
                <w:highlight w:val="none"/>
                <w:lang w:val="en-US" w:eastAsia="zh-CN"/>
              </w:rPr>
              <w:t>4500</w:t>
            </w:r>
            <w:r>
              <w:rPr>
                <w:rFonts w:hint="eastAsia" w:ascii="宋体" w:hAnsi="宋体" w:eastAsia="宋体" w:cs="宋体"/>
                <w:color w:val="000000"/>
                <w:sz w:val="21"/>
                <w:szCs w:val="21"/>
                <w:highlight w:val="none"/>
              </w:rPr>
              <w:t>1)职业健康安全管理体系认证，ISO 20000信息技术服务管理体系认证、ISO27001信息安全管理体系认证，全部具备的得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分，每少一个扣</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分，扣完为止。</w:t>
            </w:r>
          </w:p>
          <w:p>
            <w:pPr>
              <w:keepNext w:val="0"/>
              <w:keepLines w:val="0"/>
              <w:pageBreakBefore w:val="0"/>
              <w:widowControl w:val="0"/>
              <w:shd w:val="clear" w:color="auto" w:fill="auto"/>
              <w:kinsoku/>
              <w:wordWrap/>
              <w:overflowPunct/>
              <w:topLinePunct w:val="0"/>
              <w:autoSpaceDE/>
              <w:autoSpaceDN/>
              <w:bidi w:val="0"/>
              <w:adjustRightInd/>
              <w:snapToGrid w:val="0"/>
              <w:spacing w:line="336"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注：须提供证明材料，未提供不得分。</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企业服务能力</w:t>
            </w:r>
          </w:p>
        </w:tc>
        <w:tc>
          <w:tcPr>
            <w:tcW w:w="7220"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）具有地表水水质自动监测站运营服务评价证书一级的得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分，二级得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分，没有不得分。提供证书扫描件加盖公章。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0-5分</w:t>
            </w:r>
            <w:r>
              <w:rPr>
                <w:rFonts w:hint="eastAsia" w:ascii="宋体" w:hAnsi="宋体" w:eastAsia="宋体" w:cs="宋体"/>
                <w:color w:val="000000"/>
                <w:sz w:val="21"/>
                <w:szCs w:val="21"/>
                <w:highlight w:val="none"/>
                <w:lang w:eastAsia="zh-CN"/>
              </w:rPr>
              <w:t>）</w:t>
            </w:r>
          </w:p>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）投标人自有或具有合作协议的CMA计量认证实验室</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且检测能力至少覆盖pH、水温、溶解氧、电导率、浊度、氨氮、高锰酸盐指数、总磷、总氮、叶绿素a的得3分，每少一个扣1分，扣完为止。</w:t>
            </w:r>
          </w:p>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注：须提供相关证明文件，未提供不得分。</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同类业绩</w:t>
            </w:r>
          </w:p>
        </w:tc>
        <w:tc>
          <w:tcPr>
            <w:tcW w:w="7220" w:type="dxa"/>
            <w:noWrap/>
            <w:vAlign w:val="top"/>
          </w:tcPr>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年1月1日以来（以合</w:t>
            </w:r>
            <w:r>
              <w:rPr>
                <w:rFonts w:hint="eastAsia" w:ascii="宋体" w:hAnsi="宋体" w:eastAsia="宋体" w:cs="宋体"/>
                <w:color w:val="auto"/>
                <w:sz w:val="21"/>
                <w:szCs w:val="21"/>
                <w:highlight w:val="none"/>
              </w:rPr>
              <w:t>同签订日期为准）供应商具有</w:t>
            </w:r>
            <w:r>
              <w:rPr>
                <w:rFonts w:hint="eastAsia" w:ascii="宋体" w:hAnsi="宋体" w:cs="宋体"/>
                <w:color w:val="auto"/>
                <w:sz w:val="21"/>
                <w:szCs w:val="21"/>
                <w:highlight w:val="none"/>
                <w:lang w:eastAsia="zh-CN"/>
              </w:rPr>
              <w:t>地表水或饮用水源地水质自动监测系统运维类似</w:t>
            </w:r>
            <w:r>
              <w:rPr>
                <w:rFonts w:hint="eastAsia" w:ascii="宋体" w:hAnsi="宋体" w:eastAsia="宋体" w:cs="宋体"/>
                <w:color w:val="auto"/>
                <w:sz w:val="21"/>
                <w:szCs w:val="21"/>
                <w:highlight w:val="none"/>
              </w:rPr>
              <w:t>成功</w:t>
            </w:r>
            <w:r>
              <w:rPr>
                <w:rFonts w:hint="eastAsia" w:ascii="宋体" w:hAnsi="宋体" w:eastAsia="宋体" w:cs="宋体"/>
                <w:color w:val="000000"/>
                <w:sz w:val="21"/>
                <w:szCs w:val="21"/>
                <w:highlight w:val="none"/>
              </w:rPr>
              <w:t>案例的，每个合同得</w:t>
            </w:r>
            <w:r>
              <w:rPr>
                <w:rFonts w:hint="eastAsia" w:ascii="宋体" w:hAnsi="宋体" w:cs="宋体"/>
                <w:color w:val="000000"/>
                <w:sz w:val="21"/>
                <w:szCs w:val="21"/>
                <w:highlight w:val="none"/>
                <w:lang w:val="en-US" w:eastAsia="zh-CN"/>
              </w:rPr>
              <w:t>0.25</w:t>
            </w:r>
            <w:r>
              <w:rPr>
                <w:rFonts w:hint="eastAsia" w:ascii="宋体" w:hAnsi="宋体" w:eastAsia="宋体" w:cs="宋体"/>
                <w:color w:val="000000"/>
                <w:sz w:val="21"/>
                <w:szCs w:val="21"/>
                <w:highlight w:val="none"/>
              </w:rPr>
              <w:t>分，最高得</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分。</w:t>
            </w:r>
          </w:p>
          <w:p>
            <w:pPr>
              <w:keepNext w:val="0"/>
              <w:keepLines w:val="0"/>
              <w:pageBreakBefore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auto"/>
                <w:sz w:val="21"/>
                <w:szCs w:val="21"/>
                <w:highlight w:val="none"/>
              </w:rPr>
              <w:t>注：相同站点不同年份的运维业绩不重复计算</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7"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5</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项目实施方案</w:t>
            </w:r>
          </w:p>
        </w:tc>
        <w:tc>
          <w:tcPr>
            <w:tcW w:w="722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项目了解程度（0-</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分）：对本项目各站的熟悉了解程度，充分结合本项目提出当前各站运维存在的问题和应对措施；</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投标人对项目重点、难点的把握精准，解决方案便捷有效的给</w:t>
            </w:r>
            <w:r>
              <w:rPr>
                <w:rFonts w:hint="eastAsia" w:ascii="宋体" w:hAnsi="宋体" w:eastAsia="宋体" w:cs="宋体"/>
                <w:color w:val="000000"/>
                <w:sz w:val="21"/>
                <w:szCs w:val="21"/>
                <w:highlight w:val="none"/>
                <w:lang w:val="en-US" w:eastAsia="zh-CN"/>
              </w:rPr>
              <w:t>5.1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投标人对项目重点、难点的把握一般，解决方案基本可用的给</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投标人对项目重点、难点的把握较差，解决方案不太适用的给</w:t>
            </w:r>
            <w:r>
              <w:rPr>
                <w:rFonts w:hint="eastAsia" w:ascii="宋体" w:hAnsi="宋体" w:eastAsia="宋体" w:cs="宋体"/>
                <w:color w:val="000000"/>
                <w:sz w:val="21"/>
                <w:szCs w:val="21"/>
                <w:highlight w:val="none"/>
                <w:lang w:val="en-US" w:eastAsia="zh-CN"/>
              </w:rPr>
              <w:t>1-2.9</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缺项得0分。 </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（2）运维方案（0-16分）：根据投标人提供的运维方案、运维服务质量保证措施等内容进行评议：</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运维方案及关键技术措施编制合理、清晰，运维方案中编制依据、技术措施等完全符合本项目、关键技术措施内容详尽的得12</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-16分；运维方案及关键技术措施编制得合理性、清晰度有欠缺，运维方案中编制依据、技术措施等部分适用本项目，关键技术措施内容较为详尽的得8-12分；运维方案及关键技术措施编制内容粗糙，有明显不针对本项目措施的得0-</w:t>
            </w:r>
            <w:r>
              <w:rPr>
                <w:rFonts w:hint="eastAsia" w:ascii="宋体" w:hAnsi="宋体" w:eastAsia="宋体" w:cs="宋体"/>
                <w:color w:val="000000"/>
                <w:sz w:val="21"/>
                <w:szCs w:val="21"/>
                <w:highlight w:val="none"/>
                <w:lang w:val="en-US" w:eastAsia="zh-CN"/>
              </w:rPr>
              <w:t>7.9</w:t>
            </w:r>
            <w:r>
              <w:rPr>
                <w:rFonts w:hint="eastAsia" w:ascii="宋体" w:hAnsi="宋体" w:eastAsia="宋体" w:cs="宋体"/>
                <w:color w:val="000000"/>
                <w:sz w:val="21"/>
                <w:szCs w:val="21"/>
                <w:highlight w:val="none"/>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348" w:lineRule="auto"/>
              <w:ind w:leftChars="0"/>
              <w:textAlignment w:val="auto"/>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eastAsia="zh-CN"/>
              </w:rPr>
              <w:t>（</w:t>
            </w:r>
            <w:r>
              <w:rPr>
                <w:rFonts w:hint="eastAsia" w:ascii="宋体" w:hAnsi="宋体" w:cs="宋体"/>
                <w:color w:val="000000"/>
                <w:sz w:val="21"/>
                <w:szCs w:val="21"/>
                <w:highlight w:val="none"/>
                <w:lang w:val="en-US" w:eastAsia="zh-CN"/>
              </w:rPr>
              <w:t>3</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运维管理制度（0-</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分）：制定合理完善、切实有效的运维管理制度，是否全面、有针对性，措施是否完善等情况进行打分。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制度及管理措施科学合理可行性大的得</w:t>
            </w: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制度及管理措施基本合理可行的得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制度及管理措施存在隐患或缺陷的得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lang w:eastAsia="zh-CN"/>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348" w:lineRule="auto"/>
              <w:ind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lang w:eastAsia="zh-CN"/>
              </w:rPr>
              <w:t>缺项得0分。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val="zh-CN"/>
              </w:rPr>
              <w:t>根据投标人提供的备品备件库建立程序，是否详细完善等情况进行打分</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val="en-US" w:eastAsia="zh-CN"/>
              </w:rPr>
              <w:t>服务保障完善得4.1-5；服务保障一般得3-4；服务保障有得1-2.9，缺项得0分。</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6</w:t>
            </w:r>
          </w:p>
        </w:tc>
        <w:tc>
          <w:tcPr>
            <w:tcW w:w="1065"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技术及运维力量</w:t>
            </w:r>
          </w:p>
        </w:tc>
        <w:tc>
          <w:tcPr>
            <w:tcW w:w="722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（1）项目负责人配置（0-4分）：项目负责人具备环境类高级职称（含副高</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的得2分</w:t>
            </w:r>
            <w:r>
              <w:rPr>
                <w:rFonts w:hint="eastAsia" w:ascii="宋体" w:hAnsi="宋体" w:eastAsia="宋体" w:cs="宋体"/>
                <w:color w:val="auto"/>
                <w:sz w:val="21"/>
                <w:szCs w:val="21"/>
                <w:highlight w:val="none"/>
                <w:lang w:eastAsia="zh-CN"/>
              </w:rPr>
              <w:t>（同一人此项不重复得分）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省级</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环境监测主管部门或环境监测协会颁发</w:t>
            </w:r>
            <w:r>
              <w:rPr>
                <w:rFonts w:hint="eastAsia" w:ascii="宋体" w:hAnsi="宋体" w:eastAsia="宋体" w:cs="宋体"/>
                <w:color w:val="000000"/>
                <w:sz w:val="21"/>
                <w:szCs w:val="21"/>
                <w:highlight w:val="none"/>
              </w:rPr>
              <w:t>的水质环境自动监测系统运维考核合格证的得2分，其他不得分。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（2）技术力量配置（0-1</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根据各投标人拟派本项目工作小组人员组成情况（人员数量、人员资质、人员工作经验等）以及车辆配备情况进行综合评分。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1、具有一年以</w:t>
            </w:r>
            <w:r>
              <w:rPr>
                <w:rFonts w:hint="eastAsia" w:ascii="宋体" w:hAnsi="宋体" w:cs="宋体"/>
                <w:color w:val="000000"/>
                <w:sz w:val="21"/>
                <w:szCs w:val="21"/>
                <w:highlight w:val="none"/>
                <w:lang w:eastAsia="zh-CN"/>
              </w:rPr>
              <w:t>上</w:t>
            </w:r>
            <w:r>
              <w:rPr>
                <w:rFonts w:hint="eastAsia" w:ascii="宋体" w:hAnsi="宋体" w:eastAsia="宋体" w:cs="宋体"/>
                <w:color w:val="000000"/>
                <w:sz w:val="21"/>
                <w:szCs w:val="21"/>
                <w:highlight w:val="none"/>
              </w:rPr>
              <w:t>水质自动监测</w:t>
            </w:r>
            <w:r>
              <w:rPr>
                <w:rFonts w:hint="eastAsia" w:ascii="宋体" w:hAnsi="宋体" w:eastAsia="宋体" w:cs="宋体"/>
                <w:color w:val="auto"/>
                <w:sz w:val="21"/>
                <w:szCs w:val="21"/>
                <w:highlight w:val="none"/>
              </w:rPr>
              <w:t>站设备运维经验的技术人员人数</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以及</w:t>
            </w:r>
            <w:r>
              <w:rPr>
                <w:rFonts w:hint="eastAsia" w:ascii="宋体" w:hAnsi="宋体" w:eastAsia="宋体" w:cs="宋体"/>
                <w:color w:val="auto"/>
                <w:sz w:val="21"/>
                <w:szCs w:val="21"/>
                <w:highlight w:val="none"/>
                <w:lang w:val="en-US" w:eastAsia="zh-CN"/>
              </w:rPr>
              <w:t>车辆</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辆</w:t>
            </w:r>
            <w:r>
              <w:rPr>
                <w:rFonts w:hint="eastAsia" w:ascii="宋体" w:hAnsi="宋体" w:cs="宋体"/>
                <w:color w:val="auto"/>
                <w:sz w:val="21"/>
                <w:szCs w:val="21"/>
                <w:highlight w:val="none"/>
                <w:lang w:val="en-US" w:eastAsia="zh-CN"/>
              </w:rPr>
              <w:t>的基础上</w:t>
            </w:r>
            <w:r>
              <w:rPr>
                <w:rFonts w:hint="eastAsia" w:ascii="宋体" w:hAnsi="宋体" w:eastAsia="宋体" w:cs="宋体"/>
                <w:color w:val="auto"/>
                <w:sz w:val="21"/>
                <w:szCs w:val="21"/>
                <w:highlight w:val="none"/>
              </w:rPr>
              <w:t>，每</w:t>
            </w:r>
            <w:r>
              <w:rPr>
                <w:rFonts w:hint="eastAsia" w:ascii="宋体" w:hAnsi="宋体" w:cs="宋体"/>
                <w:color w:val="auto"/>
                <w:sz w:val="21"/>
                <w:szCs w:val="21"/>
                <w:highlight w:val="none"/>
                <w:lang w:eastAsia="zh-CN"/>
              </w:rPr>
              <w:t>多</w:t>
            </w:r>
            <w:r>
              <w:rPr>
                <w:rFonts w:hint="eastAsia" w:ascii="宋体" w:hAnsi="宋体" w:eastAsia="宋体" w:cs="宋体"/>
                <w:color w:val="auto"/>
                <w:sz w:val="21"/>
                <w:szCs w:val="21"/>
                <w:highlight w:val="none"/>
              </w:rPr>
              <w:t>1人</w:t>
            </w:r>
            <w:r>
              <w:rPr>
                <w:rFonts w:hint="eastAsia" w:ascii="宋体" w:hAnsi="宋体" w:eastAsia="宋体" w:cs="宋体"/>
                <w:color w:val="auto"/>
                <w:sz w:val="21"/>
                <w:szCs w:val="21"/>
                <w:highlight w:val="none"/>
                <w:lang w:val="en-US" w:eastAsia="zh-CN"/>
              </w:rPr>
              <w:t>或1车</w:t>
            </w:r>
            <w:r>
              <w:rPr>
                <w:rFonts w:hint="eastAsia" w:ascii="宋体" w:hAnsi="宋体" w:cs="宋体"/>
                <w:color w:val="auto"/>
                <w:sz w:val="21"/>
                <w:szCs w:val="21"/>
                <w:highlight w:val="none"/>
                <w:lang w:eastAsia="zh-CN"/>
              </w:rPr>
              <w:t>加</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6分</w:t>
            </w:r>
            <w:r>
              <w:rPr>
                <w:rFonts w:hint="eastAsia" w:ascii="宋体" w:hAnsi="宋体" w:eastAsia="宋体" w:cs="宋体"/>
                <w:color w:val="auto"/>
                <w:sz w:val="21"/>
                <w:szCs w:val="21"/>
                <w:highlight w:val="none"/>
              </w:rPr>
              <w:t>。（需提供本单位的近6个月社保证明</w:t>
            </w:r>
            <w:r>
              <w:rPr>
                <w:rFonts w:hint="eastAsia" w:ascii="宋体" w:hAnsi="宋体" w:cs="宋体"/>
                <w:color w:val="auto"/>
                <w:sz w:val="21"/>
                <w:szCs w:val="21"/>
                <w:highlight w:val="none"/>
                <w:lang w:eastAsia="zh-CN"/>
              </w:rPr>
              <w:t>，运维经验</w:t>
            </w:r>
            <w:r>
              <w:rPr>
                <w:rFonts w:hint="eastAsia" w:ascii="宋体" w:hAnsi="宋体" w:eastAsia="宋体" w:cs="宋体"/>
                <w:color w:val="auto"/>
                <w:sz w:val="21"/>
                <w:szCs w:val="21"/>
                <w:highlight w:val="none"/>
              </w:rPr>
              <w:t>证明材料</w:t>
            </w:r>
            <w:r>
              <w:rPr>
                <w:rFonts w:hint="eastAsia" w:ascii="宋体" w:hAnsi="宋体" w:cs="宋体"/>
                <w:color w:val="auto"/>
                <w:sz w:val="21"/>
                <w:szCs w:val="21"/>
                <w:highlight w:val="none"/>
                <w:lang w:eastAsia="zh-CN"/>
              </w:rPr>
              <w:t>须有业主盖章</w:t>
            </w:r>
            <w:r>
              <w:rPr>
                <w:rFonts w:hint="eastAsia" w:ascii="宋体" w:hAnsi="宋体" w:eastAsia="宋体" w:cs="宋体"/>
                <w:color w:val="auto"/>
                <w:sz w:val="21"/>
                <w:szCs w:val="21"/>
                <w:highlight w:val="none"/>
              </w:rPr>
              <w:t>）（0-6分</w:t>
            </w:r>
            <w:r>
              <w:rPr>
                <w:rFonts w:hint="eastAsia" w:ascii="宋体" w:hAnsi="宋体" w:eastAsia="宋体" w:cs="宋体"/>
                <w:color w:val="000000"/>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2、运维人员持有</w:t>
            </w:r>
            <w:r>
              <w:rPr>
                <w:rFonts w:hint="eastAsia" w:ascii="宋体" w:hAnsi="宋体" w:eastAsia="宋体" w:cs="宋体"/>
                <w:color w:val="auto"/>
                <w:sz w:val="21"/>
                <w:szCs w:val="21"/>
                <w:highlight w:val="none"/>
              </w:rPr>
              <w:t>省级环境监测主管部门或环境监测协会颁发的</w:t>
            </w:r>
            <w:r>
              <w:rPr>
                <w:rFonts w:hint="eastAsia" w:ascii="宋体" w:hAnsi="宋体" w:eastAsia="宋体" w:cs="宋体"/>
                <w:color w:val="000000"/>
                <w:sz w:val="21"/>
                <w:szCs w:val="21"/>
                <w:highlight w:val="none"/>
              </w:rPr>
              <w:t>水质环境自动监测系统运维考核合格证，每人仅限提供1本，每本得1分，最高可得5分，不提供不得分。（0-5分）</w:t>
            </w:r>
          </w:p>
          <w:p>
            <w:pPr>
              <w:keepNext w:val="0"/>
              <w:keepLines w:val="0"/>
              <w:pageBreakBefore w:val="0"/>
              <w:widowControl w:val="0"/>
              <w:shd w:val="clear" w:color="auto" w:fill="auto"/>
              <w:kinsoku/>
              <w:wordWrap/>
              <w:overflowPunct/>
              <w:topLinePunct w:val="0"/>
              <w:autoSpaceDE/>
              <w:autoSpaceDN/>
              <w:bidi w:val="0"/>
              <w:adjustRightInd/>
              <w:snapToGrid w:val="0"/>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zh-CN"/>
              </w:rPr>
              <w:t>注：自有车辆设备须提供设备照片、购车发票、车辆行驶证及机动车登记证书清晰扫描件或复印件；</w:t>
            </w: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val="zh-CN"/>
              </w:rPr>
              <w:t>企业租赁车辆的须提供设备照片、租赁协议及车辆行驶证清晰扫描件或复印件</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val="zh-CN"/>
              </w:rPr>
              <w:t>以上评分点均须提供相关人员证书及</w:t>
            </w:r>
            <w:r>
              <w:rPr>
                <w:rFonts w:hint="eastAsia" w:ascii="宋体" w:hAnsi="宋体" w:eastAsia="宋体" w:cs="宋体"/>
                <w:color w:val="auto"/>
                <w:sz w:val="21"/>
                <w:szCs w:val="21"/>
                <w:highlight w:val="none"/>
                <w:lang w:val="zh-CN"/>
              </w:rPr>
              <w:t>本单位的近6个月社保证明和相关证明材料</w:t>
            </w:r>
            <w:r>
              <w:rPr>
                <w:rFonts w:hint="eastAsia" w:ascii="宋体" w:hAnsi="宋体" w:eastAsia="宋体" w:cs="宋体"/>
                <w:color w:val="000000"/>
                <w:sz w:val="21"/>
                <w:szCs w:val="21"/>
                <w:highlight w:val="none"/>
                <w:lang w:val="zh-CN"/>
              </w:rPr>
              <w:t>，否则不得分。</w:t>
            </w:r>
          </w:p>
        </w:tc>
        <w:tc>
          <w:tcPr>
            <w:tcW w:w="714" w:type="dxa"/>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000000"/>
                <w:sz w:val="21"/>
                <w:szCs w:val="21"/>
                <w:highlight w:val="none"/>
              </w:rPr>
            </w:pPr>
          </w:p>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0-</w:t>
            </w:r>
            <w:r>
              <w:rPr>
                <w:rFonts w:hint="eastAsia" w:ascii="宋体" w:hAnsi="宋体" w:cs="宋体"/>
                <w:color w:val="00000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16" w:type="dxa"/>
            <w:noWrap/>
            <w:vAlign w:val="center"/>
          </w:tcPr>
          <w:p>
            <w:pPr>
              <w:keepNext w:val="0"/>
              <w:keepLines w:val="0"/>
              <w:pageBreakBefore w:val="0"/>
              <w:kinsoku/>
              <w:wordWrap/>
              <w:overflowPunct/>
              <w:topLinePunct w:val="0"/>
              <w:autoSpaceDE/>
              <w:autoSpaceDN/>
              <w:bidi w:val="0"/>
              <w:adjustRightInd/>
              <w:snapToGrid w:val="0"/>
              <w:spacing w:after="0" w:line="348" w:lineRule="auto"/>
              <w:jc w:val="center"/>
              <w:textAlignment w:val="auto"/>
              <w:rPr>
                <w:rFonts w:ascii="宋体" w:hAnsi="宋体" w:cs="宋体"/>
                <w:color w:val="auto"/>
                <w:szCs w:val="21"/>
              </w:rPr>
            </w:pPr>
            <w:r>
              <w:rPr>
                <w:rFonts w:hint="eastAsia" w:ascii="宋体" w:hAnsi="宋体" w:cs="宋体"/>
                <w:color w:val="auto"/>
                <w:szCs w:val="21"/>
              </w:rPr>
              <w:t>价格分</w:t>
            </w:r>
          </w:p>
          <w:p>
            <w:pPr>
              <w:keepNext w:val="0"/>
              <w:keepLines w:val="0"/>
              <w:pageBreakBefore w:val="0"/>
              <w:kinsoku/>
              <w:wordWrap/>
              <w:overflowPunct/>
              <w:topLinePunct w:val="0"/>
              <w:autoSpaceDE/>
              <w:autoSpaceDN/>
              <w:bidi w:val="0"/>
              <w:adjustRightInd/>
              <w:snapToGrid w:val="0"/>
              <w:spacing w:after="0" w:line="348"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Cs w:val="21"/>
                <w:lang w:val="en-US" w:eastAsia="zh-CN"/>
              </w:rPr>
              <w:t>1</w:t>
            </w:r>
            <w:r>
              <w:rPr>
                <w:rFonts w:hint="eastAsia" w:ascii="宋体" w:hAnsi="宋体" w:cs="宋体"/>
                <w:color w:val="auto"/>
                <w:szCs w:val="21"/>
              </w:rPr>
              <w:t>0分</w:t>
            </w:r>
          </w:p>
        </w:tc>
        <w:tc>
          <w:tcPr>
            <w:tcW w:w="8285" w:type="dxa"/>
            <w:gridSpan w:val="2"/>
            <w:noWrap/>
            <w:vAlign w:val="center"/>
          </w:tcPr>
          <w:p>
            <w:pPr>
              <w:keepNext w:val="0"/>
              <w:keepLines w:val="0"/>
              <w:pageBreakBefore w:val="0"/>
              <w:widowControl/>
              <w:kinsoku/>
              <w:wordWrap/>
              <w:overflowPunct/>
              <w:topLinePunct w:val="0"/>
              <w:autoSpaceDE/>
              <w:autoSpaceDN/>
              <w:bidi w:val="0"/>
              <w:adjustRightInd/>
              <w:snapToGrid w:val="0"/>
              <w:spacing w:after="0" w:line="348" w:lineRule="auto"/>
              <w:jc w:val="left"/>
              <w:textAlignment w:val="auto"/>
              <w:rPr>
                <w:rFonts w:hint="eastAsia" w:ascii="宋体" w:hAnsi="宋体" w:eastAsia="宋体" w:cs="宋体"/>
                <w:color w:val="auto"/>
                <w:sz w:val="21"/>
                <w:szCs w:val="21"/>
                <w:highlight w:val="none"/>
                <w:lang w:val="zh-CN"/>
              </w:rPr>
            </w:pPr>
            <w:r>
              <w:rPr>
                <w:rFonts w:hint="eastAsia" w:ascii="宋体" w:hAnsi="宋体" w:cs="宋体"/>
                <w:color w:val="auto"/>
                <w:szCs w:val="21"/>
              </w:rPr>
              <w:t>满足招标文件要求且报价最低的供应商的价格为报价基准价，其价格分为</w:t>
            </w:r>
            <w:r>
              <w:rPr>
                <w:rFonts w:hint="eastAsia" w:ascii="宋体" w:hAnsi="宋体" w:cs="宋体"/>
                <w:color w:val="auto"/>
                <w:szCs w:val="21"/>
                <w:lang w:val="en-US" w:eastAsia="zh-CN"/>
              </w:rPr>
              <w:t>1</w:t>
            </w:r>
            <w:r>
              <w:rPr>
                <w:rFonts w:hint="eastAsia" w:ascii="宋体" w:hAnsi="宋体" w:cs="宋体"/>
                <w:color w:val="auto"/>
                <w:szCs w:val="21"/>
              </w:rPr>
              <w:t>0分；其他供应商的价格分按下列公式计算：投标报价得分＝（报价基准价/投标报价）×</w:t>
            </w:r>
            <w:r>
              <w:rPr>
                <w:rFonts w:hint="eastAsia" w:ascii="宋体" w:hAnsi="宋体" w:cs="宋体"/>
                <w:color w:val="auto"/>
                <w:szCs w:val="21"/>
                <w:lang w:val="en-US" w:eastAsia="zh-CN"/>
              </w:rPr>
              <w:t>1</w:t>
            </w:r>
            <w:r>
              <w:rPr>
                <w:rFonts w:hint="eastAsia" w:ascii="宋体" w:hAnsi="宋体" w:cs="宋体"/>
                <w:color w:val="auto"/>
                <w:szCs w:val="21"/>
              </w:rPr>
              <w:t>0分（小数点后保留2位小数）。此项由磋商小组集体核实后统一打分。</w:t>
            </w:r>
          </w:p>
        </w:tc>
        <w:tc>
          <w:tcPr>
            <w:tcW w:w="714" w:type="dxa"/>
            <w:tcBorders>
              <w:bottom w:val="single" w:color="auto" w:sz="4" w:space="0"/>
            </w:tcBorders>
            <w:noWrap/>
            <w:vAlign w:val="center"/>
          </w:tcPr>
          <w:p>
            <w:pPr>
              <w:keepNext w:val="0"/>
              <w:keepLines w:val="0"/>
              <w:pageBreakBefore w:val="0"/>
              <w:shd w:val="clear" w:color="auto" w:fill="auto"/>
              <w:kinsoku/>
              <w:wordWrap/>
              <w:overflowPunct/>
              <w:topLinePunct w:val="0"/>
              <w:autoSpaceDE/>
              <w:autoSpaceDN/>
              <w:bidi w:val="0"/>
              <w:adjustRightInd/>
              <w:snapToGrid w:val="0"/>
              <w:spacing w:line="34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p>
        </w:tc>
      </w:tr>
    </w:tbl>
    <w:p>
      <w:pPr>
        <w:shd w:val="clear" w:color="auto" w:fill="auto"/>
        <w:bidi w:val="0"/>
        <w:spacing w:line="360" w:lineRule="auto"/>
        <w:rPr>
          <w:rFonts w:hint="eastAsia" w:ascii="宋体" w:hAnsi="宋体" w:eastAsia="宋体" w:cs="宋体"/>
          <w:b/>
          <w:bCs/>
          <w:color w:val="000000"/>
          <w:sz w:val="24"/>
          <w:szCs w:val="24"/>
          <w:highlight w:val="none"/>
          <w:lang w:val="en-US" w:eastAsia="zh-CN"/>
        </w:rPr>
      </w:pPr>
      <w:r>
        <w:rPr>
          <w:rFonts w:hint="eastAsia"/>
          <w:b/>
          <w:bCs/>
        </w:rPr>
        <w:t>注：请扫描上传合同、证书、报告及其他相关证明材料的原件至投标文件，并加盖电子印章。</w:t>
      </w:r>
    </w:p>
    <w:p>
      <w:pPr>
        <w:shd w:val="clear" w:color="auto" w:fill="auto"/>
        <w:bidi w:val="0"/>
        <w:spacing w:line="360" w:lineRule="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标项五</w:t>
      </w:r>
      <w:r>
        <w:rPr>
          <w:rFonts w:hint="eastAsia" w:ascii="宋体" w:hAnsi="宋体" w:cs="宋体"/>
          <w:b/>
          <w:bCs/>
          <w:color w:val="000000"/>
          <w:sz w:val="24"/>
          <w:szCs w:val="24"/>
          <w:highlight w:val="none"/>
          <w:lang w:val="en-US" w:eastAsia="zh-CN"/>
        </w:rPr>
        <w:t>：</w:t>
      </w:r>
    </w:p>
    <w:tbl>
      <w:tblPr>
        <w:tblStyle w:val="20"/>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185"/>
        <w:gridCol w:w="7155"/>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评分项目</w:t>
            </w: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评审细则</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18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服务方案</w:t>
            </w: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1、重点难点把握及应对</w:t>
            </w:r>
            <w:r>
              <w:rPr>
                <w:rFonts w:hint="eastAsia" w:ascii="宋体" w:hAnsi="宋体" w:cs="宋体"/>
                <w:color w:val="000000"/>
                <w:sz w:val="21"/>
                <w:szCs w:val="21"/>
                <w:lang w:eastAsia="zh-CN"/>
              </w:rPr>
              <w:t>，</w:t>
            </w:r>
            <w:r>
              <w:rPr>
                <w:rFonts w:hint="eastAsia" w:ascii="宋体" w:hAnsi="宋体" w:eastAsia="宋体" w:cs="宋体"/>
                <w:color w:val="000000"/>
                <w:sz w:val="21"/>
                <w:szCs w:val="21"/>
              </w:rPr>
              <w:t>投标人对本项目监理工作重点难点问题把握准确的，应对措施合理有针对性的得4-6分；把握应对尚可，有部分不足的得2-3.9分；明显欠缺不足的得0-1.9分，不提供或严重欠缺不足的不得分。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2、项目实施方案（包括项目组织、运行机制、岗位设置、任务分工、监督控制、实施保障等）</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方案完整具体、合理可行，符合需求，有利于项目实施的得4-6分；方案基本可行，有部分不足的得2-3.9分；明显欠缺不足的得0-1.9分，不提供或严重欠缺不足的不得分。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3、运维体系检查方案（包括检查内容、检查方法、检查周期、流程等）</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方案完整具体、合理可行，符合采购需求，能有效实现检查任务的得4-6分；方案基本可行，有部分不足的得2-3.9分；明显欠缺不足的得0-1.9分，不提供或严重欠缺不足的不得分。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4、质控考核方案（包括考核内容、方式、方法等）方案完整具体、合理可行，能有效实现考核要求的得4-6分；方案基本可行，有部分不足的得2-3.9分；明显欠缺不足的得0-1.9分，不提供或严重欠缺不足的不得分。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运维工作考核方案（针对监测数据质量、数据有效率、运维质量等进行考核）方案完整具体、合理可行，能有效实现考核要求的得4-6分；方案基本可行，有部分不足的得2-3.9分；明显欠缺不足的得0-1.9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6、任务需求及应急响应方案</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方案完整具体、合理、可行，对于监理（检查）任务需求和突发应急事件能有效、及时响应和处理的得4-</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分；方案基本可行，有部分不足的得2-3.9分；明显欠缺不足的得0.1-1.9分，不提供或严重欠缺不足的不得分。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7、档案管理方案和</w:t>
            </w:r>
            <w:r>
              <w:rPr>
                <w:rFonts w:hint="eastAsia" w:ascii="宋体" w:hAnsi="宋体" w:eastAsia="宋体" w:cs="宋体"/>
                <w:color w:val="auto"/>
                <w:sz w:val="21"/>
                <w:szCs w:val="21"/>
                <w:lang w:val="zh-CN"/>
              </w:rPr>
              <w:t>安全生产措施、保密措施</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档案管理方案和相关</w:t>
            </w:r>
            <w:r>
              <w:rPr>
                <w:rFonts w:hint="eastAsia" w:ascii="宋体" w:hAnsi="宋体" w:eastAsia="宋体" w:cs="宋体"/>
                <w:color w:val="auto"/>
                <w:sz w:val="21"/>
                <w:szCs w:val="21"/>
                <w:lang w:val="zh-CN"/>
              </w:rPr>
              <w:t>措施</w:t>
            </w:r>
            <w:r>
              <w:rPr>
                <w:rFonts w:hint="eastAsia" w:ascii="宋体" w:hAnsi="宋体" w:eastAsia="宋体" w:cs="宋体"/>
                <w:color w:val="auto"/>
                <w:sz w:val="21"/>
                <w:szCs w:val="21"/>
              </w:rPr>
              <w:t>完整、合理、可行，能保障项目实施的得3.1-4分；方案基本可行，有部分不足的得2-3分；明显欠缺不足的得0.1-1.9分，不提供或严重欠缺不足的不得分。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8、颗粒物比对工作方案</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比对方案完整、合理可行、比</w:t>
            </w:r>
            <w:r>
              <w:rPr>
                <w:rFonts w:hint="eastAsia" w:ascii="宋体" w:hAnsi="宋体" w:eastAsia="宋体" w:cs="宋体"/>
                <w:color w:val="auto"/>
                <w:sz w:val="21"/>
                <w:szCs w:val="21"/>
              </w:rPr>
              <w:t>对设备符合标准的得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5分，方案存在欠缺、不足的得</w:t>
            </w:r>
            <w:r>
              <w:rPr>
                <w:rFonts w:hint="eastAsia" w:ascii="宋体" w:hAnsi="宋体" w:cs="宋体"/>
                <w:color w:val="auto"/>
                <w:sz w:val="21"/>
                <w:szCs w:val="21"/>
                <w:lang w:val="en-US" w:eastAsia="zh-CN"/>
              </w:rPr>
              <w:t>0-2.9</w:t>
            </w:r>
            <w:r>
              <w:rPr>
                <w:rFonts w:hint="eastAsia" w:ascii="宋体" w:hAnsi="宋体" w:eastAsia="宋体" w:cs="宋体"/>
                <w:color w:val="auto"/>
                <w:sz w:val="21"/>
                <w:szCs w:val="21"/>
              </w:rPr>
              <w:t>分，明显不可</w:t>
            </w:r>
            <w:r>
              <w:rPr>
                <w:rFonts w:hint="eastAsia" w:ascii="宋体" w:hAnsi="宋体" w:eastAsia="宋体" w:cs="宋体"/>
                <w:color w:val="000000"/>
                <w:sz w:val="21"/>
                <w:szCs w:val="21"/>
              </w:rPr>
              <w:t>行的不得分。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9、VOCs设备监理方案</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投标人根据对VOCs设备的了解以及工作经验，给出对VOCs设备和质控的监理方案，方案完整具体、合理可行，符合需求，有利于项目实施的得2-3分；方案基本可行，有部分不足的得1-1.9分；明显欠缺不足的</w:t>
            </w:r>
            <w:r>
              <w:rPr>
                <w:rFonts w:hint="eastAsia" w:ascii="宋体" w:hAnsi="宋体" w:eastAsia="宋体" w:cs="宋体"/>
                <w:color w:val="auto"/>
                <w:sz w:val="21"/>
                <w:szCs w:val="21"/>
              </w:rPr>
              <w:t>得0.1-0.9分</w:t>
            </w:r>
            <w:r>
              <w:rPr>
                <w:rFonts w:hint="eastAsia" w:ascii="宋体" w:hAnsi="宋体" w:eastAsia="宋体" w:cs="宋体"/>
                <w:color w:val="000000"/>
                <w:sz w:val="21"/>
                <w:szCs w:val="21"/>
              </w:rPr>
              <w:t>，不提供或严重欠缺不足的不得分。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18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技术力量投入</w:t>
            </w:r>
          </w:p>
        </w:tc>
        <w:tc>
          <w:tcPr>
            <w:tcW w:w="71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1、项目负责人</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（1）项目负责人具有环境类专业高级职称</w:t>
            </w:r>
            <w:r>
              <w:rPr>
                <w:rFonts w:hint="eastAsia" w:ascii="宋体" w:hAnsi="宋体" w:eastAsia="宋体" w:cs="宋体"/>
                <w:color w:val="auto"/>
                <w:sz w:val="21"/>
                <w:szCs w:val="21"/>
                <w:highlight w:val="none"/>
              </w:rPr>
              <w:t>（含副高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rPr>
              <w:t>的</w:t>
            </w:r>
            <w:r>
              <w:rPr>
                <w:rFonts w:hint="eastAsia" w:ascii="宋体" w:hAnsi="宋体" w:eastAsia="宋体" w:cs="宋体"/>
                <w:color w:val="000000"/>
                <w:sz w:val="21"/>
                <w:szCs w:val="21"/>
              </w:rPr>
              <w:t>得2分，缺项不得分；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（2）项目负责人具有地表水水质自动监测运维</w:t>
            </w:r>
            <w:r>
              <w:rPr>
                <w:rFonts w:hint="eastAsia" w:ascii="宋体" w:hAnsi="宋体" w:eastAsia="宋体" w:cs="宋体"/>
                <w:color w:val="auto"/>
                <w:sz w:val="21"/>
                <w:szCs w:val="21"/>
              </w:rPr>
              <w:t>检查</w:t>
            </w:r>
            <w:r>
              <w:rPr>
                <w:rFonts w:hint="eastAsia" w:ascii="宋体" w:hAnsi="宋体" w:eastAsia="宋体" w:cs="宋体"/>
                <w:color w:val="000000"/>
                <w:sz w:val="21"/>
                <w:szCs w:val="21"/>
              </w:rPr>
              <w:t>与质控培训合格证书的得1分。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（3）项目负责人具有环境监测主管部门或环境监测协会颁发的大气环境自动监测系统运维合格证及</w:t>
            </w:r>
            <w:r>
              <w:rPr>
                <w:rFonts w:hint="eastAsia" w:ascii="宋体" w:hAnsi="宋体" w:eastAsia="宋体" w:cs="宋体"/>
                <w:color w:val="auto"/>
                <w:sz w:val="21"/>
                <w:szCs w:val="21"/>
                <w:lang w:eastAsia="zh-CN"/>
              </w:rPr>
              <w:t>大气中挥发性有机化合物监测技术培训</w:t>
            </w:r>
            <w:r>
              <w:rPr>
                <w:rFonts w:hint="eastAsia" w:ascii="宋体" w:hAnsi="宋体" w:eastAsia="宋体" w:cs="宋体"/>
                <w:color w:val="auto"/>
                <w:sz w:val="21"/>
                <w:szCs w:val="21"/>
              </w:rPr>
              <w:t>合格证，得2分，缺项不得分；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（项目负责人必须是投标单位正式员工，提供相关证书、业绩证明（同时提供项目合同及担任项目负责人证明）及社保主管部门近3个月内出具（打印/下载）的在投标单位的参保证明，否则不得分）</w:t>
            </w:r>
          </w:p>
        </w:tc>
        <w:tc>
          <w:tcPr>
            <w:tcW w:w="79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2、项目组人员（项目负责人除外）</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（1）项目组检查人员持有具备省级及以上环境监测主管部门或环境监测协会颁发的大气环境自动监测系统运维合格证及超级站运维合格证，每人得2分，最高得4分，缺项减1分，没有不得分。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（2）项目组人员具有具有地表水自动监测运维技术人员合格证的每个得1分，最高得2分。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auto"/>
                <w:sz w:val="21"/>
                <w:szCs w:val="21"/>
              </w:rPr>
              <w:t>人员必须是投标单</w:t>
            </w:r>
            <w:r>
              <w:rPr>
                <w:rFonts w:hint="eastAsia" w:ascii="宋体" w:hAnsi="宋体" w:eastAsia="宋体" w:cs="宋体"/>
                <w:color w:val="000000"/>
                <w:sz w:val="21"/>
                <w:szCs w:val="21"/>
              </w:rPr>
              <w:t>位正式员工，提供人员相关证书及社保主管部门近3个月内出具（打印/下载）的人员在投标单位的参保证明，否则不得分）</w:t>
            </w:r>
          </w:p>
        </w:tc>
        <w:tc>
          <w:tcPr>
            <w:tcW w:w="79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185" w:type="dxa"/>
            <w:vMerge w:val="restart"/>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服务保障能力</w:t>
            </w:r>
          </w:p>
        </w:tc>
        <w:tc>
          <w:tcPr>
            <w:tcW w:w="71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1、现场测试设备配置情况</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为本项目至少配置流量计、臭氧发生器、动态校准仪，颗粒物比对设备，标准气体，水质五参数便携式比对设备，设备全部满足的得6分，缺项每个扣1分。（提供购买发票等相关证明材料）。</w:t>
            </w:r>
          </w:p>
        </w:tc>
        <w:tc>
          <w:tcPr>
            <w:tcW w:w="79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2、车辆配置情况</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为本项目配置不少于2辆运维检查车</w:t>
            </w:r>
            <w:r>
              <w:rPr>
                <w:rFonts w:hint="eastAsia" w:ascii="宋体" w:hAnsi="宋体" w:eastAsia="宋体" w:cs="宋体"/>
                <w:color w:val="auto"/>
                <w:sz w:val="21"/>
                <w:szCs w:val="21"/>
              </w:rPr>
              <w:t>辆，</w:t>
            </w:r>
            <w:r>
              <w:rPr>
                <w:rFonts w:hint="eastAsia" w:ascii="宋体" w:hAnsi="宋体" w:cs="宋体"/>
                <w:color w:val="auto"/>
                <w:sz w:val="21"/>
                <w:szCs w:val="21"/>
                <w:lang w:eastAsia="zh-CN"/>
              </w:rPr>
              <w:t>每多提供</w:t>
            </w:r>
            <w:r>
              <w:rPr>
                <w:rFonts w:hint="eastAsia" w:ascii="宋体" w:hAnsi="宋体" w:eastAsia="宋体" w:cs="宋体"/>
                <w:color w:val="auto"/>
                <w:sz w:val="21"/>
                <w:szCs w:val="21"/>
              </w:rPr>
              <w:t>1辆得1分，最高</w:t>
            </w:r>
            <w:r>
              <w:rPr>
                <w:rFonts w:hint="eastAsia" w:ascii="宋体" w:hAnsi="宋体" w:eastAsia="宋体" w:cs="宋体"/>
                <w:color w:val="000000"/>
                <w:sz w:val="21"/>
                <w:szCs w:val="21"/>
              </w:rPr>
              <w:t>得2分。（须提供车辆行驶证的(如为租赁车辆，须另外提供车辆租赁协议) 加盖公章，未提供不得分。）</w:t>
            </w:r>
          </w:p>
        </w:tc>
        <w:tc>
          <w:tcPr>
            <w:tcW w:w="79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3、技术支持方案（包括技术服务后备力量保障、技术交流、技术咨询服务）</w:t>
            </w:r>
            <w:r>
              <w:rPr>
                <w:rFonts w:hint="eastAsia" w:ascii="宋体" w:hAnsi="宋体" w:eastAsia="宋体" w:cs="宋体"/>
                <w:color w:val="auto"/>
                <w:sz w:val="21"/>
                <w:szCs w:val="21"/>
              </w:rPr>
              <w:t>最高得</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分。方案完整具体、合理可行，能有效实现</w:t>
            </w:r>
            <w:r>
              <w:rPr>
                <w:rFonts w:hint="eastAsia" w:ascii="宋体" w:hAnsi="宋体" w:cs="宋体"/>
                <w:color w:val="auto"/>
                <w:sz w:val="21"/>
                <w:szCs w:val="21"/>
                <w:lang w:eastAsia="zh-CN"/>
              </w:rPr>
              <w:t>项目需求</w:t>
            </w:r>
            <w:r>
              <w:rPr>
                <w:rFonts w:hint="eastAsia" w:ascii="宋体" w:hAnsi="宋体" w:eastAsia="宋体" w:cs="宋体"/>
                <w:color w:val="auto"/>
                <w:sz w:val="21"/>
                <w:szCs w:val="21"/>
              </w:rPr>
              <w:t>的得4-</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分；方案基本可行，有部分不足的得2-3.9分；明显欠缺不足的得0-1.9分，不提供或严重欠缺不足的不得分。</w:t>
            </w:r>
          </w:p>
        </w:tc>
        <w:tc>
          <w:tcPr>
            <w:tcW w:w="79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1185" w:type="dxa"/>
            <w:vMerge w:val="continue"/>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4、服务质量保障措施及保障体系</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质量保障措施科学、合理、可行，质量保障体系完备周全，并具有及时性、便捷性的得3.1-4分；保障措施基本可行，有部分不足的得2-3分；明显欠缺不足的</w:t>
            </w:r>
            <w:r>
              <w:rPr>
                <w:rFonts w:hint="eastAsia" w:ascii="宋体" w:hAnsi="宋体" w:eastAsia="宋体" w:cs="宋体"/>
                <w:color w:val="auto"/>
                <w:sz w:val="21"/>
                <w:szCs w:val="21"/>
              </w:rPr>
              <w:t>得0.1-1.9分</w:t>
            </w:r>
            <w:r>
              <w:rPr>
                <w:rFonts w:hint="eastAsia" w:ascii="宋体" w:hAnsi="宋体" w:eastAsia="宋体" w:cs="宋体"/>
                <w:color w:val="000000"/>
                <w:sz w:val="21"/>
                <w:szCs w:val="21"/>
              </w:rPr>
              <w:t>。</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投标投标人相关证书</w:t>
            </w: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投标人具有ISO9001质量管理体系认证证书、ISO14001环境管理体系认证证书、ISO45001职业健康安全管理体系认证证书、ISO27001</w:t>
            </w:r>
            <w:r>
              <w:rPr>
                <w:rFonts w:hint="eastAsia" w:ascii="宋体" w:hAnsi="宋体" w:eastAsia="宋体" w:cs="宋体"/>
                <w:color w:val="000000"/>
                <w:sz w:val="21"/>
                <w:szCs w:val="21"/>
                <w:lang w:val="zh-CN"/>
              </w:rPr>
              <w:t>信息安全管理体系认证证书</w:t>
            </w:r>
            <w:r>
              <w:rPr>
                <w:rFonts w:hint="eastAsia" w:ascii="宋体" w:hAnsi="宋体" w:eastAsia="宋体" w:cs="宋体"/>
                <w:color w:val="000000"/>
                <w:sz w:val="21"/>
                <w:szCs w:val="21"/>
              </w:rPr>
              <w:t>，每个得1分，最高4分。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（提供证书加盖公章）</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投标人提供实验室服务能力</w:t>
            </w:r>
          </w:p>
        </w:tc>
        <w:tc>
          <w:tcPr>
            <w:tcW w:w="7155" w:type="dxa"/>
            <w:noWrap w:val="0"/>
            <w:vAlign w:val="center"/>
          </w:tcPr>
          <w:p>
            <w:pPr>
              <w:keepNext w:val="0"/>
              <w:keepLines w:val="0"/>
              <w:pageBreakBefore w:val="0"/>
              <w:numPr>
                <w:ilvl w:val="0"/>
                <w:numId w:val="0"/>
              </w:numPr>
              <w:shd w:val="clear" w:color="auto" w:fill="auto"/>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w:t>
            </w:r>
            <w:r>
              <w:rPr>
                <w:rFonts w:hint="eastAsia" w:ascii="宋体" w:hAnsi="宋体" w:eastAsia="宋体" w:cs="宋体"/>
                <w:color w:val="000000"/>
                <w:sz w:val="21"/>
                <w:szCs w:val="21"/>
                <w:highlight w:val="none"/>
                <w:lang w:eastAsia="zh-CN"/>
              </w:rPr>
              <w:t>具有</w:t>
            </w:r>
            <w:r>
              <w:rPr>
                <w:rFonts w:hint="eastAsia" w:ascii="宋体" w:hAnsi="宋体" w:eastAsia="宋体" w:cs="宋体"/>
                <w:color w:val="000000"/>
                <w:sz w:val="21"/>
                <w:szCs w:val="21"/>
                <w:highlight w:val="none"/>
              </w:rPr>
              <w:t>CMA计量认证实验室</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且检测能力覆盖环境空气常规6参数和VOCs</w:t>
            </w:r>
            <w:r>
              <w:rPr>
                <w:rFonts w:hint="eastAsia" w:ascii="宋体" w:hAnsi="宋体" w:eastAsia="宋体" w:cs="宋体"/>
                <w:color w:val="auto"/>
                <w:sz w:val="21"/>
                <w:szCs w:val="21"/>
                <w:highlight w:val="none"/>
                <w:lang w:eastAsia="zh-CN"/>
              </w:rPr>
              <w:t>以及水质常规</w:t>
            </w:r>
            <w:r>
              <w:rPr>
                <w:rFonts w:hint="eastAsia" w:ascii="宋体" w:hAnsi="宋体" w:eastAsia="宋体" w:cs="宋体"/>
                <w:color w:val="auto"/>
                <w:sz w:val="21"/>
                <w:szCs w:val="21"/>
                <w:highlight w:val="none"/>
                <w:lang w:val="en-US" w:eastAsia="zh-CN"/>
              </w:rPr>
              <w:t>9参数的</w:t>
            </w:r>
            <w:r>
              <w:rPr>
                <w:rFonts w:hint="eastAsia" w:ascii="宋体" w:hAnsi="宋体" w:eastAsia="宋体" w:cs="宋体"/>
                <w:color w:val="000000"/>
                <w:sz w:val="21"/>
                <w:szCs w:val="21"/>
                <w:highlight w:val="none"/>
              </w:rPr>
              <w:t>，得</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分，每少一个扣1分，扣完为止。</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需出具投标人资质实验室声明，以及有效期内的实验室证书和项目附表清单加盖投标人公章。实验室需为投标人自有，实验室为投标人下设机构</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均视为投标人自有实验室，并提供相关证明材料；</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投标人资质能力</w:t>
            </w: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auto"/>
                <w:sz w:val="21"/>
                <w:szCs w:val="21"/>
                <w:highlight w:val="none"/>
              </w:rPr>
              <w:t>、中国环境保护产业协会颁发的环境空气</w:t>
            </w:r>
            <w:r>
              <w:rPr>
                <w:rFonts w:hint="eastAsia" w:ascii="宋体" w:hAnsi="宋体" w:eastAsia="宋体" w:cs="宋体"/>
                <w:color w:val="auto"/>
                <w:sz w:val="21"/>
                <w:szCs w:val="21"/>
                <w:highlight w:val="none"/>
                <w:lang w:eastAsia="zh-CN"/>
              </w:rPr>
              <w:t>和地表水</w:t>
            </w:r>
            <w:r>
              <w:rPr>
                <w:rFonts w:hint="eastAsia" w:ascii="宋体" w:hAnsi="宋体" w:eastAsia="宋体" w:cs="宋体"/>
                <w:color w:val="auto"/>
                <w:sz w:val="21"/>
                <w:szCs w:val="21"/>
                <w:highlight w:val="none"/>
              </w:rPr>
              <w:t>连续自动监测系统运营服务证书得1分；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、具有相关生态环境在线监控系统运营维护管理类软件的著作权得1分；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、具有相关生态环境在线监控系统移动终端软件的得1分。</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sz w:val="21"/>
                <w:szCs w:val="21"/>
              </w:rPr>
              <w:t>具有相关环境空气质量及水质在线监测系统平台软件的得1分</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（以上所有证书资料均须在有效期内，以相关证明材料加盖公章为准，没有不得分）</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w:t>
            </w:r>
          </w:p>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业绩</w:t>
            </w:r>
          </w:p>
        </w:tc>
        <w:tc>
          <w:tcPr>
            <w:tcW w:w="7155" w:type="dxa"/>
            <w:noWrap w:val="0"/>
            <w:vAlign w:val="center"/>
          </w:tcPr>
          <w:p>
            <w:pPr>
              <w:keepNext w:val="0"/>
              <w:keepLines w:val="0"/>
              <w:pageBreakBefore w:val="0"/>
              <w:kinsoku/>
              <w:wordWrap/>
              <w:overflowPunct/>
              <w:topLinePunct w:val="0"/>
              <w:autoSpaceDE/>
              <w:autoSpaceDN/>
              <w:bidi w:val="0"/>
              <w:adjustRightInd/>
              <w:snapToGrid/>
              <w:spacing w:line="348" w:lineRule="auto"/>
              <w:textAlignment w:val="auto"/>
              <w:rPr>
                <w:rFonts w:hint="eastAsia" w:ascii="宋体" w:hAnsi="宋体" w:eastAsia="宋体" w:cs="宋体"/>
                <w:color w:val="000000"/>
                <w:sz w:val="21"/>
                <w:szCs w:val="21"/>
              </w:rPr>
            </w:pPr>
            <w:r>
              <w:rPr>
                <w:rFonts w:hint="eastAsia" w:ascii="宋体" w:hAnsi="宋体" w:eastAsia="宋体" w:cs="宋体"/>
                <w:color w:val="auto"/>
                <w:sz w:val="21"/>
                <w:szCs w:val="21"/>
              </w:rPr>
              <w:t>投标人从2020年1月至今承担过</w:t>
            </w:r>
            <w:r>
              <w:rPr>
                <w:rFonts w:hint="eastAsia" w:ascii="宋体" w:hAnsi="宋体" w:cs="宋体"/>
                <w:color w:val="auto"/>
                <w:sz w:val="21"/>
                <w:szCs w:val="21"/>
                <w:lang w:eastAsia="zh-CN"/>
              </w:rPr>
              <w:t>类似</w:t>
            </w:r>
            <w:r>
              <w:rPr>
                <w:rFonts w:hint="eastAsia" w:ascii="宋体" w:hAnsi="宋体" w:eastAsia="宋体" w:cs="宋体"/>
                <w:color w:val="auto"/>
                <w:sz w:val="21"/>
                <w:szCs w:val="21"/>
              </w:rPr>
              <w:t>业绩的，</w:t>
            </w:r>
            <w:r>
              <w:rPr>
                <w:rFonts w:hint="eastAsia" w:ascii="宋体" w:hAnsi="宋体" w:eastAsia="宋体" w:cs="宋体"/>
                <w:color w:val="auto"/>
                <w:sz w:val="21"/>
                <w:szCs w:val="21"/>
                <w:lang w:eastAsia="zh-CN"/>
              </w:rPr>
              <w:t>每个业绩得</w:t>
            </w:r>
            <w:r>
              <w:rPr>
                <w:rFonts w:hint="eastAsia" w:ascii="宋体" w:hAnsi="宋体" w:eastAsia="宋体" w:cs="宋体"/>
                <w:color w:val="auto"/>
                <w:sz w:val="21"/>
                <w:szCs w:val="21"/>
                <w:lang w:val="en-US" w:eastAsia="zh-CN"/>
              </w:rPr>
              <w:t>0.25分，最高得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分，未提供的不得分。</w:t>
            </w:r>
            <w:r>
              <w:rPr>
                <w:rFonts w:hint="eastAsia" w:ascii="宋体" w:hAnsi="宋体" w:eastAsia="宋体" w:cs="宋体"/>
                <w:color w:val="000000"/>
                <w:sz w:val="21"/>
                <w:szCs w:val="21"/>
              </w:rPr>
              <w:t xml:space="preserve"> </w:t>
            </w:r>
          </w:p>
        </w:tc>
        <w:tc>
          <w:tcPr>
            <w:tcW w:w="796" w:type="dxa"/>
            <w:noWrap w:val="0"/>
            <w:vAlign w:val="center"/>
          </w:tcPr>
          <w:p>
            <w:pPr>
              <w:keepNext w:val="0"/>
              <w:keepLines w:val="0"/>
              <w:pageBreakBefore w:val="0"/>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after="0" w:line="348" w:lineRule="auto"/>
              <w:jc w:val="center"/>
              <w:textAlignment w:val="auto"/>
              <w:rPr>
                <w:rFonts w:ascii="宋体" w:hAnsi="宋体" w:cs="宋体"/>
                <w:color w:val="auto"/>
                <w:szCs w:val="21"/>
              </w:rPr>
            </w:pPr>
            <w:r>
              <w:rPr>
                <w:rFonts w:hint="eastAsia" w:ascii="宋体" w:hAnsi="宋体" w:cs="宋体"/>
                <w:color w:val="auto"/>
                <w:szCs w:val="21"/>
              </w:rPr>
              <w:t>价格分</w:t>
            </w:r>
          </w:p>
          <w:p>
            <w:pPr>
              <w:keepNext w:val="0"/>
              <w:keepLines w:val="0"/>
              <w:pageBreakBefore w:val="0"/>
              <w:kinsoku/>
              <w:wordWrap/>
              <w:overflowPunct/>
              <w:topLinePunct w:val="0"/>
              <w:autoSpaceDE/>
              <w:autoSpaceDN/>
              <w:bidi w:val="0"/>
              <w:adjustRightInd/>
              <w:snapToGrid/>
              <w:spacing w:after="0" w:line="348" w:lineRule="auto"/>
              <w:jc w:val="center"/>
              <w:textAlignment w:val="auto"/>
              <w:rPr>
                <w:rFonts w:hint="eastAsia" w:ascii="宋体" w:hAnsi="宋体" w:eastAsia="宋体" w:cs="宋体"/>
                <w:color w:val="auto"/>
                <w:sz w:val="21"/>
                <w:szCs w:val="21"/>
              </w:rPr>
            </w:pPr>
            <w:r>
              <w:rPr>
                <w:rFonts w:hint="eastAsia" w:ascii="宋体" w:hAnsi="宋体" w:cs="宋体"/>
                <w:color w:val="auto"/>
                <w:szCs w:val="21"/>
                <w:lang w:val="en-US" w:eastAsia="zh-CN"/>
              </w:rPr>
              <w:t>1</w:t>
            </w:r>
            <w:r>
              <w:rPr>
                <w:rFonts w:hint="eastAsia" w:ascii="宋体" w:hAnsi="宋体" w:cs="宋体"/>
                <w:color w:val="auto"/>
                <w:szCs w:val="21"/>
              </w:rPr>
              <w:t>0分</w:t>
            </w:r>
          </w:p>
        </w:tc>
        <w:tc>
          <w:tcPr>
            <w:tcW w:w="8340" w:type="dxa"/>
            <w:gridSpan w:val="2"/>
            <w:noWrap w:val="0"/>
            <w:vAlign w:val="center"/>
          </w:tcPr>
          <w:p>
            <w:pPr>
              <w:keepNext w:val="0"/>
              <w:keepLines w:val="0"/>
              <w:pageBreakBefore w:val="0"/>
              <w:widowControl/>
              <w:kinsoku/>
              <w:wordWrap/>
              <w:overflowPunct/>
              <w:topLinePunct w:val="0"/>
              <w:autoSpaceDE/>
              <w:autoSpaceDN/>
              <w:bidi w:val="0"/>
              <w:adjustRightInd/>
              <w:snapToGrid/>
              <w:spacing w:after="0" w:line="348" w:lineRule="auto"/>
              <w:jc w:val="left"/>
              <w:textAlignment w:val="auto"/>
              <w:rPr>
                <w:rFonts w:hint="eastAsia" w:ascii="宋体" w:hAnsi="宋体" w:eastAsia="宋体" w:cs="宋体"/>
                <w:color w:val="auto"/>
                <w:sz w:val="21"/>
                <w:szCs w:val="21"/>
              </w:rPr>
            </w:pPr>
            <w:r>
              <w:rPr>
                <w:rFonts w:hint="eastAsia" w:ascii="宋体" w:hAnsi="宋体" w:cs="宋体"/>
                <w:color w:val="auto"/>
                <w:szCs w:val="21"/>
              </w:rPr>
              <w:t>满足招标文件要求且报价最低的供应商的价格为报价基准价，其价格分为</w:t>
            </w:r>
            <w:r>
              <w:rPr>
                <w:rFonts w:hint="eastAsia" w:ascii="宋体" w:hAnsi="宋体" w:cs="宋体"/>
                <w:color w:val="auto"/>
                <w:szCs w:val="21"/>
                <w:lang w:val="en-US" w:eastAsia="zh-CN"/>
              </w:rPr>
              <w:t>1</w:t>
            </w:r>
            <w:r>
              <w:rPr>
                <w:rFonts w:hint="eastAsia" w:ascii="宋体" w:hAnsi="宋体" w:cs="宋体"/>
                <w:color w:val="auto"/>
                <w:szCs w:val="21"/>
              </w:rPr>
              <w:t>0分；其他供应商的价格分按下列公式计算：投标报价得分＝（报价基准价/投标报价）×</w:t>
            </w:r>
            <w:r>
              <w:rPr>
                <w:rFonts w:hint="eastAsia" w:ascii="宋体" w:hAnsi="宋体" w:cs="宋体"/>
                <w:color w:val="auto"/>
                <w:szCs w:val="21"/>
                <w:lang w:val="en-US" w:eastAsia="zh-CN"/>
              </w:rPr>
              <w:t>1</w:t>
            </w:r>
            <w:r>
              <w:rPr>
                <w:rFonts w:hint="eastAsia" w:ascii="宋体" w:hAnsi="宋体" w:cs="宋体"/>
                <w:color w:val="auto"/>
                <w:szCs w:val="21"/>
              </w:rPr>
              <w:t>0分（小数点后保留2位小数）。此项由磋商小组集体核实后统一打分。</w:t>
            </w:r>
          </w:p>
        </w:tc>
        <w:tc>
          <w:tcPr>
            <w:tcW w:w="796" w:type="dxa"/>
            <w:noWrap w:val="0"/>
            <w:vAlign w:val="center"/>
          </w:tcPr>
          <w:p>
            <w:pPr>
              <w:keepNext w:val="0"/>
              <w:keepLines w:val="0"/>
              <w:pageBreakBefore w:val="0"/>
              <w:shd w:val="clear" w:color="auto" w:fill="auto"/>
              <w:kinsoku/>
              <w:wordWrap/>
              <w:overflowPunct/>
              <w:topLinePunct w:val="0"/>
              <w:autoSpaceDE/>
              <w:autoSpaceDN/>
              <w:bidi w:val="0"/>
              <w:adjustRightInd/>
              <w:snapToGrid/>
              <w:spacing w:line="348"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10</w:t>
            </w:r>
          </w:p>
        </w:tc>
      </w:tr>
    </w:tbl>
    <w:p>
      <w:r>
        <w:rPr>
          <w:rFonts w:hint="eastAsia"/>
          <w:b/>
          <w:bCs/>
        </w:rPr>
        <w:t>注：请扫描上传合同、证书、报告及其他相关证明材料的原件至投标文件，并加盖电子印章。</w:t>
      </w:r>
    </w:p>
    <w:p>
      <w:pPr>
        <w:pStyle w:val="12"/>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2.评审要求</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(2)对于投标文件报价出现前后不一致的，除招标文件另有规定外，按照下列规定修正：</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政府采购云平台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③大写金额和小写金额不一致的，以大写金额为准；</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④单价金额小数点或者百分比有明显错位的，以开标一览表的总价为准，并修改单价；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color w:val="auto"/>
          <w:sz w:val="24"/>
        </w:rPr>
        <w:fldChar w:fldCharType="begin"/>
      </w:r>
      <w:r>
        <w:rPr>
          <w:rFonts w:hint="eastAsia" w:ascii="宋体" w:hAnsi="宋体" w:cs="宋体"/>
          <w:color w:val="auto"/>
          <w:sz w:val="24"/>
        </w:rPr>
        <w:instrText xml:space="preserve"> = 5 \* GB3 \* MERGEFORMAT </w:instrText>
      </w:r>
      <w:r>
        <w:rPr>
          <w:rFonts w:hint="eastAsia" w:ascii="宋体" w:hAnsi="宋体" w:cs="宋体"/>
          <w:color w:val="auto"/>
          <w:sz w:val="24"/>
        </w:rPr>
        <w:fldChar w:fldCharType="separate"/>
      </w:r>
      <w:r>
        <w:rPr>
          <w:rFonts w:hint="eastAsia" w:ascii="宋体" w:hAnsi="宋体" w:cs="宋体"/>
          <w:color w:val="auto"/>
          <w:sz w:val="24"/>
        </w:rPr>
        <w:t>⑤</w:t>
      </w:r>
      <w:r>
        <w:rPr>
          <w:rFonts w:hint="eastAsia" w:ascii="宋体" w:hAnsi="宋体" w:cs="宋体"/>
          <w:color w:val="auto"/>
          <w:sz w:val="24"/>
        </w:rPr>
        <w:fldChar w:fldCharType="end"/>
      </w:r>
      <w:r>
        <w:rPr>
          <w:rFonts w:hint="eastAsia" w:ascii="宋体" w:hAnsi="宋体" w:cs="宋体"/>
          <w:color w:val="auto"/>
          <w:sz w:val="24"/>
        </w:rPr>
        <w:t>总</w:t>
      </w:r>
      <w:r>
        <w:rPr>
          <w:rFonts w:hint="eastAsia" w:ascii="宋体" w:hAnsi="宋体" w:cs="宋体"/>
          <w:sz w:val="24"/>
        </w:rPr>
        <w:t>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同时出现两种以上不一致的，按照前款规定的顺序修正。修正应当采用电子询标的形式，并加盖公章（电子印章）。</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hAnsi="宋体" w:cs="宋体"/>
          <w:sz w:val="24"/>
        </w:rPr>
      </w:pPr>
      <w:r>
        <w:rPr>
          <w:rFonts w:hint="eastAsia" w:ascii="宋体" w:hAnsi="宋体" w:cs="宋体"/>
          <w:sz w:val="24"/>
        </w:rPr>
        <w:t>（4）投标人的澄清、说明或者补正采用书面形式，并加盖公章（电子印章）或者由法定代表人或授权代表签字，且不得超出投标文件的范围或者改变投标文件的实质性内容。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ascii="宋体"/>
          <w:sz w:val="24"/>
        </w:rPr>
      </w:pPr>
      <w:r>
        <w:rPr>
          <w:rFonts w:hint="eastAsia" w:ascii="宋体" w:hAnsi="宋体" w:cs="宋体"/>
          <w:b/>
          <w:bCs/>
          <w:sz w:val="24"/>
        </w:rPr>
        <w:t>（四）结果汇总及排序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宋体"/>
          <w:sz w:val="24"/>
          <w:lang w:val="zh-CN"/>
        </w:rPr>
      </w:pPr>
      <w:r>
        <w:rPr>
          <w:rFonts w:hint="eastAsia" w:ascii="宋体" w:hAnsi="宋体" w:cs="宋体"/>
          <w:sz w:val="24"/>
        </w:rPr>
        <w:t>评标委员会各成员应当独立对每个投标人的投标文件进行评价，并汇总每个投标人的得分。评标结果按评审后综合得分由高到低顺序排列，</w:t>
      </w:r>
      <w:r>
        <w:rPr>
          <w:rFonts w:hint="eastAsia" w:ascii="宋体"/>
          <w:sz w:val="24"/>
          <w:lang w:val="zh-CN"/>
        </w:rPr>
        <w:t>如综合得分相同，投标报价低者为先；如综合得分且投标报价相同的，货物类采购项目以技术性能得分较高者为先，服务类采购项目以实力信誉及业绩得分较高者为先。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autoSpaceDN/>
        <w:bidi w:val="0"/>
        <w:adjustRightInd/>
        <w:snapToGrid w:val="0"/>
        <w:spacing w:line="336" w:lineRule="auto"/>
        <w:ind w:firstLine="482" w:firstLineChars="200"/>
        <w:textAlignment w:val="auto"/>
        <w:rPr>
          <w:rFonts w:ascii="宋体" w:hAnsi="宋体" w:cs="宋体"/>
          <w:b/>
          <w:bCs/>
          <w:sz w:val="24"/>
        </w:rPr>
      </w:pPr>
      <w:r>
        <w:rPr>
          <w:rFonts w:hint="eastAsia" w:ascii="宋体" w:hAnsi="宋体" w:cs="宋体"/>
          <w:b/>
          <w:bCs/>
          <w:sz w:val="24"/>
        </w:rPr>
        <w:t>（五）评标报告撰写</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122" w:name="_Toc27944_WPSOffice_Level1"/>
    </w:p>
    <w:p>
      <w:pPr>
        <w:spacing w:line="360" w:lineRule="auto"/>
        <w:jc w:val="cente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pStyle w:val="3"/>
        <w:rPr>
          <w:rFonts w:hint="eastAsia" w:asciiTheme="minorEastAsia" w:hAnsiTheme="minorEastAsia" w:eastAsiaTheme="minorEastAsia"/>
          <w:b/>
          <w:sz w:val="36"/>
          <w:szCs w:val="36"/>
        </w:rPr>
      </w:pPr>
    </w:p>
    <w:p>
      <w:pPr>
        <w:pStyle w:val="2"/>
        <w:rPr>
          <w:rFonts w:hint="eastAsia"/>
        </w:rPr>
      </w:pPr>
    </w:p>
    <w:p>
      <w:pPr>
        <w:spacing w:line="360" w:lineRule="auto"/>
        <w:jc w:val="center"/>
        <w:rPr>
          <w:rStyle w:val="50"/>
          <w:rFonts w:ascii="宋体" w:hAnsi="宋体"/>
          <w:b/>
          <w:sz w:val="36"/>
          <w:szCs w:val="36"/>
        </w:rPr>
      </w:pPr>
      <w:r>
        <w:rPr>
          <w:rFonts w:hint="eastAsia" w:asciiTheme="minorEastAsia" w:hAnsiTheme="minorEastAsia" w:eastAsiaTheme="minorEastAsia"/>
          <w:b/>
          <w:sz w:val="36"/>
          <w:szCs w:val="36"/>
        </w:rPr>
        <w:t xml:space="preserve">第五章 </w:t>
      </w:r>
      <w:bookmarkEnd w:id="122"/>
      <w:r>
        <w:rPr>
          <w:rStyle w:val="50"/>
          <w:rFonts w:ascii="宋体" w:hAnsi="宋体"/>
          <w:b/>
          <w:sz w:val="36"/>
          <w:szCs w:val="36"/>
        </w:rPr>
        <w:t>采购合同主要条款指引</w:t>
      </w:r>
    </w:p>
    <w:p>
      <w:pPr>
        <w:widowControl/>
        <w:shd w:val="clear" w:color="auto" w:fill="FFFFFF"/>
        <w:spacing w:after="150" w:line="360" w:lineRule="auto"/>
        <w:ind w:firstLine="240" w:firstLineChars="100"/>
        <w:jc w:val="left"/>
        <w:rPr>
          <w:rFonts w:ascii="宋体" w:hAnsi="宋体"/>
          <w:sz w:val="24"/>
        </w:rPr>
      </w:pPr>
      <w:r>
        <w:rPr>
          <w:rFonts w:hint="eastAsia" w:ascii="宋体" w:hAnsi="宋体"/>
          <w:sz w:val="24"/>
        </w:rPr>
        <w:t>以下为中标后签定本项目合同的通用条款，中标供应商不得提出实质性的修改，关于专用条款将由采购人与中标供应商结合本项目具体情况协商后签订。</w:t>
      </w:r>
    </w:p>
    <w:p>
      <w:pPr>
        <w:pStyle w:val="12"/>
        <w:snapToGrid w:val="0"/>
        <w:spacing w:before="120" w:after="120" w:line="360" w:lineRule="auto"/>
        <w:rPr>
          <w:rFonts w:hAnsi="宋体"/>
          <w:sz w:val="24"/>
        </w:rPr>
      </w:pPr>
      <w:r>
        <w:rPr>
          <w:rFonts w:hAnsi="宋体"/>
          <w:sz w:val="24"/>
        </w:rPr>
        <w:t>项目名称：                             项目编号：</w:t>
      </w:r>
    </w:p>
    <w:p>
      <w:pPr>
        <w:pStyle w:val="12"/>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2"/>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widowControl/>
        <w:shd w:val="clear" w:color="auto" w:fill="FFFFFF"/>
        <w:spacing w:after="150" w:line="360" w:lineRule="auto"/>
        <w:ind w:firstLine="480" w:firstLineChars="200"/>
        <w:jc w:val="left"/>
        <w:rPr>
          <w:rFonts w:ascii="宋体" w:hAnsi="宋体"/>
          <w:sz w:val="24"/>
        </w:rPr>
      </w:pPr>
      <w:r>
        <w:rPr>
          <w:rFonts w:hint="eastAsia" w:ascii="宋体" w:hAnsi="宋体"/>
          <w:sz w:val="24"/>
        </w:rPr>
        <w:t>甲、乙双方根据台州天兴工程管理咨询有限公司关于</w:t>
      </w:r>
      <w:r>
        <w:rPr>
          <w:rFonts w:hint="eastAsia" w:ascii="宋体" w:hAnsi="宋体"/>
          <w:kern w:val="0"/>
          <w:sz w:val="24"/>
        </w:rPr>
        <w:t>浙江省台州生态环境监测中心2023年-2024年台州市省控环境质量自动监测站运行维护采购项目</w:t>
      </w:r>
      <w:r>
        <w:rPr>
          <w:rFonts w:hint="eastAsia" w:ascii="宋体" w:hAnsi="宋体"/>
          <w:kern w:val="0"/>
          <w:sz w:val="24"/>
          <w:lang w:eastAsia="zh-CN"/>
        </w:rPr>
        <w:t>公开招标</w:t>
      </w:r>
      <w:r>
        <w:rPr>
          <w:rFonts w:ascii="宋体" w:hAnsi="宋体"/>
          <w:sz w:val="24"/>
        </w:rPr>
        <w:t>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2"/>
        <w:snapToGrid w:val="0"/>
        <w:spacing w:line="360" w:lineRule="auto"/>
        <w:ind w:firstLine="480" w:firstLineChars="200"/>
        <w:rPr>
          <w:rFonts w:hAnsi="宋体"/>
          <w:b/>
          <w:sz w:val="24"/>
        </w:rPr>
      </w:pPr>
      <w:r>
        <w:rPr>
          <w:rFonts w:hint="eastAsia"/>
          <w:color w:val="000000"/>
          <w:sz w:val="24"/>
          <w:lang w:val="zh-CN"/>
        </w:rPr>
        <w:t>上述所指合同文件应认为是互相补充和解释的，但是有模棱两可或互相矛盾之处，除法律另有规定之外以其所列内容顺序为准。</w:t>
      </w:r>
    </w:p>
    <w:p>
      <w:pPr>
        <w:widowControl/>
        <w:shd w:val="clear" w:color="auto" w:fill="FFFFFF"/>
        <w:spacing w:after="150" w:line="360" w:lineRule="auto"/>
        <w:jc w:val="left"/>
        <w:rPr>
          <w:rFonts w:ascii="宋体" w:hAnsi="宋体" w:cs="Arial"/>
          <w:b/>
          <w:color w:val="333333"/>
          <w:kern w:val="0"/>
          <w:sz w:val="24"/>
        </w:rPr>
      </w:pPr>
      <w:r>
        <w:rPr>
          <w:rFonts w:hint="eastAsia" w:ascii="宋体" w:hAnsi="宋体"/>
          <w:b/>
          <w:sz w:val="24"/>
        </w:rPr>
        <w:t>二</w:t>
      </w:r>
      <w:r>
        <w:rPr>
          <w:rFonts w:ascii="宋体" w:hAnsi="宋体"/>
          <w:b/>
          <w:sz w:val="24"/>
        </w:rPr>
        <w:t>、</w:t>
      </w:r>
      <w:r>
        <w:rPr>
          <w:rFonts w:ascii="宋体" w:hAnsi="宋体" w:cs="Arial"/>
          <w:b/>
          <w:color w:val="333333"/>
          <w:kern w:val="0"/>
          <w:sz w:val="24"/>
        </w:rPr>
        <w:t>合同内容及服务标准</w:t>
      </w:r>
    </w:p>
    <w:p>
      <w:pPr>
        <w:widowControl/>
        <w:shd w:val="clear" w:color="auto" w:fill="FFFFFF"/>
        <w:spacing w:after="150" w:line="360" w:lineRule="auto"/>
        <w:ind w:firstLine="480"/>
        <w:jc w:val="left"/>
        <w:rPr>
          <w:rFonts w:ascii="宋体" w:hAnsi="宋体" w:cs="Arial"/>
          <w:color w:val="333333"/>
          <w:kern w:val="0"/>
          <w:sz w:val="24"/>
        </w:rPr>
      </w:pPr>
      <w:r>
        <w:rPr>
          <w:rFonts w:ascii="宋体" w:hAnsi="宋体" w:cs="Arial"/>
          <w:color w:val="333333"/>
          <w:kern w:val="0"/>
          <w:sz w:val="24"/>
        </w:rPr>
        <w:t>（具体见项目需求）</w:t>
      </w:r>
    </w:p>
    <w:p>
      <w:pPr>
        <w:pStyle w:val="12"/>
        <w:snapToGrid w:val="0"/>
        <w:spacing w:before="120" w:after="120" w:line="360" w:lineRule="auto"/>
        <w:rPr>
          <w:rFonts w:hAnsi="宋体"/>
          <w:b/>
          <w:sz w:val="24"/>
        </w:rPr>
      </w:pPr>
      <w:r>
        <w:rPr>
          <w:rFonts w:hint="eastAsia" w:hAnsi="宋体"/>
          <w:b/>
          <w:sz w:val="24"/>
        </w:rPr>
        <w:t>三</w:t>
      </w:r>
      <w:r>
        <w:rPr>
          <w:rFonts w:hAnsi="宋体"/>
          <w:b/>
          <w:sz w:val="24"/>
        </w:rPr>
        <w:t>、合同金额</w:t>
      </w:r>
    </w:p>
    <w:p>
      <w:pPr>
        <w:pStyle w:val="12"/>
        <w:snapToGrid w:val="0"/>
        <w:spacing w:before="120" w:after="120" w:line="360" w:lineRule="auto"/>
        <w:ind w:left="410" w:hanging="410" w:hangingChars="171"/>
        <w:rPr>
          <w:rFonts w:hAnsi="宋体"/>
          <w:sz w:val="24"/>
        </w:rPr>
      </w:pPr>
      <w:r>
        <w:rPr>
          <w:rFonts w:hAnsi="宋体"/>
          <w:sz w:val="24"/>
        </w:rPr>
        <w:t>本合同金额为（大写）：____________________________________元（￥_______________元）人民币。</w:t>
      </w:r>
    </w:p>
    <w:p>
      <w:pPr>
        <w:widowControl/>
        <w:shd w:val="clear" w:color="auto" w:fill="FFFFFF"/>
        <w:spacing w:after="150" w:line="360" w:lineRule="auto"/>
        <w:jc w:val="left"/>
        <w:rPr>
          <w:rFonts w:ascii="宋体" w:hAnsi="宋体" w:cs="Arial"/>
          <w:b/>
          <w:color w:val="333333"/>
          <w:kern w:val="0"/>
          <w:sz w:val="24"/>
        </w:rPr>
      </w:pPr>
      <w:r>
        <w:rPr>
          <w:rFonts w:hint="eastAsia" w:ascii="宋体" w:hAnsi="宋体" w:cs="Arial"/>
          <w:b/>
          <w:color w:val="333333"/>
          <w:kern w:val="0"/>
          <w:sz w:val="24"/>
        </w:rPr>
        <w:t>四</w:t>
      </w:r>
      <w:r>
        <w:rPr>
          <w:rFonts w:ascii="宋体" w:hAnsi="宋体" w:cs="Arial"/>
          <w:b/>
          <w:color w:val="333333"/>
          <w:kern w:val="0"/>
          <w:sz w:val="24"/>
        </w:rPr>
        <w:t>、甲乙双方责任</w:t>
      </w:r>
    </w:p>
    <w:p>
      <w:pPr>
        <w:pStyle w:val="18"/>
        <w:shd w:val="clear" w:color="auto" w:fill="FFFFFF"/>
        <w:spacing w:beforeAutospacing="0" w:after="150" w:afterAutospacing="0" w:line="360" w:lineRule="auto"/>
        <w:ind w:firstLine="480"/>
        <w:rPr>
          <w:rFonts w:cs="Arial"/>
          <w:color w:val="333333"/>
        </w:rPr>
      </w:pPr>
      <w:r>
        <w:rPr>
          <w:rFonts w:cs="Arial"/>
          <w:color w:val="333333"/>
        </w:rPr>
        <w:t>（一）甲方责任</w:t>
      </w:r>
    </w:p>
    <w:p>
      <w:pPr>
        <w:pStyle w:val="18"/>
        <w:shd w:val="clear" w:color="auto" w:fill="FFFFFF"/>
        <w:spacing w:beforeAutospacing="0" w:after="150" w:afterAutospacing="0" w:line="360" w:lineRule="auto"/>
        <w:ind w:firstLine="480"/>
        <w:rPr>
          <w:rFonts w:cs="Arial"/>
          <w:color w:val="333333"/>
        </w:rPr>
      </w:pPr>
      <w:r>
        <w:rPr>
          <w:rFonts w:cs="Arial"/>
          <w:color w:val="333333"/>
        </w:rPr>
        <w:t>（根据招标结果确定）</w:t>
      </w:r>
    </w:p>
    <w:p>
      <w:pPr>
        <w:pStyle w:val="18"/>
        <w:shd w:val="clear" w:color="auto" w:fill="FFFFFF"/>
        <w:spacing w:beforeAutospacing="0" w:after="150" w:afterAutospacing="0" w:line="360" w:lineRule="auto"/>
        <w:ind w:firstLine="480"/>
        <w:rPr>
          <w:rFonts w:cs="Arial"/>
          <w:color w:val="333333"/>
        </w:rPr>
      </w:pPr>
      <w:r>
        <w:rPr>
          <w:rFonts w:cs="Arial"/>
          <w:color w:val="333333"/>
        </w:rPr>
        <w:t>（二）乙方责任</w:t>
      </w:r>
    </w:p>
    <w:p>
      <w:pPr>
        <w:pStyle w:val="18"/>
        <w:shd w:val="clear" w:color="auto" w:fill="FFFFFF"/>
        <w:spacing w:beforeAutospacing="0" w:after="150" w:afterAutospacing="0" w:line="360" w:lineRule="auto"/>
        <w:ind w:firstLine="480"/>
        <w:rPr>
          <w:rFonts w:cs="Arial"/>
          <w:color w:val="333333"/>
        </w:rPr>
      </w:pPr>
      <w:r>
        <w:t>（根据招标结果确定）</w:t>
      </w:r>
    </w:p>
    <w:p>
      <w:pPr>
        <w:pStyle w:val="12"/>
        <w:snapToGrid w:val="0"/>
        <w:spacing w:before="120" w:after="120" w:line="360" w:lineRule="auto"/>
        <w:rPr>
          <w:rFonts w:hAnsi="宋体"/>
          <w:b/>
          <w:sz w:val="24"/>
        </w:rPr>
      </w:pPr>
      <w:r>
        <w:rPr>
          <w:rFonts w:hint="eastAsia" w:hAnsi="宋体"/>
          <w:b/>
          <w:sz w:val="24"/>
        </w:rPr>
        <w:t>五</w:t>
      </w:r>
      <w:r>
        <w:rPr>
          <w:rFonts w:hAnsi="宋体"/>
          <w:b/>
          <w:sz w:val="24"/>
        </w:rPr>
        <w:t>、技术资料</w:t>
      </w:r>
    </w:p>
    <w:p>
      <w:pPr>
        <w:pStyle w:val="12"/>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乙方应按招标文件规定的时间向甲方提供有关技术资料。</w:t>
      </w:r>
    </w:p>
    <w:p>
      <w:pPr>
        <w:pStyle w:val="12"/>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120" w:after="120" w:line="360" w:lineRule="auto"/>
        <w:ind w:left="412" w:hanging="412" w:hangingChars="171"/>
        <w:rPr>
          <w:rFonts w:hAnsi="宋体"/>
          <w:b/>
          <w:sz w:val="24"/>
        </w:rPr>
      </w:pPr>
      <w:r>
        <w:rPr>
          <w:rFonts w:hint="eastAsia" w:hAnsi="宋体"/>
          <w:b/>
          <w:sz w:val="24"/>
        </w:rPr>
        <w:t>六</w:t>
      </w:r>
      <w:r>
        <w:rPr>
          <w:rFonts w:hAnsi="宋体"/>
          <w:b/>
          <w:sz w:val="24"/>
        </w:rPr>
        <w:t>、知识产权</w:t>
      </w:r>
    </w:p>
    <w:p>
      <w:pPr>
        <w:pStyle w:val="12"/>
        <w:snapToGrid w:val="0"/>
        <w:spacing w:before="120" w:after="120" w:line="360" w:lineRule="auto"/>
        <w:ind w:left="420" w:leftChars="200"/>
        <w:rPr>
          <w:rFonts w:hAnsi="宋体"/>
          <w:b/>
          <w:bCs/>
          <w:sz w:val="24"/>
        </w:rPr>
      </w:pPr>
      <w:r>
        <w:rPr>
          <w:rFonts w:hAnsi="宋体"/>
          <w:sz w:val="24"/>
        </w:rPr>
        <w:t>乙方应保证提供服务过程中不会侵犯任何第三方的知识产权</w:t>
      </w:r>
      <w:r>
        <w:rPr>
          <w:rFonts w:hint="eastAsia" w:hAnsi="宋体"/>
          <w:sz w:val="24"/>
        </w:rPr>
        <w:t>，如第三方以乙方为甲方提供的服务或产品侵犯其知识产权为由提起诉讼，乙方应当自行承担相关费用，并解决问题；若甲方因此受到损失的，乙方还应当赔偿甲方全部损失（包括但不限于诉讼法、律师费、调查取证费、差旅费、直接经济损失、间接经济损失）</w:t>
      </w:r>
      <w:r>
        <w:rPr>
          <w:rFonts w:hAnsi="宋体"/>
          <w:sz w:val="24"/>
        </w:rPr>
        <w:t>。</w:t>
      </w:r>
    </w:p>
    <w:p>
      <w:pPr>
        <w:pStyle w:val="12"/>
        <w:snapToGrid w:val="0"/>
        <w:spacing w:before="120" w:after="120" w:line="360" w:lineRule="auto"/>
        <w:ind w:left="410" w:hanging="410" w:hangingChars="170"/>
        <w:rPr>
          <w:rFonts w:hAnsi="宋体"/>
          <w:b/>
          <w:sz w:val="24"/>
        </w:rPr>
      </w:pPr>
      <w:r>
        <w:rPr>
          <w:rFonts w:hint="eastAsia" w:hAnsi="宋体"/>
          <w:b/>
          <w:sz w:val="24"/>
        </w:rPr>
        <w:t>七</w:t>
      </w:r>
      <w:r>
        <w:rPr>
          <w:rFonts w:hAnsi="宋体"/>
          <w:b/>
          <w:sz w:val="24"/>
        </w:rPr>
        <w:t>、履约保证金</w:t>
      </w:r>
    </w:p>
    <w:p>
      <w:pPr>
        <w:snapToGrid w:val="0"/>
        <w:spacing w:before="156" w:beforeLines="50" w:after="156" w:afterLines="50" w:line="360" w:lineRule="auto"/>
        <w:rPr>
          <w:rFonts w:ascii="宋体" w:hAnsi="宋体"/>
          <w:sz w:val="24"/>
        </w:rPr>
      </w:pPr>
      <w:r>
        <w:rPr>
          <w:rFonts w:hint="eastAsia" w:ascii="宋体" w:hAnsi="宋体"/>
          <w:sz w:val="24"/>
        </w:rPr>
        <w:t>无</w:t>
      </w:r>
    </w:p>
    <w:p>
      <w:pPr>
        <w:snapToGrid w:val="0"/>
        <w:spacing w:before="156" w:beforeLines="50" w:after="156" w:afterLines="50" w:line="360" w:lineRule="auto"/>
        <w:rPr>
          <w:rFonts w:ascii="宋体" w:hAnsi="宋体"/>
          <w:b/>
          <w:sz w:val="24"/>
        </w:rPr>
      </w:pPr>
      <w:r>
        <w:rPr>
          <w:rFonts w:hint="eastAsia" w:ascii="宋体" w:hAnsi="宋体"/>
          <w:b/>
          <w:sz w:val="24"/>
        </w:rPr>
        <w:t>八、转包或分包</w:t>
      </w:r>
    </w:p>
    <w:p>
      <w:pPr>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before="156" w:beforeLines="50" w:after="156" w:afterLines="50" w:line="360" w:lineRule="auto"/>
        <w:rPr>
          <w:rFonts w:ascii="宋体" w:hAnsi="宋体"/>
          <w:sz w:val="24"/>
        </w:rPr>
      </w:pPr>
      <w:r>
        <w:rPr>
          <w:rFonts w:ascii="宋体" w:hAnsi="宋体"/>
          <w:sz w:val="24"/>
        </w:rPr>
        <w:t>3</w:t>
      </w:r>
      <w:r>
        <w:rPr>
          <w:rFonts w:hint="eastAsia" w:ascii="宋体" w:hAnsi="宋体"/>
          <w:sz w:val="24"/>
        </w:rPr>
        <w:t>.如有转让和未经甲方同意的分包行为，甲方有权解除合同并追究乙方的违约责任。</w:t>
      </w:r>
    </w:p>
    <w:p>
      <w:pPr>
        <w:pStyle w:val="12"/>
        <w:snapToGrid w:val="0"/>
        <w:spacing w:before="120" w:after="120" w:line="360" w:lineRule="auto"/>
        <w:rPr>
          <w:rFonts w:hAnsi="宋体"/>
          <w:b/>
          <w:sz w:val="24"/>
        </w:rPr>
      </w:pPr>
      <w:r>
        <w:rPr>
          <w:rFonts w:hint="eastAsia" w:hAnsi="宋体"/>
          <w:b/>
          <w:sz w:val="24"/>
        </w:rPr>
        <w:t>九</w:t>
      </w:r>
      <w:r>
        <w:rPr>
          <w:rFonts w:hAnsi="宋体"/>
          <w:b/>
          <w:sz w:val="24"/>
        </w:rPr>
        <w:t>、合同履行时间、履行方式及履行地点</w:t>
      </w:r>
    </w:p>
    <w:p>
      <w:pPr>
        <w:pStyle w:val="12"/>
        <w:snapToGrid w:val="0"/>
        <w:spacing w:before="120" w:after="120" w:line="360" w:lineRule="auto"/>
        <w:rPr>
          <w:rFonts w:hAnsi="宋体"/>
          <w:bCs/>
          <w:color w:val="000000"/>
          <w:sz w:val="24"/>
        </w:rPr>
      </w:pPr>
      <w:r>
        <w:rPr>
          <w:rFonts w:hAnsi="宋体"/>
          <w:bCs/>
          <w:sz w:val="24"/>
        </w:rPr>
        <w:t>1</w:t>
      </w:r>
      <w:r>
        <w:rPr>
          <w:rFonts w:hint="eastAsia" w:hAnsi="宋体"/>
          <w:bCs/>
          <w:sz w:val="24"/>
        </w:rPr>
        <w:t>.</w:t>
      </w:r>
      <w:r>
        <w:rPr>
          <w:rFonts w:hAnsi="宋体"/>
          <w:bCs/>
          <w:sz w:val="24"/>
        </w:rPr>
        <w:t xml:space="preserve"> </w:t>
      </w:r>
      <w:r>
        <w:rPr>
          <w:rFonts w:hAnsi="宋体"/>
          <w:sz w:val="24"/>
        </w:rPr>
        <w:t>履行时间</w:t>
      </w:r>
      <w:r>
        <w:rPr>
          <w:rFonts w:hAnsi="宋体"/>
          <w:bCs/>
          <w:sz w:val="24"/>
        </w:rPr>
        <w:t>：</w:t>
      </w:r>
    </w:p>
    <w:p>
      <w:pPr>
        <w:pStyle w:val="12"/>
        <w:snapToGrid w:val="0"/>
        <w:spacing w:before="120" w:after="120" w:line="360" w:lineRule="auto"/>
        <w:rPr>
          <w:rFonts w:hAnsi="宋体"/>
          <w:bCs/>
          <w:color w:val="000000"/>
          <w:sz w:val="24"/>
        </w:rPr>
      </w:pPr>
      <w:r>
        <w:rPr>
          <w:rFonts w:hAnsi="宋体"/>
          <w:bCs/>
          <w:color w:val="000000"/>
          <w:sz w:val="24"/>
        </w:rPr>
        <w:t>2</w:t>
      </w:r>
      <w:r>
        <w:rPr>
          <w:rFonts w:hint="eastAsia" w:hAnsi="宋体"/>
          <w:bCs/>
          <w:color w:val="000000"/>
          <w:sz w:val="24"/>
        </w:rPr>
        <w:t>.</w:t>
      </w:r>
      <w:r>
        <w:rPr>
          <w:rFonts w:hAnsi="宋体"/>
          <w:bCs/>
          <w:color w:val="000000"/>
          <w:sz w:val="24"/>
        </w:rPr>
        <w:t xml:space="preserve"> </w:t>
      </w:r>
      <w:r>
        <w:rPr>
          <w:rFonts w:hAnsi="宋体"/>
          <w:sz w:val="24"/>
        </w:rPr>
        <w:t>履行方式</w:t>
      </w:r>
      <w:r>
        <w:rPr>
          <w:rFonts w:hAnsi="宋体"/>
          <w:bCs/>
          <w:color w:val="000000"/>
          <w:sz w:val="24"/>
        </w:rPr>
        <w:t>：</w:t>
      </w:r>
    </w:p>
    <w:p>
      <w:pPr>
        <w:pStyle w:val="12"/>
        <w:snapToGrid w:val="0"/>
        <w:spacing w:before="120" w:after="120" w:line="360" w:lineRule="auto"/>
        <w:rPr>
          <w:rFonts w:hAnsi="宋体"/>
          <w:color w:val="000000"/>
          <w:sz w:val="24"/>
        </w:rPr>
      </w:pPr>
      <w:r>
        <w:rPr>
          <w:rFonts w:hAnsi="宋体"/>
          <w:bCs/>
          <w:color w:val="000000"/>
          <w:sz w:val="24"/>
        </w:rPr>
        <w:t>3</w:t>
      </w:r>
      <w:r>
        <w:rPr>
          <w:rFonts w:hint="eastAsia" w:hAnsi="宋体"/>
          <w:bCs/>
          <w:color w:val="000000"/>
          <w:sz w:val="24"/>
        </w:rPr>
        <w:t>.</w:t>
      </w:r>
      <w:r>
        <w:rPr>
          <w:rFonts w:hAnsi="宋体"/>
          <w:bCs/>
          <w:color w:val="000000"/>
          <w:sz w:val="24"/>
        </w:rPr>
        <w:t xml:space="preserve"> </w:t>
      </w:r>
      <w:r>
        <w:rPr>
          <w:rFonts w:hAnsi="宋体"/>
          <w:sz w:val="24"/>
        </w:rPr>
        <w:t>履行地点</w:t>
      </w:r>
      <w:r>
        <w:rPr>
          <w:rFonts w:hAnsi="宋体"/>
          <w:bCs/>
          <w:color w:val="000000"/>
          <w:sz w:val="24"/>
        </w:rPr>
        <w:t>：</w:t>
      </w:r>
    </w:p>
    <w:p>
      <w:pPr>
        <w:pStyle w:val="12"/>
        <w:snapToGrid w:val="0"/>
        <w:spacing w:before="120" w:after="120" w:line="360" w:lineRule="auto"/>
        <w:rPr>
          <w:rFonts w:hAnsi="宋体"/>
          <w:b/>
          <w:color w:val="000000"/>
          <w:sz w:val="24"/>
        </w:rPr>
      </w:pPr>
      <w:r>
        <w:rPr>
          <w:rFonts w:hint="eastAsia" w:hAnsi="宋体"/>
          <w:b/>
          <w:color w:val="000000"/>
          <w:sz w:val="24"/>
        </w:rPr>
        <w:t>十</w:t>
      </w:r>
      <w:r>
        <w:rPr>
          <w:rFonts w:hAnsi="宋体"/>
          <w:b/>
          <w:color w:val="000000"/>
          <w:sz w:val="24"/>
        </w:rPr>
        <w:t>、款项支付</w:t>
      </w:r>
    </w:p>
    <w:p>
      <w:pPr>
        <w:spacing w:line="360" w:lineRule="auto"/>
        <w:ind w:firstLine="480" w:firstLineChars="200"/>
        <w:rPr>
          <w:rFonts w:hAnsi="宋体"/>
          <w:sz w:val="24"/>
        </w:rPr>
      </w:pPr>
      <w:r>
        <w:rPr>
          <w:rFonts w:hAnsi="宋体"/>
          <w:bCs/>
          <w:sz w:val="24"/>
        </w:rPr>
        <w:t xml:space="preserve"> 付款方式：</w:t>
      </w:r>
    </w:p>
    <w:p>
      <w:pPr>
        <w:snapToGrid w:val="0"/>
        <w:spacing w:before="156" w:beforeLines="50" w:after="156" w:afterLines="50" w:line="360" w:lineRule="auto"/>
        <w:rPr>
          <w:rFonts w:ascii="宋体" w:hAnsi="宋体"/>
          <w:b/>
          <w:sz w:val="24"/>
        </w:rPr>
      </w:pPr>
      <w:r>
        <w:rPr>
          <w:rFonts w:hint="eastAsia" w:ascii="宋体" w:hAnsi="宋体"/>
          <w:b/>
          <w:sz w:val="24"/>
        </w:rPr>
        <w:t>十一、税费</w:t>
      </w:r>
    </w:p>
    <w:p>
      <w:pPr>
        <w:snapToGrid w:val="0"/>
        <w:spacing w:before="156" w:beforeLines="50" w:after="156" w:afterLines="50" w:line="360" w:lineRule="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2"/>
        <w:snapToGrid w:val="0"/>
        <w:spacing w:before="120" w:after="120" w:line="360" w:lineRule="auto"/>
        <w:ind w:left="412" w:hanging="412" w:hangingChars="171"/>
        <w:rPr>
          <w:rFonts w:hAnsi="宋体"/>
          <w:sz w:val="24"/>
        </w:rPr>
      </w:pPr>
      <w:r>
        <w:rPr>
          <w:rFonts w:hAnsi="宋体"/>
          <w:b/>
          <w:sz w:val="24"/>
        </w:rPr>
        <w:t>十</w:t>
      </w:r>
      <w:r>
        <w:rPr>
          <w:rFonts w:hint="eastAsia" w:hAnsi="宋体"/>
          <w:b/>
          <w:sz w:val="24"/>
        </w:rPr>
        <w:t>二</w:t>
      </w:r>
      <w:r>
        <w:rPr>
          <w:rFonts w:hAnsi="宋体"/>
          <w:b/>
          <w:sz w:val="24"/>
        </w:rPr>
        <w:t>、质量保证及后续服务</w:t>
      </w:r>
    </w:p>
    <w:p>
      <w:pPr>
        <w:pStyle w:val="12"/>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乙方应按招标文件</w:t>
      </w:r>
      <w:r>
        <w:rPr>
          <w:rFonts w:hint="eastAsia" w:hAnsi="宋体"/>
          <w:sz w:val="24"/>
        </w:rPr>
        <w:t>及中标文件</w:t>
      </w:r>
      <w:r>
        <w:rPr>
          <w:rFonts w:hAnsi="宋体"/>
          <w:sz w:val="24"/>
        </w:rPr>
        <w:t>规定向甲方提供服务。</w:t>
      </w:r>
    </w:p>
    <w:p>
      <w:pPr>
        <w:pStyle w:val="12"/>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乙方提供的服务成果在服务质量保证期内发生故障，乙方应负责免费提供后续服务。</w:t>
      </w:r>
    </w:p>
    <w:p>
      <w:pPr>
        <w:pStyle w:val="12"/>
        <w:snapToGrid w:val="0"/>
        <w:spacing w:before="120" w:after="120" w:line="360" w:lineRule="auto"/>
        <w:ind w:left="480" w:hanging="480" w:hangingChars="200"/>
        <w:rPr>
          <w:rFonts w:hAnsi="宋体"/>
          <w:sz w:val="24"/>
        </w:rPr>
      </w:pPr>
      <w:r>
        <w:rPr>
          <w:rFonts w:hAnsi="宋体"/>
          <w:sz w:val="24"/>
        </w:rPr>
        <w:t>3</w:t>
      </w:r>
      <w:r>
        <w:rPr>
          <w:rFonts w:hint="eastAsia" w:hAnsi="宋体"/>
          <w:sz w:val="24"/>
        </w:rPr>
        <w:t>.</w:t>
      </w:r>
      <w:r>
        <w:rPr>
          <w:rFonts w:hAnsi="宋体"/>
          <w:sz w:val="24"/>
        </w:rPr>
        <w:t xml:space="preserve">  </w:t>
      </w:r>
      <w:r>
        <w:rPr>
          <w:rFonts w:hint="eastAsia" w:hAnsi="宋体"/>
          <w:sz w:val="24"/>
        </w:rPr>
        <w:t>若乙方提供的产品或者服务不符合甲方</w:t>
      </w:r>
      <w:r>
        <w:rPr>
          <w:rFonts w:hAnsi="宋体"/>
          <w:sz w:val="24"/>
        </w:rPr>
        <w:t>要求</w:t>
      </w:r>
      <w:r>
        <w:rPr>
          <w:rFonts w:hint="eastAsia" w:hAnsi="宋体"/>
          <w:sz w:val="24"/>
        </w:rPr>
        <w:t>的</w:t>
      </w:r>
      <w:r>
        <w:rPr>
          <w:rFonts w:hAnsi="宋体"/>
          <w:sz w:val="24"/>
        </w:rPr>
        <w:t>，</w:t>
      </w:r>
      <w:r>
        <w:rPr>
          <w:rFonts w:hint="eastAsia" w:hAnsi="宋体"/>
          <w:sz w:val="24"/>
        </w:rPr>
        <w:t>甲方有权采取以</w:t>
      </w:r>
      <w:r>
        <w:rPr>
          <w:rFonts w:hAnsi="宋体"/>
          <w:sz w:val="24"/>
        </w:rPr>
        <w:t>下</w:t>
      </w:r>
      <w:r>
        <w:rPr>
          <w:rFonts w:hint="eastAsia" w:hAnsi="宋体"/>
          <w:sz w:val="24"/>
        </w:rPr>
        <w:t>一种或几种</w:t>
      </w:r>
      <w:r>
        <w:rPr>
          <w:rFonts w:hAnsi="宋体"/>
          <w:sz w:val="24"/>
        </w:rPr>
        <w:t>办法处理：</w:t>
      </w:r>
    </w:p>
    <w:p>
      <w:pPr>
        <w:pStyle w:val="12"/>
        <w:snapToGrid w:val="0"/>
        <w:spacing w:before="120" w:after="120" w:line="360" w:lineRule="auto"/>
        <w:ind w:firstLine="420"/>
        <w:rPr>
          <w:rFonts w:hAnsi="宋体"/>
          <w:sz w:val="24"/>
        </w:rPr>
      </w:pPr>
      <w:r>
        <w:rPr>
          <w:rFonts w:hint="eastAsia" w:hAnsi="宋体"/>
          <w:sz w:val="24"/>
        </w:rPr>
        <w:t>（1）</w:t>
      </w:r>
      <w:r>
        <w:rPr>
          <w:rFonts w:hAnsi="宋体"/>
          <w:sz w:val="24"/>
        </w:rPr>
        <w:t>重做：由乙方承担所发生的全部费用。</w:t>
      </w:r>
    </w:p>
    <w:p>
      <w:pPr>
        <w:pStyle w:val="12"/>
        <w:snapToGrid w:val="0"/>
        <w:spacing w:before="120" w:after="120" w:line="360" w:lineRule="auto"/>
        <w:ind w:firstLine="420"/>
        <w:rPr>
          <w:rFonts w:hAnsi="宋体"/>
          <w:sz w:val="24"/>
        </w:rPr>
      </w:pPr>
      <w:r>
        <w:rPr>
          <w:rFonts w:hint="eastAsia" w:hAnsi="宋体"/>
          <w:sz w:val="24"/>
        </w:rPr>
        <w:t>（2）</w:t>
      </w:r>
      <w:r>
        <w:rPr>
          <w:rFonts w:hAnsi="宋体"/>
          <w:sz w:val="24"/>
        </w:rPr>
        <w:t>贬值处理：由甲乙双方合议定价。</w:t>
      </w:r>
    </w:p>
    <w:p>
      <w:pPr>
        <w:pStyle w:val="12"/>
        <w:snapToGrid w:val="0"/>
        <w:spacing w:before="120" w:after="120" w:line="360" w:lineRule="auto"/>
        <w:ind w:left="420" w:leftChars="200"/>
        <w:rPr>
          <w:rFonts w:hAnsi="宋体"/>
          <w:sz w:val="24"/>
        </w:rPr>
      </w:pPr>
      <w:r>
        <w:rPr>
          <w:rFonts w:hint="eastAsia" w:hAnsi="宋体"/>
          <w:sz w:val="24"/>
        </w:rPr>
        <w:t>（</w:t>
      </w:r>
      <w:r>
        <w:rPr>
          <w:rFonts w:hAnsi="宋体"/>
          <w:sz w:val="24"/>
        </w:rPr>
        <w:t>3</w:t>
      </w:r>
      <w:r>
        <w:rPr>
          <w:rFonts w:hint="eastAsia" w:hAnsi="宋体"/>
          <w:sz w:val="24"/>
        </w:rPr>
        <w:t>）</w:t>
      </w:r>
      <w:r>
        <w:rPr>
          <w:rFonts w:hAnsi="宋体"/>
          <w:sz w:val="24"/>
        </w:rPr>
        <w:t>解除合同。</w:t>
      </w:r>
    </w:p>
    <w:p>
      <w:pPr>
        <w:pStyle w:val="12"/>
        <w:snapToGrid w:val="0"/>
        <w:spacing w:before="120" w:after="120" w:line="360" w:lineRule="auto"/>
        <w:ind w:left="420" w:leftChars="200"/>
        <w:rPr>
          <w:rFonts w:hAnsi="宋体"/>
          <w:sz w:val="24"/>
        </w:rPr>
      </w:pPr>
      <w:r>
        <w:rPr>
          <w:rFonts w:hint="eastAsia" w:hAnsi="宋体"/>
          <w:sz w:val="24"/>
        </w:rPr>
        <w:t>（4）赔偿损失</w:t>
      </w:r>
      <w:r>
        <w:rPr>
          <w:rFonts w:hAnsi="宋体"/>
          <w:sz w:val="24"/>
        </w:rPr>
        <w:t>。</w:t>
      </w:r>
    </w:p>
    <w:p>
      <w:pPr>
        <w:pStyle w:val="12"/>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如在使用过程中发生问题，乙方在接到甲方通知后</w:t>
      </w:r>
      <w:r>
        <w:rPr>
          <w:rFonts w:hAnsi="宋体"/>
          <w:color w:val="000000"/>
          <w:sz w:val="24"/>
        </w:rPr>
        <w:t>在</w:t>
      </w:r>
      <w:r>
        <w:rPr>
          <w:rFonts w:hint="eastAsia" w:hAnsi="宋体"/>
          <w:sz w:val="24"/>
          <w:u w:val="single"/>
        </w:rPr>
        <w:t xml:space="preserve">   </w:t>
      </w:r>
      <w:r>
        <w:rPr>
          <w:rFonts w:hAnsi="宋体"/>
          <w:color w:val="000000"/>
          <w:sz w:val="24"/>
        </w:rPr>
        <w:t>小时</w:t>
      </w:r>
      <w:r>
        <w:rPr>
          <w:rFonts w:hAnsi="宋体"/>
          <w:sz w:val="24"/>
        </w:rPr>
        <w:t>内到达甲方现场。</w:t>
      </w:r>
    </w:p>
    <w:p>
      <w:pPr>
        <w:pStyle w:val="12"/>
        <w:snapToGrid w:val="0"/>
        <w:spacing w:before="120" w:after="120" w:line="360" w:lineRule="auto"/>
        <w:ind w:left="480" w:hanging="480" w:hangingChars="200"/>
        <w:rPr>
          <w:rFonts w:hAnsi="宋体"/>
          <w:sz w:val="24"/>
        </w:rPr>
      </w:pPr>
      <w:r>
        <w:rPr>
          <w:rFonts w:hAnsi="宋体"/>
          <w:sz w:val="24"/>
        </w:rPr>
        <w:t>5</w:t>
      </w:r>
      <w:r>
        <w:rPr>
          <w:rFonts w:hint="eastAsia" w:hAnsi="宋体"/>
          <w:sz w:val="24"/>
        </w:rPr>
        <w:t xml:space="preserve">． </w:t>
      </w:r>
      <w:r>
        <w:rPr>
          <w:rFonts w:hAnsi="宋体"/>
          <w:sz w:val="24"/>
        </w:rPr>
        <w:t>在</w:t>
      </w:r>
      <w:r>
        <w:rPr>
          <w:rFonts w:hAnsi="宋体"/>
          <w:bCs/>
          <w:sz w:val="24"/>
        </w:rPr>
        <w:t>服务质量保证期</w:t>
      </w:r>
      <w:r>
        <w:rPr>
          <w:rFonts w:hAnsi="宋体"/>
          <w:sz w:val="24"/>
        </w:rPr>
        <w:t>内，乙方应对出现的质量及安全问题负责处理解决并承担一切费用。</w:t>
      </w:r>
    </w:p>
    <w:p>
      <w:pPr>
        <w:pStyle w:val="12"/>
        <w:snapToGrid w:val="0"/>
        <w:spacing w:before="120" w:after="120" w:line="360" w:lineRule="auto"/>
        <w:rPr>
          <w:rFonts w:hAnsi="宋体"/>
          <w:b/>
          <w:sz w:val="24"/>
        </w:rPr>
      </w:pPr>
      <w:r>
        <w:rPr>
          <w:rFonts w:hAnsi="宋体"/>
          <w:b/>
          <w:sz w:val="24"/>
        </w:rPr>
        <w:t>十</w:t>
      </w:r>
      <w:r>
        <w:rPr>
          <w:rFonts w:hint="eastAsia" w:hAnsi="宋体"/>
          <w:b/>
          <w:sz w:val="24"/>
        </w:rPr>
        <w:t>三</w:t>
      </w:r>
      <w:r>
        <w:rPr>
          <w:rFonts w:hAnsi="宋体"/>
          <w:b/>
          <w:sz w:val="24"/>
        </w:rPr>
        <w:t>、违约责任</w:t>
      </w:r>
    </w:p>
    <w:p>
      <w:pPr>
        <w:pStyle w:val="12"/>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甲方无正当理由拒收接受服务的，甲方向乙方偿付合同</w:t>
      </w:r>
      <w:r>
        <w:rPr>
          <w:rFonts w:hint="eastAsia" w:hAnsi="宋体"/>
          <w:sz w:val="24"/>
        </w:rPr>
        <w:t>总价</w:t>
      </w:r>
      <w:r>
        <w:rPr>
          <w:rFonts w:hAnsi="宋体"/>
          <w:sz w:val="24"/>
        </w:rPr>
        <w:t>款</w:t>
      </w:r>
      <w:r>
        <w:rPr>
          <w:rFonts w:hAnsi="宋体"/>
          <w:sz w:val="24"/>
          <w:u w:val="single"/>
        </w:rPr>
        <w:t>百分之五</w:t>
      </w:r>
      <w:r>
        <w:rPr>
          <w:rFonts w:hAnsi="宋体"/>
          <w:sz w:val="24"/>
        </w:rPr>
        <w:t>作为违约金。</w:t>
      </w:r>
    </w:p>
    <w:p>
      <w:pPr>
        <w:pStyle w:val="12"/>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2"/>
        <w:snapToGrid w:val="0"/>
        <w:spacing w:before="120" w:after="120" w:line="360" w:lineRule="auto"/>
        <w:ind w:left="410" w:hanging="410" w:hangingChars="171"/>
        <w:rPr>
          <w:rFonts w:hAnsi="宋体"/>
          <w:sz w:val="24"/>
        </w:rPr>
      </w:pPr>
      <w:r>
        <w:rPr>
          <w:rFonts w:hAnsi="宋体"/>
          <w:sz w:val="24"/>
        </w:rPr>
        <w:t>3</w:t>
      </w:r>
      <w:r>
        <w:rPr>
          <w:rFonts w:hint="eastAsia" w:hAnsi="宋体"/>
          <w:sz w:val="24"/>
        </w:rPr>
        <w:t>．</w:t>
      </w:r>
      <w:r>
        <w:rPr>
          <w:rFonts w:hAnsi="宋体"/>
          <w:sz w:val="24"/>
        </w:rPr>
        <w:t xml:space="preserve"> 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违约金。乙方超过约定日期10个工作日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w:t>
      </w:r>
      <w:r>
        <w:rPr>
          <w:rFonts w:hint="eastAsia" w:hAnsi="宋体"/>
          <w:sz w:val="24"/>
        </w:rPr>
        <w:t>还</w:t>
      </w:r>
      <w:r>
        <w:rPr>
          <w:rFonts w:hAnsi="宋体"/>
          <w:sz w:val="24"/>
        </w:rPr>
        <w:t>应</w:t>
      </w:r>
      <w:r>
        <w:rPr>
          <w:rFonts w:hint="eastAsia" w:hAnsi="宋体"/>
          <w:sz w:val="24"/>
        </w:rPr>
        <w:t>额外</w:t>
      </w:r>
      <w:r>
        <w:rPr>
          <w:rFonts w:hAnsi="宋体"/>
          <w:sz w:val="24"/>
        </w:rPr>
        <w:t>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2"/>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、不可抗力事件处理</w:t>
      </w:r>
    </w:p>
    <w:p>
      <w:pPr>
        <w:pStyle w:val="12"/>
        <w:snapToGrid w:val="0"/>
        <w:spacing w:before="120" w:after="120" w:line="360" w:lineRule="auto"/>
        <w:ind w:left="480" w:hanging="480" w:hangingChars="200"/>
        <w:rPr>
          <w:rFonts w:hAnsi="宋体"/>
          <w:sz w:val="24"/>
        </w:rPr>
      </w:pPr>
      <w:r>
        <w:rPr>
          <w:rFonts w:hAnsi="宋体"/>
          <w:sz w:val="24"/>
        </w:rPr>
        <w:t>1</w:t>
      </w:r>
      <w:r>
        <w:rPr>
          <w:rFonts w:hint="eastAsia" w:hAnsi="宋体"/>
          <w:sz w:val="24"/>
        </w:rPr>
        <w:t>．</w:t>
      </w:r>
      <w:r>
        <w:rPr>
          <w:rFonts w:hAnsi="宋体"/>
          <w:sz w:val="24"/>
        </w:rPr>
        <w:t>在合同有效期内，任何一方因不可抗力事件导致不能履行合同，则合同履行</w:t>
      </w:r>
    </w:p>
    <w:p>
      <w:pPr>
        <w:pStyle w:val="12"/>
        <w:snapToGrid w:val="0"/>
        <w:spacing w:before="120" w:after="120" w:line="360" w:lineRule="auto"/>
        <w:rPr>
          <w:rFonts w:hAnsi="宋体"/>
          <w:sz w:val="24"/>
        </w:rPr>
      </w:pPr>
      <w:r>
        <w:rPr>
          <w:rFonts w:hAnsi="宋体"/>
          <w:sz w:val="24"/>
        </w:rPr>
        <w:t>期可延长，其延长期与不可抗力影响期相同。</w:t>
      </w:r>
    </w:p>
    <w:p>
      <w:pPr>
        <w:pStyle w:val="12"/>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不可抗力事件发生后，应立即通知对方，并寄送有关权威机构出具的证明。</w:t>
      </w:r>
    </w:p>
    <w:p>
      <w:pPr>
        <w:pStyle w:val="12"/>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不可抗力事件延续120天以上，双方应通过友好协商，确定是否继续履行合</w:t>
      </w:r>
    </w:p>
    <w:p>
      <w:pPr>
        <w:pStyle w:val="12"/>
        <w:snapToGrid w:val="0"/>
        <w:spacing w:before="120" w:after="120" w:line="360" w:lineRule="auto"/>
        <w:rPr>
          <w:rFonts w:hAnsi="宋体"/>
          <w:sz w:val="24"/>
        </w:rPr>
      </w:pPr>
      <w:r>
        <w:rPr>
          <w:rFonts w:hAnsi="宋体"/>
          <w:sz w:val="24"/>
        </w:rPr>
        <w:t>同。</w:t>
      </w:r>
    </w:p>
    <w:p>
      <w:pPr>
        <w:pStyle w:val="12"/>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w:t>
      </w:r>
      <w:r>
        <w:rPr>
          <w:rFonts w:hint="eastAsia" w:hAnsi="宋体"/>
          <w:b/>
          <w:sz w:val="24"/>
        </w:rPr>
        <w:t>解决争议的方法</w:t>
      </w:r>
    </w:p>
    <w:p>
      <w:pPr>
        <w:pStyle w:val="12"/>
        <w:snapToGrid w:val="0"/>
        <w:spacing w:before="120" w:after="120" w:line="360" w:lineRule="auto"/>
        <w:rPr>
          <w:rFonts w:hAnsi="宋体" w:cs="宋体"/>
          <w:color w:val="FF0000"/>
          <w:kern w:val="0"/>
          <w:sz w:val="24"/>
        </w:rPr>
      </w:pPr>
      <w:r>
        <w:rPr>
          <w:rFonts w:hAnsi="宋体" w:cs="宋体"/>
          <w:kern w:val="0"/>
          <w:sz w:val="24"/>
        </w:rPr>
        <w:t>如双方在履行合同时发生纠纷，应协商解决；协商不成时，可提请政府采购管理部门调解；调解不成的通过提交</w:t>
      </w:r>
      <w:r>
        <w:rPr>
          <w:rFonts w:hAnsi="宋体"/>
          <w:sz w:val="24"/>
          <w:u w:val="single"/>
        </w:rPr>
        <w:t>台州</w:t>
      </w:r>
      <w:r>
        <w:rPr>
          <w:rFonts w:hAnsi="宋体" w:cs="宋体"/>
          <w:kern w:val="0"/>
          <w:sz w:val="24"/>
        </w:rPr>
        <w:t>仲裁委员会仲裁。</w:t>
      </w:r>
    </w:p>
    <w:p>
      <w:pPr>
        <w:pStyle w:val="12"/>
        <w:snapToGrid w:val="0"/>
        <w:spacing w:before="120" w:after="120" w:line="360" w:lineRule="auto"/>
        <w:rPr>
          <w:rFonts w:hAnsi="宋体"/>
          <w:b/>
          <w:sz w:val="24"/>
        </w:rPr>
      </w:pPr>
      <w:r>
        <w:rPr>
          <w:rFonts w:hAnsi="宋体"/>
          <w:b/>
          <w:sz w:val="24"/>
        </w:rPr>
        <w:t>十</w:t>
      </w:r>
      <w:r>
        <w:rPr>
          <w:rFonts w:hint="eastAsia" w:hAnsi="宋体"/>
          <w:b/>
          <w:sz w:val="24"/>
        </w:rPr>
        <w:t>六</w:t>
      </w:r>
      <w:r>
        <w:rPr>
          <w:rFonts w:hAnsi="宋体"/>
          <w:b/>
          <w:sz w:val="24"/>
        </w:rPr>
        <w:t>、合同生效及其它</w:t>
      </w:r>
    </w:p>
    <w:p>
      <w:pPr>
        <w:pStyle w:val="12"/>
        <w:snapToGrid w:val="0"/>
        <w:spacing w:before="120" w:after="120" w:line="360" w:lineRule="auto"/>
        <w:rPr>
          <w:rFonts w:hAnsi="宋体"/>
          <w:sz w:val="24"/>
        </w:rPr>
      </w:pPr>
      <w:r>
        <w:rPr>
          <w:rFonts w:hAnsi="宋体"/>
          <w:sz w:val="24"/>
        </w:rPr>
        <w:t>1</w:t>
      </w:r>
      <w:r>
        <w:rPr>
          <w:rFonts w:hint="eastAsia" w:hAnsi="宋体"/>
          <w:sz w:val="24"/>
        </w:rPr>
        <w:t>.</w:t>
      </w:r>
      <w:r>
        <w:rPr>
          <w:rFonts w:hAnsi="宋体"/>
          <w:sz w:val="24"/>
        </w:rPr>
        <w:t xml:space="preserve"> 合同经双方法定代表人或</w:t>
      </w:r>
      <w:r>
        <w:rPr>
          <w:rFonts w:hint="eastAsia" w:hAnsi="宋体"/>
          <w:sz w:val="24"/>
        </w:rPr>
        <w:t>经授权的</w:t>
      </w:r>
      <w:r>
        <w:rPr>
          <w:rFonts w:hAnsi="宋体"/>
          <w:sz w:val="24"/>
        </w:rPr>
        <w:t>授权代表</w:t>
      </w:r>
      <w:r>
        <w:rPr>
          <w:rFonts w:hint="eastAsia" w:hAnsi="宋体"/>
          <w:sz w:val="24"/>
        </w:rPr>
        <w:t>签字</w:t>
      </w:r>
      <w:r>
        <w:rPr>
          <w:rFonts w:hAnsi="宋体"/>
          <w:sz w:val="24"/>
        </w:rPr>
        <w:t>并加盖单位公章后生效。</w:t>
      </w:r>
    </w:p>
    <w:p>
      <w:pPr>
        <w:pStyle w:val="12"/>
        <w:snapToGrid w:val="0"/>
        <w:spacing w:before="120" w:after="120" w:line="360" w:lineRule="auto"/>
        <w:ind w:left="480" w:hanging="480" w:hangingChars="200"/>
        <w:rPr>
          <w:rFonts w:hAnsi="宋体"/>
          <w:sz w:val="24"/>
        </w:rPr>
      </w:pPr>
      <w:r>
        <w:rPr>
          <w:rFonts w:hint="eastAsia" w:hAnsi="宋体"/>
          <w:sz w:val="24"/>
        </w:rPr>
        <w:t xml:space="preserve">2. </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rPr>
          <w:rFonts w:ascii="宋体" w:hAnsi="宋体"/>
          <w:sz w:val="24"/>
        </w:rPr>
      </w:pPr>
      <w:r>
        <w:rPr>
          <w:rFonts w:hint="eastAsia" w:ascii="宋体" w:hAnsi="宋体"/>
          <w:sz w:val="24"/>
        </w:rPr>
        <w:t>3. 本合同一式</w:t>
      </w:r>
      <w:r>
        <w:rPr>
          <w:rFonts w:hint="eastAsia" w:ascii="宋体" w:hAnsi="宋体"/>
          <w:sz w:val="24"/>
          <w:lang w:eastAsia="zh-CN"/>
        </w:rPr>
        <w:t>四</w:t>
      </w:r>
      <w:r>
        <w:rPr>
          <w:rFonts w:hint="eastAsia" w:ascii="宋体" w:hAnsi="宋体"/>
          <w:sz w:val="24"/>
        </w:rPr>
        <w:t>份</w:t>
      </w:r>
      <w:r>
        <w:rPr>
          <w:rFonts w:hint="eastAsia" w:ascii="宋体" w:hAnsi="宋体" w:eastAsia="宋体"/>
          <w:sz w:val="24"/>
        </w:rPr>
        <w:t>。甲、乙双方</w:t>
      </w:r>
      <w:r>
        <w:rPr>
          <w:rFonts w:hint="eastAsia" w:ascii="宋体" w:hAnsi="宋体" w:eastAsia="宋体"/>
          <w:sz w:val="24"/>
          <w:lang w:eastAsia="zh-CN"/>
        </w:rPr>
        <w:t>，</w:t>
      </w:r>
      <w:r>
        <w:rPr>
          <w:rFonts w:hint="eastAsia" w:ascii="宋体" w:hAnsi="宋体" w:eastAsia="宋体"/>
          <w:sz w:val="24"/>
        </w:rPr>
        <w:t>采购组织机构及同级人民政府财政部门各执一份</w:t>
      </w:r>
      <w:r>
        <w:rPr>
          <w:rFonts w:hint="eastAsia" w:ascii="宋体" w:hAnsi="宋体" w:eastAsia="宋体"/>
          <w:sz w:val="24"/>
          <w:lang w:eastAsia="zh-CN"/>
        </w:rPr>
        <w:t>，</w:t>
      </w:r>
      <w:r>
        <w:rPr>
          <w:rFonts w:hint="eastAsia" w:ascii="宋体" w:hAnsi="宋体" w:eastAsia="宋体"/>
          <w:sz w:val="24"/>
        </w:rPr>
        <w:t>具有同等法律效力。本项目未尽事宜</w:t>
      </w:r>
      <w:r>
        <w:rPr>
          <w:rFonts w:hint="eastAsia" w:ascii="宋体" w:hAnsi="宋体"/>
          <w:sz w:val="24"/>
        </w:rPr>
        <w:t>以招标文件、投标文件及澄清文件等为准。</w:t>
      </w: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甲方（公章）                                     乙方（公章）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widowControl/>
        <w:shd w:val="clear" w:color="auto" w:fill="FFFFFF"/>
        <w:spacing w:line="360" w:lineRule="auto"/>
        <w:rPr>
          <w:rFonts w:hint="eastAsia" w:ascii="宋体" w:hAnsi="宋体" w:eastAsia="宋体" w:cs="Times New Roman"/>
          <w:sz w:val="24"/>
        </w:rPr>
      </w:pPr>
      <w:r>
        <w:rPr>
          <w:rFonts w:hint="eastAsia" w:ascii="宋体" w:hAnsi="宋体"/>
          <w:sz w:val="24"/>
        </w:rPr>
        <w:t>签订时间：    年   月    日</w:t>
      </w:r>
    </w:p>
    <w:p>
      <w:pPr>
        <w:pStyle w:val="4"/>
        <w:numPr>
          <w:ilvl w:val="0"/>
          <w:numId w:val="0"/>
        </w:numPr>
        <w:ind w:left="425" w:leftChars="0"/>
        <w:jc w:val="both"/>
        <w:rPr>
          <w:rFonts w:hint="eastAsia"/>
        </w:rPr>
      </w:pPr>
    </w:p>
    <w:p>
      <w:pPr>
        <w:rPr>
          <w:rFonts w:hint="eastAsia" w:ascii="宋体" w:hAnsi="宋体" w:eastAsia="宋体" w:cs="Times New Roman"/>
          <w:sz w:val="24"/>
        </w:rPr>
      </w:pPr>
    </w:p>
    <w:p>
      <w:pPr>
        <w:pStyle w:val="4"/>
        <w:numPr>
          <w:ilvl w:val="0"/>
          <w:numId w:val="0"/>
        </w:numPr>
        <w:ind w:left="425" w:leftChars="0"/>
        <w:jc w:val="both"/>
        <w:rPr>
          <w:rFonts w:hint="eastAsia"/>
        </w:rPr>
      </w:pPr>
    </w:p>
    <w:p>
      <w:pPr>
        <w:rPr>
          <w:rFonts w:hint="eastAsia"/>
        </w:rPr>
      </w:pPr>
    </w:p>
    <w:p>
      <w:pPr>
        <w:pStyle w:val="19"/>
        <w:rPr>
          <w:rFonts w:hint="eastAsia"/>
        </w:rPr>
      </w:pPr>
    </w:p>
    <w:p>
      <w:pPr>
        <w:rPr>
          <w:rFonts w:hint="eastAsia"/>
        </w:rPr>
      </w:pPr>
    </w:p>
    <w:p>
      <w:pPr>
        <w:pStyle w:val="19"/>
        <w:rPr>
          <w:rFonts w:hint="eastAsia"/>
        </w:rPr>
      </w:pPr>
    </w:p>
    <w:p>
      <w:pPr>
        <w:pStyle w:val="19"/>
        <w:ind w:left="0" w:leftChars="0" w:firstLine="0" w:firstLineChars="0"/>
        <w:rPr>
          <w:rFonts w:hint="eastAsia"/>
        </w:rPr>
      </w:pPr>
    </w:p>
    <w:p>
      <w:pPr>
        <w:spacing w:line="360" w:lineRule="auto"/>
        <w:jc w:val="center"/>
        <w:rPr>
          <w:rFonts w:asciiTheme="minorEastAsia" w:hAnsiTheme="minorEastAsia" w:eastAsiaTheme="minorEastAsia"/>
          <w:b/>
          <w:sz w:val="36"/>
          <w:szCs w:val="36"/>
        </w:rPr>
      </w:pPr>
      <w:bookmarkStart w:id="123" w:name="_Toc5481_WPSOffice_Level1"/>
      <w:r>
        <w:rPr>
          <w:rFonts w:hint="eastAsia" w:asciiTheme="minorEastAsia" w:hAnsiTheme="minorEastAsia" w:eastAsiaTheme="minorEastAsia"/>
          <w:b/>
          <w:sz w:val="36"/>
          <w:szCs w:val="36"/>
        </w:rPr>
        <w:t>第六章 投标文件格式</w:t>
      </w:r>
      <w:bookmarkEnd w:id="123"/>
    </w:p>
    <w:p>
      <w:pPr>
        <w:rPr>
          <w:rFonts w:asciiTheme="minorEastAsia" w:hAnsiTheme="minorEastAsia" w:eastAsiaTheme="minorEastAsia"/>
          <w:b/>
          <w:sz w:val="30"/>
          <w:szCs w:val="30"/>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before="240" w:beforeLines="100" w:line="360" w:lineRule="auto"/>
        <w:ind w:right="-108"/>
        <w:jc w:val="center"/>
        <w:rPr>
          <w:rFonts w:ascii="宋体" w:hAnsi="宋体" w:cs="宋体"/>
          <w:color w:val="auto"/>
          <w:sz w:val="44"/>
          <w:szCs w:val="44"/>
        </w:rPr>
      </w:pPr>
      <w:r>
        <w:rPr>
          <w:rFonts w:hint="eastAsia" w:ascii="宋体" w:hAnsi="宋体" w:cs="宋体"/>
          <w:color w:val="auto"/>
          <w:sz w:val="44"/>
          <w:szCs w:val="44"/>
        </w:rPr>
        <w:t>浙江省台州生态环境监测中心2023年-2024年台州市省控环境质量自动监测站运行维护采购项目</w:t>
      </w:r>
    </w:p>
    <w:p>
      <w:pPr>
        <w:spacing w:before="240" w:beforeLines="100" w:line="360" w:lineRule="auto"/>
        <w:ind w:right="-108"/>
        <w:jc w:val="center"/>
        <w:rPr>
          <w:rFonts w:ascii="宋体" w:hAnsi="宋体"/>
          <w:sz w:val="36"/>
          <w:szCs w:val="36"/>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55</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rPr>
          <w:rFonts w:ascii="宋体" w:hAnsi="宋体"/>
          <w:b/>
          <w:sz w:val="28"/>
          <w:szCs w:val="28"/>
        </w:rPr>
      </w:pPr>
    </w:p>
    <w:p>
      <w:pPr>
        <w:pStyle w:val="2"/>
        <w:rPr>
          <w:rFonts w:ascii="宋体" w:hAnsi="宋体"/>
          <w:b/>
          <w:sz w:val="28"/>
          <w:szCs w:val="28"/>
        </w:rPr>
      </w:pP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投标人全称（电子印章）：</w:t>
      </w:r>
    </w:p>
    <w:p>
      <w:pPr>
        <w:spacing w:line="360" w:lineRule="auto"/>
        <w:ind w:right="532" w:firstLine="640" w:firstLineChars="200"/>
        <w:rPr>
          <w:rFonts w:hint="default"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pStyle w:val="2"/>
        <w:rPr>
          <w:rFonts w:ascii="宋体" w:hAnsi="宋体"/>
          <w:sz w:val="32"/>
          <w:szCs w:val="32"/>
        </w:rPr>
      </w:pPr>
    </w:p>
    <w:p>
      <w:pPr>
        <w:spacing w:line="360" w:lineRule="auto"/>
        <w:jc w:val="center"/>
        <w:rPr>
          <w:rFonts w:hint="eastAsia"/>
          <w:b/>
          <w:bCs/>
          <w:sz w:val="32"/>
          <w:szCs w:val="40"/>
        </w:rPr>
      </w:pPr>
    </w:p>
    <w:p>
      <w:pPr>
        <w:spacing w:line="360" w:lineRule="auto"/>
        <w:jc w:val="center"/>
        <w:rPr>
          <w:rFonts w:hint="default"/>
          <w:b/>
          <w:bCs/>
          <w:sz w:val="32"/>
          <w:szCs w:val="40"/>
        </w:rPr>
      </w:pPr>
      <w:r>
        <w:rPr>
          <w:rFonts w:hint="eastAsia"/>
          <w:b/>
          <w:bCs/>
          <w:sz w:val="32"/>
          <w:szCs w:val="40"/>
        </w:rPr>
        <w:t>资格证明文件目录</w:t>
      </w:r>
    </w:p>
    <w:p>
      <w:pPr>
        <w:spacing w:line="360" w:lineRule="auto"/>
        <w:ind w:firstLine="420" w:firstLineChars="200"/>
      </w:pPr>
    </w:p>
    <w:p>
      <w:pPr>
        <w:spacing w:line="360" w:lineRule="auto"/>
        <w:ind w:firstLine="560" w:firstLineChars="200"/>
        <w:rPr>
          <w:sz w:val="28"/>
          <w:szCs w:val="36"/>
        </w:rPr>
      </w:pPr>
      <w:bookmarkStart w:id="124" w:name="_Toc12587_WPSOffice_Level1"/>
      <w:bookmarkStart w:id="125" w:name="_Toc27049_WPSOffice_Level1"/>
      <w:r>
        <w:rPr>
          <w:rFonts w:hint="eastAsia"/>
          <w:sz w:val="28"/>
          <w:szCs w:val="36"/>
          <w:lang w:val="en-US" w:eastAsia="zh-CN"/>
        </w:rPr>
        <w:t>1、</w:t>
      </w:r>
      <w:r>
        <w:rPr>
          <w:rFonts w:hint="eastAsia"/>
          <w:sz w:val="28"/>
          <w:szCs w:val="36"/>
        </w:rPr>
        <w:t>投标声明书（附件2）</w:t>
      </w:r>
    </w:p>
    <w:p>
      <w:pPr>
        <w:spacing w:line="360" w:lineRule="auto"/>
        <w:ind w:firstLine="560" w:firstLineChars="200"/>
        <w:rPr>
          <w:sz w:val="28"/>
          <w:szCs w:val="36"/>
        </w:rPr>
      </w:pPr>
      <w:r>
        <w:rPr>
          <w:rFonts w:hint="eastAsia"/>
          <w:sz w:val="28"/>
          <w:szCs w:val="36"/>
          <w:lang w:val="en-US" w:eastAsia="zh-CN"/>
        </w:rPr>
        <w:t>2、</w:t>
      </w:r>
      <w:r>
        <w:rPr>
          <w:rFonts w:hint="eastAsia"/>
          <w:sz w:val="28"/>
          <w:szCs w:val="36"/>
        </w:rPr>
        <w:t>授权委托书（法定代表人办理投标事宜的，则无需提交)（附件3）</w:t>
      </w:r>
    </w:p>
    <w:p>
      <w:pPr>
        <w:spacing w:line="360" w:lineRule="auto"/>
        <w:ind w:firstLine="560" w:firstLineChars="200"/>
        <w:rPr>
          <w:sz w:val="28"/>
          <w:szCs w:val="36"/>
        </w:rPr>
      </w:pPr>
      <w:r>
        <w:rPr>
          <w:rFonts w:hint="eastAsia"/>
          <w:sz w:val="28"/>
          <w:szCs w:val="36"/>
          <w:lang w:val="en-US" w:eastAsia="zh-CN"/>
        </w:rPr>
        <w:t>3、</w:t>
      </w:r>
      <w:r>
        <w:rPr>
          <w:rFonts w:hint="eastAsia"/>
          <w:sz w:val="28"/>
          <w:szCs w:val="36"/>
        </w:rPr>
        <w:t>法人或者其他组织的营业执照等证明文件，自然人的身份证明</w:t>
      </w:r>
    </w:p>
    <w:p>
      <w:pPr>
        <w:spacing w:line="360" w:lineRule="auto"/>
        <w:ind w:firstLine="560" w:firstLineChars="200"/>
        <w:rPr>
          <w:rFonts w:hint="eastAsia"/>
          <w:sz w:val="28"/>
          <w:szCs w:val="36"/>
        </w:rPr>
      </w:pPr>
      <w:r>
        <w:rPr>
          <w:rFonts w:hint="eastAsia"/>
          <w:sz w:val="28"/>
          <w:szCs w:val="36"/>
          <w:lang w:val="en-US" w:eastAsia="zh-CN"/>
        </w:rPr>
        <w:t>4、</w:t>
      </w:r>
      <w:r>
        <w:rPr>
          <w:rFonts w:hint="eastAsia"/>
          <w:sz w:val="28"/>
          <w:szCs w:val="36"/>
        </w:rPr>
        <w:t>财务状况报告，依法缴纳税收和社会保障资金的相关材料</w:t>
      </w:r>
    </w:p>
    <w:p>
      <w:pPr>
        <w:spacing w:line="360" w:lineRule="auto"/>
        <w:ind w:firstLine="560" w:firstLineChars="200"/>
        <w:rPr>
          <w:sz w:val="28"/>
          <w:szCs w:val="36"/>
        </w:rPr>
      </w:pPr>
      <w:r>
        <w:rPr>
          <w:rFonts w:hint="eastAsia"/>
          <w:sz w:val="28"/>
          <w:szCs w:val="36"/>
          <w:lang w:val="en-US" w:eastAsia="zh-CN"/>
        </w:rPr>
        <w:t>5、</w:t>
      </w:r>
      <w:r>
        <w:rPr>
          <w:rFonts w:hint="eastAsia"/>
          <w:sz w:val="28"/>
          <w:szCs w:val="36"/>
        </w:rPr>
        <w:t>具备履行合同所必需的设备和专业技术能力的证明材料(根据项目性质提供)</w:t>
      </w:r>
    </w:p>
    <w:p>
      <w:pPr>
        <w:spacing w:line="360" w:lineRule="auto"/>
        <w:ind w:firstLine="560" w:firstLineChars="200"/>
        <w:rPr>
          <w:rFonts w:hint="eastAsia"/>
          <w:sz w:val="28"/>
          <w:szCs w:val="36"/>
        </w:rPr>
      </w:pPr>
      <w:r>
        <w:rPr>
          <w:rFonts w:hint="eastAsia"/>
          <w:sz w:val="28"/>
          <w:szCs w:val="36"/>
          <w:lang w:val="en-US" w:eastAsia="zh-CN"/>
        </w:rPr>
        <w:t>6、</w:t>
      </w:r>
      <w:r>
        <w:rPr>
          <w:rFonts w:hint="eastAsia"/>
          <w:sz w:val="28"/>
          <w:szCs w:val="36"/>
        </w:rPr>
        <w:t>提供采购公告中符合供应商特定条件的有效资质证书扫描件（投标供应商特定条件中有要求的必须提供），以及需要说明的其他资料</w:t>
      </w:r>
    </w:p>
    <w:p>
      <w:pPr>
        <w:spacing w:line="360" w:lineRule="auto"/>
        <w:ind w:firstLine="560" w:firstLineChars="200"/>
        <w:rPr>
          <w:rFonts w:hint="eastAsia"/>
          <w:sz w:val="28"/>
          <w:szCs w:val="36"/>
          <w:lang w:val="en-US" w:eastAsia="zh-CN"/>
        </w:rPr>
      </w:pPr>
      <w:r>
        <w:rPr>
          <w:rFonts w:hint="eastAsia"/>
          <w:sz w:val="28"/>
          <w:szCs w:val="36"/>
          <w:lang w:val="en-US" w:eastAsia="zh-CN"/>
        </w:rPr>
        <w:t>7</w:t>
      </w:r>
      <w:r>
        <w:rPr>
          <w:rFonts w:hint="eastAsia" w:ascii="Times New Roman" w:hAnsi="Times New Roman" w:eastAsia="宋体" w:cs="Times New Roman"/>
          <w:sz w:val="28"/>
          <w:szCs w:val="36"/>
          <w:lang w:val="en-US" w:eastAsia="zh-CN"/>
        </w:rPr>
        <w:t>、</w:t>
      </w:r>
      <w:r>
        <w:rPr>
          <w:rFonts w:hint="eastAsia" w:ascii="Times New Roman" w:hAnsi="Times New Roman" w:eastAsia="宋体" w:cs="Times New Roman"/>
          <w:sz w:val="28"/>
          <w:szCs w:val="36"/>
          <w:lang w:eastAsia="zh-CN"/>
        </w:rPr>
        <w:t>符合中小企业承诺函</w:t>
      </w:r>
    </w:p>
    <w:p>
      <w:pPr>
        <w:spacing w:line="360" w:lineRule="auto"/>
        <w:ind w:firstLine="560" w:firstLineChars="200"/>
        <w:rPr>
          <w:rFonts w:hint="eastAsia"/>
          <w:sz w:val="28"/>
          <w:szCs w:val="36"/>
        </w:rPr>
      </w:pPr>
      <w:r>
        <w:rPr>
          <w:rFonts w:hint="eastAsia"/>
          <w:sz w:val="28"/>
          <w:szCs w:val="36"/>
        </w:rPr>
        <w:t>根据《浙江省财政厅关于进一步加大政府采购支持中小企业力度助力扎实稳住经济的通知》（浙财采监〔2022〕8号）中“简化对政府采购供应商资格条件的形式审查，</w:t>
      </w:r>
      <w:r>
        <w:rPr>
          <w:rFonts w:hint="eastAsia"/>
          <w:sz w:val="28"/>
          <w:szCs w:val="36"/>
          <w:lang w:eastAsia="zh-CN"/>
        </w:rPr>
        <w:t>供应商</w:t>
      </w:r>
      <w:r>
        <w:rPr>
          <w:rFonts w:hint="eastAsia"/>
          <w:sz w:val="28"/>
          <w:szCs w:val="36"/>
        </w:rPr>
        <w:t>书面承诺符合参与政府采购活动资格条件的，不需要再提供财务状况报告、依法缴纳税收和社会保障资金记录、无重大违法记录等证明材料。”本项目投标供应商属于中小企业范畴的，可以以书面承诺</w:t>
      </w:r>
      <w:r>
        <w:rPr>
          <w:rFonts w:hint="eastAsia"/>
          <w:sz w:val="28"/>
          <w:szCs w:val="36"/>
          <w:lang w:eastAsia="zh-CN"/>
        </w:rPr>
        <w:t>（可使用本招标文件附件</w:t>
      </w:r>
      <w:r>
        <w:rPr>
          <w:rFonts w:hint="eastAsia"/>
          <w:sz w:val="28"/>
          <w:szCs w:val="36"/>
          <w:lang w:val="en-US" w:eastAsia="zh-CN"/>
        </w:rPr>
        <w:t>4</w:t>
      </w:r>
      <w:r>
        <w:rPr>
          <w:rFonts w:hint="eastAsia"/>
          <w:sz w:val="28"/>
          <w:szCs w:val="36"/>
          <w:lang w:eastAsia="zh-CN"/>
        </w:rPr>
        <w:t>《符合中小企业承诺函》）</w:t>
      </w:r>
      <w:r>
        <w:rPr>
          <w:rFonts w:hint="eastAsia"/>
          <w:sz w:val="28"/>
          <w:szCs w:val="36"/>
        </w:rPr>
        <w:t>代替相关证明材料。</w:t>
      </w:r>
    </w:p>
    <w:p>
      <w:pPr>
        <w:spacing w:line="360" w:lineRule="auto"/>
        <w:ind w:firstLine="560" w:firstLineChars="200"/>
        <w:rPr>
          <w:rFonts w:hint="eastAsia"/>
          <w:sz w:val="28"/>
          <w:szCs w:val="36"/>
        </w:rPr>
      </w:pPr>
    </w:p>
    <w:bookmarkEnd w:id="124"/>
    <w:bookmarkEnd w:id="125"/>
    <w:p>
      <w:pPr>
        <w:spacing w:line="360" w:lineRule="auto"/>
        <w:ind w:firstLine="562" w:firstLineChars="200"/>
        <w:rPr>
          <w:rFonts w:ascii="宋体" w:hAnsi="宋体"/>
          <w:b/>
          <w:sz w:val="28"/>
        </w:rPr>
      </w:pPr>
    </w:p>
    <w:p>
      <w:pPr>
        <w:spacing w:line="312" w:lineRule="auto"/>
        <w:rPr>
          <w:rFonts w:hint="eastAsia" w:ascii="宋体" w:hAnsi="宋体"/>
          <w:b/>
          <w:sz w:val="28"/>
        </w:rPr>
      </w:pPr>
    </w:p>
    <w:p>
      <w:pPr>
        <w:spacing w:line="312" w:lineRule="auto"/>
        <w:rPr>
          <w:rFonts w:hint="eastAsia" w:ascii="宋体" w:hAnsi="宋体"/>
          <w:b/>
          <w:sz w:val="28"/>
        </w:rPr>
      </w:pPr>
    </w:p>
    <w:p>
      <w:pPr>
        <w:pStyle w:val="4"/>
        <w:numPr>
          <w:ilvl w:val="0"/>
          <w:numId w:val="0"/>
        </w:numPr>
        <w:jc w:val="both"/>
        <w:rPr>
          <w:rFonts w:hint="eastAsia"/>
        </w:rPr>
      </w:pPr>
    </w:p>
    <w:p>
      <w:pPr>
        <w:pStyle w:val="4"/>
        <w:numPr>
          <w:ilvl w:val="0"/>
          <w:numId w:val="0"/>
        </w:numPr>
        <w:jc w:val="both"/>
        <w:rPr>
          <w:rFonts w:hint="eastAsia"/>
        </w:rPr>
      </w:pPr>
    </w:p>
    <w:p>
      <w:pPr>
        <w:spacing w:line="312" w:lineRule="auto"/>
        <w:rPr>
          <w:rFonts w:hint="eastAsia"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126" w:name="_Toc30723_WPSOffice_Level1"/>
      <w:bookmarkStart w:id="127" w:name="_Toc31708_WPSOffice_Level1"/>
      <w:r>
        <w:rPr>
          <w:rFonts w:hint="eastAsia" w:ascii="宋体" w:hAnsi="宋体"/>
          <w:b/>
          <w:kern w:val="0"/>
          <w:sz w:val="32"/>
          <w:szCs w:val="32"/>
          <w:lang w:val="zh-CN"/>
        </w:rPr>
        <w:t>投标声明书</w:t>
      </w:r>
      <w:bookmarkEnd w:id="126"/>
      <w:bookmarkEnd w:id="127"/>
    </w:p>
    <w:p>
      <w:pPr>
        <w:snapToGrid w:val="0"/>
        <w:spacing w:before="120" w:beforeLines="50" w:after="50" w:line="312" w:lineRule="auto"/>
        <w:rPr>
          <w:rFonts w:ascii="宋体" w:hAnsi="宋体" w:cs="宋体"/>
          <w:kern w:val="0"/>
          <w:sz w:val="24"/>
        </w:rPr>
      </w:pPr>
      <w:r>
        <w:rPr>
          <w:rFonts w:hint="eastAsia" w:ascii="宋体" w:hAnsi="宋体" w:cs="宋体"/>
          <w:kern w:val="0"/>
          <w:sz w:val="24"/>
        </w:rPr>
        <w:t>台州天兴工程管理咨询有限公司：</w:t>
      </w:r>
    </w:p>
    <w:p>
      <w:pPr>
        <w:snapToGrid w:val="0"/>
        <w:spacing w:line="360" w:lineRule="auto"/>
        <w:ind w:firstLine="480" w:firstLineChars="200"/>
        <w:rPr>
          <w:rFonts w:hint="default" w:ascii="宋体" w:hAnsi="宋体" w:eastAsia="宋体" w:cs="宋体"/>
          <w:kern w:val="0"/>
          <w:sz w:val="24"/>
          <w:lang w:val="en-US" w:eastAsia="zh-CN"/>
        </w:rPr>
      </w:pPr>
      <w:r>
        <w:rPr>
          <w:rFonts w:hint="eastAsia" w:ascii="宋体" w:hAnsi="宋体" w:cs="宋体"/>
          <w:kern w:val="0"/>
          <w:sz w:val="24"/>
        </w:rPr>
        <w:t>（投标人名称）系中华人民共和国合法企业，</w:t>
      </w:r>
      <w:r>
        <w:rPr>
          <w:rFonts w:hint="eastAsia" w:ascii="宋体" w:hAnsi="宋体" w:cs="宋体"/>
          <w:color w:val="auto"/>
          <w:kern w:val="0"/>
          <w:sz w:val="24"/>
        </w:rPr>
        <w:t>经营地址</w:t>
      </w:r>
      <w:r>
        <w:rPr>
          <w:rFonts w:hint="eastAsia" w:ascii="宋体" w:hAnsi="宋体" w:cs="宋体"/>
          <w:color w:val="auto"/>
          <w:kern w:val="0"/>
          <w:sz w:val="24"/>
          <w:lang w:eastAsia="zh-CN"/>
        </w:rPr>
        <w:t>：</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lang w:eastAsia="zh-CN"/>
        </w:rPr>
        <w:t>）</w:t>
      </w:r>
      <w:r>
        <w:rPr>
          <w:rFonts w:hint="eastAsia" w:ascii="宋体" w:hAnsi="宋体" w:cs="宋体"/>
          <w:color w:val="FF0000"/>
          <w:kern w:val="0"/>
          <w:sz w:val="24"/>
          <w:u w:val="none"/>
          <w:lang w:val="en-US" w:eastAsia="zh-CN"/>
        </w:rPr>
        <w:t xml:space="preserve">                 </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3"/>
        </w:numPr>
        <w:snapToGrid w:val="0"/>
        <w:spacing w:line="360"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3"/>
        </w:numPr>
        <w:snapToGrid w:val="0"/>
        <w:spacing w:line="360" w:lineRule="auto"/>
        <w:ind w:firstLine="480" w:firstLineChars="200"/>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3"/>
        </w:numPr>
        <w:snapToGrid w:val="0"/>
        <w:spacing w:line="360" w:lineRule="auto"/>
        <w:ind w:firstLine="480" w:firstLineChars="200"/>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snapToGrid w:val="0"/>
        <w:spacing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line="360"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法定代表人或授权委托人签字或电子印章：</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128" w:name="_Toc24373_WPSOffice_Level1"/>
      <w:bookmarkStart w:id="129" w:name="_Toc6870_WPSOffice_Level1"/>
      <w:r>
        <w:rPr>
          <w:b/>
          <w:sz w:val="32"/>
          <w:szCs w:val="32"/>
        </w:rPr>
        <w:t>授权</w:t>
      </w:r>
      <w:r>
        <w:rPr>
          <w:rFonts w:hint="eastAsia"/>
          <w:b/>
          <w:sz w:val="32"/>
          <w:szCs w:val="32"/>
        </w:rPr>
        <w:t>委托</w:t>
      </w:r>
      <w:r>
        <w:rPr>
          <w:b/>
          <w:sz w:val="32"/>
          <w:szCs w:val="32"/>
        </w:rPr>
        <w:t>书</w:t>
      </w:r>
      <w:bookmarkEnd w:id="128"/>
      <w:bookmarkEnd w:id="129"/>
    </w:p>
    <w:p>
      <w:pPr>
        <w:snapToGrid w:val="0"/>
        <w:spacing w:before="120" w:beforeLines="50" w:after="50" w:line="360" w:lineRule="auto"/>
        <w:rPr>
          <w:rFonts w:ascii="宋体" w:hAnsi="宋体" w:cs="宋体"/>
          <w:kern w:val="0"/>
          <w:sz w:val="24"/>
        </w:rPr>
      </w:pPr>
      <w:r>
        <w:rPr>
          <w:rFonts w:hint="eastAsia" w:ascii="宋体" w:hAnsi="宋体" w:cs="宋体"/>
          <w:kern w:val="0"/>
          <w:sz w:val="24"/>
        </w:rPr>
        <w:t>台州天兴工程管理咨询有限公司：</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w:t>
      </w:r>
      <w:r>
        <w:rPr>
          <w:rFonts w:hint="eastAsia" w:hAnsi="宋体"/>
          <w:color w:val="auto"/>
          <w:sz w:val="24"/>
        </w:rPr>
        <w:t>表无转委托权</w:t>
      </w:r>
      <w:r>
        <w:rPr>
          <w:rFonts w:hint="eastAsia" w:hAnsi="宋体"/>
          <w:sz w:val="24"/>
        </w:rPr>
        <w:t>，特此委托。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法定代表身份证复印件粘贴处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全权代表身份证复印件粘贴处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120" w:beforeLines="50" w:after="50" w:line="360" w:lineRule="auto"/>
        <w:rPr>
          <w:rFonts w:hint="eastAsia" w:ascii="宋体" w:hAnsi="宋体"/>
          <w:b/>
          <w:sz w:val="28"/>
        </w:rPr>
      </w:pPr>
      <w:bookmarkStart w:id="130" w:name="_Toc351_WPSOffice_Level1"/>
      <w:bookmarkStart w:id="131" w:name="_Toc20519_WPSOffice_Level1"/>
      <w:r>
        <w:rPr>
          <w:rFonts w:hint="eastAsia" w:ascii="宋体" w:hAnsi="宋体"/>
          <w:b/>
          <w:sz w:val="28"/>
        </w:rPr>
        <w:t>附件4：</w:t>
      </w:r>
      <w:bookmarkEnd w:id="130"/>
      <w:bookmarkEnd w:id="131"/>
    </w:p>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b/>
          <w:sz w:val="32"/>
          <w:szCs w:val="32"/>
          <w:lang w:eastAsia="zh-CN"/>
        </w:rPr>
        <w:t>符合中小企业承诺函</w:t>
      </w:r>
    </w:p>
    <w:p>
      <w:pPr>
        <w:pStyle w:val="19"/>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台州天兴工程管理咨询有限公司：</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我方符合国务院批准的中小企业划分标准确定的中小企业范畴，且不存在与大企业负责人为同一人、与大企业存在直接控股、管理关系的情况。</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我方具有良好的商业信誉和健全的财务会计制度，具有履行合同所必需的设备和专业技术能力，有依法缴纳税收和社会保障资金的良好记录，参加政府采购活动前三年内，在经营活动中没有重大违法记录。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如有虚假，招标人可取消我方任何资格（参与协商/成交/签订合同），我方对此无任何异议。</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pStyle w:val="19"/>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投标人名称（公章）：</w:t>
      </w:r>
      <w:r>
        <w:rPr>
          <w:rFonts w:hint="eastAsia" w:ascii="宋体" w:hAnsi="宋体" w:eastAsia="宋体" w:cs="宋体"/>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法定代表人或授权委托人（签字）：</w:t>
      </w:r>
    </w:p>
    <w:p>
      <w:pPr>
        <w:pStyle w:val="19"/>
        <w:jc w:val="right"/>
        <w:rPr>
          <w:rFonts w:hint="eastAsia" w:ascii="宋体" w:hAnsi="宋体"/>
          <w:b/>
          <w:sz w:val="28"/>
        </w:rPr>
      </w:pPr>
      <w:r>
        <w:rPr>
          <w:rFonts w:hint="eastAsia" w:ascii="宋体" w:hAnsi="宋体" w:eastAsia="宋体" w:cs="宋体"/>
          <w:sz w:val="24"/>
          <w:szCs w:val="24"/>
          <w:lang w:eastAsia="zh-CN"/>
        </w:rPr>
        <w:t>日期：</w:t>
      </w:r>
      <w:r>
        <w:rPr>
          <w:rFonts w:hint="eastAsia" w:ascii="宋体" w:hAnsi="宋体" w:eastAsia="宋体" w:cs="宋体"/>
          <w:sz w:val="24"/>
          <w:szCs w:val="24"/>
          <w:lang w:val="en-US" w:eastAsia="zh-CN"/>
        </w:rPr>
        <w:t xml:space="preserve">    年    月    日</w:t>
      </w:r>
    </w:p>
    <w:p>
      <w:pPr>
        <w:rPr>
          <w:rFonts w:hint="eastAsia" w:ascii="宋体" w:hAnsi="宋体"/>
          <w:b/>
          <w:sz w:val="28"/>
        </w:rPr>
      </w:pPr>
    </w:p>
    <w:p>
      <w:pPr>
        <w:pStyle w:val="19"/>
        <w:rPr>
          <w:rFonts w:hint="eastAsia" w:ascii="宋体" w:hAnsi="宋体"/>
          <w:b/>
          <w:sz w:val="28"/>
        </w:rPr>
      </w:pPr>
    </w:p>
    <w:p>
      <w:pPr>
        <w:rPr>
          <w:rFonts w:hint="eastAsia" w:ascii="宋体" w:hAnsi="宋体"/>
          <w:b/>
          <w:sz w:val="28"/>
        </w:rPr>
      </w:pPr>
    </w:p>
    <w:p>
      <w:pPr>
        <w:pStyle w:val="19"/>
        <w:rPr>
          <w:rFonts w:hint="eastAsia" w:ascii="宋体" w:hAnsi="宋体"/>
          <w:b/>
          <w:sz w:val="28"/>
        </w:rPr>
      </w:pPr>
    </w:p>
    <w:p>
      <w:pPr>
        <w:rPr>
          <w:rFonts w:hint="eastAsia" w:ascii="宋体" w:hAnsi="宋体"/>
          <w:b/>
          <w:sz w:val="28"/>
        </w:rPr>
      </w:pPr>
    </w:p>
    <w:p>
      <w:pPr>
        <w:pStyle w:val="19"/>
        <w:rPr>
          <w:rFonts w:hint="eastAsia" w:ascii="宋体" w:hAnsi="宋体"/>
          <w:b/>
          <w:sz w:val="28"/>
        </w:rPr>
      </w:pPr>
    </w:p>
    <w:p>
      <w:pPr>
        <w:rPr>
          <w:rFonts w:hint="eastAsia" w:ascii="宋体" w:hAnsi="宋体"/>
          <w:b/>
          <w:sz w:val="28"/>
        </w:rPr>
      </w:pPr>
    </w:p>
    <w:p>
      <w:pPr>
        <w:pStyle w:val="19"/>
        <w:rPr>
          <w:rFonts w:hint="eastAsia" w:ascii="宋体" w:hAnsi="宋体"/>
          <w:b/>
          <w:sz w:val="28"/>
        </w:rPr>
      </w:pPr>
    </w:p>
    <w:p>
      <w:pPr>
        <w:rPr>
          <w:rFonts w:hint="eastAsia" w:ascii="宋体" w:hAnsi="宋体"/>
          <w:b/>
          <w:sz w:val="28"/>
        </w:rPr>
      </w:pPr>
    </w:p>
    <w:p>
      <w:pPr>
        <w:pStyle w:val="19"/>
        <w:ind w:left="0" w:leftChars="0" w:firstLine="0" w:firstLineChars="0"/>
        <w:rPr>
          <w:rFonts w:hint="eastAsia"/>
        </w:rPr>
      </w:pPr>
    </w:p>
    <w:p>
      <w:pPr>
        <w:rPr>
          <w:rFonts w:hint="eastAsia"/>
        </w:rPr>
      </w:pPr>
    </w:p>
    <w:p/>
    <w:p>
      <w:pPr>
        <w:spacing w:before="240" w:beforeLines="100" w:line="360" w:lineRule="auto"/>
        <w:ind w:right="-108"/>
        <w:jc w:val="center"/>
        <w:rPr>
          <w:rFonts w:ascii="宋体" w:hAnsi="宋体" w:cs="宋体"/>
          <w:color w:val="auto"/>
          <w:sz w:val="44"/>
          <w:szCs w:val="44"/>
        </w:rPr>
      </w:pPr>
      <w:r>
        <w:rPr>
          <w:rFonts w:hint="eastAsia" w:ascii="宋体" w:hAnsi="宋体" w:cs="宋体"/>
          <w:color w:val="auto"/>
          <w:sz w:val="44"/>
          <w:szCs w:val="44"/>
        </w:rPr>
        <w:t>浙江省台州生态环境监测中心2023年-2024年台州市省控环境质量自动监测站运行维护采购项目</w:t>
      </w:r>
    </w:p>
    <w:p>
      <w:pPr>
        <w:spacing w:before="240" w:beforeLines="100" w:line="360" w:lineRule="auto"/>
        <w:ind w:right="-108"/>
        <w:jc w:val="center"/>
        <w:rPr>
          <w:rFonts w:hint="default" w:ascii="宋体" w:hAnsi="宋体" w:eastAsia="宋体" w:cs="宋体"/>
          <w:sz w:val="44"/>
          <w:szCs w:val="44"/>
          <w:lang w:val="en-US" w:eastAsia="zh-CN"/>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55</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132" w:name="_Toc11308_WPSOffice_Level1"/>
      <w:bookmarkStart w:id="133" w:name="_Toc5889_WPSOffice_Level1"/>
    </w:p>
    <w:p>
      <w:pPr>
        <w:jc w:val="center"/>
        <w:rPr>
          <w:b/>
          <w:bCs/>
          <w:sz w:val="32"/>
          <w:szCs w:val="32"/>
        </w:rPr>
      </w:pPr>
      <w:r>
        <w:rPr>
          <w:rFonts w:hint="eastAsia"/>
          <w:b/>
          <w:bCs/>
          <w:sz w:val="32"/>
          <w:szCs w:val="32"/>
          <w:lang w:val="zh-CN"/>
        </w:rPr>
        <w:t>商务与技术文件</w:t>
      </w:r>
      <w:r>
        <w:rPr>
          <w:rFonts w:hint="eastAsia"/>
          <w:b/>
          <w:bCs/>
          <w:sz w:val="32"/>
          <w:szCs w:val="32"/>
        </w:rPr>
        <w:t>目录</w:t>
      </w:r>
      <w:bookmarkEnd w:id="132"/>
      <w:bookmarkEnd w:id="133"/>
    </w:p>
    <w:p>
      <w:pPr>
        <w:pStyle w:val="19"/>
      </w:pPr>
    </w:p>
    <w:p>
      <w:pPr>
        <w:spacing w:line="360" w:lineRule="auto"/>
        <w:ind w:firstLine="480" w:firstLineChars="200"/>
        <w:rPr>
          <w:sz w:val="24"/>
        </w:rPr>
      </w:pPr>
    </w:p>
    <w:p>
      <w:pPr>
        <w:spacing w:line="360" w:lineRule="auto"/>
        <w:ind w:firstLine="482" w:firstLineChars="200"/>
        <w:rPr>
          <w:b/>
          <w:bCs/>
          <w:sz w:val="24"/>
        </w:rPr>
      </w:pPr>
      <w:bookmarkStart w:id="134" w:name="_Toc20529_WPSOffice_Level1"/>
      <w:bookmarkStart w:id="135" w:name="_Toc21250_WPSOffice_Level1"/>
      <w:r>
        <w:rPr>
          <w:rFonts w:hint="eastAsia"/>
          <w:b/>
          <w:bCs/>
          <w:sz w:val="24"/>
        </w:rPr>
        <w:t>第一部分  技术方案描述部分</w:t>
      </w:r>
      <w:bookmarkEnd w:id="134"/>
      <w:bookmarkEnd w:id="135"/>
    </w:p>
    <w:p>
      <w:pPr>
        <w:spacing w:line="360" w:lineRule="auto"/>
        <w:ind w:firstLine="480" w:firstLineChars="200"/>
        <w:rPr>
          <w:sz w:val="24"/>
        </w:rPr>
      </w:pPr>
      <w:r>
        <w:rPr>
          <w:rFonts w:hint="eastAsia"/>
          <w:sz w:val="24"/>
        </w:rPr>
        <w:t>1、投标人情况介绍（附件5）；</w:t>
      </w:r>
    </w:p>
    <w:p>
      <w:pPr>
        <w:spacing w:line="360" w:lineRule="auto"/>
        <w:ind w:firstLine="480" w:firstLineChars="200"/>
        <w:rPr>
          <w:sz w:val="24"/>
        </w:rPr>
      </w:pPr>
      <w:r>
        <w:rPr>
          <w:rFonts w:hint="eastAsia"/>
          <w:sz w:val="24"/>
        </w:rPr>
        <w:t>2、项目需求的理解与分析；</w:t>
      </w:r>
    </w:p>
    <w:p>
      <w:pPr>
        <w:spacing w:line="360" w:lineRule="auto"/>
        <w:ind w:firstLine="480" w:firstLineChars="200"/>
        <w:rPr>
          <w:sz w:val="24"/>
        </w:rPr>
      </w:pPr>
      <w:r>
        <w:rPr>
          <w:rFonts w:hint="eastAsia"/>
          <w:sz w:val="24"/>
          <w:lang w:val="en-US" w:eastAsia="zh-CN"/>
        </w:rPr>
        <w:t>3</w:t>
      </w:r>
      <w:r>
        <w:rPr>
          <w:rFonts w:hint="eastAsia"/>
          <w:sz w:val="24"/>
        </w:rPr>
        <w:t>、项目实施方案；</w:t>
      </w:r>
    </w:p>
    <w:p>
      <w:pPr>
        <w:spacing w:line="360" w:lineRule="auto"/>
        <w:ind w:firstLine="480" w:firstLineChars="200"/>
        <w:rPr>
          <w:sz w:val="24"/>
        </w:rPr>
      </w:pPr>
      <w:r>
        <w:rPr>
          <w:rFonts w:hint="eastAsia"/>
          <w:sz w:val="24"/>
          <w:lang w:val="en-US" w:eastAsia="zh-CN"/>
        </w:rPr>
        <w:t>4</w:t>
      </w:r>
      <w:r>
        <w:rPr>
          <w:rFonts w:hint="eastAsia"/>
          <w:sz w:val="24"/>
        </w:rPr>
        <w:t>、技术需求响应表（附件6）；</w:t>
      </w:r>
    </w:p>
    <w:p>
      <w:pPr>
        <w:spacing w:line="360" w:lineRule="auto"/>
        <w:ind w:firstLine="480" w:firstLineChars="200"/>
        <w:rPr>
          <w:sz w:val="24"/>
        </w:rPr>
      </w:pPr>
      <w:r>
        <w:rPr>
          <w:rFonts w:hint="eastAsia"/>
          <w:sz w:val="24"/>
          <w:lang w:val="en-US" w:eastAsia="zh-CN"/>
        </w:rPr>
        <w:t>5</w:t>
      </w:r>
      <w:r>
        <w:rPr>
          <w:rFonts w:hint="eastAsia"/>
          <w:sz w:val="24"/>
        </w:rPr>
        <w:t>、项目实施人员一览表（附件7）；</w:t>
      </w:r>
    </w:p>
    <w:p>
      <w:pPr>
        <w:spacing w:line="360" w:lineRule="auto"/>
        <w:ind w:firstLine="480" w:firstLineChars="200"/>
        <w:rPr>
          <w:sz w:val="24"/>
        </w:rPr>
      </w:pPr>
      <w:r>
        <w:rPr>
          <w:rFonts w:hint="eastAsia"/>
          <w:sz w:val="24"/>
          <w:lang w:val="en-US" w:eastAsia="zh-CN"/>
        </w:rPr>
        <w:t>6</w:t>
      </w:r>
      <w:r>
        <w:rPr>
          <w:rFonts w:hint="eastAsia"/>
          <w:sz w:val="24"/>
        </w:rPr>
        <w:t>、项目负责人资格情况表（附件8）；</w:t>
      </w:r>
    </w:p>
    <w:p>
      <w:pPr>
        <w:spacing w:line="360" w:lineRule="auto"/>
        <w:ind w:firstLine="480" w:firstLineChars="200"/>
        <w:rPr>
          <w:sz w:val="24"/>
        </w:rPr>
      </w:pPr>
      <w:r>
        <w:rPr>
          <w:rFonts w:hint="eastAsia"/>
          <w:sz w:val="24"/>
          <w:lang w:val="en-US" w:eastAsia="zh-CN"/>
        </w:rPr>
        <w:t>7</w:t>
      </w:r>
      <w:r>
        <w:rPr>
          <w:rFonts w:hint="eastAsia"/>
          <w:sz w:val="24"/>
        </w:rPr>
        <w:t>、验收方案（包括项目验收标准和验收方法等）；</w:t>
      </w:r>
    </w:p>
    <w:p>
      <w:pPr>
        <w:spacing w:line="360" w:lineRule="auto"/>
        <w:ind w:firstLine="480" w:firstLineChars="200"/>
        <w:rPr>
          <w:sz w:val="24"/>
        </w:rPr>
      </w:pPr>
      <w:r>
        <w:rPr>
          <w:rFonts w:hint="eastAsia"/>
          <w:sz w:val="24"/>
          <w:lang w:val="en-US" w:eastAsia="zh-CN"/>
        </w:rPr>
        <w:t>8</w:t>
      </w:r>
      <w:r>
        <w:rPr>
          <w:rFonts w:hint="eastAsia"/>
          <w:sz w:val="24"/>
        </w:rPr>
        <w:t>、实施服务与保障的能力及方案（包括服务方式、服务网点、技术培训、实施期与运维期服务的内容和措施等）（附件9）；</w:t>
      </w:r>
    </w:p>
    <w:p>
      <w:pPr>
        <w:spacing w:line="360" w:lineRule="auto"/>
        <w:ind w:firstLine="480" w:firstLineChars="200"/>
        <w:rPr>
          <w:b/>
          <w:bCs/>
          <w:sz w:val="24"/>
        </w:rPr>
      </w:pPr>
      <w:r>
        <w:rPr>
          <w:rFonts w:hint="eastAsia"/>
          <w:sz w:val="24"/>
          <w:lang w:val="en-US" w:eastAsia="zh-CN"/>
        </w:rPr>
        <w:t>9</w:t>
      </w:r>
      <w:r>
        <w:rPr>
          <w:rFonts w:hint="eastAsia"/>
          <w:sz w:val="24"/>
        </w:rPr>
        <w:t>、投标人需要说明的其他内容；（包括可能影响投标人技术性能评分项的各类证明材料）</w:t>
      </w:r>
    </w:p>
    <w:p>
      <w:pPr>
        <w:spacing w:line="360" w:lineRule="auto"/>
        <w:ind w:firstLine="482" w:firstLineChars="200"/>
        <w:rPr>
          <w:b/>
          <w:bCs/>
          <w:sz w:val="24"/>
        </w:rPr>
      </w:pPr>
      <w:bookmarkStart w:id="136" w:name="_Toc30029_WPSOffice_Level1"/>
      <w:bookmarkStart w:id="137" w:name="_Toc20986_WPSOffice_Level1"/>
      <w:r>
        <w:rPr>
          <w:rFonts w:hint="eastAsia"/>
          <w:b/>
          <w:bCs/>
          <w:sz w:val="24"/>
        </w:rPr>
        <w:t xml:space="preserve">第二部分  </w:t>
      </w:r>
      <w:bookmarkEnd w:id="136"/>
      <w:bookmarkEnd w:id="137"/>
      <w:r>
        <w:rPr>
          <w:rFonts w:hint="eastAsia"/>
          <w:b/>
          <w:bCs/>
          <w:sz w:val="24"/>
        </w:rPr>
        <w:t>商务及其他部分</w:t>
      </w:r>
    </w:p>
    <w:p>
      <w:pPr>
        <w:spacing w:line="360" w:lineRule="auto"/>
        <w:ind w:firstLine="480" w:firstLineChars="200"/>
        <w:rPr>
          <w:sz w:val="24"/>
        </w:rPr>
      </w:pPr>
      <w:r>
        <w:rPr>
          <w:rFonts w:hint="eastAsia"/>
          <w:sz w:val="24"/>
        </w:rPr>
        <w:t>1、证书一览表（附件10）；</w:t>
      </w:r>
    </w:p>
    <w:p>
      <w:pPr>
        <w:spacing w:line="360" w:lineRule="auto"/>
        <w:ind w:firstLine="480" w:firstLineChars="200"/>
        <w:rPr>
          <w:sz w:val="24"/>
        </w:rPr>
      </w:pPr>
      <w:r>
        <w:rPr>
          <w:rFonts w:hint="eastAsia"/>
          <w:sz w:val="24"/>
        </w:rPr>
        <w:t>2、近</w:t>
      </w:r>
      <w:r>
        <w:rPr>
          <w:rFonts w:hint="eastAsia"/>
          <w:sz w:val="24"/>
          <w:lang w:eastAsia="zh-CN"/>
        </w:rPr>
        <w:t>三</w:t>
      </w:r>
      <w:r>
        <w:rPr>
          <w:rFonts w:hint="eastAsia"/>
          <w:sz w:val="24"/>
        </w:rPr>
        <w:t>年来类似项目的成功案例（附件11）；</w:t>
      </w:r>
    </w:p>
    <w:p>
      <w:pPr>
        <w:pStyle w:val="2"/>
        <w:spacing w:line="360" w:lineRule="auto"/>
        <w:ind w:firstLine="480" w:firstLineChars="200"/>
        <w:rPr>
          <w:sz w:val="24"/>
          <w:szCs w:val="24"/>
        </w:rPr>
      </w:pPr>
      <w:r>
        <w:rPr>
          <w:rFonts w:hint="eastAsia"/>
          <w:sz w:val="24"/>
          <w:szCs w:val="24"/>
        </w:rPr>
        <w:t>3、商务需求响应表（附件12）；</w:t>
      </w: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spacing w:line="360" w:lineRule="auto"/>
        <w:ind w:firstLine="480" w:firstLineChars="200"/>
        <w:rPr>
          <w:sz w:val="24"/>
          <w:szCs w:val="24"/>
        </w:rPr>
      </w:pPr>
    </w:p>
    <w:p>
      <w:pPr>
        <w:pStyle w:val="2"/>
        <w:rPr>
          <w:sz w:val="28"/>
          <w:szCs w:val="28"/>
        </w:rPr>
      </w:pPr>
    </w:p>
    <w:p>
      <w:pPr>
        <w:pStyle w:val="2"/>
        <w:rPr>
          <w:sz w:val="28"/>
          <w:szCs w:val="28"/>
        </w:rPr>
      </w:pPr>
    </w:p>
    <w:p>
      <w:pPr>
        <w:pStyle w:val="2"/>
        <w:rPr>
          <w:sz w:val="28"/>
          <w:szCs w:val="28"/>
        </w:rPr>
      </w:pPr>
    </w:p>
    <w:p>
      <w:pPr>
        <w:rPr>
          <w:sz w:val="28"/>
          <w:szCs w:val="28"/>
        </w:rPr>
      </w:pPr>
    </w:p>
    <w:p>
      <w:pPr>
        <w:pStyle w:val="19"/>
        <w:rPr>
          <w:sz w:val="28"/>
          <w:szCs w:val="28"/>
        </w:rPr>
      </w:pPr>
    </w:p>
    <w:p>
      <w:pPr>
        <w:rPr>
          <w:sz w:val="28"/>
          <w:szCs w:val="28"/>
        </w:rPr>
      </w:pPr>
    </w:p>
    <w:p>
      <w:pPr>
        <w:pStyle w:val="19"/>
      </w:pPr>
    </w:p>
    <w:p/>
    <w:p>
      <w:pPr>
        <w:pStyle w:val="19"/>
      </w:pPr>
    </w:p>
    <w:p/>
    <w:p>
      <w:pPr>
        <w:pStyle w:val="2"/>
        <w:ind w:left="0" w:leftChars="0" w:firstLine="0" w:firstLineChars="0"/>
        <w:rPr>
          <w:sz w:val="28"/>
          <w:szCs w:val="28"/>
        </w:rPr>
      </w:pPr>
    </w:p>
    <w:p>
      <w:pPr>
        <w:pStyle w:val="30"/>
        <w:shd w:val="clear" w:color="auto" w:fill="FFFFFF"/>
        <w:spacing w:before="0" w:beforeAutospacing="0" w:after="0" w:afterAutospacing="0" w:line="360" w:lineRule="auto"/>
        <w:rPr>
          <w:b/>
          <w:sz w:val="28"/>
        </w:rPr>
      </w:pPr>
      <w:r>
        <w:rPr>
          <w:rFonts w:hint="eastAsia"/>
          <w:b/>
          <w:sz w:val="28"/>
        </w:rPr>
        <w:t>附件5</w:t>
      </w:r>
    </w:p>
    <w:p>
      <w:pPr>
        <w:pStyle w:val="30"/>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138" w:name="_Toc14261_WPSOffice_Level1"/>
      <w:bookmarkStart w:id="139" w:name="_Toc13307_WPSOffice_Level1"/>
      <w:r>
        <w:rPr>
          <w:rFonts w:hint="eastAsia"/>
          <w:b/>
          <w:sz w:val="32"/>
          <w:szCs w:val="32"/>
        </w:rPr>
        <w:t>投标</w:t>
      </w:r>
      <w:r>
        <w:rPr>
          <w:rFonts w:hint="eastAsia"/>
          <w:b/>
          <w:bCs/>
          <w:sz w:val="32"/>
          <w:szCs w:val="32"/>
        </w:rPr>
        <w:t>人基本情况表</w:t>
      </w:r>
      <w:bookmarkEnd w:id="138"/>
      <w:bookmarkEnd w:id="139"/>
    </w:p>
    <w:tbl>
      <w:tblPr>
        <w:tblStyle w:val="20"/>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3" w:type="dxa"/>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vAlign w:val="center"/>
          </w:tcPr>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法人代表</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3" w:type="dxa"/>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vAlign w:val="center"/>
          </w:tcPr>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3" w:type="dxa"/>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3" w:type="dxa"/>
            <w:vMerge w:val="continue"/>
            <w:tcBorders>
              <w:bottom w:val="single" w:color="auto" w:sz="4" w:space="0"/>
            </w:tcBorders>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vAlign w:val="center"/>
          </w:tcPr>
          <w:p>
            <w:pPr>
              <w:pStyle w:val="30"/>
              <w:shd w:val="clear" w:color="auto" w:fill="FFFFFF"/>
              <w:spacing w:before="0" w:beforeAutospacing="0" w:after="0" w:afterAutospacing="0"/>
              <w:jc w:val="center"/>
              <w:rPr>
                <w:bCs/>
              </w:rPr>
            </w:pPr>
          </w:p>
        </w:tc>
        <w:tc>
          <w:tcPr>
            <w:tcW w:w="2001" w:type="dxa"/>
            <w:gridSpan w:val="3"/>
            <w:vMerge w:val="continue"/>
            <w:vAlign w:val="center"/>
          </w:tcPr>
          <w:p>
            <w:pPr>
              <w:pStyle w:val="30"/>
              <w:shd w:val="clear" w:color="auto" w:fill="FFFFFF"/>
              <w:spacing w:before="0" w:beforeAutospacing="0" w:after="0" w:afterAutospacing="0"/>
              <w:jc w:val="center"/>
              <w:rPr>
                <w:bCs/>
              </w:rPr>
            </w:pPr>
          </w:p>
        </w:tc>
        <w:tc>
          <w:tcPr>
            <w:tcW w:w="2151" w:type="dxa"/>
            <w:gridSpan w:val="2"/>
            <w:vMerge w:val="continue"/>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vAlign w:val="center"/>
          </w:tcPr>
          <w:p>
            <w:pPr>
              <w:pStyle w:val="30"/>
              <w:shd w:val="clear" w:color="auto" w:fill="FFFFFF"/>
              <w:spacing w:before="0" w:beforeAutospacing="0" w:after="0" w:afterAutospacing="0"/>
              <w:jc w:val="center"/>
              <w:rPr>
                <w:bCs/>
              </w:rPr>
            </w:pPr>
          </w:p>
        </w:tc>
        <w:tc>
          <w:tcPr>
            <w:tcW w:w="1163" w:type="dxa"/>
            <w:tcBorders>
              <w:top w:val="nil"/>
            </w:tcBorders>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vAlign w:val="center"/>
          </w:tcPr>
          <w:p>
            <w:pPr>
              <w:pStyle w:val="30"/>
              <w:shd w:val="clear" w:color="auto" w:fill="FFFFFF"/>
              <w:spacing w:before="0" w:beforeAutospacing="0" w:after="0" w:afterAutospacing="0"/>
              <w:jc w:val="center"/>
              <w:rPr>
                <w:bCs/>
              </w:rPr>
            </w:pPr>
          </w:p>
        </w:tc>
        <w:tc>
          <w:tcPr>
            <w:tcW w:w="1163" w:type="dxa"/>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vAlign w:val="center"/>
          </w:tcPr>
          <w:p>
            <w:pPr>
              <w:pStyle w:val="30"/>
              <w:shd w:val="clear" w:color="auto" w:fill="FFFFFF"/>
              <w:spacing w:before="0" w:beforeAutospacing="0" w:after="0" w:afterAutospacing="0"/>
              <w:jc w:val="center"/>
              <w:rPr>
                <w:bCs/>
              </w:rPr>
            </w:pPr>
          </w:p>
        </w:tc>
        <w:tc>
          <w:tcPr>
            <w:tcW w:w="1163" w:type="dxa"/>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8131" w:type="dxa"/>
            <w:gridSpan w:val="11"/>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vAlign w:val="center"/>
          </w:tcPr>
          <w:p>
            <w:pPr>
              <w:pStyle w:val="30"/>
              <w:shd w:val="clear" w:color="auto" w:fill="FFFFFF"/>
              <w:spacing w:before="0" w:beforeAutospacing="0" w:after="0" w:afterAutospacing="0"/>
              <w:jc w:val="center"/>
              <w:rPr>
                <w:bCs/>
              </w:rPr>
            </w:pPr>
            <w:r>
              <w:rPr>
                <w:rFonts w:hint="eastAsia"/>
                <w:bCs/>
              </w:rPr>
              <w:t>产品生产许可证情况（</w:t>
            </w:r>
            <w:r>
              <w:rPr>
                <w:rFonts w:hint="eastAsia"/>
                <w:b w:val="0"/>
                <w:bCs/>
                <w:color w:val="auto"/>
              </w:rPr>
              <w:t>对需获得生产</w:t>
            </w:r>
            <w:r>
              <w:rPr>
                <w:rFonts w:hint="eastAsia"/>
                <w:bCs/>
              </w:rPr>
              <w:t>许可证的产品要填写此栏）</w:t>
            </w:r>
          </w:p>
        </w:tc>
        <w:tc>
          <w:tcPr>
            <w:tcW w:w="1333" w:type="dxa"/>
            <w:gridSpan w:val="3"/>
            <w:vAlign w:val="center"/>
          </w:tcPr>
          <w:p>
            <w:pPr>
              <w:pStyle w:val="30"/>
              <w:shd w:val="clear" w:color="auto" w:fill="FFFFFF"/>
              <w:spacing w:before="0" w:beforeAutospacing="0" w:after="0" w:afterAutospacing="0"/>
              <w:jc w:val="center"/>
              <w:rPr>
                <w:bCs/>
              </w:rPr>
            </w:pPr>
            <w:r>
              <w:rPr>
                <w:rFonts w:hint="eastAsia"/>
                <w:bCs/>
              </w:rPr>
              <w:t>产品名称</w:t>
            </w:r>
          </w:p>
        </w:tc>
        <w:tc>
          <w:tcPr>
            <w:tcW w:w="1418" w:type="dxa"/>
            <w:gridSpan w:val="2"/>
            <w:vAlign w:val="center"/>
          </w:tcPr>
          <w:p>
            <w:pPr>
              <w:pStyle w:val="30"/>
              <w:shd w:val="clear" w:color="auto" w:fill="FFFFFF"/>
              <w:spacing w:before="0" w:beforeAutospacing="0" w:after="0" w:afterAutospacing="0"/>
              <w:jc w:val="center"/>
              <w:rPr>
                <w:bCs/>
              </w:rPr>
            </w:pPr>
            <w:r>
              <w:rPr>
                <w:rFonts w:hint="eastAsia"/>
                <w:bCs/>
              </w:rPr>
              <w:t>发证机关</w:t>
            </w:r>
          </w:p>
        </w:tc>
        <w:tc>
          <w:tcPr>
            <w:tcW w:w="1276" w:type="dxa"/>
            <w:vAlign w:val="center"/>
          </w:tcPr>
          <w:p>
            <w:pPr>
              <w:pStyle w:val="30"/>
              <w:shd w:val="clear" w:color="auto" w:fill="FFFFFF"/>
              <w:spacing w:before="0" w:beforeAutospacing="0" w:after="0" w:afterAutospacing="0"/>
              <w:jc w:val="center"/>
              <w:rPr>
                <w:bCs/>
              </w:rPr>
            </w:pPr>
            <w:r>
              <w:rPr>
                <w:rFonts w:hint="eastAsia"/>
                <w:bCs/>
              </w:rPr>
              <w:t>编号</w:t>
            </w:r>
          </w:p>
        </w:tc>
        <w:tc>
          <w:tcPr>
            <w:tcW w:w="1618" w:type="dxa"/>
            <w:gridSpan w:val="2"/>
            <w:vAlign w:val="center"/>
          </w:tcPr>
          <w:p>
            <w:pPr>
              <w:pStyle w:val="30"/>
              <w:shd w:val="clear" w:color="auto" w:fill="FFFFFF"/>
              <w:spacing w:before="0" w:beforeAutospacing="0" w:after="0" w:afterAutospacing="0"/>
              <w:jc w:val="center"/>
              <w:rPr>
                <w:bCs/>
              </w:rPr>
            </w:pPr>
            <w:r>
              <w:rPr>
                <w:rFonts w:hint="eastAsia"/>
                <w:bCs/>
              </w:rPr>
              <w:t>发证时间</w:t>
            </w:r>
          </w:p>
        </w:tc>
        <w:tc>
          <w:tcPr>
            <w:tcW w:w="933" w:type="dxa"/>
            <w:vAlign w:val="center"/>
          </w:tcPr>
          <w:p>
            <w:pPr>
              <w:pStyle w:val="30"/>
              <w:shd w:val="clear" w:color="auto" w:fill="FFFFFF"/>
              <w:spacing w:before="0" w:beforeAutospacing="0" w:after="0" w:afterAutospacing="0"/>
              <w:jc w:val="center"/>
              <w:rPr>
                <w:bCs/>
              </w:rPr>
            </w:pPr>
            <w:r>
              <w:rPr>
                <w:rFonts w:hint="eastAsia"/>
                <w:bCs/>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1553" w:type="dxa"/>
            <w:gridSpan w:val="2"/>
            <w:vMerge w:val="continue"/>
            <w:vAlign w:val="center"/>
          </w:tcPr>
          <w:p>
            <w:pPr>
              <w:pStyle w:val="30"/>
              <w:shd w:val="clear" w:color="auto" w:fill="FFFFFF"/>
              <w:spacing w:before="0" w:beforeAutospacing="0" w:after="0" w:afterAutospacing="0"/>
              <w:jc w:val="center"/>
              <w:rPr>
                <w:bCs/>
              </w:rPr>
            </w:pPr>
          </w:p>
        </w:tc>
        <w:tc>
          <w:tcPr>
            <w:tcW w:w="1333" w:type="dxa"/>
            <w:gridSpan w:val="3"/>
            <w:vAlign w:val="center"/>
          </w:tcPr>
          <w:p>
            <w:pPr>
              <w:pStyle w:val="30"/>
              <w:shd w:val="clear" w:color="auto" w:fill="FFFFFF"/>
              <w:spacing w:before="0" w:beforeAutospacing="0" w:after="0" w:afterAutospacing="0"/>
              <w:jc w:val="center"/>
              <w:rPr>
                <w:bCs/>
              </w:rPr>
            </w:pPr>
          </w:p>
        </w:tc>
        <w:tc>
          <w:tcPr>
            <w:tcW w:w="1418" w:type="dxa"/>
            <w:gridSpan w:val="2"/>
            <w:vAlign w:val="center"/>
          </w:tcPr>
          <w:p>
            <w:pPr>
              <w:pStyle w:val="30"/>
              <w:shd w:val="clear" w:color="auto" w:fill="FFFFFF"/>
              <w:spacing w:before="0" w:beforeAutospacing="0" w:after="0" w:afterAutospacing="0"/>
              <w:jc w:val="center"/>
              <w:rPr>
                <w:bCs/>
              </w:rPr>
            </w:pPr>
          </w:p>
        </w:tc>
        <w:tc>
          <w:tcPr>
            <w:tcW w:w="1276" w:type="dxa"/>
            <w:vAlign w:val="center"/>
          </w:tcPr>
          <w:p>
            <w:pPr>
              <w:pStyle w:val="30"/>
              <w:shd w:val="clear" w:color="auto" w:fill="FFFFFF"/>
              <w:spacing w:before="0" w:beforeAutospacing="0" w:after="0" w:afterAutospacing="0"/>
              <w:jc w:val="center"/>
              <w:rPr>
                <w:bCs/>
              </w:rPr>
            </w:pPr>
          </w:p>
        </w:tc>
        <w:tc>
          <w:tcPr>
            <w:tcW w:w="1618" w:type="dxa"/>
            <w:gridSpan w:val="2"/>
            <w:vAlign w:val="center"/>
          </w:tcPr>
          <w:p>
            <w:pPr>
              <w:pStyle w:val="30"/>
              <w:shd w:val="clear" w:color="auto" w:fill="FFFFFF"/>
              <w:spacing w:before="0" w:beforeAutospacing="0" w:after="0" w:afterAutospacing="0"/>
              <w:jc w:val="center"/>
              <w:rPr>
                <w:bCs/>
              </w:rPr>
            </w:pPr>
          </w:p>
        </w:tc>
        <w:tc>
          <w:tcPr>
            <w:tcW w:w="933" w:type="dxa"/>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1553" w:type="dxa"/>
            <w:gridSpan w:val="2"/>
            <w:vAlign w:val="center"/>
          </w:tcPr>
          <w:p>
            <w:pPr>
              <w:pStyle w:val="30"/>
              <w:shd w:val="clear" w:color="auto" w:fill="FFFFFF"/>
              <w:spacing w:before="0" w:beforeAutospacing="0" w:after="0" w:afterAutospacing="0"/>
              <w:jc w:val="center"/>
              <w:rPr>
                <w:bCs/>
              </w:rPr>
            </w:pPr>
            <w:r>
              <w:rPr>
                <w:rFonts w:hint="eastAsia"/>
                <w:bCs/>
              </w:rPr>
              <w:t>企业通过质量体系、环保体系、计量等认证情况</w:t>
            </w:r>
          </w:p>
        </w:tc>
        <w:tc>
          <w:tcPr>
            <w:tcW w:w="6578" w:type="dxa"/>
            <w:gridSpan w:val="9"/>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1553" w:type="dxa"/>
            <w:gridSpan w:val="2"/>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rFonts w:ascii="仿宋_GB2312" w:eastAsia="仿宋_GB2312"/>
        </w:rPr>
      </w:pPr>
    </w:p>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spacing w:line="360" w:lineRule="auto"/>
        <w:rPr>
          <w:rFonts w:ascii="宋体" w:hAnsi="宋体"/>
          <w:b/>
          <w:sz w:val="28"/>
        </w:rPr>
      </w:pPr>
      <w:r>
        <w:rPr>
          <w:rFonts w:hint="eastAsia" w:ascii="宋体" w:hAnsi="宋体"/>
          <w:b/>
          <w:sz w:val="28"/>
        </w:rPr>
        <w:t>附件6</w:t>
      </w:r>
    </w:p>
    <w:p>
      <w:pPr>
        <w:spacing w:line="360" w:lineRule="auto"/>
        <w:ind w:left="480"/>
        <w:jc w:val="center"/>
        <w:rPr>
          <w:rFonts w:ascii="宋体" w:hAnsi="宋体"/>
          <w:b/>
          <w:sz w:val="32"/>
          <w:szCs w:val="32"/>
        </w:rPr>
      </w:pPr>
      <w:bookmarkStart w:id="140" w:name="_Toc26601_WPSOffice_Level1"/>
      <w:bookmarkStart w:id="141" w:name="_Toc12856_WPSOffice_Level1"/>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sz w:val="32"/>
          <w:szCs w:val="32"/>
        </w:rPr>
        <w:t>(第 标)</w:t>
      </w:r>
      <w:bookmarkEnd w:id="140"/>
      <w:bookmarkEnd w:id="141"/>
    </w:p>
    <w:p>
      <w:pPr>
        <w:spacing w:line="360" w:lineRule="auto"/>
        <w:rPr>
          <w:rFonts w:ascii="宋体" w:hAnsi="宋体"/>
          <w:sz w:val="24"/>
        </w:rPr>
      </w:pPr>
    </w:p>
    <w:tbl>
      <w:tblPr>
        <w:tblStyle w:val="20"/>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57"/>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vAlign w:val="center"/>
          </w:tcPr>
          <w:p>
            <w:pPr>
              <w:jc w:val="center"/>
              <w:rPr>
                <w:rFonts w:ascii="宋体" w:hAnsi="宋体"/>
                <w:b/>
                <w:sz w:val="24"/>
              </w:rPr>
            </w:pPr>
            <w:r>
              <w:rPr>
                <w:rFonts w:hint="eastAsia" w:ascii="宋体" w:hAnsi="宋体"/>
                <w:b/>
                <w:sz w:val="24"/>
              </w:rPr>
              <w:t>序号</w:t>
            </w:r>
          </w:p>
        </w:tc>
        <w:tc>
          <w:tcPr>
            <w:tcW w:w="2457" w:type="dxa"/>
            <w:vAlign w:val="center"/>
          </w:tcPr>
          <w:p>
            <w:pPr>
              <w:jc w:val="center"/>
              <w:rPr>
                <w:rFonts w:ascii="宋体" w:hAnsi="宋体"/>
                <w:b/>
                <w:sz w:val="24"/>
              </w:rPr>
            </w:pPr>
            <w:r>
              <w:rPr>
                <w:rFonts w:hint="eastAsia" w:ascii="宋体" w:hAnsi="宋体"/>
                <w:b/>
                <w:sz w:val="24"/>
              </w:rPr>
              <w:t>名称</w:t>
            </w:r>
          </w:p>
        </w:tc>
        <w:tc>
          <w:tcPr>
            <w:tcW w:w="1449" w:type="dxa"/>
            <w:vAlign w:val="center"/>
          </w:tcPr>
          <w:p>
            <w:pPr>
              <w:ind w:left="52"/>
              <w:jc w:val="center"/>
              <w:rPr>
                <w:rFonts w:ascii="宋体" w:hAnsi="宋体"/>
                <w:b/>
                <w:sz w:val="24"/>
              </w:rPr>
            </w:pPr>
            <w:r>
              <w:rPr>
                <w:rFonts w:hint="eastAsia" w:ascii="宋体" w:hAnsi="宋体"/>
                <w:b/>
                <w:sz w:val="24"/>
              </w:rPr>
              <w:t>规格型号</w:t>
            </w:r>
          </w:p>
        </w:tc>
        <w:tc>
          <w:tcPr>
            <w:tcW w:w="1560" w:type="dxa"/>
            <w:vAlign w:val="center"/>
          </w:tcPr>
          <w:p>
            <w:pPr>
              <w:ind w:left="152"/>
              <w:jc w:val="center"/>
              <w:rPr>
                <w:rFonts w:ascii="宋体" w:hAnsi="宋体"/>
                <w:b/>
                <w:sz w:val="24"/>
              </w:rPr>
            </w:pPr>
            <w:r>
              <w:rPr>
                <w:rFonts w:hint="eastAsia" w:ascii="宋体" w:hAnsi="宋体"/>
                <w:b/>
                <w:sz w:val="24"/>
              </w:rPr>
              <w:t>招标参数</w:t>
            </w:r>
          </w:p>
        </w:tc>
        <w:tc>
          <w:tcPr>
            <w:tcW w:w="1401" w:type="dxa"/>
            <w:vAlign w:val="center"/>
          </w:tcPr>
          <w:p>
            <w:pPr>
              <w:jc w:val="center"/>
              <w:rPr>
                <w:rFonts w:ascii="宋体" w:hAnsi="宋体"/>
                <w:b/>
                <w:sz w:val="24"/>
              </w:rPr>
            </w:pPr>
            <w:r>
              <w:rPr>
                <w:rFonts w:hint="eastAsia" w:ascii="宋体" w:hAnsi="宋体"/>
                <w:b/>
                <w:sz w:val="24"/>
              </w:rPr>
              <w:t>投标参数</w:t>
            </w:r>
          </w:p>
        </w:tc>
        <w:tc>
          <w:tcPr>
            <w:tcW w:w="1365" w:type="dxa"/>
            <w:vAlign w:val="center"/>
          </w:tcPr>
          <w:p>
            <w:pPr>
              <w:jc w:val="center"/>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2457" w:type="dxa"/>
            <w:vAlign w:val="center"/>
          </w:tcPr>
          <w:p>
            <w:pPr>
              <w:jc w:val="center"/>
              <w:rPr>
                <w:rFonts w:ascii="宋体" w:hAnsi="宋体"/>
                <w:sz w:val="24"/>
              </w:rPr>
            </w:pPr>
          </w:p>
        </w:tc>
        <w:tc>
          <w:tcPr>
            <w:tcW w:w="1449"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w:t>
      </w:r>
      <w:r>
        <w:rPr>
          <w:rFonts w:hint="eastAsia" w:ascii="宋体"/>
          <w:szCs w:val="21"/>
          <w:lang w:eastAsia="zh-CN"/>
        </w:rPr>
        <w:t>第三章</w:t>
      </w:r>
      <w:r>
        <w:rPr>
          <w:rFonts w:hint="eastAsia" w:ascii="宋体"/>
          <w:szCs w:val="21"/>
        </w:rPr>
        <w:t>招标需求内第</w:t>
      </w:r>
      <w:r>
        <w:rPr>
          <w:rFonts w:hint="eastAsia" w:ascii="宋体"/>
          <w:szCs w:val="21"/>
          <w:lang w:eastAsia="zh-CN"/>
        </w:rPr>
        <w:t>四</w:t>
      </w:r>
      <w:r>
        <w:rPr>
          <w:rFonts w:hint="eastAsia" w:ascii="宋体"/>
          <w:szCs w:val="21"/>
        </w:rPr>
        <w:t>条</w:t>
      </w:r>
      <w:r>
        <w:rPr>
          <w:rFonts w:hint="eastAsia" w:ascii="宋体"/>
          <w:szCs w:val="21"/>
          <w:lang w:eastAsia="zh-CN"/>
        </w:rPr>
        <w:t>“服务需求”至第七条</w:t>
      </w:r>
      <w:r>
        <w:rPr>
          <w:rFonts w:hint="eastAsia" w:ascii="宋体"/>
          <w:szCs w:val="21"/>
        </w:rPr>
        <w:t>“</w:t>
      </w:r>
      <w:r>
        <w:rPr>
          <w:rFonts w:hint="eastAsia" w:ascii="宋体"/>
          <w:szCs w:val="21"/>
          <w:lang w:eastAsia="zh-CN"/>
        </w:rPr>
        <w:t>其他要求</w:t>
      </w:r>
      <w:r>
        <w:rPr>
          <w:rFonts w:hint="eastAsia" w:ascii="宋体"/>
          <w:szCs w:val="21"/>
        </w:rPr>
        <w:t>”填制，投标人应根据投标设备的性能指标、服务指标，对照招标文件要求在“偏离情况”栏注明“正偏离”、“负偏离”或“无偏离”。</w:t>
      </w:r>
    </w:p>
    <w:p>
      <w:pPr>
        <w:pStyle w:val="32"/>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
      </w:pP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before="120" w:beforeLines="50" w:after="50" w:line="360" w:lineRule="auto"/>
        <w:jc w:val="center"/>
        <w:rPr>
          <w:rFonts w:ascii="宋体" w:hAnsi="宋体"/>
          <w:b/>
          <w:sz w:val="36"/>
          <w:szCs w:val="36"/>
        </w:rPr>
      </w:pPr>
      <w:bookmarkStart w:id="142" w:name="_Toc20569_WPSOffice_Level1"/>
      <w:bookmarkStart w:id="143" w:name="_Toc23671_WPSOffice_Level1"/>
      <w:r>
        <w:rPr>
          <w:rFonts w:hint="eastAsia" w:ascii="宋体" w:hAnsi="宋体"/>
          <w:b/>
          <w:sz w:val="32"/>
          <w:szCs w:val="32"/>
        </w:rPr>
        <w:t>项目实施人员一览表（第 标）</w:t>
      </w:r>
      <w:bookmarkEnd w:id="142"/>
      <w:bookmarkEnd w:id="143"/>
    </w:p>
    <w:p>
      <w:pPr>
        <w:snapToGrid w:val="0"/>
        <w:spacing w:before="120"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0"/>
        <w:tblW w:w="91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序号</w:t>
            </w:r>
          </w:p>
        </w:tc>
        <w:tc>
          <w:tcPr>
            <w:tcW w:w="8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3"/>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2.附人员证书复印件；</w:t>
      </w:r>
    </w:p>
    <w:p>
      <w:pPr>
        <w:pStyle w:val="31"/>
        <w:spacing w:line="360" w:lineRule="auto"/>
        <w:rPr>
          <w:rFonts w:hint="eastAsia" w:ascii="宋体" w:hAnsi="宋体" w:eastAsia="宋体"/>
          <w:szCs w:val="21"/>
          <w:lang w:eastAsia="zh-CN"/>
        </w:rPr>
      </w:pPr>
      <w:r>
        <w:rPr>
          <w:rFonts w:hint="eastAsia" w:ascii="宋体" w:hAnsi="宋体"/>
          <w:szCs w:val="21"/>
        </w:rPr>
        <w:t>　　3.出具上述人员在本单位服务的外部证明，</w:t>
      </w:r>
      <w:r>
        <w:rPr>
          <w:rFonts w:hint="eastAsia" w:ascii="宋体" w:hAnsi="宋体" w:cs="Arial"/>
          <w:szCs w:val="21"/>
        </w:rPr>
        <w:t>证明材料提供要求见第四章评分细则对应评分项</w:t>
      </w:r>
      <w:r>
        <w:rPr>
          <w:rFonts w:hint="eastAsia" w:ascii="宋体" w:hAnsi="宋体" w:cs="Arial"/>
          <w:szCs w:val="21"/>
          <w:lang w:eastAsia="zh-CN"/>
        </w:rPr>
        <w:t>。</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19"/>
      </w:pPr>
    </w:p>
    <w:p>
      <w:pPr>
        <w:pStyle w:val="19"/>
      </w:pPr>
    </w:p>
    <w:p>
      <w:pPr>
        <w:pStyle w:val="19"/>
      </w:pPr>
    </w:p>
    <w:p>
      <w:pPr>
        <w:pStyle w:val="19"/>
      </w:pPr>
    </w:p>
    <w:p>
      <w:pPr>
        <w:spacing w:line="360" w:lineRule="auto"/>
        <w:rPr>
          <w:rFonts w:ascii="宋体" w:hAnsi="宋体"/>
        </w:rPr>
      </w:pPr>
      <w:r>
        <w:rPr>
          <w:rFonts w:hint="eastAsia" w:ascii="宋体" w:hAnsi="宋体"/>
          <w:b/>
          <w:sz w:val="28"/>
        </w:rPr>
        <w:t>附件8</w:t>
      </w:r>
    </w:p>
    <w:p>
      <w:pPr>
        <w:spacing w:before="120" w:beforeLines="50" w:after="120" w:afterLines="50" w:line="360" w:lineRule="auto"/>
        <w:ind w:right="-10"/>
        <w:jc w:val="center"/>
        <w:rPr>
          <w:rFonts w:ascii="宋体" w:hAnsi="宋体"/>
          <w:b/>
          <w:bCs/>
          <w:sz w:val="32"/>
          <w:szCs w:val="32"/>
        </w:rPr>
      </w:pPr>
      <w:bookmarkStart w:id="144" w:name="_Toc23055_WPSOffice_Level1"/>
      <w:bookmarkStart w:id="145" w:name="_Toc12710_WPSOffice_Level1"/>
      <w:r>
        <w:rPr>
          <w:rFonts w:hint="eastAsia" w:ascii="宋体" w:hAnsi="宋体"/>
          <w:b/>
          <w:bCs/>
          <w:sz w:val="32"/>
          <w:szCs w:val="32"/>
        </w:rPr>
        <w:t>项目负责人资格情况表</w:t>
      </w:r>
      <w:bookmarkEnd w:id="144"/>
      <w:bookmarkEnd w:id="145"/>
    </w:p>
    <w:p>
      <w:pPr>
        <w:spacing w:line="360" w:lineRule="auto"/>
        <w:rPr>
          <w:rFonts w:ascii="宋体" w:hAnsi="宋体"/>
        </w:rPr>
      </w:pPr>
      <w:r>
        <w:rPr>
          <w:rFonts w:hint="eastAsia" w:ascii="宋体" w:hAnsi="宋体"/>
        </w:rPr>
        <w:t>采购项目：                                            采购编号：</w:t>
      </w:r>
    </w:p>
    <w:tbl>
      <w:tblPr>
        <w:tblStyle w:val="20"/>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jc w:val="center"/>
        <w:rPr>
          <w:rFonts w:ascii="宋体" w:hAnsi="宋体"/>
          <w:b/>
          <w:sz w:val="32"/>
          <w:szCs w:val="32"/>
        </w:rPr>
      </w:pPr>
      <w:r>
        <w:rPr>
          <w:rFonts w:hint="eastAsia" w:ascii="宋体" w:hAnsi="宋体"/>
          <w:b/>
          <w:sz w:val="32"/>
          <w:szCs w:val="32"/>
        </w:rPr>
        <w:t>服务实施情况表</w:t>
      </w:r>
    </w:p>
    <w:p>
      <w:pPr>
        <w:spacing w:line="360" w:lineRule="auto"/>
        <w:ind w:firstLine="435"/>
        <w:rPr>
          <w:rFonts w:ascii="宋体" w:hAnsi="宋体"/>
          <w:b/>
          <w:sz w:val="28"/>
        </w:rPr>
      </w:pPr>
    </w:p>
    <w:tbl>
      <w:tblPr>
        <w:tblStyle w:val="20"/>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5"/>
              <w:spacing w:line="360" w:lineRule="auto"/>
              <w:jc w:val="center"/>
              <w:rPr>
                <w:rFonts w:ascii="宋体" w:hAnsi="宋体" w:cs="Arial"/>
                <w:b/>
                <w:sz w:val="24"/>
              </w:rPr>
            </w:pPr>
            <w:r>
              <w:rPr>
                <w:rFonts w:hint="eastAsia" w:ascii="宋体" w:hAnsi="宋体" w:cs="Arial"/>
                <w:b/>
                <w:sz w:val="24"/>
              </w:rPr>
              <w:t>序号</w:t>
            </w:r>
          </w:p>
        </w:tc>
        <w:tc>
          <w:tcPr>
            <w:tcW w:w="2685" w:type="dxa"/>
            <w:vAlign w:val="center"/>
          </w:tcPr>
          <w:p>
            <w:pPr>
              <w:pStyle w:val="35"/>
              <w:spacing w:line="360" w:lineRule="auto"/>
              <w:jc w:val="center"/>
              <w:rPr>
                <w:rFonts w:ascii="宋体" w:hAnsi="宋体" w:cs="Arial"/>
                <w:b/>
                <w:sz w:val="24"/>
              </w:rPr>
            </w:pPr>
            <w:r>
              <w:rPr>
                <w:rFonts w:hint="eastAsia" w:ascii="宋体" w:hAnsi="宋体" w:cs="Arial"/>
                <w:b/>
                <w:sz w:val="24"/>
              </w:rPr>
              <w:t>项目</w:t>
            </w:r>
          </w:p>
        </w:tc>
        <w:tc>
          <w:tcPr>
            <w:tcW w:w="3731" w:type="dxa"/>
            <w:vAlign w:val="center"/>
          </w:tcPr>
          <w:p>
            <w:pPr>
              <w:pStyle w:val="35"/>
              <w:spacing w:line="360" w:lineRule="auto"/>
              <w:jc w:val="center"/>
              <w:rPr>
                <w:rFonts w:ascii="宋体" w:hAnsi="宋体" w:cs="Arial"/>
                <w:b/>
                <w:sz w:val="24"/>
              </w:rPr>
            </w:pPr>
            <w:r>
              <w:rPr>
                <w:rFonts w:hint="eastAsia" w:ascii="宋体" w:hAnsi="宋体" w:cs="Arial"/>
                <w:b/>
                <w:sz w:val="24"/>
              </w:rPr>
              <w:t>投标人承诺</w:t>
            </w:r>
          </w:p>
        </w:tc>
        <w:tc>
          <w:tcPr>
            <w:tcW w:w="1373" w:type="dxa"/>
            <w:vAlign w:val="center"/>
          </w:tcPr>
          <w:p>
            <w:pPr>
              <w:pStyle w:val="35"/>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98" w:hRule="atLeast"/>
          <w:jc w:val="center"/>
        </w:trPr>
        <w:tc>
          <w:tcPr>
            <w:tcW w:w="739" w:type="dxa"/>
            <w:vAlign w:val="center"/>
          </w:tcPr>
          <w:p>
            <w:pPr>
              <w:pStyle w:val="35"/>
              <w:spacing w:line="360" w:lineRule="auto"/>
              <w:jc w:val="center"/>
              <w:rPr>
                <w:rFonts w:ascii="宋体" w:hAnsi="宋体" w:cs="Arial"/>
                <w:bCs/>
                <w:sz w:val="24"/>
              </w:rPr>
            </w:pPr>
            <w:r>
              <w:rPr>
                <w:rFonts w:hint="eastAsia" w:ascii="宋体" w:hAnsi="宋体" w:cs="Arial"/>
                <w:bCs/>
                <w:sz w:val="24"/>
              </w:rPr>
              <w:t>1</w:t>
            </w:r>
          </w:p>
        </w:tc>
        <w:tc>
          <w:tcPr>
            <w:tcW w:w="2685" w:type="dxa"/>
            <w:vAlign w:val="center"/>
          </w:tcPr>
          <w:p>
            <w:pPr>
              <w:pStyle w:val="35"/>
              <w:widowControl/>
              <w:spacing w:line="360" w:lineRule="auto"/>
              <w:jc w:val="left"/>
              <w:rPr>
                <w:rFonts w:ascii="宋体" w:hAnsi="宋体" w:cs="Arial"/>
                <w:bCs/>
                <w:sz w:val="24"/>
              </w:rPr>
            </w:pPr>
            <w:r>
              <w:rPr>
                <w:rFonts w:hint="eastAsia" w:ascii="宋体" w:hAnsi="宋体" w:cs="Arial"/>
                <w:bCs/>
                <w:sz w:val="24"/>
              </w:rPr>
              <w:t>服务实施期内服务情况(</w:t>
            </w:r>
            <w:r>
              <w:rPr>
                <w:rFonts w:ascii="宋体" w:hAnsi="宋体" w:cs="Arial"/>
                <w:bCs/>
                <w:sz w:val="24"/>
              </w:rPr>
              <w:t>服务</w:t>
            </w:r>
            <w:r>
              <w:rPr>
                <w:rFonts w:hint="eastAsia" w:ascii="宋体" w:hAnsi="宋体" w:cs="Arial"/>
                <w:bCs/>
                <w:sz w:val="24"/>
              </w:rPr>
              <w:t>方式、</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5"/>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5"/>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vAlign w:val="center"/>
          </w:tcPr>
          <w:p>
            <w:pPr>
              <w:pStyle w:val="35"/>
              <w:spacing w:line="360" w:lineRule="auto"/>
              <w:jc w:val="center"/>
              <w:rPr>
                <w:rFonts w:ascii="宋体" w:hAnsi="宋体" w:cs="Arial"/>
                <w:bCs/>
                <w:sz w:val="24"/>
              </w:rPr>
            </w:pPr>
            <w:r>
              <w:rPr>
                <w:rFonts w:hint="eastAsia" w:ascii="宋体" w:hAnsi="宋体" w:cs="Arial"/>
                <w:bCs/>
                <w:sz w:val="24"/>
              </w:rPr>
              <w:t>2</w:t>
            </w:r>
          </w:p>
        </w:tc>
        <w:tc>
          <w:tcPr>
            <w:tcW w:w="2685" w:type="dxa"/>
            <w:vAlign w:val="center"/>
          </w:tcPr>
          <w:p>
            <w:pPr>
              <w:pStyle w:val="35"/>
              <w:spacing w:line="360" w:lineRule="auto"/>
              <w:rPr>
                <w:rFonts w:ascii="宋体" w:hAnsi="宋体" w:cs="Arial"/>
                <w:bCs/>
                <w:sz w:val="24"/>
              </w:rPr>
            </w:pPr>
            <w:r>
              <w:rPr>
                <w:rFonts w:hint="eastAsia" w:ascii="宋体" w:hAnsi="宋体" w:cs="Arial"/>
                <w:bCs/>
                <w:sz w:val="24"/>
              </w:rPr>
              <w:t>运维期服务情况(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5"/>
              <w:widowControl/>
              <w:spacing w:line="360" w:lineRule="auto"/>
              <w:jc w:val="left"/>
              <w:rPr>
                <w:rFonts w:ascii="宋体" w:hAnsi="宋体" w:cs="Arial"/>
                <w:bCs/>
                <w:sz w:val="24"/>
              </w:rPr>
            </w:pPr>
          </w:p>
          <w:p>
            <w:pPr>
              <w:pStyle w:val="35"/>
              <w:widowControl/>
              <w:spacing w:line="360" w:lineRule="auto"/>
              <w:jc w:val="left"/>
              <w:rPr>
                <w:rFonts w:ascii="宋体" w:hAnsi="宋体" w:cs="Arial"/>
                <w:bCs/>
                <w:sz w:val="24"/>
              </w:rPr>
            </w:pPr>
          </w:p>
          <w:p>
            <w:pPr>
              <w:pStyle w:val="35"/>
              <w:spacing w:line="360" w:lineRule="auto"/>
              <w:rPr>
                <w:rFonts w:ascii="宋体" w:hAnsi="宋体" w:cs="Arial"/>
                <w:bCs/>
                <w:sz w:val="24"/>
              </w:rPr>
            </w:pPr>
          </w:p>
        </w:tc>
        <w:tc>
          <w:tcPr>
            <w:tcW w:w="1373" w:type="dxa"/>
          </w:tcPr>
          <w:p>
            <w:pPr>
              <w:pStyle w:val="35"/>
              <w:widowControl/>
              <w:spacing w:line="360" w:lineRule="auto"/>
              <w:jc w:val="left"/>
              <w:rPr>
                <w:rFonts w:ascii="宋体" w:hAnsi="宋体" w:cs="Arial"/>
                <w:bCs/>
                <w:sz w:val="24"/>
              </w:rPr>
            </w:pPr>
          </w:p>
          <w:p>
            <w:pPr>
              <w:pStyle w:val="35"/>
              <w:widowControl/>
              <w:spacing w:line="360" w:lineRule="auto"/>
              <w:jc w:val="left"/>
              <w:rPr>
                <w:rFonts w:ascii="宋体" w:hAnsi="宋体" w:cs="Arial"/>
                <w:bCs/>
                <w:sz w:val="24"/>
              </w:rPr>
            </w:pPr>
          </w:p>
          <w:p>
            <w:pPr>
              <w:pStyle w:val="35"/>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2685"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3731" w:type="dxa"/>
          </w:tcPr>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tc>
        <w:tc>
          <w:tcPr>
            <w:tcW w:w="1373" w:type="dxa"/>
          </w:tcPr>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2685"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3731" w:type="dxa"/>
          </w:tcPr>
          <w:p>
            <w:pPr>
              <w:pStyle w:val="35"/>
              <w:widowControl/>
              <w:spacing w:line="360" w:lineRule="auto"/>
              <w:jc w:val="left"/>
              <w:rPr>
                <w:rFonts w:ascii="宋体" w:hAnsi="宋体" w:cs="Arial"/>
                <w:bCs/>
                <w:sz w:val="24"/>
              </w:rPr>
            </w:pPr>
          </w:p>
        </w:tc>
        <w:tc>
          <w:tcPr>
            <w:tcW w:w="1373" w:type="dxa"/>
          </w:tcPr>
          <w:p>
            <w:pPr>
              <w:pStyle w:val="35"/>
              <w:widowControl/>
              <w:spacing w:line="360" w:lineRule="auto"/>
              <w:jc w:val="left"/>
              <w:rPr>
                <w:rFonts w:ascii="宋体" w:hAnsi="宋体" w:cs="Arial"/>
                <w:bCs/>
                <w:sz w:val="24"/>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sz w:val="24"/>
          <w:u w:val="single"/>
        </w:rPr>
        <w:t xml:space="preserve">                            </w:t>
      </w:r>
    </w:p>
    <w:p>
      <w:pPr>
        <w:pStyle w:val="33"/>
        <w:spacing w:line="360" w:lineRule="auto"/>
        <w:jc w:val="left"/>
        <w:rPr>
          <w:rFonts w:hint="eastAsia" w:ascii="宋体" w:hAnsi="宋体"/>
          <w:b/>
          <w:sz w:val="28"/>
        </w:rPr>
      </w:pPr>
    </w:p>
    <w:p>
      <w:pPr>
        <w:pStyle w:val="33"/>
        <w:spacing w:line="360" w:lineRule="auto"/>
        <w:jc w:val="left"/>
        <w:rPr>
          <w:rFonts w:ascii="宋体" w:hAnsi="宋体"/>
          <w:b/>
          <w:sz w:val="28"/>
        </w:rPr>
      </w:pPr>
      <w:r>
        <w:rPr>
          <w:rFonts w:hint="eastAsia" w:ascii="宋体" w:hAnsi="宋体"/>
          <w:b/>
          <w:sz w:val="28"/>
        </w:rPr>
        <w:t>附件10</w:t>
      </w:r>
    </w:p>
    <w:p>
      <w:pPr>
        <w:pStyle w:val="34"/>
        <w:spacing w:line="360" w:lineRule="auto"/>
        <w:jc w:val="center"/>
        <w:rPr>
          <w:rFonts w:ascii="宋体" w:hAnsi="宋体"/>
          <w:b/>
          <w:sz w:val="32"/>
          <w:szCs w:val="32"/>
        </w:rPr>
      </w:pPr>
      <w:bookmarkStart w:id="146" w:name="_Toc17604_WPSOffice_Level1"/>
      <w:bookmarkStart w:id="147" w:name="_Toc11030_WPSOffice_Level1"/>
      <w:r>
        <w:rPr>
          <w:rFonts w:hint="eastAsia" w:ascii="宋体" w:hAnsi="宋体"/>
          <w:b/>
          <w:sz w:val="32"/>
          <w:szCs w:val="32"/>
        </w:rPr>
        <w:t>证书一览表</w:t>
      </w:r>
      <w:bookmarkEnd w:id="146"/>
      <w:bookmarkEnd w:id="147"/>
    </w:p>
    <w:p>
      <w:pPr>
        <w:pStyle w:val="34"/>
        <w:spacing w:line="360" w:lineRule="auto"/>
        <w:jc w:val="center"/>
        <w:rPr>
          <w:rFonts w:ascii="宋体" w:hAnsi="宋体" w:cs="Arial"/>
          <w:sz w:val="28"/>
          <w:szCs w:val="28"/>
        </w:rPr>
      </w:pPr>
    </w:p>
    <w:tbl>
      <w:tblPr>
        <w:tblStyle w:val="20"/>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4"/>
              <w:spacing w:line="360" w:lineRule="auto"/>
              <w:jc w:val="center"/>
              <w:rPr>
                <w:rFonts w:ascii="宋体" w:hAnsi="宋体" w:cs="Arial"/>
                <w:szCs w:val="21"/>
              </w:rPr>
            </w:pPr>
          </w:p>
        </w:tc>
        <w:tc>
          <w:tcPr>
            <w:tcW w:w="2258" w:type="dxa"/>
            <w:tcBorders>
              <w:top w:val="single" w:color="auto" w:sz="4" w:space="0"/>
            </w:tcBorders>
          </w:tcPr>
          <w:p>
            <w:pPr>
              <w:pStyle w:val="34"/>
              <w:spacing w:line="360" w:lineRule="auto"/>
              <w:jc w:val="center"/>
              <w:rPr>
                <w:rFonts w:ascii="宋体" w:hAnsi="宋体" w:cs="Arial"/>
                <w:szCs w:val="21"/>
              </w:rPr>
            </w:pPr>
          </w:p>
        </w:tc>
        <w:tc>
          <w:tcPr>
            <w:tcW w:w="2260" w:type="dxa"/>
            <w:tcBorders>
              <w:top w:val="single" w:color="auto" w:sz="4" w:space="0"/>
            </w:tcBorders>
          </w:tcPr>
          <w:p>
            <w:pPr>
              <w:pStyle w:val="34"/>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4"/>
              <w:spacing w:line="360" w:lineRule="auto"/>
              <w:jc w:val="center"/>
              <w:rPr>
                <w:rFonts w:ascii="宋体" w:hAnsi="宋体" w:cs="Arial"/>
                <w:szCs w:val="21"/>
              </w:rPr>
            </w:pPr>
          </w:p>
        </w:tc>
        <w:tc>
          <w:tcPr>
            <w:tcW w:w="2258" w:type="dxa"/>
            <w:tcBorders>
              <w:bottom w:val="single" w:color="auto" w:sz="4" w:space="0"/>
            </w:tcBorders>
          </w:tcPr>
          <w:p>
            <w:pPr>
              <w:pStyle w:val="34"/>
              <w:spacing w:line="360" w:lineRule="auto"/>
              <w:jc w:val="center"/>
              <w:rPr>
                <w:rFonts w:ascii="宋体" w:hAnsi="宋体" w:cs="Arial"/>
                <w:szCs w:val="21"/>
              </w:rPr>
            </w:pPr>
          </w:p>
        </w:tc>
        <w:tc>
          <w:tcPr>
            <w:tcW w:w="2260" w:type="dxa"/>
            <w:tcBorders>
              <w:bottom w:val="single" w:color="auto" w:sz="4" w:space="0"/>
            </w:tcBorders>
          </w:tcPr>
          <w:p>
            <w:pPr>
              <w:pStyle w:val="34"/>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4"/>
              <w:spacing w:line="360" w:lineRule="auto"/>
              <w:jc w:val="center"/>
              <w:rPr>
                <w:rFonts w:ascii="宋体" w:hAnsi="宋体" w:cs="Arial"/>
                <w:szCs w:val="21"/>
              </w:rPr>
            </w:pPr>
          </w:p>
        </w:tc>
      </w:tr>
    </w:tbl>
    <w:p>
      <w:pPr>
        <w:pStyle w:val="34"/>
        <w:tabs>
          <w:tab w:val="left" w:pos="1050"/>
        </w:tabs>
        <w:spacing w:line="360" w:lineRule="auto"/>
        <w:rPr>
          <w:rFonts w:ascii="仿宋_GB2312" w:hAnsi="宋体" w:eastAsia="仿宋_GB2312"/>
          <w:sz w:val="24"/>
        </w:rPr>
      </w:pPr>
    </w:p>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4"/>
        <w:tabs>
          <w:tab w:val="left" w:pos="1050"/>
        </w:tabs>
        <w:spacing w:line="360" w:lineRule="auto"/>
        <w:ind w:firstLine="720" w:firstLineChars="300"/>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color w:val="FF0000"/>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pStyle w:val="19"/>
        <w:rPr>
          <w:rFonts w:hint="eastAsia" w:ascii="宋体" w:hAnsi="宋体"/>
          <w:b/>
          <w:sz w:val="28"/>
        </w:rPr>
      </w:pPr>
    </w:p>
    <w:p>
      <w:pPr>
        <w:rPr>
          <w:rFonts w:hint="eastAsia"/>
        </w:rPr>
      </w:pPr>
    </w:p>
    <w:p>
      <w:pPr>
        <w:spacing w:line="360" w:lineRule="auto"/>
        <w:rPr>
          <w:rFonts w:ascii="宋体" w:hAnsi="宋体"/>
          <w:b/>
          <w:sz w:val="28"/>
        </w:rPr>
      </w:pPr>
      <w:r>
        <w:rPr>
          <w:rFonts w:hint="eastAsia" w:ascii="宋体" w:hAnsi="宋体"/>
          <w:b/>
          <w:sz w:val="28"/>
        </w:rPr>
        <w:t>附件11</w:t>
      </w:r>
    </w:p>
    <w:p>
      <w:pPr>
        <w:pStyle w:val="33"/>
        <w:spacing w:line="360" w:lineRule="auto"/>
        <w:jc w:val="center"/>
        <w:rPr>
          <w:rFonts w:ascii="宋体" w:hAnsi="宋体"/>
          <w:b/>
          <w:sz w:val="32"/>
          <w:szCs w:val="32"/>
        </w:rPr>
      </w:pPr>
      <w:bookmarkStart w:id="148" w:name="_Toc19231_WPSOffice_Level1"/>
      <w:bookmarkStart w:id="149" w:name="_Toc7134_WPSOffice_Level1"/>
      <w:r>
        <w:rPr>
          <w:rFonts w:hint="eastAsia" w:ascii="宋体" w:hAnsi="宋体"/>
          <w:b/>
          <w:sz w:val="32"/>
          <w:szCs w:val="32"/>
        </w:rPr>
        <w:t>投标人类似项目实施情况一览表</w:t>
      </w:r>
      <w:bookmarkEnd w:id="148"/>
      <w:bookmarkEnd w:id="149"/>
    </w:p>
    <w:p>
      <w:pPr>
        <w:pStyle w:val="33"/>
        <w:spacing w:line="360" w:lineRule="auto"/>
        <w:jc w:val="center"/>
        <w:rPr>
          <w:rFonts w:ascii="仿宋_GB2312" w:eastAsia="仿宋_GB2312"/>
          <w:b/>
          <w:sz w:val="28"/>
          <w:szCs w:val="28"/>
        </w:rPr>
      </w:pPr>
    </w:p>
    <w:tbl>
      <w:tblPr>
        <w:tblStyle w:val="20"/>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w:t>
      </w:r>
      <w:r>
        <w:rPr>
          <w:rFonts w:hint="eastAsia" w:ascii="宋体" w:hAnsi="宋体" w:cs="Arial"/>
          <w:szCs w:val="21"/>
        </w:rPr>
        <w:t>（证明材料提供要求见第四章评分细则对应评分项）</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4"/>
        <w:tabs>
          <w:tab w:val="left" w:pos="1050"/>
        </w:tabs>
        <w:spacing w:line="360" w:lineRule="auto"/>
        <w:rPr>
          <w:rFonts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bookmarkStart w:id="150" w:name="_Toc21582_WPSOffice_Level1"/>
      <w:bookmarkStart w:id="151" w:name="_Toc3068_WPSOffice_Level1"/>
      <w:r>
        <w:rPr>
          <w:rFonts w:hint="eastAsia" w:ascii="宋体" w:hAnsi="宋体"/>
          <w:b/>
          <w:sz w:val="32"/>
          <w:szCs w:val="32"/>
        </w:rPr>
        <w:t>商务需求响应表(第 标)</w:t>
      </w:r>
      <w:bookmarkEnd w:id="150"/>
      <w:bookmarkEnd w:id="151"/>
    </w:p>
    <w:p>
      <w:pPr>
        <w:spacing w:line="360" w:lineRule="auto"/>
        <w:ind w:left="481" w:leftChars="229" w:firstLine="813" w:firstLineChars="450"/>
        <w:rPr>
          <w:rFonts w:ascii="宋体" w:hAnsi="宋体"/>
          <w:b/>
          <w:sz w:val="18"/>
          <w:szCs w:val="18"/>
        </w:rPr>
      </w:pPr>
    </w:p>
    <w:tbl>
      <w:tblPr>
        <w:tblStyle w:val="20"/>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1</w:t>
            </w:r>
          </w:p>
        </w:tc>
        <w:tc>
          <w:tcPr>
            <w:tcW w:w="1785" w:type="dxa"/>
          </w:tcPr>
          <w:p>
            <w:pPr>
              <w:snapToGrid w:val="0"/>
              <w:rPr>
                <w:rFonts w:ascii="宋体" w:hAnsi="宋体"/>
                <w:sz w:val="24"/>
              </w:rPr>
            </w:pPr>
            <w:r>
              <w:rPr>
                <w:rFonts w:hint="eastAsia" w:ascii="宋体" w:hAnsi="宋体" w:cs="微软雅黑"/>
                <w:bCs/>
                <w:sz w:val="24"/>
              </w:rPr>
              <w:t>项目期限</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2</w:t>
            </w:r>
          </w:p>
        </w:tc>
        <w:tc>
          <w:tcPr>
            <w:tcW w:w="1785" w:type="dxa"/>
          </w:tcPr>
          <w:p>
            <w:pPr>
              <w:snapToGrid w:val="0"/>
              <w:rPr>
                <w:rFonts w:ascii="宋体" w:hAnsi="宋体"/>
                <w:sz w:val="24"/>
              </w:rPr>
            </w:pPr>
            <w:r>
              <w:rPr>
                <w:rFonts w:hint="eastAsia" w:ascii="宋体" w:hAnsi="宋体" w:cs="微软雅黑"/>
                <w:bCs/>
                <w:color w:val="auto"/>
                <w:sz w:val="24"/>
                <w:lang w:val="en-US" w:eastAsia="zh-CN"/>
              </w:rPr>
              <w:t>其他要求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1785" w:type="dxa"/>
          </w:tcPr>
          <w:p>
            <w:pPr>
              <w:snapToGrid w:val="0"/>
              <w:rPr>
                <w:rFonts w:hint="eastAsia" w:ascii="宋体" w:hAnsi="宋体" w:eastAsia="宋体"/>
                <w:sz w:val="24"/>
                <w:lang w:eastAsia="zh-CN"/>
              </w:rPr>
            </w:pPr>
            <w:r>
              <w:rPr>
                <w:rFonts w:hint="eastAsia" w:ascii="宋体" w:hAnsi="宋体"/>
                <w:sz w:val="24"/>
                <w:lang w:eastAsia="zh-CN"/>
              </w:rPr>
              <w:t>付款方式</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Style w:val="50"/>
          <w:rFonts w:hint="eastAsia" w:ascii="宋体" w:hAnsi="宋体"/>
          <w:szCs w:val="21"/>
        </w:rPr>
      </w:pPr>
      <w:r>
        <w:rPr>
          <w:rStyle w:val="50"/>
          <w:rFonts w:ascii="宋体" w:hAnsi="宋体"/>
          <w:szCs w:val="21"/>
        </w:rPr>
        <w:t>本表参照本招标文件第</w:t>
      </w:r>
      <w:r>
        <w:rPr>
          <w:rStyle w:val="50"/>
          <w:rFonts w:hint="eastAsia" w:ascii="宋体" w:hAnsi="宋体"/>
          <w:szCs w:val="21"/>
        </w:rPr>
        <w:t>三章</w:t>
      </w:r>
      <w:r>
        <w:rPr>
          <w:rStyle w:val="50"/>
          <w:rFonts w:ascii="宋体" w:hAnsi="宋体"/>
          <w:szCs w:val="21"/>
        </w:rPr>
        <w:t>“招标需求”内第</w:t>
      </w:r>
      <w:r>
        <w:rPr>
          <w:rStyle w:val="50"/>
          <w:rFonts w:hint="eastAsia" w:ascii="宋体" w:hAnsi="宋体"/>
          <w:szCs w:val="21"/>
        </w:rPr>
        <w:t>八</w:t>
      </w:r>
      <w:r>
        <w:rPr>
          <w:rStyle w:val="50"/>
          <w:rFonts w:ascii="宋体" w:hAnsi="宋体"/>
          <w:szCs w:val="21"/>
        </w:rPr>
        <w:t>条“</w:t>
      </w:r>
      <w:r>
        <w:rPr>
          <w:rStyle w:val="50"/>
          <w:rFonts w:hint="eastAsia" w:ascii="宋体" w:hAnsi="宋体"/>
          <w:szCs w:val="21"/>
        </w:rPr>
        <w:t>商务</w:t>
      </w:r>
      <w:r>
        <w:rPr>
          <w:rStyle w:val="50"/>
          <w:rFonts w:ascii="宋体" w:hAnsi="宋体"/>
          <w:szCs w:val="21"/>
        </w:rPr>
        <w:t>需求”填制</w:t>
      </w:r>
      <w:r>
        <w:rPr>
          <w:rStyle w:val="50"/>
          <w:rFonts w:hint="eastAsia" w:ascii="宋体" w:hAnsi="宋体"/>
          <w:szCs w:val="21"/>
        </w:rPr>
        <w:t>。</w:t>
      </w:r>
    </w:p>
    <w:p>
      <w:pPr>
        <w:pStyle w:val="2"/>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pStyle w:val="2"/>
      </w:pPr>
    </w:p>
    <w:p>
      <w:pPr>
        <w:pStyle w:val="2"/>
        <w:rPr>
          <w:rFonts w:ascii="宋体" w:hAnsi="宋体"/>
          <w:sz w:val="24"/>
          <w:u w:val="single"/>
        </w:rPr>
      </w:pPr>
    </w:p>
    <w:p>
      <w:pPr>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spacing w:before="240" w:beforeLines="100" w:line="360" w:lineRule="auto"/>
        <w:ind w:right="-108"/>
        <w:jc w:val="center"/>
        <w:rPr>
          <w:rFonts w:ascii="宋体" w:hAnsi="宋体" w:cs="宋体"/>
          <w:color w:val="auto"/>
          <w:sz w:val="44"/>
          <w:szCs w:val="44"/>
        </w:rPr>
      </w:pPr>
      <w:r>
        <w:rPr>
          <w:rFonts w:hint="eastAsia" w:ascii="宋体" w:hAnsi="宋体" w:cs="宋体"/>
          <w:color w:val="auto"/>
          <w:sz w:val="44"/>
          <w:szCs w:val="44"/>
        </w:rPr>
        <w:t>浙江省台州生态环境监测中心2023年-2024年台州市省控环境质量自动监测站运行维护采购项目</w:t>
      </w:r>
    </w:p>
    <w:p>
      <w:pPr>
        <w:spacing w:before="240" w:beforeLines="100" w:line="360" w:lineRule="auto"/>
        <w:ind w:right="-108"/>
        <w:jc w:val="center"/>
        <w:rPr>
          <w:rFonts w:hint="default" w:ascii="宋体" w:hAnsi="宋体" w:eastAsia="宋体" w:cs="宋体"/>
          <w:sz w:val="44"/>
          <w:szCs w:val="44"/>
          <w:lang w:val="en-US" w:eastAsia="zh-CN"/>
        </w:rPr>
      </w:pPr>
      <w:r>
        <w:rPr>
          <w:rFonts w:hint="eastAsia" w:ascii="宋体" w:hAnsi="宋体" w:cs="宋体"/>
          <w:sz w:val="44"/>
          <w:szCs w:val="44"/>
        </w:rPr>
        <w:t>项目编号：TZTX-202</w:t>
      </w:r>
      <w:r>
        <w:rPr>
          <w:rFonts w:hint="eastAsia" w:ascii="宋体" w:hAnsi="宋体" w:cs="宋体"/>
          <w:sz w:val="44"/>
          <w:szCs w:val="44"/>
          <w:lang w:val="en-US" w:eastAsia="zh-CN"/>
        </w:rPr>
        <w:t>3</w:t>
      </w:r>
      <w:r>
        <w:rPr>
          <w:rFonts w:hint="eastAsia" w:ascii="宋体" w:hAnsi="宋体" w:cs="宋体"/>
          <w:sz w:val="44"/>
          <w:szCs w:val="44"/>
        </w:rPr>
        <w:t>-GK0</w:t>
      </w:r>
      <w:r>
        <w:rPr>
          <w:rFonts w:hint="eastAsia" w:ascii="宋体" w:hAnsi="宋体" w:cs="宋体"/>
          <w:sz w:val="44"/>
          <w:szCs w:val="44"/>
          <w:lang w:val="en-US" w:eastAsia="zh-CN"/>
        </w:rPr>
        <w:t>55</w:t>
      </w:r>
    </w:p>
    <w:p>
      <w:pPr>
        <w:pStyle w:val="2"/>
      </w:pPr>
    </w:p>
    <w:p>
      <w:pPr>
        <w:pStyle w:val="19"/>
      </w:pPr>
    </w:p>
    <w:p>
      <w:pPr>
        <w:jc w:val="center"/>
        <w:rPr>
          <w:sz w:val="84"/>
          <w:szCs w:val="84"/>
        </w:rPr>
      </w:pPr>
      <w:bookmarkStart w:id="152" w:name="_Toc8885_WPSOffice_Level1"/>
      <w:bookmarkStart w:id="153" w:name="_Toc9453_WPSOffice_Level1"/>
      <w:r>
        <w:rPr>
          <w:rFonts w:hint="eastAsia"/>
          <w:sz w:val="84"/>
          <w:szCs w:val="84"/>
        </w:rPr>
        <w:t>报</w:t>
      </w:r>
      <w:bookmarkEnd w:id="152"/>
      <w:bookmarkEnd w:id="153"/>
    </w:p>
    <w:p>
      <w:pPr>
        <w:jc w:val="center"/>
        <w:rPr>
          <w:sz w:val="84"/>
          <w:szCs w:val="84"/>
        </w:rPr>
      </w:pPr>
      <w:bookmarkStart w:id="154" w:name="_Toc7485_WPSOffice_Level1"/>
      <w:bookmarkStart w:id="155" w:name="_Toc10910_WPSOffice_Level1"/>
      <w:r>
        <w:rPr>
          <w:rFonts w:hint="eastAsia"/>
          <w:sz w:val="84"/>
          <w:szCs w:val="84"/>
        </w:rPr>
        <w:t>价</w:t>
      </w:r>
      <w:bookmarkEnd w:id="154"/>
      <w:bookmarkEnd w:id="155"/>
    </w:p>
    <w:p>
      <w:pPr>
        <w:jc w:val="center"/>
        <w:rPr>
          <w:sz w:val="84"/>
          <w:szCs w:val="84"/>
        </w:rPr>
      </w:pPr>
      <w:bookmarkStart w:id="156" w:name="_Toc14572_WPSOffice_Level1"/>
      <w:bookmarkStart w:id="157" w:name="_Toc3932_WPSOffice_Level1"/>
      <w:r>
        <w:rPr>
          <w:rFonts w:hint="eastAsia"/>
          <w:sz w:val="84"/>
          <w:szCs w:val="84"/>
        </w:rPr>
        <w:t>文</w:t>
      </w:r>
      <w:bookmarkEnd w:id="156"/>
      <w:bookmarkEnd w:id="157"/>
    </w:p>
    <w:p>
      <w:pPr>
        <w:jc w:val="center"/>
        <w:rPr>
          <w:sz w:val="84"/>
          <w:szCs w:val="84"/>
        </w:rPr>
      </w:pPr>
      <w:bookmarkStart w:id="158" w:name="_Toc16973_WPSOffice_Level1"/>
      <w:bookmarkStart w:id="159" w:name="_Toc7562_WPSOffice_Level1"/>
      <w:r>
        <w:rPr>
          <w:rFonts w:hint="eastAsia"/>
          <w:sz w:val="84"/>
          <w:szCs w:val="84"/>
        </w:rPr>
        <w:t>件</w:t>
      </w:r>
      <w:bookmarkEnd w:id="158"/>
      <w:bookmarkEnd w:id="159"/>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60" w:name="_Toc4603_WPSOffice_Level1"/>
      <w:bookmarkStart w:id="161" w:name="_Toc26700_WPSOffice_Level1"/>
      <w:r>
        <w:rPr>
          <w:rFonts w:hint="eastAsia" w:ascii="宋体" w:hAnsi="宋体"/>
          <w:sz w:val="36"/>
          <w:szCs w:val="36"/>
        </w:rPr>
        <w:t>投标人全称（电子印章）：</w:t>
      </w:r>
      <w:bookmarkEnd w:id="160"/>
      <w:bookmarkEnd w:id="161"/>
    </w:p>
    <w:p>
      <w:pPr>
        <w:spacing w:line="360" w:lineRule="auto"/>
        <w:ind w:right="-108" w:firstLine="720" w:firstLineChars="200"/>
        <w:rPr>
          <w:rFonts w:ascii="宋体" w:hAnsi="宋体"/>
          <w:sz w:val="36"/>
          <w:szCs w:val="36"/>
        </w:rPr>
      </w:pPr>
      <w:bookmarkStart w:id="162" w:name="_Toc32593_WPSOffice_Level1"/>
      <w:bookmarkStart w:id="163" w:name="_Toc1391_WPSOffice_Level1"/>
      <w:r>
        <w:rPr>
          <w:rFonts w:hint="eastAsia" w:ascii="宋体" w:hAnsi="宋体"/>
          <w:sz w:val="36"/>
          <w:szCs w:val="36"/>
        </w:rPr>
        <w:t>地    址：</w:t>
      </w:r>
      <w:bookmarkEnd w:id="162"/>
      <w:bookmarkEnd w:id="163"/>
    </w:p>
    <w:p>
      <w:pPr>
        <w:spacing w:line="360" w:lineRule="auto"/>
        <w:ind w:right="-108" w:firstLine="720" w:firstLineChars="200"/>
        <w:rPr>
          <w:rFonts w:ascii="宋体" w:hAnsi="宋体"/>
          <w:sz w:val="36"/>
          <w:szCs w:val="36"/>
        </w:rPr>
      </w:pPr>
      <w:bookmarkStart w:id="164" w:name="_Toc3791_WPSOffice_Level1"/>
      <w:bookmarkStart w:id="165" w:name="_Toc20938_WPSOffice_Level1"/>
      <w:r>
        <w:rPr>
          <w:rFonts w:hint="eastAsia" w:ascii="宋体" w:hAnsi="宋体"/>
          <w:sz w:val="36"/>
          <w:szCs w:val="36"/>
        </w:rPr>
        <w:t>时    间：</w:t>
      </w:r>
      <w:bookmarkEnd w:id="164"/>
      <w:bookmarkEnd w:id="165"/>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jc w:val="center"/>
        <w:rPr>
          <w:b/>
          <w:bCs/>
          <w:sz w:val="32"/>
          <w:szCs w:val="32"/>
        </w:rPr>
      </w:pPr>
      <w:bookmarkStart w:id="166" w:name="_Toc29537_WPSOffice_Level1"/>
      <w:bookmarkStart w:id="167" w:name="_Toc19972_WPSOffice_Level1"/>
      <w:r>
        <w:rPr>
          <w:rFonts w:hint="eastAsia"/>
          <w:b/>
          <w:bCs/>
          <w:sz w:val="32"/>
          <w:szCs w:val="32"/>
        </w:rPr>
        <w:t>报价文件目录</w:t>
      </w:r>
      <w:bookmarkEnd w:id="166"/>
      <w:bookmarkEnd w:id="167"/>
    </w:p>
    <w:p>
      <w:pPr>
        <w:rPr>
          <w:sz w:val="28"/>
          <w:szCs w:val="28"/>
        </w:rPr>
      </w:pPr>
    </w:p>
    <w:p>
      <w:pPr>
        <w:spacing w:line="360" w:lineRule="auto"/>
        <w:ind w:firstLine="480" w:firstLineChars="200"/>
        <w:rPr>
          <w:sz w:val="24"/>
        </w:rPr>
      </w:pPr>
      <w:bookmarkStart w:id="168" w:name="_Toc6778_WPSOffice_Level1"/>
      <w:bookmarkStart w:id="169" w:name="_Toc29988_WPSOffice_Level1"/>
      <w:r>
        <w:rPr>
          <w:rFonts w:hint="eastAsia"/>
          <w:sz w:val="24"/>
        </w:rPr>
        <w:t>1、开标一览表（附件14）；</w:t>
      </w:r>
      <w:bookmarkEnd w:id="168"/>
      <w:bookmarkEnd w:id="169"/>
    </w:p>
    <w:p>
      <w:pPr>
        <w:spacing w:line="360" w:lineRule="auto"/>
        <w:ind w:firstLine="480" w:firstLineChars="200"/>
        <w:rPr>
          <w:sz w:val="24"/>
        </w:rPr>
      </w:pPr>
      <w:bookmarkStart w:id="170" w:name="_Toc11601_WPSOffice_Level1"/>
      <w:bookmarkStart w:id="171" w:name="_Toc15601_WPSOffice_Level1"/>
      <w:r>
        <w:rPr>
          <w:rFonts w:hint="eastAsia"/>
          <w:sz w:val="24"/>
        </w:rPr>
        <w:t>2、报价明细表（附件15）；</w:t>
      </w:r>
      <w:bookmarkEnd w:id="170"/>
      <w:bookmarkEnd w:id="171"/>
    </w:p>
    <w:p>
      <w:pPr>
        <w:spacing w:line="360" w:lineRule="auto"/>
        <w:ind w:firstLine="480" w:firstLineChars="200"/>
        <w:rPr>
          <w:sz w:val="24"/>
        </w:rPr>
      </w:pPr>
      <w:bookmarkStart w:id="172" w:name="_Toc45_WPSOffice_Level1"/>
      <w:bookmarkStart w:id="173" w:name="_Toc17543_WPSOffice_Level1"/>
      <w:r>
        <w:rPr>
          <w:rFonts w:hint="eastAsia"/>
          <w:sz w:val="24"/>
        </w:rPr>
        <w:t>3、中小企业声明函（附件16）；</w:t>
      </w:r>
      <w:bookmarkEnd w:id="172"/>
      <w:bookmarkEnd w:id="173"/>
    </w:p>
    <w:p>
      <w:pPr>
        <w:spacing w:line="360" w:lineRule="auto"/>
        <w:ind w:firstLine="480" w:firstLineChars="200"/>
        <w:rPr>
          <w:sz w:val="24"/>
        </w:rPr>
      </w:pPr>
      <w:bookmarkStart w:id="174" w:name="_Toc3001_WPSOffice_Level1"/>
      <w:bookmarkStart w:id="175" w:name="_Toc14672_WPSOffice_Level1"/>
      <w:r>
        <w:rPr>
          <w:rFonts w:hint="eastAsia"/>
          <w:sz w:val="24"/>
        </w:rPr>
        <w:t>4、针对报价投标人认为其他需要说明的；</w:t>
      </w:r>
      <w:bookmarkEnd w:id="174"/>
      <w:bookmarkEnd w:id="175"/>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2"/>
        <w:ind w:left="0" w:leftChars="0" w:firstLine="0" w:firstLineChars="0"/>
        <w:rPr>
          <w:rFonts w:ascii="宋体" w:hAnsi="宋体"/>
          <w:b/>
          <w:sz w:val="28"/>
        </w:rPr>
      </w:pPr>
    </w:p>
    <w:p>
      <w:pPr>
        <w:rPr>
          <w:rFonts w:ascii="宋体" w:hAnsi="宋体"/>
          <w:b/>
          <w:sz w:val="28"/>
        </w:rPr>
      </w:pPr>
    </w:p>
    <w:p>
      <w:pPr>
        <w:pStyle w:val="19"/>
        <w:rPr>
          <w:rFonts w:ascii="宋体" w:hAnsi="宋体"/>
          <w:b/>
          <w:sz w:val="28"/>
        </w:rPr>
      </w:pPr>
    </w:p>
    <w:p>
      <w:pPr>
        <w:rPr>
          <w:rFonts w:ascii="宋体" w:hAnsi="宋体"/>
          <w:b/>
          <w:sz w:val="28"/>
        </w:rPr>
      </w:pPr>
    </w:p>
    <w:p>
      <w:pPr>
        <w:pStyle w:val="19"/>
        <w:rPr>
          <w:rFonts w:ascii="宋体" w:hAnsi="宋体"/>
          <w:b/>
          <w:sz w:val="28"/>
        </w:rPr>
      </w:pPr>
    </w:p>
    <w:p>
      <w:pPr>
        <w:rPr>
          <w:rFonts w:ascii="宋体" w:hAnsi="宋体"/>
          <w:b/>
          <w:sz w:val="28"/>
        </w:rPr>
      </w:pPr>
    </w:p>
    <w:p>
      <w:pPr>
        <w:pStyle w:val="19"/>
        <w:rPr>
          <w:rFonts w:ascii="宋体" w:hAnsi="宋体"/>
          <w:b/>
          <w:sz w:val="28"/>
        </w:rPr>
      </w:pPr>
    </w:p>
    <w:p>
      <w:pPr>
        <w:rPr>
          <w:rFonts w:ascii="宋体" w:hAnsi="宋体"/>
          <w:b/>
          <w:sz w:val="28"/>
        </w:rPr>
      </w:pPr>
    </w:p>
    <w:p>
      <w:pPr>
        <w:pStyle w:val="19"/>
        <w:rPr>
          <w:rFonts w:ascii="宋体" w:hAnsi="宋体"/>
          <w:b/>
          <w:sz w:val="28"/>
        </w:rPr>
      </w:pPr>
    </w:p>
    <w:p>
      <w:pPr>
        <w:rPr>
          <w:rFonts w:ascii="宋体" w:hAnsi="宋体"/>
          <w:b/>
          <w:sz w:val="28"/>
        </w:rPr>
      </w:pPr>
    </w:p>
    <w:p>
      <w:pPr>
        <w:pStyle w:val="19"/>
      </w:pPr>
    </w:p>
    <w:p>
      <w:pPr>
        <w:pStyle w:val="2"/>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76" w:name="_Toc16144_WPSOffice_Level1"/>
      <w:bookmarkStart w:id="177" w:name="_Toc30363_WPSOffice_Level1"/>
      <w:r>
        <w:rPr>
          <w:rFonts w:hint="eastAsia" w:ascii="宋体" w:hAnsi="宋体"/>
          <w:b/>
          <w:sz w:val="32"/>
          <w:szCs w:val="32"/>
        </w:rPr>
        <w:t>开标一览表 (第 标)</w:t>
      </w:r>
      <w:bookmarkEnd w:id="176"/>
      <w:bookmarkEnd w:id="177"/>
    </w:p>
    <w:p>
      <w:pPr>
        <w:spacing w:line="360" w:lineRule="auto"/>
        <w:ind w:left="-2" w:hanging="2"/>
        <w:jc w:val="center"/>
        <w:rPr>
          <w:rFonts w:ascii="宋体" w:hAnsi="宋体"/>
          <w:b/>
          <w:sz w:val="32"/>
          <w:szCs w:val="32"/>
        </w:rPr>
      </w:pPr>
    </w:p>
    <w:p>
      <w:pPr>
        <w:pStyle w:val="12"/>
        <w:spacing w:line="320" w:lineRule="exact"/>
        <w:rPr>
          <w:rFonts w:hAnsi="宋体"/>
          <w:b/>
          <w:sz w:val="24"/>
        </w:rPr>
      </w:pPr>
      <w:r>
        <w:rPr>
          <w:rFonts w:hAnsi="宋体"/>
          <w:b/>
          <w:sz w:val="24"/>
        </w:rPr>
        <w:t>项目编号：</w:t>
      </w:r>
    </w:p>
    <w:p>
      <w:pPr>
        <w:pStyle w:val="39"/>
        <w:spacing w:line="360" w:lineRule="auto"/>
        <w:ind w:right="48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spacing w:line="360" w:lineRule="auto"/>
        <w:ind w:left="420"/>
        <w:rPr>
          <w:rFonts w:ascii="宋体" w:hAnsi="宋体"/>
          <w:sz w:val="24"/>
        </w:rPr>
      </w:pPr>
      <w:r>
        <w:rPr>
          <w:rFonts w:hint="eastAsia" w:ascii="宋体" w:hAnsi="宋体"/>
          <w:sz w:val="24"/>
        </w:rPr>
        <w:t>投标报价包括本项目采购需求和投入使用的所有费用，包括但不限于服务款、货款、标准附件、备品备件、施工、服务、专用工具、安装、调试、检验、培训、运输、保险、税款等。</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spacing w:line="360" w:lineRule="auto"/>
        <w:ind w:firstLine="435"/>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报价明细表 (第 标)</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项目编号：</w:t>
      </w:r>
      <w:r>
        <w:rPr>
          <w:rFonts w:hint="eastAsia" w:ascii="宋体" w:hAnsi="宋体"/>
          <w:sz w:val="24"/>
          <w:u w:val="single"/>
        </w:rPr>
        <w:t xml:space="preserve">             </w:t>
      </w:r>
    </w:p>
    <w:p>
      <w:pPr>
        <w:pStyle w:val="39"/>
        <w:spacing w:line="360" w:lineRule="auto"/>
        <w:ind w:right="480"/>
        <w:jc w:val="right"/>
        <w:rPr>
          <w:rFonts w:ascii="宋体" w:hAnsi="宋体"/>
          <w:sz w:val="24"/>
        </w:rPr>
      </w:pPr>
      <w:r>
        <w:rPr>
          <w:rFonts w:hint="eastAsia" w:ascii="宋体" w:hAnsi="宋体"/>
          <w:sz w:val="24"/>
        </w:rPr>
        <w:t>[货币单位：人民币元]</w:t>
      </w:r>
    </w:p>
    <w:tbl>
      <w:tblPr>
        <w:tblStyle w:val="20"/>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734" w:type="dxa"/>
            <w:vAlign w:val="center"/>
          </w:tcPr>
          <w:p>
            <w:pPr>
              <w:spacing w:line="360" w:lineRule="auto"/>
              <w:rPr>
                <w:rFonts w:ascii="宋体" w:hAnsi="宋体"/>
                <w:b/>
                <w:sz w:val="24"/>
              </w:rPr>
            </w:pPr>
            <w:r>
              <w:rPr>
                <w:rFonts w:hint="eastAsia" w:ascii="宋体" w:hAnsi="宋体"/>
                <w:b/>
                <w:sz w:val="24"/>
              </w:rPr>
              <w:t>序号</w:t>
            </w:r>
          </w:p>
        </w:tc>
        <w:tc>
          <w:tcPr>
            <w:tcW w:w="1921" w:type="dxa"/>
            <w:vAlign w:val="center"/>
          </w:tcPr>
          <w:p>
            <w:pPr>
              <w:spacing w:line="360" w:lineRule="auto"/>
              <w:jc w:val="center"/>
              <w:rPr>
                <w:rFonts w:ascii="宋体" w:hAnsi="宋体"/>
                <w:b/>
                <w:sz w:val="24"/>
              </w:rPr>
            </w:pPr>
            <w:r>
              <w:rPr>
                <w:rFonts w:hint="eastAsia" w:ascii="宋体" w:hAnsi="宋体"/>
                <w:b/>
                <w:sz w:val="24"/>
              </w:rPr>
              <w:t>报价名称</w:t>
            </w:r>
          </w:p>
        </w:tc>
        <w:tc>
          <w:tcPr>
            <w:tcW w:w="1405"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组成内容</w:t>
            </w:r>
          </w:p>
        </w:tc>
        <w:tc>
          <w:tcPr>
            <w:tcW w:w="2101" w:type="dxa"/>
            <w:vAlign w:val="center"/>
          </w:tcPr>
          <w:p>
            <w:pPr>
              <w:spacing w:line="360" w:lineRule="auto"/>
              <w:jc w:val="center"/>
              <w:rPr>
                <w:rFonts w:ascii="宋体" w:hAnsi="宋体"/>
                <w:b/>
                <w:sz w:val="24"/>
              </w:rPr>
            </w:pPr>
            <w:r>
              <w:rPr>
                <w:rFonts w:hint="eastAsia" w:ascii="宋体" w:hAnsi="宋体"/>
                <w:b/>
                <w:sz w:val="24"/>
              </w:rPr>
              <w:t>单价（元/年</w:t>
            </w:r>
            <w:r>
              <w:rPr>
                <w:rFonts w:hint="eastAsia" w:ascii="宋体" w:hAnsi="宋体"/>
                <w:b/>
                <w:szCs w:val="21"/>
              </w:rPr>
              <w:t>）</w:t>
            </w:r>
          </w:p>
        </w:tc>
        <w:tc>
          <w:tcPr>
            <w:tcW w:w="1473" w:type="dxa"/>
            <w:vAlign w:val="center"/>
          </w:tcPr>
          <w:p>
            <w:pPr>
              <w:spacing w:line="360" w:lineRule="auto"/>
              <w:jc w:val="center"/>
              <w:rPr>
                <w:rFonts w:ascii="宋体" w:hAnsi="宋体"/>
                <w:b/>
                <w:sz w:val="24"/>
              </w:rPr>
            </w:pPr>
            <w:r>
              <w:rPr>
                <w:rFonts w:hint="eastAsia" w:ascii="宋体" w:hAnsi="宋体"/>
                <w:b/>
                <w:sz w:val="24"/>
              </w:rPr>
              <w:t>小计</w:t>
            </w:r>
          </w:p>
        </w:tc>
        <w:tc>
          <w:tcPr>
            <w:tcW w:w="1266"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734" w:type="dxa"/>
          </w:tcPr>
          <w:p>
            <w:pPr>
              <w:pStyle w:val="48"/>
              <w:spacing w:line="360" w:lineRule="auto"/>
              <w:jc w:val="center"/>
              <w:rPr>
                <w:rFonts w:ascii="仿宋_GB2312" w:hAnsi="仿宋" w:eastAsia="仿宋_GB2312"/>
                <w:sz w:val="30"/>
                <w:szCs w:val="30"/>
              </w:rPr>
            </w:pPr>
            <w:r>
              <w:rPr>
                <w:rFonts w:hint="eastAsia" w:ascii="仿宋_GB2312" w:hAnsi="仿宋" w:eastAsia="仿宋_GB2312"/>
                <w:sz w:val="30"/>
                <w:szCs w:val="30"/>
              </w:rPr>
              <w:t>1</w:t>
            </w:r>
          </w:p>
        </w:tc>
        <w:tc>
          <w:tcPr>
            <w:tcW w:w="1921" w:type="dxa"/>
            <w:vAlign w:val="center"/>
          </w:tcPr>
          <w:p>
            <w:pPr>
              <w:spacing w:line="360" w:lineRule="auto"/>
              <w:rPr>
                <w:rFonts w:ascii="仿宋_GB2312" w:hAnsi="仿宋" w:eastAsia="仿宋_GB2312"/>
                <w:sz w:val="28"/>
                <w:szCs w:val="28"/>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hRule="atLeast"/>
        </w:trPr>
        <w:tc>
          <w:tcPr>
            <w:tcW w:w="734" w:type="dxa"/>
          </w:tcPr>
          <w:p>
            <w:pPr>
              <w:pStyle w:val="48"/>
              <w:spacing w:line="360" w:lineRule="auto"/>
              <w:jc w:val="center"/>
              <w:rPr>
                <w:rFonts w:ascii="仿宋_GB2312" w:hAnsi="仿宋" w:eastAsia="仿宋_GB2312"/>
                <w:sz w:val="30"/>
                <w:szCs w:val="30"/>
              </w:rPr>
            </w:pPr>
            <w:r>
              <w:rPr>
                <w:rFonts w:hint="eastAsia" w:ascii="仿宋_GB2312" w:hAnsi="仿宋" w:eastAsia="仿宋_GB2312"/>
                <w:sz w:val="30"/>
                <w:szCs w:val="30"/>
              </w:rPr>
              <w:t>2</w:t>
            </w:r>
          </w:p>
        </w:tc>
        <w:tc>
          <w:tcPr>
            <w:tcW w:w="1921" w:type="dxa"/>
            <w:vAlign w:val="center"/>
          </w:tcPr>
          <w:p>
            <w:pPr>
              <w:spacing w:line="360" w:lineRule="auto"/>
              <w:rPr>
                <w:rFonts w:ascii="仿宋_GB2312" w:hAnsi="仿宋" w:eastAsia="仿宋_GB2312"/>
                <w:sz w:val="28"/>
                <w:szCs w:val="28"/>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34" w:type="dxa"/>
            <w:vAlign w:val="center"/>
          </w:tcPr>
          <w:p>
            <w:pPr>
              <w:spacing w:line="360" w:lineRule="auto"/>
              <w:jc w:val="center"/>
              <w:rPr>
                <w:rFonts w:ascii="宋体" w:hAnsi="宋体"/>
                <w:sz w:val="24"/>
              </w:rPr>
            </w:pPr>
            <w:r>
              <w:rPr>
                <w:rFonts w:hint="eastAsia" w:ascii="仿宋_GB2312" w:hAnsi="仿宋" w:eastAsia="仿宋_GB2312"/>
                <w:sz w:val="30"/>
                <w:szCs w:val="30"/>
              </w:rPr>
              <w:t>3</w:t>
            </w:r>
          </w:p>
        </w:tc>
        <w:tc>
          <w:tcPr>
            <w:tcW w:w="1921" w:type="dxa"/>
            <w:vAlign w:val="center"/>
          </w:tcPr>
          <w:p>
            <w:pPr>
              <w:spacing w:line="360" w:lineRule="auto"/>
              <w:rPr>
                <w:rFonts w:ascii="宋体" w:hAnsi="宋体"/>
                <w:sz w:val="24"/>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34" w:type="dxa"/>
            <w:vAlign w:val="center"/>
          </w:tcPr>
          <w:p>
            <w:pPr>
              <w:spacing w:line="360" w:lineRule="auto"/>
              <w:rPr>
                <w:rFonts w:ascii="宋体" w:hAnsi="宋体"/>
                <w:sz w:val="24"/>
              </w:rPr>
            </w:pPr>
            <w:r>
              <w:rPr>
                <w:rFonts w:hint="eastAsia" w:ascii="仿宋_GB2312" w:hAnsi="仿宋" w:eastAsia="仿宋_GB2312"/>
                <w:sz w:val="30"/>
                <w:szCs w:val="30"/>
              </w:rPr>
              <w:t>……</w:t>
            </w:r>
          </w:p>
        </w:tc>
        <w:tc>
          <w:tcPr>
            <w:tcW w:w="1921" w:type="dxa"/>
            <w:vAlign w:val="center"/>
          </w:tcPr>
          <w:p>
            <w:pPr>
              <w:spacing w:line="360" w:lineRule="auto"/>
              <w:rPr>
                <w:rFonts w:ascii="宋体" w:hAnsi="宋体"/>
                <w:sz w:val="24"/>
              </w:rPr>
            </w:pPr>
          </w:p>
        </w:tc>
        <w:tc>
          <w:tcPr>
            <w:tcW w:w="1405" w:type="dxa"/>
            <w:vAlign w:val="center"/>
          </w:tcPr>
          <w:p>
            <w:pPr>
              <w:spacing w:line="360" w:lineRule="auto"/>
              <w:rPr>
                <w:rFonts w:ascii="宋体" w:hAnsi="宋体"/>
                <w:sz w:val="24"/>
              </w:rPr>
            </w:pPr>
          </w:p>
        </w:tc>
        <w:tc>
          <w:tcPr>
            <w:tcW w:w="2101" w:type="dxa"/>
            <w:vAlign w:val="center"/>
          </w:tcPr>
          <w:p>
            <w:pPr>
              <w:spacing w:line="360" w:lineRule="auto"/>
              <w:rPr>
                <w:rFonts w:ascii="宋体" w:hAnsi="宋体"/>
                <w:sz w:val="24"/>
              </w:rPr>
            </w:pPr>
          </w:p>
        </w:tc>
        <w:tc>
          <w:tcPr>
            <w:tcW w:w="1473" w:type="dxa"/>
            <w:vAlign w:val="center"/>
          </w:tcPr>
          <w:p>
            <w:pPr>
              <w:spacing w:line="360" w:lineRule="auto"/>
              <w:rPr>
                <w:rFonts w:ascii="宋体" w:hAnsi="宋体"/>
                <w:sz w:val="24"/>
              </w:rPr>
            </w:pPr>
          </w:p>
        </w:tc>
        <w:tc>
          <w:tcPr>
            <w:tcW w:w="1266"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900" w:type="dxa"/>
            <w:gridSpan w:val="6"/>
            <w:vAlign w:val="center"/>
          </w:tcPr>
          <w:p>
            <w:pPr>
              <w:spacing w:line="360" w:lineRule="auto"/>
              <w:rPr>
                <w:rFonts w:ascii="宋体" w:hAnsi="宋体"/>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highlight w:val="none"/>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w:t>
      </w:r>
      <w:r>
        <w:rPr>
          <w:rFonts w:hint="eastAsia" w:ascii="宋体"/>
          <w:szCs w:val="21"/>
          <w:highlight w:val="none"/>
          <w:lang w:val="zh-CN"/>
        </w:rPr>
        <w:t>标一览表为准。</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pStyle w:val="3"/>
      </w:pP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40"/>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0"/>
        <w:spacing w:line="360" w:lineRule="auto"/>
        <w:jc w:val="center"/>
        <w:rPr>
          <w:rFonts w:ascii="宋体" w:hAnsi="宋体"/>
          <w:b/>
          <w:sz w:val="24"/>
          <w:lang w:val="en-GB"/>
        </w:rPr>
      </w:pPr>
    </w:p>
    <w:p>
      <w:pPr>
        <w:pStyle w:val="4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0"/>
        <w:numPr>
          <w:ilvl w:val="0"/>
          <w:numId w:val="14"/>
        </w:numPr>
        <w:spacing w:line="360" w:lineRule="auto"/>
        <w:ind w:firstLine="480" w:firstLineChars="200"/>
        <w:rPr>
          <w:rFonts w:ascii="宋体" w:hAnsi="宋体"/>
          <w:sz w:val="24"/>
        </w:rPr>
      </w:pPr>
      <w:r>
        <w:rPr>
          <w:rFonts w:hint="eastAsia" w:ascii="宋体" w:hAnsi="宋体"/>
          <w:sz w:val="24"/>
        </w:rPr>
        <w:t>（标的名称），属于（招标文件中明确的所属行业）；承建（承接）企业为（企业名称），从业人员人，营业收入为万元，资产总额为万元</w:t>
      </w: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2.（标的名称），属于（招标文件中明确的所属行业）；承建（承接）企业为（企业名称），从业人员</w:t>
      </w:r>
      <w:r>
        <w:rPr>
          <w:rFonts w:hint="eastAsia" w:ascii="宋体" w:hAnsi="宋体"/>
          <w:color w:val="auto"/>
          <w:sz w:val="24"/>
        </w:rPr>
        <w:t>人</w:t>
      </w:r>
      <w:r>
        <w:rPr>
          <w:rFonts w:hint="eastAsia" w:ascii="宋体" w:hAnsi="宋体"/>
          <w:sz w:val="24"/>
        </w:rPr>
        <w:t>，营业收入为万元，资产总额为万元，属于（中型企业、小型企业、微型企业）；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b/>
          <w:szCs w:val="21"/>
        </w:rPr>
      </w:pPr>
      <w:r>
        <w:rPr>
          <w:rFonts w:hint="eastAsia" w:ascii="宋体" w:hAnsi="宋体"/>
          <w:b/>
          <w:szCs w:val="21"/>
        </w:rPr>
        <w:t>要求：</w:t>
      </w:r>
    </w:p>
    <w:p>
      <w:pPr>
        <w:numPr>
          <w:ilvl w:val="0"/>
          <w:numId w:val="15"/>
        </w:numPr>
        <w:spacing w:line="360" w:lineRule="auto"/>
        <w:ind w:left="435"/>
        <w:rPr>
          <w:rFonts w:ascii="宋体" w:hAnsi="宋体"/>
          <w:szCs w:val="21"/>
        </w:rPr>
      </w:pPr>
      <w:r>
        <w:rPr>
          <w:rFonts w:hint="eastAsia" w:ascii="宋体" w:hAnsi="宋体"/>
          <w:szCs w:val="21"/>
        </w:rPr>
        <w:t>如响应产品由小微企业生产，则需提供中小企业声明函。</w:t>
      </w:r>
    </w:p>
    <w:p>
      <w:pPr>
        <w:numPr>
          <w:ilvl w:val="0"/>
          <w:numId w:val="15"/>
        </w:numPr>
        <w:spacing w:line="360" w:lineRule="auto"/>
        <w:ind w:left="435"/>
        <w:rPr>
          <w:rFonts w:ascii="宋体" w:hAnsi="宋体"/>
          <w:szCs w:val="21"/>
        </w:rPr>
      </w:pPr>
      <w:r>
        <w:rPr>
          <w:rFonts w:hint="eastAsia" w:ascii="宋体" w:hAnsi="宋体"/>
          <w:szCs w:val="21"/>
        </w:rPr>
        <w:t>如成交人声明为小微企业，本声明函将随成交结果同时公告，接受社会监督。</w:t>
      </w:r>
    </w:p>
    <w:p>
      <w:pPr>
        <w:pStyle w:val="40"/>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ascii="宋体" w:hAnsi="宋体"/>
          <w:sz w:val="24"/>
        </w:rPr>
      </w:pPr>
      <w:r>
        <w:rPr>
          <w:rFonts w:hint="eastAsia" w:ascii="宋体" w:hAnsi="宋体"/>
          <w:sz w:val="24"/>
        </w:rPr>
        <w:t>企业名称（盖章）：</w:t>
      </w:r>
    </w:p>
    <w:p>
      <w:pPr>
        <w:pStyle w:val="40"/>
        <w:spacing w:line="360" w:lineRule="auto"/>
        <w:ind w:firstLine="4800" w:firstLineChars="2000"/>
        <w:rPr>
          <w:rFonts w:ascii="宋体" w:hAnsi="宋体"/>
          <w:sz w:val="24"/>
        </w:rPr>
      </w:pPr>
      <w:r>
        <w:rPr>
          <w:rFonts w:hint="eastAsia" w:ascii="宋体" w:hAnsi="宋体"/>
          <w:sz w:val="24"/>
        </w:rPr>
        <w:t>日期：××年××月××日</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pacing w:line="360" w:lineRule="auto"/>
        <w:rPr>
          <w:rFonts w:ascii="宋体" w:hAnsi="宋体" w:cs="宋体"/>
          <w:sz w:val="24"/>
        </w:rPr>
        <w:sectPr>
          <w:headerReference r:id="rId7" w:type="default"/>
          <w:pgSz w:w="11906" w:h="16838"/>
          <w:pgMar w:top="1440" w:right="1417" w:bottom="1440" w:left="1417" w:header="851" w:footer="850" w:gutter="0"/>
          <w:cols w:space="0" w:num="1"/>
          <w:rtlGutter w:val="0"/>
          <w:docGrid w:linePitch="312" w:charSpace="0"/>
        </w:sectPr>
      </w:pPr>
    </w:p>
    <w:p>
      <w:pPr>
        <w:pStyle w:val="12"/>
        <w:spacing w:line="360" w:lineRule="auto"/>
        <w:jc w:val="center"/>
        <w:outlineLvl w:val="1"/>
        <w:rPr>
          <w:rFonts w:hAnsi="宋体" w:cs="宋体"/>
          <w:b/>
          <w:sz w:val="32"/>
          <w:szCs w:val="32"/>
          <w:lang w:val="en-GB"/>
        </w:rPr>
      </w:pPr>
      <w:bookmarkStart w:id="178" w:name="_Toc17646_WPSOffice_Level1"/>
      <w:bookmarkStart w:id="179" w:name="_Toc27483_WPSOffice_Level1"/>
      <w:r>
        <w:rPr>
          <w:rFonts w:hint="eastAsia" w:hAnsi="宋体" w:cs="宋体"/>
          <w:b/>
          <w:sz w:val="32"/>
          <w:szCs w:val="32"/>
          <w:lang w:val="en-GB"/>
        </w:rPr>
        <w:t>残疾人福利性单位声明函</w:t>
      </w:r>
      <w:bookmarkEnd w:id="178"/>
      <w:bookmarkEnd w:id="17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单位名称（盖章）：</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日         期  ：</w:t>
      </w:r>
    </w:p>
    <w:p>
      <w:pPr>
        <w:spacing w:line="360" w:lineRule="auto"/>
      </w:pPr>
    </w:p>
    <w:p>
      <w:pPr>
        <w:pStyle w:val="2"/>
      </w:pPr>
    </w:p>
    <w:p>
      <w:pPr>
        <w:pStyle w:val="2"/>
      </w:pPr>
    </w:p>
    <w:p>
      <w:pPr>
        <w:pStyle w:val="2"/>
      </w:pPr>
    </w:p>
    <w:p>
      <w:pPr>
        <w:pStyle w:val="2"/>
        <w:ind w:left="0" w:leftChars="0" w:firstLine="0" w:firstLineChars="0"/>
      </w:pPr>
    </w:p>
    <w:p>
      <w:pPr>
        <w:pStyle w:val="2"/>
      </w:pPr>
    </w:p>
    <w:p>
      <w:pPr>
        <w:pStyle w:val="2"/>
        <w:ind w:left="0" w:leftChars="0" w:firstLine="0" w:firstLineChars="0"/>
      </w:pPr>
    </w:p>
    <w:p/>
    <w:p>
      <w:pPr>
        <w:pStyle w:val="19"/>
      </w:pPr>
    </w:p>
    <w:p/>
    <w:p>
      <w:pPr>
        <w:pStyle w:val="19"/>
      </w:pPr>
    </w:p>
    <w:p/>
    <w:p>
      <w:pPr>
        <w:pStyle w:val="19"/>
      </w:pPr>
    </w:p>
    <w:p/>
    <w:p>
      <w:pPr>
        <w:pStyle w:val="19"/>
      </w:pPr>
    </w:p>
    <w:p/>
    <w:p>
      <w:pPr>
        <w:pStyle w:val="19"/>
      </w:pPr>
    </w:p>
    <w:p>
      <w:pPr>
        <w:pStyle w:val="19"/>
      </w:pPr>
    </w:p>
    <w:p>
      <w:pPr>
        <w:pStyle w:val="19"/>
      </w:pPr>
    </w:p>
    <w:p>
      <w:pPr>
        <w:pStyle w:val="19"/>
      </w:pPr>
    </w:p>
    <w:p>
      <w:pPr>
        <w:pStyle w:val="19"/>
      </w:pPr>
    </w:p>
    <w:p>
      <w:pPr>
        <w:pStyle w:val="19"/>
      </w:pPr>
    </w:p>
    <w:p>
      <w:pPr>
        <w:pStyle w:val="19"/>
      </w:pPr>
    </w:p>
    <w:p/>
    <w:p/>
    <w:p>
      <w:pPr>
        <w:snapToGrid w:val="0"/>
        <w:spacing w:before="156" w:beforeLines="50" w:after="50" w:line="360" w:lineRule="auto"/>
        <w:outlineLvl w:val="0"/>
        <w:rPr>
          <w:rFonts w:ascii="仿宋_GB2312" w:hAnsi="宋体"/>
          <w:bCs/>
          <w:sz w:val="30"/>
          <w:szCs w:val="30"/>
        </w:rPr>
      </w:pPr>
      <w:r>
        <w:rPr>
          <w:rFonts w:hint="eastAsia" w:ascii="宋体" w:hAnsi="宋体"/>
          <w:b/>
          <w:sz w:val="28"/>
        </w:rPr>
        <w:t>附件17</w:t>
      </w:r>
    </w:p>
    <w:p>
      <w:pPr>
        <w:outlineLvl w:val="0"/>
        <w:rPr>
          <w:sz w:val="28"/>
          <w:szCs w:val="28"/>
        </w:rPr>
      </w:pPr>
      <w:bookmarkStart w:id="180" w:name="_Toc5436"/>
      <w:r>
        <w:rPr>
          <w:rFonts w:hint="eastAsia"/>
          <w:sz w:val="28"/>
          <w:szCs w:val="28"/>
        </w:rPr>
        <w:t>其余事项：</w:t>
      </w:r>
      <w:bookmarkEnd w:id="180"/>
    </w:p>
    <w:p>
      <w:pPr>
        <w:outlineLvl w:val="0"/>
        <w:rPr>
          <w:b w:val="0"/>
          <w:bCs w:val="0"/>
        </w:rPr>
      </w:pPr>
      <w:bookmarkStart w:id="181" w:name="_Toc24067"/>
      <w:r>
        <w:rPr>
          <w:rFonts w:hint="eastAsia"/>
          <w:b w:val="0"/>
          <w:bCs w:val="0"/>
          <w:color w:val="auto"/>
          <w:sz w:val="28"/>
          <w:szCs w:val="28"/>
          <w:lang w:eastAsia="zh-CN"/>
        </w:rPr>
        <w:t>中标运营商</w:t>
      </w:r>
      <w:r>
        <w:rPr>
          <w:rFonts w:hint="eastAsia"/>
          <w:b w:val="0"/>
          <w:bCs w:val="0"/>
          <w:sz w:val="28"/>
          <w:szCs w:val="28"/>
        </w:rPr>
        <w:t>如有融资需求，可使用以下银行的政采贷服务。</w:t>
      </w:r>
      <w:bookmarkEnd w:id="181"/>
    </w:p>
    <w:tbl>
      <w:tblPr>
        <w:tblStyle w:val="21"/>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560"/>
        <w:gridCol w:w="168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贷款年利率</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联系人</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中国工商银行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napToGrid w:val="0"/>
              <w:spacing w:after="0" w:line="288" w:lineRule="auto"/>
              <w:jc w:val="center"/>
              <w:rPr>
                <w:rFonts w:ascii="Arial" w:hAnsi="Arial"/>
                <w:b w:val="0"/>
                <w:bCs w:val="0"/>
                <w:sz w:val="28"/>
                <w:szCs w:val="28"/>
              </w:rPr>
            </w:pPr>
            <w:r>
              <w:rPr>
                <w:rFonts w:hint="eastAsia" w:ascii="Arial" w:hAnsi="Arial"/>
                <w:sz w:val="28"/>
                <w:szCs w:val="28"/>
              </w:rPr>
              <w:t>卢嘉诚</w:t>
            </w:r>
          </w:p>
        </w:tc>
        <w:tc>
          <w:tcPr>
            <w:tcW w:w="3810" w:type="dxa"/>
            <w:vAlign w:val="center"/>
          </w:tcPr>
          <w:p>
            <w:pPr>
              <w:snapToGrid w:val="0"/>
              <w:spacing w:after="0" w:line="288" w:lineRule="auto"/>
              <w:jc w:val="center"/>
              <w:rPr>
                <w:rFonts w:ascii="Arial" w:hAnsi="Arial"/>
                <w:b w:val="0"/>
                <w:bCs w:val="0"/>
                <w:sz w:val="28"/>
                <w:szCs w:val="28"/>
              </w:rPr>
            </w:pPr>
            <w:r>
              <w:rPr>
                <w:rFonts w:hint="eastAsia" w:ascii="Arial" w:hAnsi="Arial"/>
                <w:sz w:val="28"/>
                <w:szCs w:val="28"/>
              </w:rPr>
              <w:t>88588246  13867658508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中国农业银行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龚盛</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中国建设银行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梅晶晶</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88525339</w:t>
            </w:r>
          </w:p>
          <w:p>
            <w:pPr>
              <w:spacing w:line="400" w:lineRule="exact"/>
              <w:jc w:val="center"/>
              <w:rPr>
                <w:rFonts w:ascii="Arial" w:hAnsi="Arial"/>
                <w:b w:val="0"/>
                <w:bCs w:val="0"/>
                <w:sz w:val="28"/>
                <w:szCs w:val="28"/>
              </w:rPr>
            </w:pPr>
            <w:r>
              <w:rPr>
                <w:rFonts w:hint="eastAsia" w:ascii="Arial" w:hAnsi="Arial"/>
                <w:b w:val="0"/>
                <w:bCs w:val="0"/>
                <w:sz w:val="28"/>
                <w:szCs w:val="28"/>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中国银行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3.75%起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任茜</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浦发银行台州分行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王渊</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浦发银行椒江分行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孙瑞华</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交通银行台州分行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3.75%起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周翔宇</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招商银行台州分行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4.32%起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王海玲</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浙商银行台州分行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5.01%起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章涉漪</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81880185</w:t>
            </w:r>
          </w:p>
          <w:p>
            <w:pPr>
              <w:spacing w:line="400" w:lineRule="exact"/>
              <w:jc w:val="center"/>
              <w:rPr>
                <w:rFonts w:ascii="Arial" w:hAnsi="Arial"/>
                <w:b w:val="0"/>
                <w:bCs w:val="0"/>
                <w:sz w:val="28"/>
                <w:szCs w:val="28"/>
              </w:rPr>
            </w:pPr>
            <w:r>
              <w:rPr>
                <w:rFonts w:hint="eastAsia" w:ascii="Arial" w:hAnsi="Arial"/>
                <w:b w:val="0"/>
                <w:bCs w:val="0"/>
                <w:sz w:val="28"/>
                <w:szCs w:val="28"/>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中信银行台州分行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4.15%起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陈金园</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华夏银行台州分行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邱明达</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81871518</w:t>
            </w:r>
          </w:p>
          <w:p>
            <w:pPr>
              <w:spacing w:line="400" w:lineRule="exact"/>
              <w:jc w:val="center"/>
              <w:rPr>
                <w:rFonts w:ascii="Arial" w:hAnsi="Arial"/>
                <w:b w:val="0"/>
                <w:bCs w:val="0"/>
                <w:sz w:val="28"/>
                <w:szCs w:val="28"/>
              </w:rPr>
            </w:pPr>
            <w:r>
              <w:rPr>
                <w:rFonts w:hint="eastAsia" w:ascii="Arial" w:hAnsi="Arial"/>
                <w:b w:val="0"/>
                <w:bCs w:val="0"/>
                <w:sz w:val="28"/>
                <w:szCs w:val="28"/>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泰隆银行开发区支行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5.6%起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梁宛莉</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民泰银行椒江支行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5.8%起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陈慧珠</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绍兴银行台州分行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5.1%起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郭庭斌</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温州银行台州分行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4.55%起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王晓波</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平安银行台州分行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6.53%起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李俊丽</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宁波银行台州分行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4.35%起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戴莉丽</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金华银行台州分行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4.05%起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金雪婷</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81886670</w:t>
            </w:r>
          </w:p>
          <w:p>
            <w:pPr>
              <w:spacing w:line="400" w:lineRule="exact"/>
              <w:jc w:val="center"/>
              <w:rPr>
                <w:rFonts w:ascii="Arial" w:hAnsi="Arial"/>
                <w:b w:val="0"/>
                <w:bCs w:val="0"/>
                <w:sz w:val="28"/>
                <w:szCs w:val="28"/>
              </w:rPr>
            </w:pPr>
            <w:r>
              <w:rPr>
                <w:rFonts w:hint="eastAsia" w:ascii="Arial" w:hAnsi="Arial"/>
                <w:b w:val="0"/>
                <w:bCs w:val="0"/>
                <w:sz w:val="28"/>
                <w:szCs w:val="28"/>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台州银行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5.6%起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洪婷</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5"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邮储银行台州分行</w:t>
            </w:r>
          </w:p>
        </w:tc>
        <w:tc>
          <w:tcPr>
            <w:tcW w:w="156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3.85%起</w:t>
            </w:r>
          </w:p>
        </w:tc>
        <w:tc>
          <w:tcPr>
            <w:tcW w:w="168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董庆</w:t>
            </w:r>
          </w:p>
        </w:tc>
        <w:tc>
          <w:tcPr>
            <w:tcW w:w="3810" w:type="dxa"/>
            <w:vAlign w:val="center"/>
          </w:tcPr>
          <w:p>
            <w:pPr>
              <w:spacing w:line="400" w:lineRule="exact"/>
              <w:jc w:val="center"/>
              <w:rPr>
                <w:rFonts w:ascii="Arial" w:hAnsi="Arial"/>
                <w:b w:val="0"/>
                <w:bCs w:val="0"/>
                <w:sz w:val="28"/>
                <w:szCs w:val="28"/>
              </w:rPr>
            </w:pPr>
            <w:r>
              <w:rPr>
                <w:rFonts w:hint="eastAsia" w:ascii="Arial" w:hAnsi="Arial"/>
                <w:b w:val="0"/>
                <w:bCs w:val="0"/>
                <w:sz w:val="28"/>
                <w:szCs w:val="28"/>
              </w:rPr>
              <w:t>81888982</w:t>
            </w:r>
          </w:p>
          <w:p>
            <w:pPr>
              <w:spacing w:line="400" w:lineRule="exact"/>
              <w:jc w:val="center"/>
              <w:rPr>
                <w:rFonts w:ascii="Arial" w:hAnsi="Arial"/>
                <w:b w:val="0"/>
                <w:bCs w:val="0"/>
                <w:sz w:val="28"/>
                <w:szCs w:val="28"/>
              </w:rPr>
            </w:pPr>
            <w:r>
              <w:rPr>
                <w:rFonts w:hint="eastAsia" w:ascii="Arial" w:hAnsi="Arial"/>
                <w:b w:val="0"/>
                <w:bCs w:val="0"/>
                <w:sz w:val="28"/>
                <w:szCs w:val="28"/>
              </w:rPr>
              <w:t>18957683735</w:t>
            </w:r>
          </w:p>
        </w:tc>
      </w:tr>
    </w:tbl>
    <w:p>
      <w:pPr>
        <w:pStyle w:val="2"/>
        <w:rPr>
          <w:b w:val="0"/>
          <w:bCs w:val="0"/>
        </w:rPr>
      </w:pPr>
    </w:p>
    <w:p>
      <w:pPr>
        <w:pStyle w:val="2"/>
        <w:rPr>
          <w:b w:val="0"/>
          <w:bCs w:val="0"/>
        </w:rPr>
      </w:pPr>
    </w:p>
    <w:p>
      <w:pPr>
        <w:outlineLvl w:val="0"/>
        <w:rPr>
          <w:sz w:val="28"/>
          <w:szCs w:val="28"/>
        </w:rPr>
      </w:pPr>
      <w:bookmarkStart w:id="182" w:name="_Toc4895"/>
      <w:r>
        <w:rPr>
          <w:rFonts w:hint="eastAsia"/>
          <w:b w:val="0"/>
          <w:bCs w:val="0"/>
          <w:color w:val="auto"/>
          <w:sz w:val="28"/>
          <w:szCs w:val="28"/>
          <w:lang w:eastAsia="zh-CN"/>
        </w:rPr>
        <w:t>中标运营商</w:t>
      </w:r>
      <w:r>
        <w:rPr>
          <w:rFonts w:hint="eastAsia"/>
          <w:sz w:val="28"/>
          <w:szCs w:val="28"/>
        </w:rPr>
        <w:t>如有合同履约或预付款保函需要，可联系以下保险公司。</w:t>
      </w:r>
      <w:bookmarkEnd w:id="182"/>
    </w:p>
    <w:p>
      <w:pPr>
        <w:outlineLvl w:val="0"/>
        <w:rPr>
          <w:sz w:val="28"/>
          <w:szCs w:val="28"/>
        </w:rPr>
      </w:pPr>
      <w:bookmarkStart w:id="183" w:name="_Toc4774"/>
      <w:r>
        <w:rPr>
          <w:rFonts w:hint="eastAsia"/>
          <w:sz w:val="28"/>
          <w:szCs w:val="28"/>
        </w:rPr>
        <w:t>合同履约保函联系方式：</w:t>
      </w:r>
      <w:bookmarkEnd w:id="183"/>
    </w:p>
    <w:tbl>
      <w:tblPr>
        <w:tblStyle w:val="21"/>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1791"/>
        <w:gridCol w:w="147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Arial" w:hAnsi="Arial"/>
                <w:sz w:val="32"/>
                <w:szCs w:val="32"/>
              </w:rPr>
            </w:pPr>
            <w:r>
              <w:rPr>
                <w:rFonts w:hint="eastAsia" w:ascii="Arial" w:hAnsi="Arial"/>
                <w:sz w:val="32"/>
                <w:szCs w:val="32"/>
              </w:rPr>
              <w:t>保险公司</w:t>
            </w:r>
          </w:p>
        </w:tc>
        <w:tc>
          <w:tcPr>
            <w:tcW w:w="1791" w:type="dxa"/>
            <w:vAlign w:val="center"/>
          </w:tcPr>
          <w:p>
            <w:pPr>
              <w:jc w:val="center"/>
              <w:rPr>
                <w:rFonts w:ascii="Arial" w:hAnsi="Arial"/>
                <w:sz w:val="32"/>
                <w:szCs w:val="32"/>
              </w:rPr>
            </w:pPr>
            <w:r>
              <w:rPr>
                <w:rFonts w:hint="eastAsia" w:ascii="Arial" w:hAnsi="Arial"/>
                <w:sz w:val="32"/>
                <w:szCs w:val="32"/>
              </w:rPr>
              <w:t>保费率</w:t>
            </w:r>
          </w:p>
        </w:tc>
        <w:tc>
          <w:tcPr>
            <w:tcW w:w="1471" w:type="dxa"/>
            <w:vAlign w:val="center"/>
          </w:tcPr>
          <w:p>
            <w:pPr>
              <w:jc w:val="center"/>
              <w:rPr>
                <w:rFonts w:ascii="Arial" w:hAnsi="Arial"/>
                <w:sz w:val="32"/>
                <w:szCs w:val="32"/>
              </w:rPr>
            </w:pPr>
            <w:r>
              <w:rPr>
                <w:rFonts w:hint="eastAsia" w:ascii="Arial" w:hAnsi="Arial"/>
                <w:sz w:val="32"/>
                <w:szCs w:val="32"/>
              </w:rPr>
              <w:t>联系人</w:t>
            </w:r>
          </w:p>
        </w:tc>
        <w:tc>
          <w:tcPr>
            <w:tcW w:w="1678" w:type="dxa"/>
            <w:vAlign w:val="center"/>
          </w:tcPr>
          <w:p>
            <w:pPr>
              <w:jc w:val="center"/>
              <w:rPr>
                <w:rFonts w:ascii="Arial" w:hAnsi="Arial"/>
                <w:sz w:val="32"/>
                <w:szCs w:val="32"/>
              </w:rPr>
            </w:pPr>
            <w:r>
              <w:rPr>
                <w:rFonts w:hint="eastAsia" w:ascii="Arial" w:hAnsi="Arial"/>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中国人寿财产保险股份有限公司台州中心支公司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年费率1%，最低保费500元</w:t>
            </w:r>
          </w:p>
        </w:tc>
        <w:tc>
          <w:tcPr>
            <w:tcW w:w="1471" w:type="dxa"/>
            <w:vAlign w:val="center"/>
          </w:tcPr>
          <w:p>
            <w:pPr>
              <w:jc w:val="center"/>
              <w:rPr>
                <w:rFonts w:ascii="宋体" w:hAnsi="宋体" w:cs="宋体"/>
                <w:sz w:val="24"/>
              </w:rPr>
            </w:pPr>
            <w:r>
              <w:rPr>
                <w:rFonts w:hint="eastAsia" w:ascii="宋体" w:hAnsi="宋体" w:cs="宋体"/>
                <w:sz w:val="24"/>
              </w:rPr>
              <w:t>徐凌</w:t>
            </w:r>
          </w:p>
        </w:tc>
        <w:tc>
          <w:tcPr>
            <w:tcW w:w="1678" w:type="dxa"/>
            <w:vAlign w:val="center"/>
          </w:tcPr>
          <w:p>
            <w:pPr>
              <w:jc w:val="center"/>
              <w:rPr>
                <w:rFonts w:ascii="宋体" w:hAnsi="宋体" w:cs="宋体"/>
                <w:sz w:val="24"/>
              </w:rPr>
            </w:pPr>
            <w:r>
              <w:rPr>
                <w:rFonts w:hint="eastAsia" w:ascii="宋体" w:hAnsi="宋体" w:cs="宋体"/>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永诚财产保险股份有限公司台州分公司</w:t>
            </w:r>
          </w:p>
        </w:tc>
        <w:tc>
          <w:tcPr>
            <w:tcW w:w="1791" w:type="dxa"/>
            <w:vAlign w:val="center"/>
          </w:tcPr>
          <w:p>
            <w:pPr>
              <w:jc w:val="center"/>
              <w:rPr>
                <w:rFonts w:ascii="宋体" w:hAnsi="宋体" w:cs="宋体"/>
                <w:sz w:val="24"/>
              </w:rPr>
            </w:pPr>
            <w:r>
              <w:rPr>
                <w:rFonts w:hint="eastAsia" w:ascii="宋体" w:hAnsi="宋体" w:cs="宋体"/>
                <w:sz w:val="24"/>
              </w:rPr>
              <w:t>年费率1%，最低保费1000元</w:t>
            </w:r>
          </w:p>
        </w:tc>
        <w:tc>
          <w:tcPr>
            <w:tcW w:w="1471" w:type="dxa"/>
            <w:vAlign w:val="center"/>
          </w:tcPr>
          <w:p>
            <w:pPr>
              <w:jc w:val="center"/>
              <w:rPr>
                <w:rFonts w:ascii="宋体" w:hAnsi="宋体" w:cs="宋体"/>
                <w:sz w:val="24"/>
              </w:rPr>
            </w:pPr>
            <w:r>
              <w:rPr>
                <w:rFonts w:hint="eastAsia" w:ascii="宋体" w:hAnsi="宋体" w:cs="宋体"/>
                <w:sz w:val="24"/>
              </w:rPr>
              <w:t>尹刚强</w:t>
            </w:r>
          </w:p>
        </w:tc>
        <w:tc>
          <w:tcPr>
            <w:tcW w:w="1678" w:type="dxa"/>
            <w:vAlign w:val="center"/>
          </w:tcPr>
          <w:p>
            <w:pPr>
              <w:jc w:val="center"/>
              <w:rPr>
                <w:rFonts w:ascii="宋体" w:hAnsi="宋体" w:cs="宋体"/>
                <w:sz w:val="24"/>
              </w:rPr>
            </w:pPr>
            <w:r>
              <w:rPr>
                <w:rFonts w:hint="eastAsia" w:ascii="宋体" w:hAnsi="宋体" w:cs="宋体"/>
                <w:sz w:val="24"/>
              </w:rPr>
              <w:t>13750668184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华泰财产保险有限公司台州中心支公司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年费率0.5%，最低保费1000元</w:t>
            </w:r>
          </w:p>
        </w:tc>
        <w:tc>
          <w:tcPr>
            <w:tcW w:w="1471" w:type="dxa"/>
            <w:vAlign w:val="center"/>
          </w:tcPr>
          <w:p>
            <w:pPr>
              <w:jc w:val="center"/>
              <w:rPr>
                <w:rFonts w:ascii="宋体" w:hAnsi="宋体" w:cs="宋体"/>
                <w:sz w:val="24"/>
              </w:rPr>
            </w:pPr>
            <w:r>
              <w:rPr>
                <w:rFonts w:hint="eastAsia" w:ascii="宋体" w:hAnsi="宋体" w:cs="宋体"/>
                <w:sz w:val="24"/>
              </w:rPr>
              <w:t>王灵芳</w:t>
            </w:r>
          </w:p>
        </w:tc>
        <w:tc>
          <w:tcPr>
            <w:tcW w:w="1678" w:type="dxa"/>
            <w:vAlign w:val="center"/>
          </w:tcPr>
          <w:p>
            <w:pPr>
              <w:jc w:val="center"/>
              <w:rPr>
                <w:rFonts w:ascii="宋体" w:hAnsi="宋体" w:cs="宋体"/>
                <w:sz w:val="24"/>
              </w:rPr>
            </w:pPr>
            <w:r>
              <w:rPr>
                <w:rFonts w:hint="eastAsia" w:ascii="宋体" w:hAnsi="宋体" w:cs="宋体"/>
                <w:sz w:val="24"/>
              </w:rPr>
              <w:t>88869818，13586123199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中国大地财产保险股份有限公司台州中心支公司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年费率1.5%，最低保费500元</w:t>
            </w:r>
          </w:p>
        </w:tc>
        <w:tc>
          <w:tcPr>
            <w:tcW w:w="1471" w:type="dxa"/>
            <w:vAlign w:val="center"/>
          </w:tcPr>
          <w:p>
            <w:pPr>
              <w:jc w:val="center"/>
              <w:rPr>
                <w:rFonts w:ascii="宋体" w:hAnsi="宋体" w:cs="宋体"/>
                <w:sz w:val="24"/>
              </w:rPr>
            </w:pPr>
            <w:r>
              <w:rPr>
                <w:rFonts w:hint="eastAsia" w:ascii="宋体" w:hAnsi="宋体" w:cs="宋体"/>
                <w:sz w:val="24"/>
              </w:rPr>
              <w:t>徐小明</w:t>
            </w:r>
          </w:p>
        </w:tc>
        <w:tc>
          <w:tcPr>
            <w:tcW w:w="1678" w:type="dxa"/>
            <w:vAlign w:val="center"/>
          </w:tcPr>
          <w:p>
            <w:pPr>
              <w:jc w:val="center"/>
              <w:rPr>
                <w:rFonts w:ascii="宋体" w:hAnsi="宋体" w:cs="宋体"/>
                <w:sz w:val="24"/>
              </w:rPr>
            </w:pPr>
            <w:r>
              <w:rPr>
                <w:rFonts w:hint="eastAsia" w:ascii="宋体" w:hAnsi="宋体" w:cs="宋体"/>
                <w:sz w:val="24"/>
              </w:rPr>
              <w:t>88552788，13968603112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阳光保险台州中心支公司</w:t>
            </w:r>
          </w:p>
        </w:tc>
        <w:tc>
          <w:tcPr>
            <w:tcW w:w="1791" w:type="dxa"/>
            <w:vAlign w:val="center"/>
          </w:tcPr>
          <w:p>
            <w:pPr>
              <w:jc w:val="center"/>
              <w:rPr>
                <w:rFonts w:ascii="宋体" w:hAnsi="宋体" w:cs="宋体"/>
                <w:sz w:val="24"/>
              </w:rPr>
            </w:pPr>
            <w:r>
              <w:rPr>
                <w:rFonts w:hint="eastAsia" w:ascii="宋体" w:hAnsi="宋体" w:cs="宋体"/>
                <w:sz w:val="24"/>
              </w:rPr>
              <w:t>年费率1%，最低保费500元</w:t>
            </w:r>
          </w:p>
        </w:tc>
        <w:tc>
          <w:tcPr>
            <w:tcW w:w="1471" w:type="dxa"/>
            <w:vAlign w:val="center"/>
          </w:tcPr>
          <w:p>
            <w:pPr>
              <w:jc w:val="center"/>
              <w:rPr>
                <w:rFonts w:ascii="宋体" w:hAnsi="宋体" w:cs="宋体"/>
                <w:sz w:val="24"/>
              </w:rPr>
            </w:pPr>
            <w:r>
              <w:rPr>
                <w:rFonts w:hint="eastAsia" w:ascii="宋体" w:hAnsi="宋体" w:cs="宋体"/>
                <w:sz w:val="24"/>
              </w:rPr>
              <w:t>林高明</w:t>
            </w:r>
          </w:p>
        </w:tc>
        <w:tc>
          <w:tcPr>
            <w:tcW w:w="1678" w:type="dxa"/>
            <w:vAlign w:val="center"/>
          </w:tcPr>
          <w:p>
            <w:pPr>
              <w:jc w:val="center"/>
              <w:rPr>
                <w:rFonts w:ascii="宋体" w:hAnsi="宋体" w:cs="宋体"/>
                <w:sz w:val="24"/>
              </w:rPr>
            </w:pPr>
            <w:r>
              <w:rPr>
                <w:rFonts w:hint="eastAsia" w:ascii="宋体" w:hAnsi="宋体" w:cs="宋体"/>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中华联合财产保险股份有限公司台州中心支公司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年费率2%，最低保费500元</w:t>
            </w:r>
          </w:p>
        </w:tc>
        <w:tc>
          <w:tcPr>
            <w:tcW w:w="1471" w:type="dxa"/>
            <w:vAlign w:val="center"/>
          </w:tcPr>
          <w:p>
            <w:pPr>
              <w:jc w:val="center"/>
              <w:rPr>
                <w:rFonts w:ascii="宋体" w:hAnsi="宋体" w:cs="宋体"/>
                <w:sz w:val="24"/>
              </w:rPr>
            </w:pPr>
            <w:r>
              <w:rPr>
                <w:rFonts w:hint="eastAsia" w:ascii="宋体" w:hAnsi="宋体" w:cs="宋体"/>
                <w:sz w:val="24"/>
              </w:rPr>
              <w:t>王仙高</w:t>
            </w:r>
          </w:p>
        </w:tc>
        <w:tc>
          <w:tcPr>
            <w:tcW w:w="1678" w:type="dxa"/>
            <w:vAlign w:val="center"/>
          </w:tcPr>
          <w:p>
            <w:pPr>
              <w:jc w:val="center"/>
              <w:rPr>
                <w:rFonts w:ascii="宋体" w:hAnsi="宋体" w:cs="宋体"/>
                <w:sz w:val="24"/>
              </w:rPr>
            </w:pPr>
            <w:r>
              <w:rPr>
                <w:rFonts w:hint="eastAsia" w:ascii="宋体" w:hAnsi="宋体" w:cs="宋体"/>
                <w:sz w:val="24"/>
              </w:rPr>
              <w:t>13858600221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中国人民财产保险股份有限公司台州中心支公司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年费率0.3%，最低保费1000元</w:t>
            </w:r>
          </w:p>
        </w:tc>
        <w:tc>
          <w:tcPr>
            <w:tcW w:w="1471" w:type="dxa"/>
            <w:vAlign w:val="center"/>
          </w:tcPr>
          <w:p>
            <w:pPr>
              <w:jc w:val="center"/>
              <w:rPr>
                <w:rFonts w:ascii="宋体" w:hAnsi="宋体" w:cs="宋体"/>
                <w:sz w:val="24"/>
              </w:rPr>
            </w:pPr>
            <w:r>
              <w:rPr>
                <w:rFonts w:hint="eastAsia" w:ascii="宋体" w:hAnsi="宋体" w:cs="宋体"/>
                <w:sz w:val="24"/>
              </w:rPr>
              <w:t>王仙春</w:t>
            </w:r>
          </w:p>
        </w:tc>
        <w:tc>
          <w:tcPr>
            <w:tcW w:w="1678" w:type="dxa"/>
            <w:vAlign w:val="center"/>
          </w:tcPr>
          <w:p>
            <w:pPr>
              <w:jc w:val="center"/>
              <w:rPr>
                <w:rFonts w:ascii="宋体" w:hAnsi="宋体" w:cs="宋体"/>
                <w:sz w:val="24"/>
              </w:rPr>
            </w:pPr>
            <w:r>
              <w:rPr>
                <w:rFonts w:hint="eastAsia" w:ascii="宋体" w:hAnsi="宋体" w:cs="宋体"/>
                <w:sz w:val="24"/>
              </w:rPr>
              <w:t>13515769179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574" w:type="dxa"/>
            <w:vAlign w:val="center"/>
          </w:tcPr>
          <w:p>
            <w:pPr>
              <w:jc w:val="center"/>
              <w:rPr>
                <w:rFonts w:ascii="宋体" w:hAnsi="宋体" w:cs="宋体"/>
                <w:sz w:val="24"/>
              </w:rPr>
            </w:pPr>
            <w:r>
              <w:rPr>
                <w:rFonts w:hint="eastAsia" w:ascii="宋体" w:hAnsi="宋体" w:cs="宋体"/>
                <w:sz w:val="24"/>
              </w:rPr>
              <w:t>永安财产保险股份有限公司台州中心支公司</w:t>
            </w:r>
          </w:p>
        </w:tc>
        <w:tc>
          <w:tcPr>
            <w:tcW w:w="1791" w:type="dxa"/>
            <w:vAlign w:val="center"/>
          </w:tcPr>
          <w:p>
            <w:pPr>
              <w:jc w:val="center"/>
              <w:rPr>
                <w:rFonts w:ascii="宋体" w:hAnsi="宋体" w:cs="宋体"/>
                <w:sz w:val="24"/>
              </w:rPr>
            </w:pPr>
            <w:r>
              <w:rPr>
                <w:rFonts w:hint="eastAsia" w:ascii="宋体" w:hAnsi="宋体" w:cs="宋体"/>
                <w:sz w:val="24"/>
              </w:rPr>
              <w:t>年费率0.3%，最低保费1000元</w:t>
            </w:r>
          </w:p>
        </w:tc>
        <w:tc>
          <w:tcPr>
            <w:tcW w:w="1471" w:type="dxa"/>
            <w:vAlign w:val="center"/>
          </w:tcPr>
          <w:p>
            <w:pPr>
              <w:jc w:val="center"/>
              <w:rPr>
                <w:rFonts w:ascii="宋体" w:hAnsi="宋体" w:cs="宋体"/>
                <w:sz w:val="24"/>
              </w:rPr>
            </w:pPr>
            <w:r>
              <w:rPr>
                <w:rFonts w:hint="eastAsia" w:ascii="宋体" w:hAnsi="宋体" w:cs="宋体"/>
                <w:sz w:val="24"/>
              </w:rPr>
              <w:t>王春宇</w:t>
            </w:r>
          </w:p>
        </w:tc>
        <w:tc>
          <w:tcPr>
            <w:tcW w:w="1678" w:type="dxa"/>
            <w:vAlign w:val="center"/>
          </w:tcPr>
          <w:p>
            <w:pPr>
              <w:jc w:val="center"/>
              <w:rPr>
                <w:rFonts w:ascii="宋体" w:hAnsi="宋体" w:cs="宋体"/>
                <w:sz w:val="24"/>
              </w:rPr>
            </w:pPr>
            <w:r>
              <w:rPr>
                <w:rFonts w:hint="eastAsia" w:ascii="宋体" w:hAnsi="宋体" w:cs="宋体"/>
                <w:sz w:val="24"/>
              </w:rPr>
              <w:t>13676675331</w:t>
            </w:r>
          </w:p>
        </w:tc>
      </w:tr>
    </w:tbl>
    <w:p>
      <w:pPr>
        <w:outlineLvl w:val="0"/>
        <w:rPr>
          <w:sz w:val="32"/>
          <w:szCs w:val="32"/>
        </w:rPr>
      </w:pPr>
      <w:bookmarkStart w:id="184" w:name="_Toc4077"/>
      <w:r>
        <w:rPr>
          <w:rFonts w:hint="eastAsia"/>
          <w:sz w:val="32"/>
          <w:szCs w:val="32"/>
        </w:rPr>
        <w:t>预付款保函联系方式</w:t>
      </w:r>
      <w:bookmarkEnd w:id="184"/>
    </w:p>
    <w:tbl>
      <w:tblPr>
        <w:tblStyle w:val="2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1602"/>
        <w:gridCol w:w="202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5" w:type="dxa"/>
            <w:vAlign w:val="center"/>
          </w:tcPr>
          <w:p>
            <w:pPr>
              <w:jc w:val="center"/>
              <w:rPr>
                <w:rFonts w:ascii="Arial" w:hAnsi="Arial"/>
                <w:sz w:val="32"/>
                <w:szCs w:val="32"/>
              </w:rPr>
            </w:pPr>
            <w:r>
              <w:rPr>
                <w:rFonts w:hint="eastAsia" w:ascii="Arial" w:hAnsi="Arial"/>
                <w:sz w:val="32"/>
                <w:szCs w:val="32"/>
              </w:rPr>
              <w:t>保险公司</w:t>
            </w:r>
          </w:p>
        </w:tc>
        <w:tc>
          <w:tcPr>
            <w:tcW w:w="1602" w:type="dxa"/>
            <w:vAlign w:val="center"/>
          </w:tcPr>
          <w:p>
            <w:pPr>
              <w:jc w:val="center"/>
              <w:rPr>
                <w:rFonts w:ascii="Arial" w:hAnsi="Arial"/>
                <w:sz w:val="32"/>
                <w:szCs w:val="32"/>
              </w:rPr>
            </w:pPr>
            <w:r>
              <w:rPr>
                <w:rFonts w:hint="eastAsia" w:ascii="Arial" w:hAnsi="Arial"/>
                <w:sz w:val="32"/>
                <w:szCs w:val="32"/>
              </w:rPr>
              <w:t>保费率</w:t>
            </w:r>
          </w:p>
        </w:tc>
        <w:tc>
          <w:tcPr>
            <w:tcW w:w="2027" w:type="dxa"/>
            <w:vAlign w:val="center"/>
          </w:tcPr>
          <w:p>
            <w:pPr>
              <w:jc w:val="center"/>
              <w:rPr>
                <w:rFonts w:ascii="Arial" w:hAnsi="Arial"/>
                <w:sz w:val="32"/>
                <w:szCs w:val="32"/>
              </w:rPr>
            </w:pPr>
            <w:r>
              <w:rPr>
                <w:rFonts w:hint="eastAsia" w:ascii="Arial" w:hAnsi="Arial"/>
                <w:sz w:val="32"/>
                <w:szCs w:val="32"/>
              </w:rPr>
              <w:t>联系人</w:t>
            </w:r>
          </w:p>
        </w:tc>
        <w:tc>
          <w:tcPr>
            <w:tcW w:w="1923" w:type="dxa"/>
            <w:vAlign w:val="center"/>
          </w:tcPr>
          <w:p>
            <w:pPr>
              <w:jc w:val="center"/>
              <w:rPr>
                <w:rFonts w:ascii="Arial" w:hAnsi="Arial"/>
                <w:sz w:val="32"/>
                <w:szCs w:val="32"/>
              </w:rPr>
            </w:pPr>
            <w:r>
              <w:rPr>
                <w:rFonts w:hint="eastAsia" w:ascii="Arial" w:hAnsi="Arial"/>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中国人寿财产保险股份有限公司台州中心支公司</w:t>
            </w:r>
          </w:p>
        </w:tc>
        <w:tc>
          <w:tcPr>
            <w:tcW w:w="1602" w:type="dxa"/>
            <w:vAlign w:val="center"/>
          </w:tcPr>
          <w:p>
            <w:pPr>
              <w:jc w:val="center"/>
              <w:rPr>
                <w:rFonts w:ascii="宋体" w:hAnsi="宋体" w:cs="宋体"/>
                <w:sz w:val="24"/>
              </w:rPr>
            </w:pPr>
            <w:r>
              <w:rPr>
                <w:rFonts w:hint="eastAsia" w:ascii="宋体" w:hAnsi="宋体" w:cs="宋体"/>
                <w:sz w:val="24"/>
              </w:rPr>
              <w:t>年费率3%，最低保费500元</w:t>
            </w:r>
          </w:p>
        </w:tc>
        <w:tc>
          <w:tcPr>
            <w:tcW w:w="2027" w:type="dxa"/>
            <w:vAlign w:val="center"/>
          </w:tcPr>
          <w:p>
            <w:pPr>
              <w:jc w:val="center"/>
              <w:rPr>
                <w:rFonts w:ascii="宋体" w:hAnsi="宋体" w:cs="宋体"/>
                <w:sz w:val="24"/>
              </w:rPr>
            </w:pPr>
            <w:r>
              <w:rPr>
                <w:rFonts w:hint="eastAsia" w:ascii="宋体" w:hAnsi="宋体" w:cs="宋体"/>
                <w:sz w:val="24"/>
              </w:rPr>
              <w:t>徐凌</w:t>
            </w:r>
          </w:p>
        </w:tc>
        <w:tc>
          <w:tcPr>
            <w:tcW w:w="1923" w:type="dxa"/>
            <w:vAlign w:val="center"/>
          </w:tcPr>
          <w:p>
            <w:pPr>
              <w:jc w:val="center"/>
              <w:rPr>
                <w:rFonts w:ascii="宋体" w:hAnsi="宋体" w:cs="宋体"/>
                <w:sz w:val="24"/>
              </w:rPr>
            </w:pPr>
            <w:r>
              <w:rPr>
                <w:rFonts w:hint="eastAsia" w:ascii="宋体" w:hAnsi="宋体" w:cs="宋体"/>
                <w:sz w:val="24"/>
              </w:rPr>
              <w:t>13905168070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阳光保险台州中心支公司</w:t>
            </w:r>
          </w:p>
        </w:tc>
        <w:tc>
          <w:tcPr>
            <w:tcW w:w="1602" w:type="dxa"/>
            <w:vAlign w:val="center"/>
          </w:tcPr>
          <w:p>
            <w:pPr>
              <w:jc w:val="center"/>
              <w:rPr>
                <w:rFonts w:ascii="宋体" w:hAnsi="宋体" w:cs="宋体"/>
                <w:sz w:val="24"/>
              </w:rPr>
            </w:pPr>
            <w:r>
              <w:rPr>
                <w:rFonts w:hint="eastAsia" w:ascii="宋体" w:hAnsi="宋体" w:cs="宋体"/>
                <w:sz w:val="24"/>
              </w:rPr>
              <w:t>年费率1%，最低保费500元</w:t>
            </w:r>
          </w:p>
        </w:tc>
        <w:tc>
          <w:tcPr>
            <w:tcW w:w="2027" w:type="dxa"/>
            <w:vAlign w:val="center"/>
          </w:tcPr>
          <w:p>
            <w:pPr>
              <w:jc w:val="center"/>
              <w:rPr>
                <w:rFonts w:ascii="宋体" w:hAnsi="宋体" w:cs="宋体"/>
                <w:sz w:val="24"/>
              </w:rPr>
            </w:pPr>
            <w:r>
              <w:rPr>
                <w:rFonts w:hint="eastAsia" w:ascii="宋体" w:hAnsi="宋体" w:cs="宋体"/>
                <w:sz w:val="24"/>
              </w:rPr>
              <w:t>林高明</w:t>
            </w:r>
          </w:p>
        </w:tc>
        <w:tc>
          <w:tcPr>
            <w:tcW w:w="1923" w:type="dxa"/>
            <w:vAlign w:val="center"/>
          </w:tcPr>
          <w:p>
            <w:pPr>
              <w:jc w:val="center"/>
              <w:rPr>
                <w:rFonts w:ascii="宋体" w:hAnsi="宋体" w:cs="宋体"/>
                <w:sz w:val="24"/>
              </w:rPr>
            </w:pPr>
            <w:r>
              <w:rPr>
                <w:rFonts w:hint="eastAsia" w:ascii="宋体" w:hAnsi="宋体" w:cs="宋体"/>
                <w:sz w:val="24"/>
              </w:rPr>
              <w:t>15888682693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95" w:type="dxa"/>
            <w:vAlign w:val="center"/>
          </w:tcPr>
          <w:p>
            <w:pPr>
              <w:jc w:val="center"/>
              <w:rPr>
                <w:rFonts w:ascii="宋体" w:hAnsi="宋体" w:cs="宋体"/>
                <w:sz w:val="24"/>
              </w:rPr>
            </w:pPr>
            <w:r>
              <w:rPr>
                <w:rFonts w:hint="eastAsia" w:ascii="宋体" w:hAnsi="宋体" w:cs="宋体"/>
                <w:sz w:val="24"/>
              </w:rPr>
              <w:t>天安财产保险股份有限公司台州中心支公司</w:t>
            </w:r>
          </w:p>
        </w:tc>
        <w:tc>
          <w:tcPr>
            <w:tcW w:w="1602" w:type="dxa"/>
            <w:vAlign w:val="center"/>
          </w:tcPr>
          <w:p>
            <w:pPr>
              <w:jc w:val="center"/>
              <w:rPr>
                <w:rFonts w:ascii="宋体" w:hAnsi="宋体" w:cs="宋体"/>
                <w:sz w:val="24"/>
              </w:rPr>
            </w:pPr>
            <w:r>
              <w:rPr>
                <w:rFonts w:hint="eastAsia" w:ascii="宋体" w:hAnsi="宋体" w:cs="宋体"/>
                <w:sz w:val="24"/>
              </w:rPr>
              <w:t>年费率1%-2%，最低保费500元</w:t>
            </w:r>
          </w:p>
        </w:tc>
        <w:tc>
          <w:tcPr>
            <w:tcW w:w="2027" w:type="dxa"/>
            <w:vAlign w:val="center"/>
          </w:tcPr>
          <w:p>
            <w:pPr>
              <w:jc w:val="center"/>
              <w:rPr>
                <w:rFonts w:ascii="宋体" w:hAnsi="宋体" w:cs="宋体"/>
                <w:sz w:val="24"/>
              </w:rPr>
            </w:pPr>
            <w:r>
              <w:rPr>
                <w:rFonts w:hint="eastAsia" w:ascii="宋体" w:hAnsi="宋体" w:cs="宋体"/>
                <w:sz w:val="24"/>
              </w:rPr>
              <w:t>罗赛</w:t>
            </w:r>
          </w:p>
        </w:tc>
        <w:tc>
          <w:tcPr>
            <w:tcW w:w="1923" w:type="dxa"/>
            <w:vAlign w:val="center"/>
          </w:tcPr>
          <w:p>
            <w:pPr>
              <w:jc w:val="center"/>
              <w:rPr>
                <w:rFonts w:ascii="宋体" w:hAnsi="宋体" w:cs="宋体"/>
                <w:sz w:val="24"/>
              </w:rPr>
            </w:pPr>
            <w:r>
              <w:rPr>
                <w:rFonts w:hint="eastAsia" w:ascii="宋体" w:hAnsi="宋体" w:cs="宋体"/>
                <w:sz w:val="24"/>
              </w:rPr>
              <w:t>13736605643</w:t>
            </w:r>
          </w:p>
        </w:tc>
      </w:tr>
    </w:tbl>
    <w:p>
      <w:pPr>
        <w:snapToGrid w:val="0"/>
        <w:spacing w:before="156" w:beforeLines="50" w:after="50" w:line="360" w:lineRule="auto"/>
        <w:outlineLvl w:val="0"/>
        <w:rPr>
          <w:rFonts w:hint="eastAsia" w:ascii="宋体" w:hAnsi="宋体"/>
          <w:b/>
          <w:sz w:val="28"/>
          <w:lang w:val="en-US" w:eastAsia="zh-CN"/>
        </w:rPr>
      </w:pPr>
    </w:p>
    <w:p>
      <w:pPr>
        <w:snapToGrid w:val="0"/>
        <w:spacing w:before="156" w:beforeLines="50" w:after="50" w:line="360" w:lineRule="auto"/>
        <w:outlineLvl w:val="0"/>
        <w:rPr>
          <w:rFonts w:hint="eastAsia" w:ascii="宋体" w:hAnsi="宋体"/>
          <w:b/>
          <w:sz w:val="28"/>
          <w:lang w:val="en-US" w:eastAsia="zh-CN"/>
        </w:rPr>
      </w:pPr>
    </w:p>
    <w:p>
      <w:pPr>
        <w:pStyle w:val="4"/>
        <w:numPr>
          <w:ilvl w:val="0"/>
          <w:numId w:val="0"/>
        </w:numPr>
        <w:jc w:val="both"/>
        <w:rPr>
          <w:rFonts w:hint="eastAsia"/>
          <w:lang w:val="en-US" w:eastAsia="zh-CN"/>
        </w:rPr>
        <w:sectPr>
          <w:headerReference r:id="rId8" w:type="default"/>
          <w:footerReference r:id="rId9" w:type="default"/>
          <w:pgSz w:w="11906" w:h="16838"/>
          <w:pgMar w:top="1440" w:right="1417" w:bottom="1440" w:left="1417" w:header="851" w:footer="850" w:gutter="0"/>
          <w:cols w:space="0" w:num="1"/>
          <w:rtlGutter w:val="0"/>
          <w:docGrid w:linePitch="319" w:charSpace="0"/>
        </w:sectPr>
      </w:pPr>
    </w:p>
    <w:p>
      <w:pPr>
        <w:snapToGrid w:val="0"/>
        <w:spacing w:before="156" w:beforeLines="50" w:after="50" w:line="360" w:lineRule="auto"/>
        <w:outlineLvl w:val="0"/>
        <w:rPr>
          <w:rFonts w:hint="eastAsia" w:ascii="宋体" w:hAnsi="宋体"/>
          <w:b/>
          <w:sz w:val="28"/>
          <w:lang w:val="en-US" w:eastAsia="zh-CN"/>
        </w:rPr>
      </w:pPr>
      <w:r>
        <w:rPr>
          <w:rFonts w:hint="eastAsia" w:ascii="宋体" w:hAnsi="宋体"/>
          <w:b/>
          <w:sz w:val="28"/>
          <w:lang w:val="en-US" w:eastAsia="zh-CN"/>
        </w:rPr>
        <w:t>附件18</w:t>
      </w:r>
    </w:p>
    <w:p>
      <w:pPr>
        <w:pStyle w:val="2"/>
        <w:rPr>
          <w:rFonts w:hint="eastAsia" w:ascii="宋体" w:hAnsi="宋体"/>
          <w:b/>
          <w:sz w:val="28"/>
          <w:lang w:val="en-US" w:eastAsia="zh-CN"/>
        </w:rPr>
      </w:pPr>
    </w:p>
    <w:p>
      <w:pPr>
        <w:adjustRightInd w:val="0"/>
        <w:snapToGrid w:val="0"/>
        <w:spacing w:line="360" w:lineRule="auto"/>
        <w:jc w:val="center"/>
        <w:rPr>
          <w:rFonts w:eastAsia="方正小标宋简体"/>
          <w:color w:val="000000"/>
          <w:spacing w:val="40"/>
          <w:sz w:val="36"/>
        </w:rPr>
      </w:pPr>
      <w:r>
        <w:rPr>
          <w:rFonts w:eastAsia="方正小标宋简体"/>
          <w:color w:val="000000"/>
          <w:spacing w:val="40"/>
          <w:sz w:val="36"/>
        </w:rPr>
        <w:t>环境空气自动监测质量现场检查评分表</w:t>
      </w:r>
    </w:p>
    <w:p>
      <w:pPr>
        <w:spacing w:line="460" w:lineRule="exact"/>
        <w:ind w:firstLine="482"/>
        <w:rPr>
          <w:bCs/>
          <w:color w:val="000000"/>
          <w:sz w:val="24"/>
          <w:u w:val="single"/>
        </w:rPr>
      </w:pPr>
      <w:r>
        <w:rPr>
          <w:b/>
          <w:bCs/>
          <w:color w:val="000000"/>
          <w:sz w:val="24"/>
        </w:rPr>
        <w:t>站点所在地</w:t>
      </w:r>
      <w:r>
        <w:rPr>
          <w:bCs/>
          <w:color w:val="000000"/>
          <w:sz w:val="24"/>
        </w:rPr>
        <w:t xml:space="preserve">： </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bCs/>
          <w:color w:val="000000"/>
          <w:sz w:val="24"/>
        </w:rPr>
        <w:t>县（</w:t>
      </w:r>
      <w:r>
        <w:rPr>
          <w:rFonts w:hint="eastAsia"/>
          <w:bCs/>
          <w:color w:val="000000"/>
          <w:sz w:val="24"/>
        </w:rPr>
        <w:t>市、</w:t>
      </w:r>
      <w:r>
        <w:rPr>
          <w:bCs/>
          <w:color w:val="000000"/>
          <w:sz w:val="24"/>
        </w:rPr>
        <w:t xml:space="preserve">区）      </w:t>
      </w:r>
      <w:r>
        <w:rPr>
          <w:b/>
          <w:bCs/>
          <w:color w:val="000000"/>
          <w:sz w:val="24"/>
        </w:rPr>
        <w:t>监测子站名称：</w:t>
      </w:r>
      <w:r>
        <w:rPr>
          <w:bCs/>
          <w:color w:val="000000"/>
          <w:sz w:val="24"/>
        </w:rPr>
        <w:t xml:space="preserve">  </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rFonts w:hint="eastAsia"/>
          <w:bCs/>
          <w:color w:val="000000"/>
          <w:sz w:val="24"/>
          <w:u w:val="single"/>
        </w:rPr>
        <w:t xml:space="preserve">    </w:t>
      </w:r>
      <w:r>
        <w:rPr>
          <w:rFonts w:hint="eastAsia"/>
          <w:b/>
          <w:bCs/>
          <w:color w:val="000000"/>
          <w:sz w:val="24"/>
        </w:rPr>
        <w:t>类型：</w:t>
      </w:r>
      <w:r>
        <w:rPr>
          <w:rFonts w:hint="eastAsia"/>
          <w:bCs/>
          <w:color w:val="000000"/>
          <w:sz w:val="24"/>
        </w:rPr>
        <w:t>城市站□ 园区站□</w:t>
      </w:r>
    </w:p>
    <w:p>
      <w:pPr>
        <w:spacing w:line="460" w:lineRule="exact"/>
        <w:ind w:firstLine="482"/>
        <w:rPr>
          <w:bCs/>
          <w:color w:val="000000"/>
          <w:sz w:val="24"/>
          <w:u w:val="single"/>
        </w:rPr>
      </w:pPr>
      <w:r>
        <w:rPr>
          <w:b/>
          <w:bCs/>
          <w:color w:val="000000"/>
          <w:sz w:val="24"/>
        </w:rPr>
        <w:t>仪器型号</w:t>
      </w:r>
      <w:r>
        <w:rPr>
          <w:bCs/>
          <w:color w:val="000000"/>
          <w:sz w:val="24"/>
        </w:rPr>
        <w:t>：SO</w:t>
      </w:r>
      <w:r>
        <w:rPr>
          <w:bCs/>
          <w:color w:val="000000"/>
          <w:sz w:val="24"/>
          <w:vertAlign w:val="subscript"/>
        </w:rPr>
        <w:t>2</w:t>
      </w:r>
      <w:r>
        <w:rPr>
          <w:bCs/>
          <w:color w:val="000000"/>
          <w:sz w:val="24"/>
        </w:rPr>
        <w:t>：</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bCs/>
          <w:color w:val="000000"/>
          <w:sz w:val="24"/>
        </w:rPr>
        <w:t xml:space="preserve"> NOx： </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bCs/>
          <w:color w:val="000000"/>
          <w:sz w:val="24"/>
        </w:rPr>
        <w:t xml:space="preserve"> O</w:t>
      </w:r>
      <w:r>
        <w:rPr>
          <w:bCs/>
          <w:color w:val="000000"/>
          <w:sz w:val="24"/>
          <w:vertAlign w:val="subscript"/>
        </w:rPr>
        <w:t>3</w:t>
      </w:r>
      <w:r>
        <w:rPr>
          <w:bCs/>
          <w:color w:val="000000"/>
          <w:sz w:val="24"/>
        </w:rPr>
        <w:t>：</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rFonts w:hint="eastAsia"/>
          <w:bCs/>
          <w:color w:val="000000"/>
          <w:sz w:val="24"/>
          <w:u w:val="single"/>
        </w:rPr>
        <w:t xml:space="preserve"> </w:t>
      </w:r>
      <w:r>
        <w:rPr>
          <w:bCs/>
          <w:color w:val="000000"/>
          <w:sz w:val="24"/>
        </w:rPr>
        <w:t xml:space="preserve"> CO：</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rFonts w:hint="eastAsia"/>
          <w:bCs/>
          <w:color w:val="000000"/>
          <w:sz w:val="24"/>
          <w:u w:val="single"/>
        </w:rPr>
        <w:t xml:space="preserve">    </w:t>
      </w:r>
      <w:r>
        <w:rPr>
          <w:bCs/>
          <w:color w:val="000000"/>
          <w:sz w:val="24"/>
        </w:rPr>
        <w:t xml:space="preserve"> PM</w:t>
      </w:r>
      <w:r>
        <w:rPr>
          <w:bCs/>
          <w:color w:val="000000"/>
          <w:sz w:val="24"/>
          <w:vertAlign w:val="subscript"/>
        </w:rPr>
        <w:t>10</w:t>
      </w:r>
      <w:r>
        <w:rPr>
          <w:bCs/>
          <w:color w:val="000000"/>
          <w:sz w:val="24"/>
        </w:rPr>
        <w:t>：</w:t>
      </w:r>
      <w:r>
        <w:rPr>
          <w:bCs/>
          <w:color w:val="000000"/>
          <w:sz w:val="24"/>
          <w:u w:val="single"/>
        </w:rPr>
        <w:t xml:space="preserve">  </w:t>
      </w:r>
      <w:r>
        <w:rPr>
          <w:rFonts w:hint="eastAsia"/>
          <w:bCs/>
          <w:color w:val="000000"/>
          <w:sz w:val="24"/>
          <w:u w:val="single"/>
        </w:rPr>
        <w:t xml:space="preserve">     </w:t>
      </w:r>
      <w:r>
        <w:rPr>
          <w:bCs/>
          <w:color w:val="000000"/>
          <w:sz w:val="24"/>
          <w:u w:val="single"/>
        </w:rPr>
        <w:t xml:space="preserve"> </w:t>
      </w:r>
      <w:r>
        <w:rPr>
          <w:rFonts w:hint="eastAsia"/>
          <w:bCs/>
          <w:color w:val="000000"/>
          <w:sz w:val="24"/>
          <w:u w:val="single"/>
        </w:rPr>
        <w:t xml:space="preserve"> </w:t>
      </w:r>
      <w:r>
        <w:rPr>
          <w:bCs/>
          <w:color w:val="000000"/>
          <w:sz w:val="24"/>
        </w:rPr>
        <w:t xml:space="preserve"> PM</w:t>
      </w:r>
      <w:r>
        <w:rPr>
          <w:bCs/>
          <w:color w:val="000000"/>
          <w:sz w:val="24"/>
          <w:vertAlign w:val="subscript"/>
        </w:rPr>
        <w:t>2.5</w:t>
      </w:r>
      <w:r>
        <w:rPr>
          <w:bCs/>
          <w:color w:val="000000"/>
          <w:sz w:val="24"/>
        </w:rPr>
        <w:t>：</w:t>
      </w:r>
      <w:r>
        <w:rPr>
          <w:bCs/>
          <w:color w:val="000000"/>
          <w:sz w:val="24"/>
          <w:u w:val="single"/>
        </w:rPr>
        <w:t xml:space="preserve"> </w:t>
      </w:r>
      <w:r>
        <w:rPr>
          <w:rFonts w:hint="eastAsia"/>
          <w:bCs/>
          <w:color w:val="000000"/>
          <w:sz w:val="24"/>
          <w:u w:val="single"/>
        </w:rPr>
        <w:t xml:space="preserve">         </w:t>
      </w:r>
    </w:p>
    <w:p>
      <w:pPr>
        <w:spacing w:line="460" w:lineRule="exact"/>
        <w:ind w:firstLine="482"/>
        <w:rPr>
          <w:color w:val="000000"/>
          <w:szCs w:val="28"/>
          <w:u w:val="single"/>
        </w:rPr>
      </w:pPr>
      <w:r>
        <w:rPr>
          <w:b/>
          <w:bCs/>
          <w:color w:val="000000"/>
          <w:sz w:val="24"/>
        </w:rPr>
        <w:t>检查日期</w:t>
      </w:r>
      <w:r>
        <w:rPr>
          <w:bCs/>
          <w:color w:val="000000"/>
          <w:sz w:val="24"/>
        </w:rPr>
        <w:t>：</w:t>
      </w:r>
      <w:r>
        <w:rPr>
          <w:bCs/>
          <w:color w:val="000000"/>
          <w:sz w:val="24"/>
          <w:u w:val="single"/>
        </w:rPr>
        <w:t xml:space="preserve">                    </w:t>
      </w:r>
      <w:r>
        <w:rPr>
          <w:bCs/>
          <w:color w:val="000000"/>
          <w:sz w:val="24"/>
        </w:rPr>
        <w:t xml:space="preserve">  </w:t>
      </w:r>
      <w:r>
        <w:rPr>
          <w:b/>
          <w:bCs/>
          <w:color w:val="000000"/>
          <w:sz w:val="24"/>
        </w:rPr>
        <w:t>检查人员</w:t>
      </w:r>
      <w:r>
        <w:rPr>
          <w:bCs/>
          <w:color w:val="000000"/>
          <w:sz w:val="24"/>
        </w:rPr>
        <w:t>：</w:t>
      </w:r>
      <w:r>
        <w:rPr>
          <w:bCs/>
          <w:color w:val="000000"/>
          <w:sz w:val="24"/>
          <w:u w:val="single"/>
        </w:rPr>
        <w:t xml:space="preserve">                            </w:t>
      </w:r>
      <w:r>
        <w:rPr>
          <w:rFonts w:hint="eastAsia"/>
          <w:b/>
          <w:bCs/>
          <w:color w:val="000000"/>
          <w:sz w:val="24"/>
        </w:rPr>
        <w:t>运维签名</w:t>
      </w:r>
      <w:r>
        <w:rPr>
          <w:bCs/>
          <w:color w:val="000000"/>
          <w:sz w:val="24"/>
        </w:rPr>
        <w:t>：</w:t>
      </w:r>
      <w:r>
        <w:rPr>
          <w:bCs/>
          <w:color w:val="000000"/>
          <w:sz w:val="24"/>
          <w:u w:val="single"/>
        </w:rPr>
        <w:t xml:space="preserve">                            </w:t>
      </w:r>
    </w:p>
    <w:tbl>
      <w:tblPr>
        <w:tblStyle w:val="20"/>
        <w:tblW w:w="5233" w:type="pc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226"/>
        <w:gridCol w:w="5074"/>
        <w:gridCol w:w="683"/>
        <w:gridCol w:w="683"/>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28" w:type="pct"/>
            <w:noWrap w:val="0"/>
            <w:vAlign w:val="center"/>
          </w:tcPr>
          <w:p>
            <w:pPr>
              <w:pStyle w:val="66"/>
              <w:rPr>
                <w:rFonts w:eastAsia="仿宋"/>
                <w:color w:val="000000"/>
                <w:sz w:val="21"/>
                <w:szCs w:val="21"/>
              </w:rPr>
            </w:pPr>
            <w:r>
              <w:rPr>
                <w:rFonts w:eastAsia="仿宋"/>
                <w:color w:val="000000"/>
                <w:sz w:val="21"/>
                <w:szCs w:val="21"/>
              </w:rPr>
              <w:t>检查内容</w:t>
            </w:r>
          </w:p>
        </w:tc>
        <w:tc>
          <w:tcPr>
            <w:tcW w:w="413" w:type="pct"/>
            <w:noWrap w:val="0"/>
            <w:vAlign w:val="center"/>
          </w:tcPr>
          <w:p>
            <w:pPr>
              <w:pStyle w:val="66"/>
              <w:rPr>
                <w:rFonts w:eastAsia="仿宋"/>
                <w:color w:val="000000"/>
                <w:sz w:val="21"/>
                <w:szCs w:val="21"/>
              </w:rPr>
            </w:pPr>
            <w:r>
              <w:rPr>
                <w:rFonts w:eastAsia="仿宋"/>
                <w:color w:val="000000"/>
                <w:sz w:val="21"/>
                <w:szCs w:val="21"/>
              </w:rPr>
              <w:t>检查项目</w:t>
            </w:r>
          </w:p>
        </w:tc>
        <w:tc>
          <w:tcPr>
            <w:tcW w:w="1709" w:type="pct"/>
            <w:noWrap w:val="0"/>
            <w:vAlign w:val="center"/>
          </w:tcPr>
          <w:p>
            <w:pPr>
              <w:pStyle w:val="66"/>
              <w:rPr>
                <w:rFonts w:eastAsia="仿宋"/>
                <w:color w:val="000000"/>
                <w:sz w:val="21"/>
                <w:szCs w:val="21"/>
              </w:rPr>
            </w:pPr>
            <w:r>
              <w:rPr>
                <w:rFonts w:eastAsia="仿宋"/>
                <w:color w:val="000000"/>
                <w:sz w:val="21"/>
                <w:szCs w:val="21"/>
              </w:rPr>
              <w:t>检查要点</w:t>
            </w:r>
          </w:p>
        </w:tc>
        <w:tc>
          <w:tcPr>
            <w:tcW w:w="230" w:type="pct"/>
            <w:noWrap w:val="0"/>
            <w:vAlign w:val="center"/>
          </w:tcPr>
          <w:p>
            <w:pPr>
              <w:pStyle w:val="66"/>
              <w:rPr>
                <w:rFonts w:eastAsia="仿宋"/>
                <w:color w:val="000000"/>
                <w:sz w:val="21"/>
                <w:szCs w:val="21"/>
              </w:rPr>
            </w:pPr>
            <w:r>
              <w:rPr>
                <w:rFonts w:eastAsia="仿宋"/>
                <w:color w:val="000000"/>
                <w:sz w:val="21"/>
                <w:szCs w:val="21"/>
              </w:rPr>
              <w:t>单项</w:t>
            </w:r>
          </w:p>
          <w:p>
            <w:pPr>
              <w:pStyle w:val="66"/>
              <w:rPr>
                <w:rFonts w:eastAsia="仿宋"/>
                <w:color w:val="000000"/>
                <w:sz w:val="21"/>
                <w:szCs w:val="21"/>
              </w:rPr>
            </w:pPr>
            <w:r>
              <w:rPr>
                <w:rFonts w:eastAsia="仿宋"/>
                <w:color w:val="000000"/>
                <w:sz w:val="21"/>
                <w:szCs w:val="21"/>
              </w:rPr>
              <w:t>分值</w:t>
            </w:r>
          </w:p>
        </w:tc>
        <w:tc>
          <w:tcPr>
            <w:tcW w:w="230" w:type="pct"/>
            <w:noWrap w:val="0"/>
            <w:vAlign w:val="center"/>
          </w:tcPr>
          <w:p>
            <w:pPr>
              <w:pStyle w:val="66"/>
              <w:rPr>
                <w:rFonts w:eastAsia="仿宋"/>
                <w:color w:val="000000"/>
                <w:sz w:val="21"/>
                <w:szCs w:val="21"/>
              </w:rPr>
            </w:pPr>
            <w:r>
              <w:rPr>
                <w:rFonts w:eastAsia="仿宋"/>
                <w:color w:val="000000"/>
                <w:sz w:val="21"/>
                <w:szCs w:val="21"/>
              </w:rPr>
              <w:t>得分</w:t>
            </w:r>
          </w:p>
        </w:tc>
        <w:tc>
          <w:tcPr>
            <w:tcW w:w="1987" w:type="pct"/>
            <w:noWrap w:val="0"/>
            <w:vAlign w:val="center"/>
          </w:tcPr>
          <w:p>
            <w:pPr>
              <w:pStyle w:val="66"/>
              <w:rPr>
                <w:rFonts w:eastAsia="仿宋"/>
                <w:color w:val="000000"/>
                <w:sz w:val="21"/>
                <w:szCs w:val="21"/>
              </w:rPr>
            </w:pPr>
            <w:r>
              <w:rPr>
                <w:rFonts w:eastAsia="仿宋"/>
                <w:color w:val="000000"/>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noWrap w:val="0"/>
            <w:vAlign w:val="center"/>
          </w:tcPr>
          <w:p>
            <w:pPr>
              <w:pStyle w:val="66"/>
              <w:rPr>
                <w:rFonts w:eastAsia="仿宋"/>
                <w:color w:val="000000"/>
                <w:sz w:val="21"/>
                <w:szCs w:val="21"/>
              </w:rPr>
            </w:pPr>
            <w:r>
              <w:rPr>
                <w:rFonts w:eastAsia="仿宋"/>
                <w:color w:val="000000"/>
                <w:sz w:val="21"/>
                <w:szCs w:val="21"/>
              </w:rPr>
              <w:t>1.监测点位一致性</w:t>
            </w:r>
          </w:p>
          <w:p>
            <w:pPr>
              <w:pStyle w:val="66"/>
              <w:rPr>
                <w:rFonts w:eastAsia="仿宋"/>
                <w:color w:val="000000"/>
                <w:sz w:val="21"/>
                <w:szCs w:val="21"/>
              </w:rPr>
            </w:pPr>
            <w:r>
              <w:rPr>
                <w:rFonts w:eastAsia="仿宋"/>
                <w:color w:val="000000"/>
                <w:sz w:val="21"/>
                <w:szCs w:val="21"/>
              </w:rPr>
              <w:t>（3分）</w:t>
            </w:r>
          </w:p>
        </w:tc>
        <w:tc>
          <w:tcPr>
            <w:tcW w:w="413" w:type="pct"/>
            <w:noWrap w:val="0"/>
            <w:vAlign w:val="center"/>
          </w:tcPr>
          <w:p>
            <w:pPr>
              <w:pStyle w:val="66"/>
              <w:rPr>
                <w:rFonts w:eastAsia="仿宋"/>
                <w:color w:val="000000"/>
                <w:sz w:val="21"/>
                <w:szCs w:val="21"/>
              </w:rPr>
            </w:pPr>
            <w:r>
              <w:rPr>
                <w:rFonts w:eastAsia="仿宋"/>
                <w:color w:val="000000"/>
                <w:sz w:val="21"/>
                <w:szCs w:val="21"/>
              </w:rPr>
              <w:t>点位与名称（3分）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监测点位的经纬度和名称是否与国家和省厅批复经纬度一致</w:t>
            </w:r>
          </w:p>
          <w:p>
            <w:pPr>
              <w:pStyle w:val="66"/>
              <w:jc w:val="left"/>
              <w:rPr>
                <w:rFonts w:eastAsia="仿宋"/>
                <w:color w:val="000000"/>
                <w:sz w:val="21"/>
                <w:szCs w:val="21"/>
              </w:rPr>
            </w:pPr>
          </w:p>
        </w:tc>
        <w:tc>
          <w:tcPr>
            <w:tcW w:w="230" w:type="pct"/>
            <w:noWrap w:val="0"/>
            <w:vAlign w:val="center"/>
          </w:tcPr>
          <w:p>
            <w:pPr>
              <w:pStyle w:val="66"/>
              <w:rPr>
                <w:rFonts w:eastAsia="仿宋"/>
                <w:color w:val="000000"/>
                <w:sz w:val="21"/>
                <w:szCs w:val="21"/>
              </w:rPr>
            </w:pPr>
            <w:r>
              <w:rPr>
                <w:rFonts w:eastAsia="仿宋"/>
                <w:color w:val="000000"/>
                <w:sz w:val="21"/>
                <w:szCs w:val="21"/>
              </w:rPr>
              <w:t>3</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1）带GPS仪现场实测经纬度，实测与国家和省厅批复不一致的，扣3分；</w:t>
            </w:r>
          </w:p>
          <w:p>
            <w:pPr>
              <w:pStyle w:val="66"/>
              <w:jc w:val="left"/>
              <w:rPr>
                <w:rFonts w:eastAsia="仿宋"/>
                <w:color w:val="000000"/>
                <w:sz w:val="21"/>
                <w:szCs w:val="21"/>
              </w:rPr>
            </w:pPr>
            <w:r>
              <w:rPr>
                <w:rFonts w:eastAsia="仿宋"/>
                <w:color w:val="000000"/>
                <w:sz w:val="21"/>
                <w:szCs w:val="21"/>
              </w:rPr>
              <w:t>2）上报点位名称与批复不一致的，扣2分；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restart"/>
            <w:noWrap w:val="0"/>
            <w:vAlign w:val="center"/>
          </w:tcPr>
          <w:p>
            <w:pPr>
              <w:pStyle w:val="66"/>
              <w:rPr>
                <w:rFonts w:eastAsia="仿宋"/>
                <w:color w:val="000000"/>
                <w:sz w:val="21"/>
                <w:szCs w:val="21"/>
              </w:rPr>
            </w:pPr>
            <w:r>
              <w:rPr>
                <w:rFonts w:eastAsia="仿宋"/>
                <w:color w:val="000000"/>
                <w:sz w:val="21"/>
                <w:szCs w:val="21"/>
              </w:rPr>
              <w:t>2.站房与人员情况</w:t>
            </w:r>
          </w:p>
          <w:p>
            <w:pPr>
              <w:pStyle w:val="66"/>
              <w:rPr>
                <w:rFonts w:eastAsia="仿宋"/>
                <w:color w:val="000000"/>
                <w:sz w:val="21"/>
                <w:szCs w:val="21"/>
              </w:rPr>
            </w:pPr>
            <w:r>
              <w:rPr>
                <w:rFonts w:eastAsia="仿宋"/>
                <w:color w:val="000000"/>
                <w:sz w:val="21"/>
                <w:szCs w:val="21"/>
              </w:rPr>
              <w:t>（6分）</w:t>
            </w: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站房要求与人员持证</w:t>
            </w:r>
          </w:p>
          <w:p>
            <w:pPr>
              <w:pStyle w:val="66"/>
              <w:rPr>
                <w:rFonts w:eastAsia="仿宋"/>
                <w:color w:val="000000"/>
                <w:sz w:val="21"/>
                <w:szCs w:val="21"/>
              </w:rPr>
            </w:pPr>
            <w:r>
              <w:rPr>
                <w:rFonts w:eastAsia="仿宋"/>
                <w:color w:val="000000"/>
                <w:sz w:val="21"/>
                <w:szCs w:val="21"/>
              </w:rPr>
              <w:t>（6分）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a）站房温度是否控制在25±5℃，相对湿度控制在80%以下</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1）站房需配有温湿度计，且观测到的室内温湿度满足要求。若温度超出范围，扣1分；若湿度超出范围，扣1分；未配温湿度计的，直接扣2分；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b）防水、防雷、供电是否满足《规范》（注1）要求</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1）防水：站房无漏雨，站房底层应高于支撑楼面，不符合的，扣1分；</w:t>
            </w:r>
          </w:p>
          <w:p>
            <w:pPr>
              <w:pStyle w:val="66"/>
              <w:jc w:val="left"/>
              <w:rPr>
                <w:rFonts w:eastAsia="仿宋"/>
                <w:color w:val="000000"/>
                <w:sz w:val="21"/>
                <w:szCs w:val="21"/>
              </w:rPr>
            </w:pPr>
            <w:r>
              <w:rPr>
                <w:rFonts w:eastAsia="仿宋"/>
                <w:color w:val="000000"/>
                <w:sz w:val="21"/>
                <w:szCs w:val="21"/>
              </w:rPr>
              <w:t>2）防雷：包括有避雷针接地、电源防雷、网络防雷，不符合的，扣1分；</w:t>
            </w:r>
          </w:p>
          <w:p>
            <w:pPr>
              <w:pStyle w:val="66"/>
              <w:jc w:val="left"/>
              <w:rPr>
                <w:rFonts w:eastAsia="仿宋"/>
                <w:color w:val="000000"/>
                <w:sz w:val="21"/>
                <w:szCs w:val="21"/>
              </w:rPr>
            </w:pPr>
            <w:r>
              <w:rPr>
                <w:rFonts w:eastAsia="仿宋"/>
                <w:color w:val="000000"/>
                <w:sz w:val="21"/>
                <w:szCs w:val="21"/>
              </w:rPr>
              <w:t>3）供电：仪器用电需配有稳压器，否则扣1分；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both"/>
              <w:rPr>
                <w:rFonts w:eastAsia="仿宋"/>
                <w:color w:val="000000"/>
                <w:sz w:val="21"/>
                <w:szCs w:val="21"/>
              </w:rPr>
            </w:pPr>
            <w:r>
              <w:rPr>
                <w:rFonts w:eastAsia="仿宋"/>
                <w:color w:val="000000"/>
                <w:sz w:val="21"/>
                <w:szCs w:val="21"/>
              </w:rPr>
              <w:t>c）自动站运维人员是否持证上岗</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1）检查现场运维人员的上岗证，发现有一人无上岗证的扣0.5分，扣完为止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restart"/>
            <w:noWrap w:val="0"/>
            <w:vAlign w:val="center"/>
          </w:tcPr>
          <w:p>
            <w:pPr>
              <w:pStyle w:val="66"/>
              <w:rPr>
                <w:rFonts w:eastAsia="仿宋"/>
                <w:color w:val="000000"/>
                <w:sz w:val="21"/>
                <w:szCs w:val="21"/>
              </w:rPr>
            </w:pPr>
            <w:r>
              <w:rPr>
                <w:rFonts w:eastAsia="仿宋"/>
                <w:color w:val="000000"/>
                <w:sz w:val="21"/>
                <w:szCs w:val="21"/>
              </w:rPr>
              <w:t>3.规范性检查（25分）</w:t>
            </w: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1）采样口设置（3分）</w:t>
            </w:r>
          </w:p>
        </w:tc>
        <w:tc>
          <w:tcPr>
            <w:tcW w:w="1709" w:type="pct"/>
            <w:noWrap w:val="0"/>
            <w:vAlign w:val="center"/>
          </w:tcPr>
          <w:p>
            <w:pPr>
              <w:pStyle w:val="66"/>
              <w:jc w:val="both"/>
              <w:rPr>
                <w:rFonts w:eastAsia="仿宋"/>
                <w:color w:val="000000"/>
                <w:sz w:val="21"/>
                <w:szCs w:val="21"/>
              </w:rPr>
            </w:pPr>
            <w:r>
              <w:rPr>
                <w:rFonts w:eastAsia="仿宋"/>
                <w:color w:val="000000"/>
                <w:sz w:val="21"/>
                <w:szCs w:val="21"/>
              </w:rPr>
              <w:t>a）采样口距地面的高度是否满足3～25m的要求</w:t>
            </w:r>
          </w:p>
        </w:tc>
        <w:tc>
          <w:tcPr>
            <w:tcW w:w="230" w:type="pct"/>
            <w:noWrap w:val="0"/>
            <w:vAlign w:val="center"/>
          </w:tcPr>
          <w:p>
            <w:pPr>
              <w:pStyle w:val="66"/>
              <w:rPr>
                <w:rFonts w:eastAsia="仿宋"/>
                <w:color w:val="000000"/>
                <w:sz w:val="21"/>
                <w:szCs w:val="21"/>
              </w:rPr>
            </w:pPr>
            <w:r>
              <w:rPr>
                <w:rFonts w:eastAsia="仿宋"/>
                <w:color w:val="000000"/>
                <w:sz w:val="21"/>
                <w:szCs w:val="21"/>
              </w:rPr>
              <w:t>1</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不能满足要求的，扣1分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rPr>
                <w:rFonts w:eastAsia="仿宋"/>
                <w:color w:val="000000"/>
                <w:sz w:val="21"/>
                <w:szCs w:val="21"/>
              </w:rPr>
            </w:pPr>
            <w:r>
              <w:rPr>
                <w:rFonts w:eastAsia="仿宋"/>
                <w:color w:val="000000"/>
                <w:sz w:val="21"/>
                <w:szCs w:val="21"/>
              </w:rPr>
              <w:t>b）采样口周围水平面是否有270°以上的捕集空间；如果采样口一边靠近建筑物，采样口周围水平面应有180°以上的自由空间；50m范围内无明显污染源</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任意一项不满足要求的，扣1分，扣完为止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2）采样单元设置（12分）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a）气体采样总管和采样支管材质是否满足《规范》（注1）要求，即：对于总管，选用聚四氟乙烯或硼硅酸盐玻璃材料；对于采样支管，选用聚四氟乙烯材料</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采样总管材质不满足要求的，扣1分；</w:t>
            </w:r>
          </w:p>
          <w:p>
            <w:pPr>
              <w:pStyle w:val="66"/>
              <w:jc w:val="left"/>
              <w:rPr>
                <w:rFonts w:eastAsia="仿宋"/>
                <w:color w:val="000000"/>
                <w:sz w:val="21"/>
                <w:szCs w:val="21"/>
              </w:rPr>
            </w:pPr>
            <w:r>
              <w:rPr>
                <w:rFonts w:eastAsia="仿宋"/>
                <w:color w:val="000000"/>
                <w:sz w:val="21"/>
                <w:szCs w:val="21"/>
              </w:rPr>
              <w:t>采样支管材质不满足要求的，扣1分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b）气态污染物采样总管是否竖直安装，采样口到站房顶部垂直距离是否大于1m，内径是否为1.5cm～15cm，各支管接头间隔是否大于8cm</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任一项不满足要求的，扣1分，扣完为止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c）气态污染物采样支管是否插入采样总管的中心，监测仪器与支管接头连接的管线长度是否小于3m</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采样运管未插入总管中心的，扣1分；</w:t>
            </w:r>
          </w:p>
          <w:p>
            <w:pPr>
              <w:pStyle w:val="66"/>
              <w:jc w:val="left"/>
              <w:rPr>
                <w:rFonts w:eastAsia="仿宋"/>
                <w:color w:val="000000"/>
                <w:sz w:val="21"/>
                <w:szCs w:val="21"/>
              </w:rPr>
            </w:pPr>
            <w:r>
              <w:rPr>
                <w:rFonts w:eastAsia="仿宋"/>
                <w:color w:val="000000"/>
                <w:sz w:val="21"/>
                <w:szCs w:val="21"/>
              </w:rPr>
              <w:t>支管长度大于3m的，扣1分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d）气体采样系统清洁程度：采样头、采样管道是否清洁，有无积灰、积水或障碍物，采样风机是否正常工作</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采样头、采样管内壁脏污，扣1分；</w:t>
            </w:r>
          </w:p>
          <w:p>
            <w:pPr>
              <w:pStyle w:val="66"/>
              <w:jc w:val="left"/>
              <w:rPr>
                <w:rFonts w:eastAsia="仿宋"/>
                <w:color w:val="000000"/>
                <w:sz w:val="21"/>
                <w:szCs w:val="21"/>
              </w:rPr>
            </w:pPr>
            <w:r>
              <w:rPr>
                <w:rFonts w:eastAsia="仿宋"/>
                <w:color w:val="000000"/>
                <w:sz w:val="21"/>
                <w:szCs w:val="21"/>
              </w:rPr>
              <w:t>采样风机不能正常工作的，扣2分；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e）气态污染物采样总管是否有加热装置，加热温度是否控制在30～50℃，是否避免被空调直吹。若采用不带加热系统的聚四氟乙烯或硼硅酸盐玻璃采样总管的，则其室内部分需加保温套</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采样总管需加热的，而无加热系统或加热系统故障的，扣1分；</w:t>
            </w:r>
          </w:p>
          <w:p>
            <w:pPr>
              <w:pStyle w:val="66"/>
              <w:jc w:val="left"/>
              <w:rPr>
                <w:rFonts w:eastAsia="仿宋"/>
                <w:color w:val="000000"/>
                <w:sz w:val="21"/>
                <w:szCs w:val="21"/>
              </w:rPr>
            </w:pPr>
            <w:r>
              <w:rPr>
                <w:rFonts w:eastAsia="仿宋"/>
                <w:color w:val="000000"/>
                <w:sz w:val="21"/>
                <w:szCs w:val="21"/>
              </w:rPr>
              <w:t>采样总管不需加热的，未加保温套的，扣1分；</w:t>
            </w:r>
          </w:p>
          <w:p>
            <w:pPr>
              <w:pStyle w:val="66"/>
              <w:jc w:val="left"/>
              <w:rPr>
                <w:rFonts w:eastAsia="仿宋"/>
                <w:color w:val="000000"/>
                <w:sz w:val="21"/>
                <w:szCs w:val="21"/>
              </w:rPr>
            </w:pPr>
            <w:r>
              <w:rPr>
                <w:rFonts w:eastAsia="仿宋"/>
                <w:color w:val="000000"/>
                <w:sz w:val="21"/>
                <w:szCs w:val="21"/>
              </w:rPr>
              <w:t>采样管路被空调直吹的，扣1分；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f）颗粒物采样管：采样头到站房顶部垂直距离是否在1～2m之间，是否垂直接入仪器，是否避免被空调直吹，室内部分是否加保温套，采样头是否清洁</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采样头到站房顶部垂直距离不符合要求的，扣1分；</w:t>
            </w:r>
          </w:p>
          <w:p>
            <w:pPr>
              <w:pStyle w:val="66"/>
              <w:jc w:val="left"/>
              <w:rPr>
                <w:rFonts w:eastAsia="仿宋"/>
                <w:color w:val="000000"/>
                <w:sz w:val="21"/>
                <w:szCs w:val="21"/>
              </w:rPr>
            </w:pPr>
            <w:r>
              <w:rPr>
                <w:rFonts w:eastAsia="仿宋"/>
                <w:color w:val="000000"/>
                <w:sz w:val="21"/>
                <w:szCs w:val="21"/>
              </w:rPr>
              <w:t>室内采用软管与仪器连接的，扣1分；</w:t>
            </w:r>
          </w:p>
          <w:p>
            <w:pPr>
              <w:pStyle w:val="66"/>
              <w:jc w:val="left"/>
              <w:rPr>
                <w:rFonts w:eastAsia="仿宋"/>
                <w:color w:val="000000"/>
                <w:sz w:val="21"/>
                <w:szCs w:val="21"/>
              </w:rPr>
            </w:pPr>
            <w:r>
              <w:rPr>
                <w:rFonts w:eastAsia="仿宋"/>
                <w:color w:val="000000"/>
                <w:sz w:val="21"/>
                <w:szCs w:val="21"/>
              </w:rPr>
              <w:t>因受站房面积影响，采样管未能避免空调直吹且未加保温套的，扣1分；</w:t>
            </w:r>
          </w:p>
          <w:p>
            <w:pPr>
              <w:pStyle w:val="66"/>
              <w:jc w:val="left"/>
              <w:rPr>
                <w:rFonts w:eastAsia="仿宋"/>
                <w:color w:val="000000"/>
                <w:sz w:val="21"/>
                <w:szCs w:val="21"/>
              </w:rPr>
            </w:pPr>
            <w:r>
              <w:rPr>
                <w:rFonts w:eastAsia="仿宋"/>
                <w:color w:val="000000"/>
                <w:sz w:val="21"/>
                <w:szCs w:val="21"/>
              </w:rPr>
              <w:t>采样头有较多积灰的，扣1分；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restart"/>
            <w:noWrap w:val="0"/>
            <w:vAlign w:val="center"/>
          </w:tcPr>
          <w:p>
            <w:pPr>
              <w:pStyle w:val="66"/>
              <w:rPr>
                <w:rFonts w:eastAsia="仿宋"/>
                <w:color w:val="000000"/>
                <w:sz w:val="21"/>
                <w:szCs w:val="21"/>
              </w:rPr>
            </w:pP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3）站点及仪器设置（10分）</w:t>
            </w:r>
          </w:p>
        </w:tc>
        <w:tc>
          <w:tcPr>
            <w:tcW w:w="1709" w:type="pct"/>
            <w:noWrap w:val="0"/>
            <w:vAlign w:val="center"/>
          </w:tcPr>
          <w:p>
            <w:pPr>
              <w:pStyle w:val="66"/>
              <w:rPr>
                <w:rFonts w:eastAsia="仿宋"/>
                <w:color w:val="000000"/>
                <w:sz w:val="21"/>
                <w:szCs w:val="21"/>
              </w:rPr>
            </w:pPr>
            <w:r>
              <w:rPr>
                <w:rFonts w:eastAsia="仿宋"/>
                <w:color w:val="000000"/>
                <w:sz w:val="21"/>
                <w:szCs w:val="21"/>
              </w:rPr>
              <w:t>a）站点设备：站点设备更换是否按照《关于更换浙江省省控环境空气质量监测网仪器设备更换有关事项的通知》（浙环监函〔2019〕31号）文件要求开展</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如存在不按照文件要求开展的，扣5分；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rPr>
                <w:rFonts w:eastAsia="仿宋"/>
                <w:color w:val="000000"/>
                <w:sz w:val="21"/>
                <w:szCs w:val="21"/>
              </w:rPr>
            </w:pPr>
            <w:r>
              <w:rPr>
                <w:rFonts w:eastAsia="仿宋"/>
                <w:color w:val="000000"/>
                <w:sz w:val="21"/>
                <w:szCs w:val="21"/>
              </w:rPr>
              <w:t>b）站位调整：是否存在自行随意调整空气站位置的情况</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如存在扣5分。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restart"/>
            <w:noWrap w:val="0"/>
            <w:vAlign w:val="center"/>
          </w:tcPr>
          <w:p>
            <w:pPr>
              <w:pStyle w:val="66"/>
              <w:rPr>
                <w:rFonts w:eastAsia="仿宋"/>
                <w:color w:val="000000"/>
                <w:sz w:val="21"/>
                <w:szCs w:val="21"/>
              </w:rPr>
            </w:pPr>
            <w:r>
              <w:rPr>
                <w:rFonts w:eastAsia="仿宋"/>
                <w:color w:val="000000"/>
                <w:sz w:val="21"/>
                <w:szCs w:val="21"/>
              </w:rPr>
              <w:t>4.测试的准确性（30分）</w:t>
            </w: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1）仪器性能（6分）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a）颗粒物K值（标准回归斜率）：</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或K0值（TEOM法）：</w:t>
            </w:r>
            <w:r>
              <w:rPr>
                <w:rFonts w:eastAsia="仿宋"/>
                <w:color w:val="000000"/>
                <w:szCs w:val="21"/>
                <w:u w:val="single"/>
              </w:rPr>
              <w:t xml:space="preserve">     </w:t>
            </w:r>
            <w:r>
              <w:rPr>
                <w:rFonts w:hint="eastAsia" w:eastAsia="仿宋"/>
                <w:color w:val="000000"/>
                <w:szCs w:val="21"/>
                <w:u w:val="single"/>
              </w:rPr>
              <w:t>/</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，是否与仪器说明书一致</w:t>
            </w:r>
          </w:p>
        </w:tc>
        <w:tc>
          <w:tcPr>
            <w:tcW w:w="230" w:type="pct"/>
            <w:noWrap w:val="0"/>
            <w:vAlign w:val="center"/>
          </w:tcPr>
          <w:p>
            <w:pPr>
              <w:pStyle w:val="66"/>
              <w:rPr>
                <w:rFonts w:eastAsia="仿宋"/>
                <w:color w:val="000000"/>
                <w:sz w:val="21"/>
                <w:szCs w:val="21"/>
              </w:rPr>
            </w:pPr>
            <w:r>
              <w:rPr>
                <w:rFonts w:eastAsia="仿宋"/>
                <w:color w:val="000000"/>
                <w:sz w:val="21"/>
                <w:szCs w:val="21"/>
              </w:rPr>
              <w:t>3</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查K值或K0值，K0 /K值与原始值不符且不能提供相应校准依据，扣3分；</w:t>
            </w:r>
          </w:p>
          <w:p>
            <w:pPr>
              <w:pStyle w:val="66"/>
              <w:jc w:val="left"/>
              <w:rPr>
                <w:rFonts w:eastAsia="仿宋"/>
                <w:color w:val="000000"/>
                <w:sz w:val="21"/>
                <w:szCs w:val="21"/>
              </w:rPr>
            </w:pPr>
            <w:r>
              <w:rPr>
                <w:rFonts w:eastAsia="仿宋"/>
                <w:color w:val="000000"/>
                <w:sz w:val="21"/>
                <w:szCs w:val="21"/>
              </w:rPr>
              <w:t>若仪器菜单无修正系数K设置的，直接得3分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b) 采用模拟量输出的，各通道参数（斜率、截距、量程等）的设置是否正确</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任一项目的监测仪器模拟传输通道参数设置与说明书不符合的，扣2分；</w:t>
            </w:r>
          </w:p>
          <w:p>
            <w:pPr>
              <w:pStyle w:val="66"/>
              <w:jc w:val="left"/>
              <w:rPr>
                <w:rFonts w:eastAsia="仿宋"/>
                <w:color w:val="000000"/>
                <w:sz w:val="21"/>
                <w:szCs w:val="21"/>
              </w:rPr>
            </w:pPr>
            <w:r>
              <w:rPr>
                <w:rFonts w:eastAsia="仿宋"/>
                <w:color w:val="000000"/>
                <w:sz w:val="21"/>
                <w:szCs w:val="21"/>
              </w:rPr>
              <w:t>采用了数字口输出的，直接得2分；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c）仪器性能：仪器是否出现报警</w:t>
            </w:r>
          </w:p>
        </w:tc>
        <w:tc>
          <w:tcPr>
            <w:tcW w:w="230" w:type="pct"/>
            <w:noWrap w:val="0"/>
            <w:vAlign w:val="center"/>
          </w:tcPr>
          <w:p>
            <w:pPr>
              <w:pStyle w:val="66"/>
              <w:rPr>
                <w:rFonts w:eastAsia="仿宋"/>
                <w:color w:val="000000"/>
                <w:sz w:val="21"/>
                <w:szCs w:val="21"/>
              </w:rPr>
            </w:pPr>
            <w:r>
              <w:rPr>
                <w:rFonts w:eastAsia="仿宋"/>
                <w:color w:val="000000"/>
                <w:sz w:val="21"/>
                <w:szCs w:val="21"/>
              </w:rPr>
              <w:t>1</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仪器有报警现象，扣1分（若是停电重启的报警，不扣分）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428" w:type="pct"/>
            <w:vMerge w:val="continue"/>
            <w:noWrap w:val="0"/>
            <w:vAlign w:val="center"/>
          </w:tcPr>
          <w:p>
            <w:pPr>
              <w:pStyle w:val="66"/>
              <w:rPr>
                <w:rFonts w:eastAsia="仿宋"/>
                <w:color w:val="000000"/>
                <w:sz w:val="21"/>
                <w:szCs w:val="21"/>
              </w:rPr>
            </w:pP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2）现场测试（24分）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a) 动态校准仪质量流量控制器（MFC）单点流量测试（要求相对误差≤±2%，标准流量计的读数应转换成质量流量后计算误差）：</w:t>
            </w:r>
          </w:p>
          <w:p>
            <w:pPr>
              <w:pStyle w:val="66"/>
              <w:jc w:val="left"/>
              <w:rPr>
                <w:rFonts w:eastAsia="仿宋"/>
                <w:color w:val="000000"/>
                <w:sz w:val="21"/>
                <w:szCs w:val="21"/>
                <w:lang w:val="nb-NO"/>
              </w:rPr>
            </w:pPr>
            <w:r>
              <w:rPr>
                <w:rFonts w:eastAsia="仿宋"/>
                <w:color w:val="000000"/>
                <w:sz w:val="21"/>
                <w:szCs w:val="21"/>
              </w:rPr>
              <w:t>零气</w:t>
            </w:r>
            <w:r>
              <w:rPr>
                <w:rFonts w:eastAsia="仿宋"/>
                <w:color w:val="000000"/>
                <w:sz w:val="21"/>
                <w:szCs w:val="21"/>
                <w:lang w:val="nb-NO"/>
              </w:rPr>
              <w:t>MFC</w:t>
            </w:r>
            <w:r>
              <w:rPr>
                <w:rFonts w:eastAsia="仿宋"/>
                <w:color w:val="000000"/>
                <w:sz w:val="21"/>
                <w:szCs w:val="21"/>
              </w:rPr>
              <w:t>流量</w:t>
            </w:r>
            <w:r>
              <w:rPr>
                <w:rFonts w:eastAsia="仿宋"/>
                <w:color w:val="000000"/>
                <w:sz w:val="21"/>
                <w:szCs w:val="21"/>
                <w:lang w:val="nb-NO"/>
              </w:rPr>
              <w:t>：</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lang w:val="nb-NO"/>
              </w:rPr>
              <w:t>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L/min，相对误差</w:t>
            </w:r>
            <w:r>
              <w:rPr>
                <w:rFonts w:eastAsia="仿宋"/>
                <w:color w:val="000000"/>
                <w:szCs w:val="21"/>
                <w:u w:val="single"/>
              </w:rPr>
              <w:t xml:space="preserve">   </w:t>
            </w:r>
            <w:r>
              <w:rPr>
                <w:rFonts w:eastAsia="仿宋"/>
                <w:color w:val="000000"/>
                <w:sz w:val="21"/>
                <w:szCs w:val="21"/>
              </w:rPr>
              <w:t xml:space="preserve"> %</w:t>
            </w:r>
          </w:p>
          <w:p>
            <w:pPr>
              <w:pStyle w:val="66"/>
              <w:jc w:val="left"/>
              <w:rPr>
                <w:rFonts w:eastAsia="仿宋"/>
                <w:color w:val="000000"/>
                <w:sz w:val="21"/>
                <w:szCs w:val="21"/>
              </w:rPr>
            </w:pPr>
            <w:r>
              <w:rPr>
                <w:rFonts w:eastAsia="仿宋"/>
                <w:color w:val="000000"/>
                <w:sz w:val="21"/>
                <w:szCs w:val="21"/>
              </w:rPr>
              <w:t>标气MFC流量：</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mL/min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mL/min，相对误差</w:t>
            </w:r>
            <w:r>
              <w:rPr>
                <w:rFonts w:eastAsia="仿宋"/>
                <w:color w:val="000000"/>
                <w:szCs w:val="21"/>
                <w:u w:val="single"/>
              </w:rPr>
              <w:t xml:space="preserve">  </w:t>
            </w:r>
            <w:r>
              <w:rPr>
                <w:rFonts w:eastAsia="仿宋"/>
                <w:color w:val="000000"/>
                <w:sz w:val="21"/>
                <w:szCs w:val="21"/>
              </w:rPr>
              <w:t>%</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零气流量误差超出±2%的，扣2.5分；</w:t>
            </w:r>
          </w:p>
          <w:p>
            <w:pPr>
              <w:pStyle w:val="66"/>
              <w:jc w:val="left"/>
              <w:rPr>
                <w:rFonts w:eastAsia="仿宋"/>
                <w:color w:val="000000"/>
                <w:sz w:val="21"/>
                <w:szCs w:val="21"/>
              </w:rPr>
            </w:pPr>
            <w:r>
              <w:rPr>
                <w:rFonts w:eastAsia="仿宋"/>
                <w:color w:val="000000"/>
                <w:sz w:val="21"/>
                <w:szCs w:val="21"/>
              </w:rPr>
              <w:t>标气流量误差超出±2%的，扣2.5分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b）气态污染物采样流量测试（要求相对误差≤±10%）：</w:t>
            </w:r>
          </w:p>
          <w:p>
            <w:pPr>
              <w:pStyle w:val="66"/>
              <w:jc w:val="left"/>
              <w:rPr>
                <w:rFonts w:eastAsia="仿宋"/>
                <w:color w:val="000000"/>
                <w:sz w:val="21"/>
                <w:szCs w:val="21"/>
              </w:rPr>
            </w:pPr>
            <w:r>
              <w:rPr>
                <w:rFonts w:eastAsia="仿宋"/>
                <w:color w:val="000000"/>
                <w:sz w:val="21"/>
                <w:szCs w:val="21"/>
              </w:rPr>
              <w:t>SO2显示流量：</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L/min，   </w:t>
            </w:r>
          </w:p>
          <w:p>
            <w:pPr>
              <w:pStyle w:val="66"/>
              <w:jc w:val="left"/>
              <w:rPr>
                <w:rFonts w:eastAsia="仿宋"/>
                <w:color w:val="000000"/>
                <w:sz w:val="21"/>
                <w:szCs w:val="21"/>
              </w:rPr>
            </w:pPr>
            <w:r>
              <w:rPr>
                <w:rFonts w:eastAsia="仿宋"/>
                <w:color w:val="000000"/>
                <w:sz w:val="21"/>
                <w:szCs w:val="21"/>
              </w:rPr>
              <w:t xml:space="preserve">标准流量计测值： </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L/min，相对误差</w:t>
            </w:r>
            <w:r>
              <w:rPr>
                <w:rFonts w:eastAsia="仿宋"/>
                <w:color w:val="000000"/>
                <w:szCs w:val="21"/>
                <w:u w:val="single"/>
              </w:rPr>
              <w:t xml:space="preserve">   </w:t>
            </w:r>
            <w:r>
              <w:rPr>
                <w:rFonts w:eastAsia="仿宋"/>
                <w:color w:val="000000"/>
                <w:sz w:val="21"/>
                <w:szCs w:val="21"/>
              </w:rPr>
              <w:t>%；</w:t>
            </w:r>
          </w:p>
          <w:p>
            <w:pPr>
              <w:pStyle w:val="66"/>
              <w:jc w:val="left"/>
              <w:rPr>
                <w:rFonts w:eastAsia="仿宋"/>
                <w:color w:val="000000"/>
                <w:sz w:val="21"/>
                <w:szCs w:val="21"/>
              </w:rPr>
            </w:pPr>
            <w:r>
              <w:rPr>
                <w:rFonts w:eastAsia="仿宋"/>
                <w:color w:val="000000"/>
                <w:sz w:val="21"/>
                <w:szCs w:val="21"/>
              </w:rPr>
              <w:t>NOx显示流量：</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L/min，相对误差</w:t>
            </w:r>
            <w:r>
              <w:rPr>
                <w:rFonts w:eastAsia="仿宋"/>
                <w:color w:val="000000"/>
                <w:szCs w:val="21"/>
                <w:u w:val="single"/>
              </w:rPr>
              <w:t xml:space="preserve">    </w:t>
            </w:r>
            <w:r>
              <w:rPr>
                <w:rFonts w:eastAsia="仿宋"/>
                <w:color w:val="000000"/>
                <w:sz w:val="21"/>
                <w:szCs w:val="21"/>
              </w:rPr>
              <w:t xml:space="preserve"> %；</w:t>
            </w:r>
          </w:p>
          <w:p>
            <w:pPr>
              <w:pStyle w:val="66"/>
              <w:jc w:val="left"/>
              <w:rPr>
                <w:rFonts w:eastAsia="仿宋"/>
                <w:color w:val="000000"/>
                <w:sz w:val="21"/>
                <w:szCs w:val="21"/>
              </w:rPr>
            </w:pPr>
            <w:r>
              <w:rPr>
                <w:rFonts w:eastAsia="仿宋"/>
                <w:color w:val="000000"/>
                <w:sz w:val="21"/>
                <w:szCs w:val="21"/>
              </w:rPr>
              <w:t>CO显示流量：</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L/min，相对误差</w:t>
            </w:r>
            <w:r>
              <w:rPr>
                <w:rFonts w:eastAsia="仿宋"/>
                <w:color w:val="000000"/>
                <w:szCs w:val="21"/>
                <w:u w:val="single"/>
              </w:rPr>
              <w:t xml:space="preserve">   </w:t>
            </w:r>
            <w:r>
              <w:rPr>
                <w:rFonts w:eastAsia="仿宋"/>
                <w:color w:val="000000"/>
                <w:sz w:val="21"/>
                <w:szCs w:val="21"/>
              </w:rPr>
              <w:t xml:space="preserve"> %；</w:t>
            </w:r>
          </w:p>
          <w:p>
            <w:pPr>
              <w:pStyle w:val="66"/>
              <w:jc w:val="left"/>
              <w:rPr>
                <w:rFonts w:eastAsia="仿宋"/>
                <w:color w:val="000000"/>
                <w:sz w:val="21"/>
                <w:szCs w:val="21"/>
              </w:rPr>
            </w:pPr>
            <w:r>
              <w:rPr>
                <w:rFonts w:eastAsia="仿宋"/>
                <w:color w:val="000000"/>
                <w:sz w:val="21"/>
                <w:szCs w:val="21"/>
              </w:rPr>
              <w:t>O3显示流量：</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L/min，</w:t>
            </w:r>
          </w:p>
          <w:p>
            <w:pPr>
              <w:pStyle w:val="66"/>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L/min，相对误差</w:t>
            </w:r>
            <w:r>
              <w:rPr>
                <w:rFonts w:eastAsia="仿宋"/>
                <w:color w:val="000000"/>
                <w:szCs w:val="21"/>
                <w:u w:val="single"/>
              </w:rPr>
              <w:t xml:space="preserve">   </w:t>
            </w:r>
            <w:r>
              <w:rPr>
                <w:rFonts w:eastAsia="仿宋"/>
                <w:color w:val="000000"/>
                <w:sz w:val="21"/>
                <w:szCs w:val="21"/>
              </w:rPr>
              <w:t xml:space="preserve"> %</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任一项误差超出±10%的，扣0.5分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c）颗粒物采样总流量测试（要求相对误差≤±5%）：</w:t>
            </w:r>
          </w:p>
          <w:p>
            <w:pPr>
              <w:pStyle w:val="66"/>
              <w:jc w:val="left"/>
              <w:rPr>
                <w:rFonts w:eastAsia="仿宋"/>
                <w:color w:val="000000"/>
                <w:sz w:val="21"/>
                <w:szCs w:val="21"/>
              </w:rPr>
            </w:pPr>
            <w:r>
              <w:rPr>
                <w:rFonts w:eastAsia="仿宋"/>
                <w:color w:val="000000"/>
                <w:sz w:val="21"/>
                <w:szCs w:val="21"/>
              </w:rPr>
              <w:t>PM10：设计值16.7L/min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L/min，相对误差</w:t>
            </w:r>
            <w:r>
              <w:rPr>
                <w:rFonts w:hint="eastAsia" w:eastAsia="仿宋"/>
                <w:color w:val="000000"/>
                <w:sz w:val="21"/>
                <w:szCs w:val="21"/>
              </w:rPr>
              <w:t xml:space="preserve">  </w:t>
            </w:r>
            <w:r>
              <w:rPr>
                <w:rFonts w:eastAsia="仿宋"/>
                <w:color w:val="000000"/>
                <w:szCs w:val="21"/>
                <w:u w:val="single"/>
              </w:rPr>
              <w:t xml:space="preserve">   </w:t>
            </w:r>
            <w:r>
              <w:rPr>
                <w:rFonts w:eastAsia="仿宋"/>
                <w:color w:val="000000"/>
                <w:sz w:val="21"/>
                <w:szCs w:val="21"/>
              </w:rPr>
              <w:t>%</w:t>
            </w:r>
          </w:p>
          <w:p>
            <w:pPr>
              <w:pStyle w:val="66"/>
              <w:jc w:val="left"/>
              <w:rPr>
                <w:rFonts w:eastAsia="仿宋"/>
                <w:color w:val="000000"/>
                <w:sz w:val="21"/>
                <w:szCs w:val="21"/>
              </w:rPr>
            </w:pPr>
            <w:r>
              <w:rPr>
                <w:rFonts w:eastAsia="仿宋"/>
                <w:color w:val="000000"/>
                <w:sz w:val="21"/>
                <w:szCs w:val="21"/>
              </w:rPr>
              <w:t>PM2.5：设计值16.7L/min</w:t>
            </w:r>
          </w:p>
          <w:p>
            <w:pPr>
              <w:pStyle w:val="66"/>
              <w:jc w:val="left"/>
              <w:rPr>
                <w:rFonts w:eastAsia="仿宋"/>
                <w:color w:val="000000"/>
                <w:sz w:val="21"/>
                <w:szCs w:val="21"/>
              </w:rPr>
            </w:pPr>
            <w:r>
              <w:rPr>
                <w:rFonts w:eastAsia="仿宋"/>
                <w:color w:val="000000"/>
                <w:sz w:val="21"/>
                <w:szCs w:val="21"/>
              </w:rPr>
              <w:t>标准流量计测值：</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 w:val="21"/>
                <w:szCs w:val="21"/>
              </w:rPr>
              <w:t xml:space="preserve"> L/min，相对误差</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 w:val="21"/>
                <w:szCs w:val="21"/>
              </w:rPr>
              <w:t xml:space="preserve"> %</w:t>
            </w:r>
          </w:p>
        </w:tc>
        <w:tc>
          <w:tcPr>
            <w:tcW w:w="230" w:type="pct"/>
            <w:noWrap w:val="0"/>
            <w:vAlign w:val="center"/>
          </w:tcPr>
          <w:p>
            <w:pPr>
              <w:pStyle w:val="66"/>
              <w:rPr>
                <w:rFonts w:eastAsia="仿宋"/>
                <w:color w:val="000000"/>
                <w:sz w:val="21"/>
                <w:szCs w:val="21"/>
              </w:rPr>
            </w:pPr>
            <w:r>
              <w:rPr>
                <w:rFonts w:eastAsia="仿宋"/>
                <w:color w:val="000000"/>
                <w:sz w:val="21"/>
                <w:szCs w:val="21"/>
              </w:rPr>
              <w:t>6</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PM10流量误差超出±5%的，扣3分；</w:t>
            </w:r>
          </w:p>
          <w:p>
            <w:pPr>
              <w:pStyle w:val="66"/>
              <w:jc w:val="left"/>
              <w:rPr>
                <w:rFonts w:eastAsia="仿宋"/>
                <w:color w:val="000000"/>
                <w:sz w:val="21"/>
                <w:szCs w:val="21"/>
              </w:rPr>
            </w:pPr>
            <w:r>
              <w:rPr>
                <w:rFonts w:eastAsia="仿宋"/>
                <w:color w:val="000000"/>
                <w:sz w:val="21"/>
                <w:szCs w:val="21"/>
              </w:rPr>
              <w:t>PM2.5流量误差超出±5%的，扣3分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d）用考核组带去的钢瓶标气输出SO</w:t>
            </w:r>
            <w:r>
              <w:rPr>
                <w:rFonts w:eastAsia="仿宋"/>
                <w:color w:val="000000"/>
                <w:sz w:val="21"/>
                <w:szCs w:val="21"/>
                <w:vertAlign w:val="subscript"/>
              </w:rPr>
              <w:t>2</w:t>
            </w:r>
            <w:r>
              <w:rPr>
                <w:rFonts w:eastAsia="仿宋"/>
                <w:color w:val="000000"/>
                <w:sz w:val="21"/>
                <w:szCs w:val="21"/>
              </w:rPr>
              <w:t>跨度气体通入采样总管供子站分析仪测试：</w:t>
            </w:r>
          </w:p>
          <w:p>
            <w:pPr>
              <w:pStyle w:val="66"/>
              <w:jc w:val="left"/>
              <w:rPr>
                <w:rFonts w:eastAsia="仿宋"/>
                <w:color w:val="000000"/>
                <w:sz w:val="21"/>
                <w:szCs w:val="21"/>
              </w:rPr>
            </w:pPr>
            <w:r>
              <w:rPr>
                <w:rFonts w:eastAsia="仿宋"/>
                <w:color w:val="000000"/>
                <w:sz w:val="21"/>
                <w:szCs w:val="21"/>
              </w:rPr>
              <w:t>SO2标气稀释输出浓度：</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ppb，仪器响应浓度</w:t>
            </w:r>
            <w:r>
              <w:rPr>
                <w:rFonts w:hint="eastAsia" w:eastAsia="仿宋"/>
                <w:color w:val="000000"/>
                <w:sz w:val="21"/>
                <w:szCs w:val="21"/>
              </w:rPr>
              <w:t>：</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 w:val="21"/>
                <w:szCs w:val="21"/>
              </w:rPr>
              <w:t>ppb，浓度误差（要求相对误差≤±10%）</w:t>
            </w:r>
          </w:p>
          <w:p>
            <w:pPr>
              <w:pStyle w:val="66"/>
              <w:jc w:val="left"/>
              <w:rPr>
                <w:rFonts w:eastAsia="仿宋"/>
                <w:color w:val="000000"/>
                <w:sz w:val="21"/>
                <w:szCs w:val="21"/>
              </w:rPr>
            </w:pPr>
            <w:r>
              <w:rPr>
                <w:rFonts w:eastAsia="仿宋"/>
                <w:color w:val="000000"/>
                <w:sz w:val="21"/>
                <w:szCs w:val="21"/>
              </w:rPr>
              <w:t>响应时间t90：</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min</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进行跨度测试，并测试响应时间：</w:t>
            </w:r>
          </w:p>
          <w:p>
            <w:pPr>
              <w:pStyle w:val="66"/>
              <w:jc w:val="left"/>
              <w:rPr>
                <w:rFonts w:eastAsia="仿宋"/>
                <w:color w:val="000000"/>
                <w:sz w:val="21"/>
                <w:szCs w:val="21"/>
              </w:rPr>
            </w:pPr>
            <w:r>
              <w:rPr>
                <w:rFonts w:eastAsia="仿宋"/>
                <w:color w:val="000000"/>
                <w:sz w:val="21"/>
                <w:szCs w:val="21"/>
              </w:rPr>
              <w:t>1）浓度误差超出±10%的，扣2分；</w:t>
            </w:r>
          </w:p>
          <w:p>
            <w:pPr>
              <w:pStyle w:val="66"/>
              <w:jc w:val="left"/>
              <w:rPr>
                <w:rFonts w:eastAsia="仿宋"/>
                <w:color w:val="000000"/>
                <w:sz w:val="21"/>
                <w:szCs w:val="21"/>
              </w:rPr>
            </w:pPr>
            <w:r>
              <w:rPr>
                <w:rFonts w:eastAsia="仿宋"/>
                <w:color w:val="000000"/>
                <w:sz w:val="21"/>
                <w:szCs w:val="21"/>
              </w:rPr>
              <w:t>2）t90＞5min，扣1分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e) 用考核组带去的钢瓶标气输出NO跨度气体通入采样总管供子站分析仪测试：</w:t>
            </w:r>
          </w:p>
          <w:p>
            <w:pPr>
              <w:pStyle w:val="66"/>
              <w:jc w:val="left"/>
              <w:rPr>
                <w:rFonts w:eastAsia="仿宋"/>
                <w:color w:val="000000"/>
                <w:sz w:val="21"/>
                <w:szCs w:val="21"/>
              </w:rPr>
            </w:pPr>
            <w:r>
              <w:rPr>
                <w:rFonts w:eastAsia="仿宋"/>
                <w:color w:val="000000"/>
                <w:sz w:val="21"/>
                <w:szCs w:val="21"/>
              </w:rPr>
              <w:t>NO标气稀释输出浓度：</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ppb，仪器响应浓度 </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ppb，浓度误差（要求相对误差≤±10%）响应时间t90：</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min</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进行跨度测试，并测试响应时间：</w:t>
            </w:r>
          </w:p>
          <w:p>
            <w:pPr>
              <w:pStyle w:val="66"/>
              <w:jc w:val="left"/>
              <w:rPr>
                <w:rFonts w:eastAsia="仿宋"/>
                <w:color w:val="000000"/>
                <w:sz w:val="21"/>
                <w:szCs w:val="21"/>
              </w:rPr>
            </w:pPr>
            <w:r>
              <w:rPr>
                <w:rFonts w:eastAsia="仿宋"/>
                <w:color w:val="000000"/>
                <w:sz w:val="21"/>
                <w:szCs w:val="21"/>
              </w:rPr>
              <w:t>1）浓度误差超出±10%的，扣2分；</w:t>
            </w:r>
          </w:p>
          <w:p>
            <w:pPr>
              <w:pStyle w:val="66"/>
              <w:jc w:val="left"/>
              <w:rPr>
                <w:rFonts w:eastAsia="仿宋"/>
                <w:color w:val="000000"/>
                <w:sz w:val="21"/>
                <w:szCs w:val="21"/>
              </w:rPr>
            </w:pPr>
            <w:r>
              <w:rPr>
                <w:rFonts w:eastAsia="仿宋"/>
                <w:color w:val="000000"/>
                <w:sz w:val="21"/>
                <w:szCs w:val="21"/>
              </w:rPr>
              <w:t>2）t90＞5min，扣1分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f) 用考核组带去的钢瓶标气输出CO跨度气体通入采样总管供子站分析仪测试：</w:t>
            </w:r>
          </w:p>
          <w:p>
            <w:pPr>
              <w:pStyle w:val="66"/>
              <w:jc w:val="left"/>
              <w:rPr>
                <w:rFonts w:eastAsia="仿宋"/>
                <w:color w:val="000000"/>
                <w:sz w:val="21"/>
                <w:szCs w:val="21"/>
              </w:rPr>
            </w:pPr>
            <w:r>
              <w:rPr>
                <w:rFonts w:eastAsia="仿宋"/>
                <w:color w:val="000000"/>
                <w:sz w:val="21"/>
                <w:szCs w:val="21"/>
              </w:rPr>
              <w:t>CO标气稀释输出浓度：</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 w:val="21"/>
                <w:szCs w:val="21"/>
              </w:rPr>
              <w:t xml:space="preserve"> ppm，仪器响</w:t>
            </w:r>
            <w:r>
              <w:rPr>
                <w:rFonts w:hint="eastAsia" w:eastAsia="仿宋"/>
                <w:color w:val="000000"/>
                <w:sz w:val="21"/>
                <w:szCs w:val="21"/>
              </w:rPr>
              <w:t>应浓度</w:t>
            </w:r>
            <w:r>
              <w:rPr>
                <w:rFonts w:hint="eastAsia" w:eastAsia="仿宋"/>
                <w:color w:val="000000"/>
                <w:sz w:val="21"/>
                <w:szCs w:val="21"/>
                <w:u w:val="single"/>
              </w:rPr>
              <w:t xml:space="preserve">         </w:t>
            </w:r>
            <w:r>
              <w:rPr>
                <w:rFonts w:eastAsia="仿宋"/>
                <w:color w:val="000000"/>
                <w:sz w:val="21"/>
                <w:szCs w:val="21"/>
              </w:rPr>
              <w:t>ppm，浓度误差（要求相对误差≤±10%）响应时间t90：</w:t>
            </w:r>
            <w:r>
              <w:rPr>
                <w:rFonts w:eastAsia="仿宋"/>
                <w:color w:val="000000"/>
                <w:szCs w:val="21"/>
                <w:u w:val="single"/>
              </w:rPr>
              <w:t xml:space="preserve">  </w:t>
            </w:r>
            <w:r>
              <w:rPr>
                <w:rFonts w:hint="eastAsia" w:eastAsia="仿宋"/>
                <w:color w:val="000000"/>
                <w:szCs w:val="21"/>
                <w:u w:val="single"/>
              </w:rPr>
              <w:t xml:space="preserve">  </w:t>
            </w:r>
            <w:r>
              <w:rPr>
                <w:rFonts w:eastAsia="仿宋"/>
                <w:color w:val="000000"/>
                <w:szCs w:val="21"/>
                <w:u w:val="single"/>
              </w:rPr>
              <w:t xml:space="preserve">  </w:t>
            </w:r>
            <w:r>
              <w:rPr>
                <w:rFonts w:eastAsia="仿宋"/>
                <w:color w:val="000000"/>
                <w:sz w:val="21"/>
                <w:szCs w:val="21"/>
              </w:rPr>
              <w:t xml:space="preserve"> min</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进行跨度测试，并测试响应时间：</w:t>
            </w:r>
          </w:p>
          <w:p>
            <w:pPr>
              <w:pStyle w:val="66"/>
              <w:jc w:val="left"/>
              <w:rPr>
                <w:rFonts w:eastAsia="仿宋"/>
                <w:color w:val="000000"/>
                <w:sz w:val="21"/>
                <w:szCs w:val="21"/>
              </w:rPr>
            </w:pPr>
            <w:r>
              <w:rPr>
                <w:rFonts w:eastAsia="仿宋"/>
                <w:color w:val="000000"/>
                <w:sz w:val="21"/>
                <w:szCs w:val="21"/>
              </w:rPr>
              <w:t>1）浓度误差超出±10%的，扣2分；</w:t>
            </w:r>
          </w:p>
          <w:p>
            <w:pPr>
              <w:pStyle w:val="66"/>
              <w:jc w:val="left"/>
              <w:rPr>
                <w:rFonts w:eastAsia="仿宋"/>
                <w:color w:val="000000"/>
                <w:sz w:val="21"/>
                <w:szCs w:val="21"/>
              </w:rPr>
            </w:pPr>
            <w:r>
              <w:rPr>
                <w:rFonts w:eastAsia="仿宋"/>
                <w:color w:val="000000"/>
                <w:sz w:val="21"/>
                <w:szCs w:val="21"/>
              </w:rPr>
              <w:t>2）t90＞5min，扣1分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rPr>
                <w:rFonts w:eastAsia="仿宋"/>
                <w:color w:val="000000"/>
                <w:szCs w:val="21"/>
              </w:rPr>
            </w:pPr>
            <w:r>
              <w:rPr>
                <w:rFonts w:eastAsia="仿宋"/>
                <w:color w:val="000000"/>
                <w:szCs w:val="21"/>
              </w:rPr>
              <w:t>g) 用考核组带去的臭氧校准仪输出O3跨度气体通入采样总管供子站分析仪测试：</w:t>
            </w:r>
          </w:p>
          <w:p>
            <w:pPr>
              <w:rPr>
                <w:rFonts w:eastAsia="仿宋"/>
                <w:color w:val="000000"/>
                <w:szCs w:val="21"/>
              </w:rPr>
            </w:pPr>
            <w:r>
              <w:rPr>
                <w:rFonts w:eastAsia="仿宋"/>
                <w:color w:val="000000"/>
                <w:szCs w:val="21"/>
              </w:rPr>
              <w:t>O3标气稀释输出浓度：</w:t>
            </w:r>
            <w:r>
              <w:rPr>
                <w:rFonts w:eastAsia="仿宋"/>
                <w:color w:val="000000"/>
                <w:szCs w:val="21"/>
                <w:u w:val="single"/>
              </w:rPr>
              <w:t>_</w:t>
            </w:r>
            <w:r>
              <w:rPr>
                <w:rFonts w:hint="eastAsia" w:eastAsia="仿宋"/>
                <w:color w:val="000000"/>
                <w:szCs w:val="21"/>
                <w:u w:val="single"/>
              </w:rPr>
              <w:t>/</w:t>
            </w:r>
            <w:r>
              <w:rPr>
                <w:rFonts w:eastAsia="仿宋"/>
                <w:color w:val="000000"/>
                <w:szCs w:val="21"/>
                <w:u w:val="single"/>
              </w:rPr>
              <w:t>_</w:t>
            </w:r>
            <w:r>
              <w:rPr>
                <w:rFonts w:eastAsia="仿宋"/>
                <w:color w:val="000000"/>
                <w:szCs w:val="21"/>
              </w:rPr>
              <w:t>_ pp</w:t>
            </w:r>
            <w:r>
              <w:rPr>
                <w:rFonts w:hint="eastAsia" w:eastAsia="仿宋"/>
                <w:color w:val="000000"/>
                <w:szCs w:val="21"/>
              </w:rPr>
              <w:t>b</w:t>
            </w:r>
            <w:r>
              <w:rPr>
                <w:rFonts w:eastAsia="仿宋"/>
                <w:color w:val="000000"/>
                <w:szCs w:val="21"/>
              </w:rPr>
              <w:t>，仪器响应浓度</w:t>
            </w:r>
            <w:r>
              <w:rPr>
                <w:rFonts w:eastAsia="仿宋"/>
                <w:color w:val="000000"/>
                <w:szCs w:val="21"/>
                <w:u w:val="single"/>
              </w:rPr>
              <w:t xml:space="preserve"> __</w:t>
            </w:r>
            <w:r>
              <w:rPr>
                <w:rFonts w:hint="eastAsia" w:eastAsia="仿宋"/>
                <w:color w:val="000000"/>
                <w:szCs w:val="21"/>
                <w:u w:val="single"/>
              </w:rPr>
              <w:t>/</w:t>
            </w:r>
            <w:r>
              <w:rPr>
                <w:rFonts w:eastAsia="仿宋"/>
                <w:color w:val="000000"/>
                <w:szCs w:val="21"/>
                <w:u w:val="single"/>
              </w:rPr>
              <w:t>__</w:t>
            </w:r>
            <w:r>
              <w:rPr>
                <w:rFonts w:eastAsia="仿宋"/>
                <w:color w:val="000000"/>
                <w:szCs w:val="21"/>
              </w:rPr>
              <w:t>_ppb，浓度误差（要求相对误差≤±10%）</w:t>
            </w:r>
          </w:p>
          <w:p>
            <w:pPr>
              <w:pStyle w:val="66"/>
              <w:jc w:val="left"/>
              <w:rPr>
                <w:rFonts w:eastAsia="仿宋"/>
                <w:color w:val="000000"/>
                <w:sz w:val="21"/>
                <w:szCs w:val="21"/>
              </w:rPr>
            </w:pPr>
            <w:r>
              <w:rPr>
                <w:rFonts w:eastAsia="仿宋"/>
                <w:color w:val="000000"/>
                <w:sz w:val="21"/>
                <w:szCs w:val="21"/>
              </w:rPr>
              <w:t>响应时间t90：_</w:t>
            </w:r>
            <w:r>
              <w:rPr>
                <w:rFonts w:hint="eastAsia" w:eastAsia="仿宋"/>
                <w:color w:val="000000"/>
                <w:sz w:val="21"/>
                <w:szCs w:val="21"/>
                <w:u w:val="single"/>
              </w:rPr>
              <w:t>/</w:t>
            </w:r>
            <w:r>
              <w:rPr>
                <w:rFonts w:eastAsia="仿宋"/>
                <w:color w:val="000000"/>
                <w:sz w:val="21"/>
                <w:szCs w:val="21"/>
                <w:u w:val="single"/>
              </w:rPr>
              <w:t>__</w:t>
            </w:r>
            <w:r>
              <w:rPr>
                <w:rFonts w:eastAsia="仿宋"/>
                <w:color w:val="000000"/>
                <w:sz w:val="21"/>
                <w:szCs w:val="21"/>
              </w:rPr>
              <w:t>_ min</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进行跨度测试，并测试响应时间：</w:t>
            </w:r>
          </w:p>
          <w:p>
            <w:pPr>
              <w:pStyle w:val="66"/>
              <w:jc w:val="left"/>
              <w:rPr>
                <w:rFonts w:eastAsia="仿宋"/>
                <w:color w:val="000000"/>
                <w:sz w:val="21"/>
                <w:szCs w:val="21"/>
              </w:rPr>
            </w:pPr>
            <w:r>
              <w:rPr>
                <w:rFonts w:eastAsia="仿宋"/>
                <w:color w:val="000000"/>
                <w:sz w:val="21"/>
                <w:szCs w:val="21"/>
              </w:rPr>
              <w:t>1）浓度误差超出±10%的，扣2分；</w:t>
            </w:r>
          </w:p>
          <w:p>
            <w:pPr>
              <w:pStyle w:val="66"/>
              <w:jc w:val="left"/>
              <w:rPr>
                <w:rFonts w:eastAsia="仿宋"/>
                <w:color w:val="000000"/>
                <w:sz w:val="21"/>
                <w:szCs w:val="21"/>
              </w:rPr>
            </w:pPr>
            <w:r>
              <w:rPr>
                <w:rFonts w:eastAsia="仿宋"/>
                <w:color w:val="000000"/>
                <w:sz w:val="21"/>
                <w:szCs w:val="21"/>
              </w:rPr>
              <w:t>2）t90＞5min，扣1分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现场臭氧工作标准是否经过量值溯源</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检查O</w:t>
            </w:r>
            <w:r>
              <w:rPr>
                <w:rFonts w:eastAsia="仿宋"/>
                <w:color w:val="000000"/>
                <w:sz w:val="21"/>
                <w:szCs w:val="21"/>
                <w:vertAlign w:val="subscript"/>
              </w:rPr>
              <w:t>3</w:t>
            </w:r>
            <w:r>
              <w:rPr>
                <w:rFonts w:eastAsia="仿宋"/>
                <w:color w:val="000000"/>
                <w:sz w:val="21"/>
                <w:szCs w:val="21"/>
              </w:rPr>
              <w:t>溯源报告，现场臭氧工作标准如未配备光度计，每三个月需溯源一次，如配备光度计，则每半年溯源一次，若溯源频次不足，扣5 分</w:t>
            </w:r>
          </w:p>
          <w:p>
            <w:pPr>
              <w:pStyle w:val="66"/>
              <w:jc w:val="left"/>
              <w:rPr>
                <w:rFonts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428" w:type="pct"/>
            <w:vMerge w:val="restart"/>
            <w:noWrap w:val="0"/>
            <w:vAlign w:val="center"/>
          </w:tcPr>
          <w:p>
            <w:pPr>
              <w:pStyle w:val="66"/>
              <w:rPr>
                <w:rFonts w:eastAsia="仿宋"/>
                <w:color w:val="000000"/>
                <w:sz w:val="21"/>
                <w:szCs w:val="21"/>
              </w:rPr>
            </w:pPr>
            <w:r>
              <w:rPr>
                <w:rFonts w:eastAsia="仿宋"/>
                <w:color w:val="000000"/>
                <w:sz w:val="21"/>
                <w:szCs w:val="21"/>
              </w:rPr>
              <w:t>5.数据的可靠性与相符性（10分）</w:t>
            </w:r>
          </w:p>
        </w:tc>
        <w:tc>
          <w:tcPr>
            <w:tcW w:w="413" w:type="pct"/>
            <w:noWrap w:val="0"/>
            <w:vAlign w:val="center"/>
          </w:tcPr>
          <w:p>
            <w:pPr>
              <w:pStyle w:val="66"/>
              <w:rPr>
                <w:rFonts w:eastAsia="仿宋"/>
                <w:color w:val="000000"/>
                <w:sz w:val="21"/>
                <w:szCs w:val="21"/>
              </w:rPr>
            </w:pPr>
            <w:r>
              <w:rPr>
                <w:rFonts w:eastAsia="仿宋"/>
                <w:color w:val="000000"/>
                <w:sz w:val="21"/>
                <w:szCs w:val="21"/>
              </w:rPr>
              <w:t>1）数据比对（5分）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fldChar w:fldCharType="begin"/>
            </w:r>
            <w:r>
              <w:rPr>
                <w:rFonts w:eastAsia="仿宋"/>
                <w:color w:val="000000"/>
                <w:sz w:val="21"/>
                <w:szCs w:val="21"/>
              </w:rPr>
              <w:instrText xml:space="preserve">= 1 \* GB3</w:instrText>
            </w:r>
            <w:r>
              <w:rPr>
                <w:rFonts w:eastAsia="仿宋"/>
                <w:color w:val="000000"/>
                <w:sz w:val="21"/>
                <w:szCs w:val="21"/>
              </w:rPr>
              <w:fldChar w:fldCharType="separate"/>
            </w:r>
            <w:r>
              <w:rPr>
                <w:rFonts w:eastAsia="仿宋"/>
                <w:color w:val="000000"/>
                <w:sz w:val="21"/>
                <w:szCs w:val="21"/>
              </w:rPr>
              <w:t>①</w:t>
            </w:r>
            <w:r>
              <w:rPr>
                <w:rFonts w:eastAsia="仿宋"/>
                <w:color w:val="000000"/>
                <w:sz w:val="21"/>
                <w:szCs w:val="21"/>
              </w:rPr>
              <w:fldChar w:fldCharType="end"/>
            </w:r>
            <w:r>
              <w:rPr>
                <w:rFonts w:eastAsia="仿宋"/>
                <w:color w:val="000000"/>
                <w:sz w:val="21"/>
                <w:szCs w:val="21"/>
              </w:rPr>
              <w:t>一次仪表数据、</w:t>
            </w:r>
            <w:r>
              <w:rPr>
                <w:rFonts w:eastAsia="仿宋"/>
                <w:color w:val="000000"/>
                <w:sz w:val="21"/>
                <w:szCs w:val="21"/>
              </w:rPr>
              <w:fldChar w:fldCharType="begin"/>
            </w:r>
            <w:r>
              <w:rPr>
                <w:rFonts w:eastAsia="仿宋"/>
                <w:color w:val="000000"/>
                <w:sz w:val="21"/>
                <w:szCs w:val="21"/>
              </w:rPr>
              <w:instrText xml:space="preserve">= 2 \* GB3</w:instrText>
            </w:r>
            <w:r>
              <w:rPr>
                <w:rFonts w:eastAsia="仿宋"/>
                <w:color w:val="000000"/>
                <w:sz w:val="21"/>
                <w:szCs w:val="21"/>
              </w:rPr>
              <w:fldChar w:fldCharType="separate"/>
            </w:r>
            <w:r>
              <w:rPr>
                <w:rFonts w:eastAsia="仿宋"/>
                <w:color w:val="000000"/>
                <w:sz w:val="21"/>
                <w:szCs w:val="21"/>
              </w:rPr>
              <w:t>②</w:t>
            </w:r>
            <w:r>
              <w:rPr>
                <w:rFonts w:eastAsia="仿宋"/>
                <w:color w:val="000000"/>
                <w:sz w:val="21"/>
                <w:szCs w:val="21"/>
              </w:rPr>
              <w:fldChar w:fldCharType="end"/>
            </w:r>
            <w:r>
              <w:rPr>
                <w:rFonts w:eastAsia="仿宋"/>
                <w:color w:val="000000"/>
                <w:sz w:val="21"/>
                <w:szCs w:val="21"/>
              </w:rPr>
              <w:t>数采仪采集数据、</w:t>
            </w:r>
            <w:r>
              <w:rPr>
                <w:rFonts w:eastAsia="仿宋"/>
                <w:color w:val="000000"/>
                <w:sz w:val="21"/>
                <w:szCs w:val="21"/>
              </w:rPr>
              <w:fldChar w:fldCharType="begin"/>
            </w:r>
            <w:r>
              <w:rPr>
                <w:rFonts w:eastAsia="仿宋"/>
                <w:color w:val="000000"/>
                <w:sz w:val="21"/>
                <w:szCs w:val="21"/>
              </w:rPr>
              <w:instrText xml:space="preserve">= 3 \* GB3</w:instrText>
            </w:r>
            <w:r>
              <w:rPr>
                <w:rFonts w:eastAsia="仿宋"/>
                <w:color w:val="000000"/>
                <w:sz w:val="21"/>
                <w:szCs w:val="21"/>
              </w:rPr>
              <w:fldChar w:fldCharType="separate"/>
            </w:r>
            <w:r>
              <w:rPr>
                <w:rFonts w:eastAsia="仿宋"/>
                <w:color w:val="000000"/>
                <w:sz w:val="21"/>
                <w:szCs w:val="21"/>
              </w:rPr>
              <w:t>③</w:t>
            </w:r>
            <w:r>
              <w:rPr>
                <w:rFonts w:eastAsia="仿宋"/>
                <w:color w:val="000000"/>
                <w:sz w:val="21"/>
                <w:szCs w:val="21"/>
              </w:rPr>
              <w:fldChar w:fldCharType="end"/>
            </w:r>
            <w:r>
              <w:rPr>
                <w:rFonts w:eastAsia="仿宋"/>
                <w:color w:val="000000"/>
                <w:sz w:val="21"/>
                <w:szCs w:val="21"/>
              </w:rPr>
              <w:t>中心站原始数据库数据、</w:t>
            </w:r>
            <w:r>
              <w:rPr>
                <w:rFonts w:eastAsia="仿宋"/>
                <w:color w:val="000000"/>
                <w:sz w:val="21"/>
                <w:szCs w:val="21"/>
              </w:rPr>
              <w:fldChar w:fldCharType="begin"/>
            </w:r>
            <w:r>
              <w:rPr>
                <w:rFonts w:eastAsia="仿宋"/>
                <w:color w:val="000000"/>
                <w:sz w:val="21"/>
                <w:szCs w:val="21"/>
              </w:rPr>
              <w:instrText xml:space="preserve">= 4 \* GB3</w:instrText>
            </w:r>
            <w:r>
              <w:rPr>
                <w:rFonts w:eastAsia="仿宋"/>
                <w:color w:val="000000"/>
                <w:sz w:val="21"/>
                <w:szCs w:val="21"/>
              </w:rPr>
              <w:fldChar w:fldCharType="separate"/>
            </w:r>
            <w:r>
              <w:rPr>
                <w:rFonts w:eastAsia="仿宋"/>
                <w:color w:val="000000"/>
                <w:sz w:val="21"/>
                <w:szCs w:val="21"/>
              </w:rPr>
              <w:t>④</w:t>
            </w:r>
            <w:r>
              <w:rPr>
                <w:rFonts w:eastAsia="仿宋"/>
                <w:color w:val="000000"/>
                <w:sz w:val="21"/>
                <w:szCs w:val="21"/>
              </w:rPr>
              <w:fldChar w:fldCharType="end"/>
            </w:r>
            <w:r>
              <w:rPr>
                <w:rFonts w:eastAsia="仿宋"/>
                <w:color w:val="000000"/>
                <w:sz w:val="21"/>
                <w:szCs w:val="21"/>
              </w:rPr>
              <w:t>上报国家数据是否一致</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fldChar w:fldCharType="begin"/>
            </w:r>
            <w:r>
              <w:rPr>
                <w:rFonts w:eastAsia="仿宋"/>
                <w:color w:val="000000"/>
                <w:sz w:val="21"/>
                <w:szCs w:val="21"/>
              </w:rPr>
              <w:instrText xml:space="preserve">= 1 \* GB3</w:instrText>
            </w:r>
            <w:r>
              <w:rPr>
                <w:rFonts w:eastAsia="仿宋"/>
                <w:color w:val="000000"/>
                <w:sz w:val="21"/>
                <w:szCs w:val="21"/>
              </w:rPr>
              <w:fldChar w:fldCharType="separate"/>
            </w:r>
            <w:r>
              <w:rPr>
                <w:rFonts w:eastAsia="仿宋"/>
                <w:color w:val="000000"/>
                <w:sz w:val="21"/>
                <w:szCs w:val="21"/>
              </w:rPr>
              <w:t>①</w:t>
            </w:r>
            <w:r>
              <w:rPr>
                <w:rFonts w:eastAsia="仿宋"/>
                <w:color w:val="000000"/>
                <w:sz w:val="21"/>
                <w:szCs w:val="21"/>
              </w:rPr>
              <w:fldChar w:fldCharType="end"/>
            </w:r>
            <w:r>
              <w:rPr>
                <w:rFonts w:eastAsia="仿宋"/>
                <w:color w:val="000000"/>
                <w:sz w:val="21"/>
                <w:szCs w:val="21"/>
              </w:rPr>
              <w:t>、</w:t>
            </w:r>
            <w:r>
              <w:rPr>
                <w:rFonts w:eastAsia="仿宋"/>
                <w:color w:val="000000"/>
                <w:sz w:val="21"/>
                <w:szCs w:val="21"/>
              </w:rPr>
              <w:fldChar w:fldCharType="begin"/>
            </w:r>
            <w:r>
              <w:rPr>
                <w:rFonts w:eastAsia="仿宋"/>
                <w:color w:val="000000"/>
                <w:sz w:val="21"/>
                <w:szCs w:val="21"/>
              </w:rPr>
              <w:instrText xml:space="preserve">= 2 \* GB3</w:instrText>
            </w:r>
            <w:r>
              <w:rPr>
                <w:rFonts w:eastAsia="仿宋"/>
                <w:color w:val="000000"/>
                <w:sz w:val="21"/>
                <w:szCs w:val="21"/>
              </w:rPr>
              <w:fldChar w:fldCharType="separate"/>
            </w:r>
            <w:r>
              <w:rPr>
                <w:rFonts w:eastAsia="仿宋"/>
                <w:color w:val="000000"/>
                <w:sz w:val="21"/>
                <w:szCs w:val="21"/>
              </w:rPr>
              <w:t>②</w:t>
            </w:r>
            <w:r>
              <w:rPr>
                <w:rFonts w:eastAsia="仿宋"/>
                <w:color w:val="000000"/>
                <w:sz w:val="21"/>
                <w:szCs w:val="21"/>
              </w:rPr>
              <w:fldChar w:fldCharType="end"/>
            </w:r>
            <w:r>
              <w:rPr>
                <w:rFonts w:eastAsia="仿宋"/>
                <w:color w:val="000000"/>
                <w:sz w:val="21"/>
                <w:szCs w:val="21"/>
              </w:rPr>
              <w:t>、</w:t>
            </w:r>
            <w:r>
              <w:rPr>
                <w:rFonts w:eastAsia="仿宋"/>
                <w:color w:val="000000"/>
                <w:sz w:val="21"/>
                <w:szCs w:val="21"/>
              </w:rPr>
              <w:fldChar w:fldCharType="begin"/>
            </w:r>
            <w:r>
              <w:rPr>
                <w:rFonts w:eastAsia="仿宋"/>
                <w:color w:val="000000"/>
                <w:sz w:val="21"/>
                <w:szCs w:val="21"/>
              </w:rPr>
              <w:instrText xml:space="preserve">= 3 \* GB3</w:instrText>
            </w:r>
            <w:r>
              <w:rPr>
                <w:rFonts w:eastAsia="仿宋"/>
                <w:color w:val="000000"/>
                <w:sz w:val="21"/>
                <w:szCs w:val="21"/>
              </w:rPr>
              <w:fldChar w:fldCharType="separate"/>
            </w:r>
            <w:r>
              <w:rPr>
                <w:rFonts w:eastAsia="仿宋"/>
                <w:color w:val="000000"/>
                <w:sz w:val="21"/>
                <w:szCs w:val="21"/>
              </w:rPr>
              <w:t>③</w:t>
            </w:r>
            <w:r>
              <w:rPr>
                <w:rFonts w:eastAsia="仿宋"/>
                <w:color w:val="000000"/>
                <w:sz w:val="21"/>
                <w:szCs w:val="21"/>
              </w:rPr>
              <w:fldChar w:fldCharType="end"/>
            </w:r>
            <w:r>
              <w:rPr>
                <w:rFonts w:eastAsia="仿宋"/>
                <w:color w:val="000000"/>
                <w:sz w:val="21"/>
                <w:szCs w:val="21"/>
              </w:rPr>
              <w:t>须一致，否则扣4分</w:t>
            </w:r>
          </w:p>
          <w:p>
            <w:pPr>
              <w:pStyle w:val="66"/>
              <w:jc w:val="left"/>
              <w:rPr>
                <w:rFonts w:eastAsia="仿宋"/>
                <w:color w:val="000000"/>
                <w:sz w:val="21"/>
                <w:szCs w:val="21"/>
              </w:rPr>
            </w:pPr>
            <w:r>
              <w:rPr>
                <w:rFonts w:eastAsia="仿宋"/>
                <w:color w:val="000000"/>
                <w:sz w:val="21"/>
                <w:szCs w:val="21"/>
              </w:rPr>
              <w:fldChar w:fldCharType="begin"/>
            </w:r>
            <w:r>
              <w:rPr>
                <w:rFonts w:eastAsia="仿宋"/>
                <w:color w:val="000000"/>
                <w:sz w:val="21"/>
                <w:szCs w:val="21"/>
              </w:rPr>
              <w:instrText xml:space="preserve">= 4 \* GB3</w:instrText>
            </w:r>
            <w:r>
              <w:rPr>
                <w:rFonts w:eastAsia="仿宋"/>
                <w:color w:val="000000"/>
                <w:sz w:val="21"/>
                <w:szCs w:val="21"/>
              </w:rPr>
              <w:fldChar w:fldCharType="separate"/>
            </w:r>
            <w:r>
              <w:rPr>
                <w:rFonts w:eastAsia="仿宋"/>
                <w:color w:val="000000"/>
                <w:sz w:val="21"/>
                <w:szCs w:val="21"/>
              </w:rPr>
              <w:t>④</w:t>
            </w:r>
            <w:r>
              <w:rPr>
                <w:rFonts w:eastAsia="仿宋"/>
                <w:color w:val="000000"/>
                <w:sz w:val="21"/>
                <w:szCs w:val="21"/>
              </w:rPr>
              <w:fldChar w:fldCharType="end"/>
            </w:r>
            <w:r>
              <w:rPr>
                <w:rFonts w:eastAsia="仿宋"/>
                <w:color w:val="000000"/>
                <w:sz w:val="21"/>
                <w:szCs w:val="21"/>
              </w:rPr>
              <w:t>与</w:t>
            </w:r>
            <w:r>
              <w:rPr>
                <w:rFonts w:eastAsia="仿宋"/>
                <w:color w:val="000000"/>
                <w:sz w:val="21"/>
                <w:szCs w:val="21"/>
              </w:rPr>
              <w:fldChar w:fldCharType="begin"/>
            </w:r>
            <w:r>
              <w:rPr>
                <w:rFonts w:eastAsia="仿宋"/>
                <w:color w:val="000000"/>
                <w:sz w:val="21"/>
                <w:szCs w:val="21"/>
              </w:rPr>
              <w:instrText xml:space="preserve">= 1 \* GB3</w:instrText>
            </w:r>
            <w:r>
              <w:rPr>
                <w:rFonts w:eastAsia="仿宋"/>
                <w:color w:val="000000"/>
                <w:sz w:val="21"/>
                <w:szCs w:val="21"/>
              </w:rPr>
              <w:fldChar w:fldCharType="separate"/>
            </w:r>
            <w:r>
              <w:rPr>
                <w:rFonts w:eastAsia="仿宋"/>
                <w:color w:val="000000"/>
                <w:sz w:val="21"/>
                <w:szCs w:val="21"/>
              </w:rPr>
              <w:t>①</w:t>
            </w:r>
            <w:r>
              <w:rPr>
                <w:rFonts w:eastAsia="仿宋"/>
                <w:color w:val="000000"/>
                <w:sz w:val="21"/>
                <w:szCs w:val="21"/>
              </w:rPr>
              <w:fldChar w:fldCharType="end"/>
            </w:r>
            <w:r>
              <w:rPr>
                <w:rFonts w:eastAsia="仿宋"/>
                <w:color w:val="000000"/>
                <w:sz w:val="21"/>
                <w:szCs w:val="21"/>
              </w:rPr>
              <w:t>、</w:t>
            </w:r>
            <w:r>
              <w:rPr>
                <w:rFonts w:eastAsia="仿宋"/>
                <w:color w:val="000000"/>
                <w:sz w:val="21"/>
                <w:szCs w:val="21"/>
              </w:rPr>
              <w:fldChar w:fldCharType="begin"/>
            </w:r>
            <w:r>
              <w:rPr>
                <w:rFonts w:eastAsia="仿宋"/>
                <w:color w:val="000000"/>
                <w:sz w:val="21"/>
                <w:szCs w:val="21"/>
              </w:rPr>
              <w:instrText xml:space="preserve">= 2 \* GB3</w:instrText>
            </w:r>
            <w:r>
              <w:rPr>
                <w:rFonts w:eastAsia="仿宋"/>
                <w:color w:val="000000"/>
                <w:sz w:val="21"/>
                <w:szCs w:val="21"/>
              </w:rPr>
              <w:fldChar w:fldCharType="separate"/>
            </w:r>
            <w:r>
              <w:rPr>
                <w:rFonts w:eastAsia="仿宋"/>
                <w:color w:val="000000"/>
                <w:sz w:val="21"/>
                <w:szCs w:val="21"/>
              </w:rPr>
              <w:t>②</w:t>
            </w:r>
            <w:r>
              <w:rPr>
                <w:rFonts w:eastAsia="仿宋"/>
                <w:color w:val="000000"/>
                <w:sz w:val="21"/>
                <w:szCs w:val="21"/>
              </w:rPr>
              <w:fldChar w:fldCharType="end"/>
            </w:r>
            <w:r>
              <w:rPr>
                <w:rFonts w:eastAsia="仿宋"/>
                <w:color w:val="000000"/>
                <w:sz w:val="21"/>
                <w:szCs w:val="21"/>
              </w:rPr>
              <w:t>、</w:t>
            </w:r>
            <w:r>
              <w:rPr>
                <w:rFonts w:eastAsia="仿宋"/>
                <w:color w:val="000000"/>
                <w:sz w:val="21"/>
                <w:szCs w:val="21"/>
              </w:rPr>
              <w:fldChar w:fldCharType="begin"/>
            </w:r>
            <w:r>
              <w:rPr>
                <w:rFonts w:eastAsia="仿宋"/>
                <w:color w:val="000000"/>
                <w:sz w:val="21"/>
                <w:szCs w:val="21"/>
              </w:rPr>
              <w:instrText xml:space="preserve">= 3 \* GB3</w:instrText>
            </w:r>
            <w:r>
              <w:rPr>
                <w:rFonts w:eastAsia="仿宋"/>
                <w:color w:val="000000"/>
                <w:sz w:val="21"/>
                <w:szCs w:val="21"/>
              </w:rPr>
              <w:fldChar w:fldCharType="separate"/>
            </w:r>
            <w:r>
              <w:rPr>
                <w:rFonts w:eastAsia="仿宋"/>
                <w:color w:val="000000"/>
                <w:sz w:val="21"/>
                <w:szCs w:val="21"/>
              </w:rPr>
              <w:t>③</w:t>
            </w:r>
            <w:r>
              <w:rPr>
                <w:rFonts w:eastAsia="仿宋"/>
                <w:color w:val="000000"/>
                <w:sz w:val="21"/>
                <w:szCs w:val="21"/>
              </w:rPr>
              <w:fldChar w:fldCharType="end"/>
            </w:r>
            <w:r>
              <w:rPr>
                <w:rFonts w:eastAsia="仿宋"/>
                <w:color w:val="000000"/>
                <w:sz w:val="21"/>
                <w:szCs w:val="21"/>
              </w:rPr>
              <w:t>不一致，且无依据随意删改数据的，扣5分；</w:t>
            </w:r>
          </w:p>
          <w:p>
            <w:pPr>
              <w:pStyle w:val="66"/>
              <w:jc w:val="left"/>
              <w:rPr>
                <w:rFonts w:eastAsia="仿宋"/>
                <w:color w:val="000000"/>
                <w:sz w:val="21"/>
                <w:szCs w:val="21"/>
              </w:rPr>
            </w:pPr>
            <w:r>
              <w:rPr>
                <w:rFonts w:eastAsia="仿宋"/>
                <w:color w:val="000000"/>
                <w:sz w:val="21"/>
                <w:szCs w:val="21"/>
              </w:rPr>
              <w:t>若被检查单位不能提供原始数据库数据文件的，直接扣5分；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28" w:type="pct"/>
            <w:vMerge w:val="continue"/>
            <w:noWrap w:val="0"/>
            <w:vAlign w:val="center"/>
          </w:tcPr>
          <w:p>
            <w:pPr>
              <w:pStyle w:val="66"/>
              <w:rPr>
                <w:rFonts w:eastAsia="仿宋"/>
                <w:color w:val="000000"/>
                <w:sz w:val="21"/>
                <w:szCs w:val="21"/>
              </w:rPr>
            </w:pPr>
          </w:p>
        </w:tc>
        <w:tc>
          <w:tcPr>
            <w:tcW w:w="413" w:type="pct"/>
            <w:noWrap w:val="0"/>
            <w:vAlign w:val="center"/>
          </w:tcPr>
          <w:p>
            <w:pPr>
              <w:pStyle w:val="66"/>
              <w:rPr>
                <w:rFonts w:eastAsia="仿宋"/>
                <w:color w:val="000000"/>
                <w:sz w:val="21"/>
                <w:szCs w:val="21"/>
              </w:rPr>
            </w:pPr>
            <w:r>
              <w:rPr>
                <w:rFonts w:eastAsia="仿宋"/>
                <w:color w:val="000000"/>
                <w:sz w:val="21"/>
                <w:szCs w:val="21"/>
              </w:rPr>
              <w:t>2）数据采集与传输（2分）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子站是否采集、处理及存储监测数据，向中心计算机定时或实时传输数据</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任一功能不满足，扣2分；扣完为止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noWrap w:val="0"/>
            <w:vAlign w:val="center"/>
          </w:tcPr>
          <w:p>
            <w:pPr>
              <w:pStyle w:val="66"/>
              <w:rPr>
                <w:rFonts w:eastAsia="仿宋"/>
                <w:color w:val="000000"/>
                <w:sz w:val="21"/>
                <w:szCs w:val="21"/>
              </w:rPr>
            </w:pPr>
            <w:r>
              <w:rPr>
                <w:rFonts w:eastAsia="仿宋"/>
                <w:color w:val="000000"/>
                <w:sz w:val="21"/>
                <w:szCs w:val="21"/>
              </w:rPr>
              <w:t>3）数据异常值处理（2分）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监测数据异常值的取舍、仪器漂移时数据无效判定是否符合《规范》（注1）要求</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数据作了修改的，需提供数据取舍依据，随意删改数据的，扣2分；</w:t>
            </w:r>
          </w:p>
          <w:p>
            <w:pPr>
              <w:pStyle w:val="66"/>
              <w:jc w:val="left"/>
              <w:rPr>
                <w:rFonts w:eastAsia="仿宋"/>
                <w:color w:val="000000"/>
                <w:sz w:val="21"/>
                <w:szCs w:val="21"/>
              </w:rPr>
            </w:pPr>
            <w:r>
              <w:rPr>
                <w:rFonts w:eastAsia="仿宋"/>
                <w:color w:val="000000"/>
                <w:sz w:val="21"/>
                <w:szCs w:val="21"/>
              </w:rPr>
              <w:t>若4.1）已经扣分的，此处不重复扣分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noWrap w:val="0"/>
            <w:vAlign w:val="center"/>
          </w:tcPr>
          <w:p>
            <w:pPr>
              <w:pStyle w:val="66"/>
              <w:rPr>
                <w:rFonts w:eastAsia="仿宋"/>
                <w:color w:val="000000"/>
                <w:sz w:val="21"/>
                <w:szCs w:val="21"/>
              </w:rPr>
            </w:pPr>
            <w:r>
              <w:rPr>
                <w:rFonts w:eastAsia="仿宋"/>
                <w:color w:val="000000"/>
                <w:sz w:val="21"/>
                <w:szCs w:val="21"/>
              </w:rPr>
              <w:t>4）数据审核（1分）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空气自动站监测数据报出是否按报表要求进行统计、填写、报送，并有记录</w:t>
            </w:r>
          </w:p>
        </w:tc>
        <w:tc>
          <w:tcPr>
            <w:tcW w:w="230" w:type="pct"/>
            <w:noWrap w:val="0"/>
            <w:vAlign w:val="center"/>
          </w:tcPr>
          <w:p>
            <w:pPr>
              <w:pStyle w:val="66"/>
              <w:rPr>
                <w:rFonts w:eastAsia="仿宋"/>
                <w:color w:val="000000"/>
                <w:sz w:val="21"/>
                <w:szCs w:val="21"/>
              </w:rPr>
            </w:pPr>
            <w:r>
              <w:rPr>
                <w:rFonts w:eastAsia="仿宋"/>
                <w:color w:val="000000"/>
                <w:sz w:val="21"/>
                <w:szCs w:val="21"/>
              </w:rPr>
              <w:t>1</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无数据报表记录的，扣1分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restart"/>
            <w:noWrap w:val="0"/>
            <w:vAlign w:val="center"/>
          </w:tcPr>
          <w:p>
            <w:pPr>
              <w:pStyle w:val="66"/>
              <w:rPr>
                <w:rFonts w:eastAsia="仿宋"/>
                <w:color w:val="000000"/>
                <w:sz w:val="21"/>
                <w:szCs w:val="21"/>
              </w:rPr>
            </w:pPr>
            <w:r>
              <w:rPr>
                <w:rFonts w:eastAsia="仿宋"/>
                <w:color w:val="000000"/>
                <w:sz w:val="21"/>
                <w:szCs w:val="21"/>
              </w:rPr>
              <w:t>6.监测档案的完整性（24分）</w:t>
            </w:r>
          </w:p>
        </w:tc>
        <w:tc>
          <w:tcPr>
            <w:tcW w:w="413" w:type="pct"/>
            <w:vMerge w:val="restart"/>
            <w:noWrap w:val="0"/>
            <w:vAlign w:val="center"/>
          </w:tcPr>
          <w:p>
            <w:pPr>
              <w:pStyle w:val="66"/>
              <w:rPr>
                <w:rFonts w:eastAsia="仿宋"/>
                <w:color w:val="000000"/>
                <w:sz w:val="21"/>
                <w:szCs w:val="21"/>
              </w:rPr>
            </w:pPr>
            <w:r>
              <w:rPr>
                <w:rFonts w:eastAsia="仿宋"/>
                <w:color w:val="000000"/>
                <w:sz w:val="21"/>
                <w:szCs w:val="21"/>
              </w:rPr>
              <w:t>监测档案检查（24分）</w:t>
            </w:r>
          </w:p>
        </w:tc>
        <w:tc>
          <w:tcPr>
            <w:tcW w:w="1709" w:type="pct"/>
            <w:noWrap w:val="0"/>
            <w:vAlign w:val="center"/>
          </w:tcPr>
          <w:p>
            <w:pPr>
              <w:pStyle w:val="66"/>
              <w:jc w:val="left"/>
              <w:rPr>
                <w:rFonts w:eastAsia="仿宋"/>
                <w:color w:val="000000"/>
                <w:sz w:val="21"/>
                <w:szCs w:val="21"/>
              </w:rPr>
            </w:pPr>
            <w:r>
              <w:rPr>
                <w:rFonts w:eastAsia="仿宋"/>
                <w:color w:val="000000"/>
                <w:sz w:val="21"/>
                <w:szCs w:val="21"/>
              </w:rPr>
              <w:t>a）按规定对设备巡检维护，填写巡检记录</w:t>
            </w:r>
          </w:p>
        </w:tc>
        <w:tc>
          <w:tcPr>
            <w:tcW w:w="230" w:type="pct"/>
            <w:noWrap w:val="0"/>
            <w:vAlign w:val="center"/>
          </w:tcPr>
          <w:p>
            <w:pPr>
              <w:pStyle w:val="66"/>
              <w:rPr>
                <w:rFonts w:eastAsia="仿宋"/>
                <w:color w:val="000000"/>
                <w:sz w:val="21"/>
                <w:szCs w:val="21"/>
              </w:rPr>
            </w:pPr>
            <w:r>
              <w:rPr>
                <w:rFonts w:eastAsia="仿宋"/>
                <w:color w:val="000000"/>
                <w:sz w:val="21"/>
                <w:szCs w:val="21"/>
              </w:rPr>
              <w:t>3</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无巡检记录的，扣3分，如缺巡检记录的，按比例扣分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b）用于校准的设备（流量计、温度计、大气压计）是否每年通过国家计量检定，标准气体是否在有效期内使用</w:t>
            </w:r>
          </w:p>
        </w:tc>
        <w:tc>
          <w:tcPr>
            <w:tcW w:w="230" w:type="pct"/>
            <w:noWrap w:val="0"/>
            <w:vAlign w:val="center"/>
          </w:tcPr>
          <w:p>
            <w:pPr>
              <w:pStyle w:val="66"/>
              <w:rPr>
                <w:rFonts w:eastAsia="仿宋"/>
                <w:color w:val="000000"/>
                <w:sz w:val="21"/>
                <w:szCs w:val="21"/>
              </w:rPr>
            </w:pPr>
            <w:r>
              <w:rPr>
                <w:rFonts w:eastAsia="仿宋"/>
                <w:color w:val="000000"/>
                <w:sz w:val="21"/>
                <w:szCs w:val="21"/>
              </w:rPr>
              <w:t>4</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未按要求送检流量计、湿度计和大气压计、无检定报告的，每项扣1分；</w:t>
            </w:r>
          </w:p>
          <w:p>
            <w:pPr>
              <w:pStyle w:val="66"/>
              <w:jc w:val="left"/>
              <w:rPr>
                <w:rFonts w:eastAsia="仿宋"/>
                <w:color w:val="000000"/>
                <w:sz w:val="21"/>
                <w:szCs w:val="21"/>
              </w:rPr>
            </w:pPr>
            <w:r>
              <w:rPr>
                <w:rFonts w:eastAsia="仿宋"/>
                <w:color w:val="000000"/>
                <w:sz w:val="21"/>
                <w:szCs w:val="21"/>
              </w:rPr>
              <w:t>钢瓶气无标签或过期使用的，扣1分；</w:t>
            </w:r>
          </w:p>
          <w:p>
            <w:pPr>
              <w:pStyle w:val="66"/>
              <w:jc w:val="left"/>
              <w:rPr>
                <w:rFonts w:eastAsia="仿宋"/>
                <w:color w:val="000000"/>
                <w:sz w:val="21"/>
                <w:szCs w:val="21"/>
              </w:rPr>
            </w:pPr>
            <w:r>
              <w:rPr>
                <w:rFonts w:eastAsia="仿宋"/>
                <w:color w:val="000000"/>
                <w:sz w:val="21"/>
                <w:szCs w:val="21"/>
              </w:rPr>
              <w:t>未配置校准设备的，直接扣3分；</w:t>
            </w:r>
          </w:p>
          <w:p>
            <w:pPr>
              <w:pStyle w:val="66"/>
              <w:jc w:val="left"/>
              <w:rPr>
                <w:rFonts w:eastAsia="仿宋"/>
                <w:color w:val="000000"/>
                <w:sz w:val="21"/>
                <w:szCs w:val="21"/>
              </w:rPr>
            </w:pPr>
            <w:r>
              <w:rPr>
                <w:rFonts w:eastAsia="仿宋"/>
                <w:color w:val="00000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c）气态监测项目质控校准记录（包括零跨、精度、多点校准）</w:t>
            </w:r>
          </w:p>
        </w:tc>
        <w:tc>
          <w:tcPr>
            <w:tcW w:w="230" w:type="pct"/>
            <w:noWrap w:val="0"/>
            <w:vAlign w:val="center"/>
          </w:tcPr>
          <w:p>
            <w:pPr>
              <w:pStyle w:val="66"/>
              <w:rPr>
                <w:rFonts w:eastAsia="仿宋"/>
                <w:color w:val="000000"/>
                <w:sz w:val="21"/>
                <w:szCs w:val="21"/>
              </w:rPr>
            </w:pPr>
            <w:r>
              <w:rPr>
                <w:rFonts w:eastAsia="仿宋"/>
                <w:color w:val="000000"/>
                <w:sz w:val="21"/>
                <w:szCs w:val="21"/>
              </w:rPr>
              <w:t>5</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1）校准基本要求：零跨1次/5-7天，精度1次/季度，多点1次/半年，长光程设备光波长校准1次/季度，多点1次/半年度；</w:t>
            </w:r>
          </w:p>
          <w:p>
            <w:pPr>
              <w:pStyle w:val="66"/>
              <w:jc w:val="left"/>
              <w:rPr>
                <w:rFonts w:eastAsia="仿宋"/>
                <w:color w:val="000000"/>
                <w:sz w:val="21"/>
                <w:szCs w:val="21"/>
              </w:rPr>
            </w:pPr>
            <w:r>
              <w:rPr>
                <w:rFonts w:eastAsia="仿宋"/>
                <w:color w:val="000000"/>
                <w:sz w:val="21"/>
                <w:szCs w:val="21"/>
              </w:rPr>
              <w:t>2）缺1项记录扣0.5分，扣</w:t>
            </w:r>
            <w:r>
              <w:rPr>
                <w:rFonts w:hint="eastAsia" w:eastAsia="仿宋"/>
                <w:color w:val="000000"/>
                <w:sz w:val="21"/>
                <w:szCs w:val="21"/>
              </w:rPr>
              <w:t xml:space="preserve"> </w:t>
            </w:r>
            <w:r>
              <w:rPr>
                <w:rFonts w:eastAsia="仿宋"/>
                <w:color w:val="000000"/>
                <w:sz w:val="21"/>
                <w:szCs w:val="21"/>
              </w:rPr>
              <w:t>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d）颗粒物质控校准记录（包括流量、质量传感器/标准膜、温度和压力校准）</w:t>
            </w:r>
          </w:p>
        </w:tc>
        <w:tc>
          <w:tcPr>
            <w:tcW w:w="230" w:type="pct"/>
            <w:noWrap w:val="0"/>
            <w:vAlign w:val="center"/>
          </w:tcPr>
          <w:p>
            <w:pPr>
              <w:pStyle w:val="66"/>
              <w:rPr>
                <w:rFonts w:eastAsia="仿宋"/>
                <w:color w:val="000000"/>
                <w:sz w:val="21"/>
                <w:szCs w:val="21"/>
              </w:rPr>
            </w:pPr>
            <w:r>
              <w:rPr>
                <w:rFonts w:eastAsia="仿宋"/>
                <w:color w:val="000000"/>
                <w:sz w:val="21"/>
                <w:szCs w:val="21"/>
              </w:rPr>
              <w:t>4</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校准基本要求：1次/半年，其他1次/年；</w:t>
            </w:r>
          </w:p>
          <w:p>
            <w:pPr>
              <w:pStyle w:val="66"/>
              <w:jc w:val="left"/>
              <w:rPr>
                <w:rFonts w:eastAsia="仿宋"/>
                <w:color w:val="000000"/>
                <w:sz w:val="21"/>
                <w:szCs w:val="21"/>
              </w:rPr>
            </w:pPr>
            <w:r>
              <w:rPr>
                <w:rFonts w:eastAsia="仿宋"/>
                <w:color w:val="000000"/>
                <w:sz w:val="21"/>
                <w:szCs w:val="21"/>
              </w:rPr>
              <w:t>PM10和PM2.5缺1项记录扣0.5分，扣完为止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e）动态校准仪质量流量控制器多点校准记录</w:t>
            </w:r>
          </w:p>
        </w:tc>
        <w:tc>
          <w:tcPr>
            <w:tcW w:w="230" w:type="pct"/>
            <w:noWrap w:val="0"/>
            <w:vAlign w:val="center"/>
          </w:tcPr>
          <w:p>
            <w:pPr>
              <w:pStyle w:val="66"/>
              <w:rPr>
                <w:rFonts w:eastAsia="仿宋"/>
                <w:color w:val="000000"/>
                <w:sz w:val="21"/>
                <w:szCs w:val="21"/>
              </w:rPr>
            </w:pPr>
            <w:r>
              <w:rPr>
                <w:rFonts w:eastAsia="仿宋"/>
                <w:color w:val="000000"/>
                <w:sz w:val="21"/>
                <w:szCs w:val="21"/>
              </w:rPr>
              <w:t>3</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至少1次/半年，否则扣2分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f）标气使用记录</w:t>
            </w:r>
          </w:p>
        </w:tc>
        <w:tc>
          <w:tcPr>
            <w:tcW w:w="230" w:type="pct"/>
            <w:noWrap w:val="0"/>
            <w:vAlign w:val="center"/>
          </w:tcPr>
          <w:p>
            <w:pPr>
              <w:pStyle w:val="66"/>
              <w:rPr>
                <w:rFonts w:eastAsia="仿宋"/>
                <w:color w:val="000000"/>
                <w:sz w:val="21"/>
                <w:szCs w:val="21"/>
              </w:rPr>
            </w:pPr>
            <w:r>
              <w:rPr>
                <w:rFonts w:eastAsia="仿宋"/>
                <w:color w:val="000000"/>
                <w:sz w:val="21"/>
                <w:szCs w:val="21"/>
              </w:rPr>
              <w:t>2</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巡检时需检查和记录标准气的消耗情况，若无记录，扣1分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vMerge w:val="continue"/>
            <w:noWrap w:val="0"/>
            <w:vAlign w:val="center"/>
          </w:tcPr>
          <w:p>
            <w:pPr>
              <w:pStyle w:val="66"/>
              <w:rPr>
                <w:rFonts w:eastAsia="仿宋"/>
                <w:color w:val="000000"/>
                <w:sz w:val="21"/>
                <w:szCs w:val="21"/>
              </w:rPr>
            </w:pPr>
          </w:p>
        </w:tc>
        <w:tc>
          <w:tcPr>
            <w:tcW w:w="413" w:type="pct"/>
            <w:vMerge w:val="continue"/>
            <w:noWrap w:val="0"/>
            <w:vAlign w:val="center"/>
          </w:tcPr>
          <w:p>
            <w:pPr>
              <w:pStyle w:val="66"/>
              <w:rPr>
                <w:rFonts w:eastAsia="仿宋"/>
                <w:color w:val="000000"/>
                <w:sz w:val="21"/>
                <w:szCs w:val="21"/>
              </w:rPr>
            </w:pPr>
          </w:p>
        </w:tc>
        <w:tc>
          <w:tcPr>
            <w:tcW w:w="1709" w:type="pct"/>
            <w:noWrap w:val="0"/>
            <w:vAlign w:val="center"/>
          </w:tcPr>
          <w:p>
            <w:pPr>
              <w:pStyle w:val="66"/>
              <w:jc w:val="left"/>
              <w:rPr>
                <w:rFonts w:eastAsia="仿宋"/>
                <w:color w:val="000000"/>
                <w:sz w:val="21"/>
                <w:szCs w:val="21"/>
              </w:rPr>
            </w:pPr>
            <w:r>
              <w:rPr>
                <w:rFonts w:eastAsia="仿宋"/>
                <w:color w:val="000000"/>
                <w:sz w:val="21"/>
                <w:szCs w:val="21"/>
              </w:rPr>
              <w:t>g）气态项目采样总管清洁记录、颗粒物切割头清洁、采样管清洁记录、设备维修记录、耗品耗材更换记录</w:t>
            </w:r>
          </w:p>
        </w:tc>
        <w:tc>
          <w:tcPr>
            <w:tcW w:w="230" w:type="pct"/>
            <w:noWrap w:val="0"/>
            <w:vAlign w:val="center"/>
          </w:tcPr>
          <w:p>
            <w:pPr>
              <w:pStyle w:val="66"/>
              <w:rPr>
                <w:rFonts w:eastAsia="仿宋"/>
                <w:color w:val="000000"/>
                <w:sz w:val="21"/>
                <w:szCs w:val="21"/>
              </w:rPr>
            </w:pPr>
            <w:r>
              <w:rPr>
                <w:rFonts w:eastAsia="仿宋"/>
                <w:color w:val="000000"/>
                <w:sz w:val="21"/>
                <w:szCs w:val="21"/>
              </w:rPr>
              <w:t>3</w:t>
            </w:r>
          </w:p>
        </w:tc>
        <w:tc>
          <w:tcPr>
            <w:tcW w:w="230" w:type="pct"/>
            <w:noWrap w:val="0"/>
            <w:vAlign w:val="center"/>
          </w:tcPr>
          <w:p>
            <w:pPr>
              <w:pStyle w:val="66"/>
              <w:rPr>
                <w:rFonts w:eastAsia="仿宋"/>
                <w:color w:val="000000"/>
                <w:sz w:val="21"/>
                <w:szCs w:val="21"/>
              </w:rPr>
            </w:pPr>
          </w:p>
        </w:tc>
        <w:tc>
          <w:tcPr>
            <w:tcW w:w="1987" w:type="pct"/>
            <w:noWrap w:val="0"/>
            <w:vAlign w:val="center"/>
          </w:tcPr>
          <w:p>
            <w:pPr>
              <w:pStyle w:val="66"/>
              <w:jc w:val="left"/>
              <w:rPr>
                <w:rFonts w:eastAsia="仿宋"/>
                <w:color w:val="000000"/>
                <w:sz w:val="21"/>
                <w:szCs w:val="21"/>
              </w:rPr>
            </w:pPr>
            <w:r>
              <w:rPr>
                <w:rFonts w:eastAsia="仿宋"/>
                <w:color w:val="000000"/>
                <w:sz w:val="21"/>
                <w:szCs w:val="21"/>
              </w:rPr>
              <w:t>检查记录，缺1项扣0.5分，扣完为止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8" w:type="pct"/>
            <w:noWrap w:val="0"/>
            <w:vAlign w:val="center"/>
          </w:tcPr>
          <w:p>
            <w:pPr>
              <w:pStyle w:val="66"/>
              <w:rPr>
                <w:rFonts w:hint="default" w:ascii="Times New Roman" w:hAnsi="Times New Roman" w:eastAsia="仿宋" w:cs="Times New Roman"/>
                <w:color w:val="auto"/>
                <w:kern w:val="2"/>
                <w:sz w:val="21"/>
                <w:szCs w:val="21"/>
                <w:lang w:val="en-US" w:eastAsia="zh-CN" w:bidi="ar-SA"/>
              </w:rPr>
            </w:pPr>
            <w:r>
              <w:rPr>
                <w:rFonts w:hint="eastAsia" w:eastAsia="仿宋"/>
                <w:color w:val="auto"/>
                <w:sz w:val="21"/>
                <w:szCs w:val="21"/>
                <w:lang w:val="en-US" w:eastAsia="zh-CN"/>
              </w:rPr>
              <w:t>7.人员配备</w:t>
            </w:r>
          </w:p>
        </w:tc>
        <w:tc>
          <w:tcPr>
            <w:tcW w:w="413" w:type="pct"/>
            <w:noWrap w:val="0"/>
            <w:vAlign w:val="center"/>
          </w:tcPr>
          <w:p>
            <w:pPr>
              <w:pStyle w:val="66"/>
              <w:rPr>
                <w:rFonts w:hint="eastAsia" w:ascii="Times New Roman" w:hAnsi="Times New Roman" w:eastAsia="仿宋" w:cs="Times New Roman"/>
                <w:color w:val="auto"/>
                <w:kern w:val="2"/>
                <w:sz w:val="21"/>
                <w:szCs w:val="21"/>
                <w:lang w:val="en-US" w:eastAsia="zh-CN" w:bidi="ar-SA"/>
              </w:rPr>
            </w:pPr>
            <w:r>
              <w:rPr>
                <w:rFonts w:hint="eastAsia" w:eastAsia="仿宋"/>
                <w:color w:val="auto"/>
                <w:sz w:val="21"/>
                <w:szCs w:val="21"/>
                <w:lang w:eastAsia="zh-CN"/>
              </w:rPr>
              <w:t>人员变动情况</w:t>
            </w:r>
          </w:p>
        </w:tc>
        <w:tc>
          <w:tcPr>
            <w:tcW w:w="1709" w:type="pct"/>
            <w:noWrap w:val="0"/>
            <w:vAlign w:val="center"/>
          </w:tcPr>
          <w:p>
            <w:pPr>
              <w:pStyle w:val="66"/>
              <w:jc w:val="left"/>
              <w:rPr>
                <w:rFonts w:hint="default" w:ascii="Times New Roman" w:hAnsi="Times New Roman" w:eastAsia="仿宋" w:cs="Times New Roman"/>
                <w:color w:val="auto"/>
                <w:kern w:val="2"/>
                <w:sz w:val="21"/>
                <w:szCs w:val="21"/>
                <w:lang w:val="en-US" w:eastAsia="zh-CN" w:bidi="ar-SA"/>
              </w:rPr>
            </w:pPr>
            <w:r>
              <w:rPr>
                <w:rFonts w:hint="eastAsia" w:eastAsia="仿宋"/>
                <w:color w:val="auto"/>
                <w:sz w:val="21"/>
                <w:szCs w:val="21"/>
                <w:lang w:eastAsia="zh-CN"/>
              </w:rPr>
              <w:t>根据投标文件核实项目组成员是否满足要求</w:t>
            </w:r>
          </w:p>
        </w:tc>
        <w:tc>
          <w:tcPr>
            <w:tcW w:w="460" w:type="pct"/>
            <w:gridSpan w:val="2"/>
            <w:noWrap w:val="0"/>
            <w:vAlign w:val="center"/>
          </w:tcPr>
          <w:p>
            <w:pPr>
              <w:pStyle w:val="66"/>
              <w:jc w:val="left"/>
              <w:rPr>
                <w:rFonts w:hint="eastAsia" w:ascii="Times New Roman" w:hAnsi="Times New Roman" w:eastAsia="仿宋" w:cs="Times New Roman"/>
                <w:color w:val="auto"/>
                <w:kern w:val="2"/>
                <w:sz w:val="21"/>
                <w:szCs w:val="21"/>
                <w:lang w:val="en-US" w:eastAsia="zh-CN" w:bidi="ar-SA"/>
              </w:rPr>
            </w:pPr>
          </w:p>
        </w:tc>
        <w:tc>
          <w:tcPr>
            <w:tcW w:w="1987" w:type="pct"/>
            <w:noWrap w:val="0"/>
            <w:vAlign w:val="center"/>
          </w:tcPr>
          <w:p>
            <w:pPr>
              <w:pStyle w:val="66"/>
              <w:jc w:val="left"/>
              <w:rPr>
                <w:rFonts w:eastAsia="仿宋"/>
                <w:color w:val="auto"/>
                <w:sz w:val="21"/>
                <w:szCs w:val="21"/>
              </w:rPr>
            </w:pPr>
            <w:r>
              <w:rPr>
                <w:rFonts w:hint="eastAsia" w:eastAsia="仿宋"/>
                <w:color w:val="auto"/>
                <w:sz w:val="21"/>
                <w:szCs w:val="21"/>
                <w:lang w:eastAsia="zh-CN"/>
              </w:rPr>
              <w:t>此项据实填写。</w:t>
            </w:r>
          </w:p>
        </w:tc>
      </w:tr>
    </w:tbl>
    <w:tbl>
      <w:tblPr>
        <w:tblStyle w:val="67"/>
        <w:tblW w:w="14868" w:type="dxa"/>
        <w:tblInd w:w="-4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1"/>
        <w:gridCol w:w="12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868" w:type="dxa"/>
            <w:gridSpan w:val="2"/>
            <w:noWrap w:val="0"/>
            <w:vAlign w:val="top"/>
          </w:tcPr>
          <w:p>
            <w:pPr>
              <w:rPr>
                <w:rFonts w:eastAsia="仿宋"/>
                <w:color w:val="000000"/>
                <w:szCs w:val="21"/>
              </w:rPr>
            </w:pPr>
            <w:r>
              <w:rPr>
                <w:rFonts w:hint="eastAsia" w:eastAsia="仿宋"/>
                <w:color w:val="000000"/>
                <w:szCs w:val="21"/>
              </w:rPr>
              <w:t xml:space="preserve"> 其他需要记录的内容及备注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1951" w:type="dxa"/>
            <w:noWrap w:val="0"/>
            <w:vAlign w:val="top"/>
          </w:tcPr>
          <w:p>
            <w:pPr>
              <w:rPr>
                <w:rFonts w:eastAsia="仿宋"/>
                <w:color w:val="000000"/>
                <w:szCs w:val="21"/>
              </w:rPr>
            </w:pPr>
          </w:p>
          <w:p>
            <w:pPr>
              <w:rPr>
                <w:rFonts w:eastAsia="仿宋"/>
                <w:color w:val="000000"/>
                <w:szCs w:val="21"/>
              </w:rPr>
            </w:pPr>
            <w:r>
              <w:rPr>
                <w:rFonts w:hint="eastAsia" w:eastAsia="仿宋"/>
                <w:color w:val="000000"/>
                <w:szCs w:val="21"/>
              </w:rPr>
              <w:t>检查中发现的其他需要记录的问题</w:t>
            </w:r>
          </w:p>
        </w:tc>
        <w:tc>
          <w:tcPr>
            <w:tcW w:w="12917" w:type="dxa"/>
            <w:noWrap w:val="0"/>
            <w:vAlign w:val="top"/>
          </w:tcPr>
          <w:p>
            <w:pPr>
              <w:rPr>
                <w:rFonts w:eastAsia="仿宋"/>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951" w:type="dxa"/>
            <w:noWrap w:val="0"/>
            <w:vAlign w:val="top"/>
          </w:tcPr>
          <w:p>
            <w:pPr>
              <w:rPr>
                <w:color w:val="000000"/>
              </w:rPr>
            </w:pPr>
          </w:p>
          <w:p>
            <w:pPr>
              <w:rPr>
                <w:rFonts w:eastAsia="仿宋"/>
                <w:color w:val="000000"/>
                <w:szCs w:val="21"/>
              </w:rPr>
            </w:pPr>
            <w:r>
              <w:rPr>
                <w:rFonts w:hint="eastAsia" w:eastAsia="仿宋"/>
                <w:color w:val="000000"/>
                <w:szCs w:val="21"/>
              </w:rPr>
              <w:t>运维单位意见、建议</w:t>
            </w:r>
          </w:p>
          <w:p>
            <w:pPr>
              <w:rPr>
                <w:color w:val="000000"/>
              </w:rPr>
            </w:pPr>
            <w:r>
              <w:rPr>
                <w:rFonts w:hint="eastAsia" w:eastAsia="仿宋"/>
                <w:color w:val="000000"/>
                <w:szCs w:val="21"/>
              </w:rPr>
              <w:t>及备注</w:t>
            </w:r>
          </w:p>
        </w:tc>
        <w:tc>
          <w:tcPr>
            <w:tcW w:w="12917" w:type="dxa"/>
            <w:noWrap w:val="0"/>
            <w:vAlign w:val="top"/>
          </w:tcPr>
          <w:p>
            <w:pPr>
              <w:rPr>
                <w:color w:val="000000"/>
              </w:rPr>
            </w:pPr>
          </w:p>
        </w:tc>
      </w:tr>
    </w:tbl>
    <w:p>
      <w:pPr>
        <w:topLinePunct/>
        <w:spacing w:line="288" w:lineRule="auto"/>
        <w:ind w:firstLine="420" w:firstLineChars="200"/>
        <w:rPr>
          <w:color w:val="000000"/>
          <w:szCs w:val="21"/>
        </w:rPr>
      </w:pPr>
      <w:r>
        <w:rPr>
          <w:color w:val="000000"/>
          <w:szCs w:val="21"/>
        </w:rPr>
        <w:t>注：1.《规范》：指环境空气气态污染物（SO</w:t>
      </w:r>
      <w:r>
        <w:rPr>
          <w:color w:val="000000"/>
          <w:szCs w:val="21"/>
          <w:vertAlign w:val="subscript"/>
        </w:rPr>
        <w:t>2</w:t>
      </w:r>
      <w:r>
        <w:rPr>
          <w:color w:val="000000"/>
          <w:szCs w:val="21"/>
        </w:rPr>
        <w:t>、NO</w:t>
      </w:r>
      <w:r>
        <w:rPr>
          <w:color w:val="000000"/>
          <w:szCs w:val="21"/>
          <w:vertAlign w:val="subscript"/>
        </w:rPr>
        <w:t>2</w:t>
      </w:r>
      <w:r>
        <w:rPr>
          <w:color w:val="000000"/>
          <w:szCs w:val="21"/>
        </w:rPr>
        <w:t>、O</w:t>
      </w:r>
      <w:r>
        <w:rPr>
          <w:color w:val="000000"/>
          <w:szCs w:val="21"/>
          <w:vertAlign w:val="subscript"/>
        </w:rPr>
        <w:t>3</w:t>
      </w:r>
      <w:r>
        <w:rPr>
          <w:color w:val="000000"/>
          <w:szCs w:val="21"/>
        </w:rPr>
        <w:t>、CO）连续自动监测系统技术要求及检测方法(HJ 654-2013)、环境空气气态污染物（SO</w:t>
      </w:r>
      <w:r>
        <w:rPr>
          <w:color w:val="000000"/>
          <w:szCs w:val="21"/>
          <w:vertAlign w:val="subscript"/>
        </w:rPr>
        <w:t>2</w:t>
      </w:r>
      <w:r>
        <w:rPr>
          <w:color w:val="000000"/>
          <w:szCs w:val="21"/>
        </w:rPr>
        <w:t>、NO</w:t>
      </w:r>
      <w:r>
        <w:rPr>
          <w:color w:val="000000"/>
          <w:szCs w:val="21"/>
          <w:vertAlign w:val="subscript"/>
        </w:rPr>
        <w:t>2</w:t>
      </w:r>
      <w:r>
        <w:rPr>
          <w:color w:val="000000"/>
          <w:szCs w:val="21"/>
        </w:rPr>
        <w:t>、O</w:t>
      </w:r>
      <w:r>
        <w:rPr>
          <w:color w:val="000000"/>
          <w:szCs w:val="21"/>
          <w:vertAlign w:val="subscript"/>
        </w:rPr>
        <w:t>3</w:t>
      </w:r>
      <w:r>
        <w:rPr>
          <w:color w:val="000000"/>
          <w:szCs w:val="21"/>
        </w:rPr>
        <w:t>、CO）连续自动监测系统安装验收技术规范(HJ 193-2013)、环境空气颗粒物（PM</w:t>
      </w:r>
      <w:r>
        <w:rPr>
          <w:color w:val="000000"/>
          <w:szCs w:val="21"/>
          <w:vertAlign w:val="subscript"/>
        </w:rPr>
        <w:t>10</w:t>
      </w:r>
      <w:r>
        <w:rPr>
          <w:color w:val="000000"/>
          <w:szCs w:val="21"/>
        </w:rPr>
        <w:t>和PM</w:t>
      </w:r>
      <w:r>
        <w:rPr>
          <w:color w:val="000000"/>
          <w:szCs w:val="21"/>
          <w:vertAlign w:val="subscript"/>
        </w:rPr>
        <w:t>2.5</w:t>
      </w:r>
      <w:r>
        <w:rPr>
          <w:color w:val="000000"/>
          <w:szCs w:val="21"/>
        </w:rPr>
        <w:t>）连续自动监测系统技术要求及检测方法(HJ 653-2013)、环境空气颗粒物（PM</w:t>
      </w:r>
      <w:r>
        <w:rPr>
          <w:color w:val="000000"/>
          <w:szCs w:val="21"/>
          <w:vertAlign w:val="subscript"/>
        </w:rPr>
        <w:t>10</w:t>
      </w:r>
      <w:r>
        <w:rPr>
          <w:color w:val="000000"/>
          <w:szCs w:val="21"/>
        </w:rPr>
        <w:t>和PM</w:t>
      </w:r>
      <w:r>
        <w:rPr>
          <w:color w:val="000000"/>
          <w:szCs w:val="21"/>
          <w:vertAlign w:val="subscript"/>
        </w:rPr>
        <w:t>2.5</w:t>
      </w:r>
      <w:r>
        <w:rPr>
          <w:color w:val="000000"/>
          <w:szCs w:val="21"/>
        </w:rPr>
        <w:t>）连续自动监测系统安装和验收技术规范(HJ 655-2013)等；</w:t>
      </w:r>
    </w:p>
    <w:p>
      <w:pPr>
        <w:pStyle w:val="3"/>
        <w:rPr>
          <w:rFonts w:hint="default"/>
          <w:lang w:val="en-US" w:eastAsia="zh-CN"/>
        </w:rPr>
        <w:sectPr>
          <w:headerReference r:id="rId10" w:type="default"/>
          <w:pgSz w:w="16838" w:h="11906" w:orient="landscape"/>
          <w:pgMar w:top="1417" w:right="1440" w:bottom="1417" w:left="1440" w:header="851" w:footer="850" w:gutter="0"/>
          <w:cols w:space="0" w:num="1"/>
          <w:rtlGutter w:val="0"/>
          <w:docGrid w:linePitch="319" w:charSpace="0"/>
        </w:sectPr>
      </w:pPr>
      <w:r>
        <w:rPr>
          <w:color w:val="000000"/>
          <w:szCs w:val="21"/>
        </w:rPr>
        <w:t>《标准》：指《环境空气质量标准》（GB3095-2012</w:t>
      </w:r>
      <w:r>
        <w:rPr>
          <w:rFonts w:hint="eastAsia"/>
          <w:color w:val="000000"/>
          <w:szCs w:val="21"/>
        </w:rPr>
        <w:t>。</w:t>
      </w:r>
    </w:p>
    <w:p>
      <w:pPr>
        <w:snapToGrid w:val="0"/>
        <w:spacing w:before="156" w:beforeLines="50" w:after="50" w:line="360" w:lineRule="auto"/>
        <w:outlineLvl w:val="0"/>
        <w:rPr>
          <w:rFonts w:hint="default" w:ascii="宋体" w:hAnsi="宋体"/>
          <w:b/>
          <w:sz w:val="28"/>
          <w:lang w:val="en-US" w:eastAsia="zh-CN"/>
        </w:rPr>
      </w:pPr>
      <w:r>
        <w:rPr>
          <w:rFonts w:hint="eastAsia" w:ascii="宋体" w:hAnsi="宋体"/>
          <w:b/>
          <w:sz w:val="28"/>
          <w:lang w:val="en-US" w:eastAsia="zh-CN"/>
        </w:rPr>
        <w:t>附件19</w:t>
      </w:r>
    </w:p>
    <w:p>
      <w:pPr>
        <w:pStyle w:val="2"/>
        <w:spacing w:line="276" w:lineRule="auto"/>
        <w:ind w:firstLine="0"/>
        <w:jc w:val="center"/>
        <w:rPr>
          <w:rFonts w:ascii="黑体" w:hAnsi="黑体" w:eastAsia="黑体" w:cs="黑体"/>
          <w:spacing w:val="8"/>
          <w:sz w:val="32"/>
          <w:szCs w:val="32"/>
        </w:rPr>
      </w:pPr>
      <w:r>
        <w:rPr>
          <w:rFonts w:hint="eastAsia" w:ascii="黑体" w:hAnsi="黑体" w:eastAsia="黑体" w:cs="黑体"/>
          <w:spacing w:val="8"/>
          <w:sz w:val="32"/>
          <w:szCs w:val="32"/>
        </w:rPr>
        <w:t>省控地表水水质自动监测站运维质量现场检查评分表</w:t>
      </w:r>
    </w:p>
    <w:p>
      <w:pPr>
        <w:widowControl/>
        <w:kinsoku w:val="0"/>
        <w:autoSpaceDE w:val="0"/>
        <w:autoSpaceDN w:val="0"/>
        <w:adjustRightInd w:val="0"/>
        <w:snapToGrid w:val="0"/>
        <w:spacing w:line="226" w:lineRule="auto"/>
        <w:textAlignment w:val="baseline"/>
        <w:rPr>
          <w:rFonts w:ascii="黑体" w:hAnsi="黑体" w:eastAsia="黑体" w:cs="黑体"/>
          <w:spacing w:val="8"/>
          <w:sz w:val="24"/>
        </w:rPr>
      </w:pPr>
    </w:p>
    <w:p>
      <w:pPr>
        <w:pStyle w:val="68"/>
        <w:spacing w:line="360" w:lineRule="auto"/>
        <w:ind w:firstLine="1440" w:firstLineChars="600"/>
        <w:rPr>
          <w:sz w:val="24"/>
          <w:szCs w:val="24"/>
        </w:rPr>
      </w:pPr>
      <w:r>
        <w:rPr>
          <w:sz w:val="24"/>
          <w:szCs w:val="24"/>
        </w:rPr>
        <w:t>站点所在地：</w:t>
      </w:r>
      <w:r>
        <w:rPr>
          <w:rFonts w:hint="eastAsia"/>
          <w:sz w:val="24"/>
          <w:szCs w:val="24"/>
          <w:u w:val="single"/>
          <w:lang w:val="en-US" w:eastAsia="zh-CN"/>
        </w:rPr>
        <w:t xml:space="preserve">       </w:t>
      </w:r>
      <w:r>
        <w:rPr>
          <w:sz w:val="24"/>
          <w:szCs w:val="24"/>
        </w:rPr>
        <w:t>县</w:t>
      </w:r>
      <w:r>
        <w:rPr>
          <w:rFonts w:hint="eastAsia"/>
          <w:sz w:val="24"/>
          <w:szCs w:val="24"/>
          <w:lang w:eastAsia="zh-CN"/>
        </w:rPr>
        <w:t>（</w:t>
      </w:r>
      <w:r>
        <w:rPr>
          <w:sz w:val="24"/>
          <w:szCs w:val="24"/>
        </w:rPr>
        <w:t>市</w:t>
      </w:r>
      <w:r>
        <w:rPr>
          <w:rFonts w:hint="eastAsia"/>
          <w:sz w:val="24"/>
          <w:szCs w:val="24"/>
          <w:lang w:eastAsia="zh-CN"/>
        </w:rPr>
        <w:t>、</w:t>
      </w:r>
      <w:r>
        <w:rPr>
          <w:sz w:val="24"/>
          <w:szCs w:val="24"/>
        </w:rPr>
        <w:t>区</w:t>
      </w:r>
      <w:r>
        <w:rPr>
          <w:rFonts w:hint="eastAsia"/>
          <w:sz w:val="24"/>
          <w:szCs w:val="24"/>
          <w:lang w:eastAsia="zh-CN"/>
        </w:rPr>
        <w:t>）</w:t>
      </w:r>
      <w:r>
        <w:rPr>
          <w:sz w:val="24"/>
          <w:szCs w:val="24"/>
        </w:rPr>
        <w:t xml:space="preserve"> </w:t>
      </w:r>
      <w:r>
        <w:rPr>
          <w:rFonts w:hint="eastAsia"/>
          <w:sz w:val="24"/>
          <w:szCs w:val="24"/>
          <w:lang w:val="en-US" w:eastAsia="zh-CN"/>
        </w:rPr>
        <w:t xml:space="preserve">      </w:t>
      </w:r>
      <w:r>
        <w:rPr>
          <w:sz w:val="24"/>
          <w:szCs w:val="24"/>
        </w:rPr>
        <w:t>自动站名称：</w:t>
      </w:r>
      <w:r>
        <w:rPr>
          <w:rFonts w:hint="eastAsia"/>
          <w:sz w:val="24"/>
          <w:szCs w:val="24"/>
          <w:u w:val="single"/>
          <w:lang w:val="en-US" w:eastAsia="zh-CN"/>
        </w:rPr>
        <w:t xml:space="preserve">                  </w:t>
      </w:r>
      <w:r>
        <w:rPr>
          <w:sz w:val="24"/>
          <w:szCs w:val="24"/>
        </w:rPr>
        <w:t xml:space="preserve"> </w:t>
      </w:r>
    </w:p>
    <w:p>
      <w:pPr>
        <w:spacing w:line="460" w:lineRule="exact"/>
        <w:ind w:firstLine="1440" w:firstLineChars="600"/>
        <w:rPr>
          <w:color w:val="000000"/>
          <w:szCs w:val="28"/>
          <w:u w:val="single"/>
        </w:rPr>
      </w:pPr>
      <w:r>
        <w:rPr>
          <w:rFonts w:ascii="宋体" w:hAnsi="宋体" w:cs="宋体"/>
          <w:sz w:val="24"/>
          <w:lang w:val="zh-TW" w:eastAsia="zh-TW" w:bidi="zh-TW"/>
        </w:rPr>
        <w:t>检查日期</w:t>
      </w:r>
      <w:r>
        <w:rPr>
          <w:bCs/>
          <w:color w:val="000000"/>
          <w:sz w:val="24"/>
        </w:rPr>
        <w:t>：</w:t>
      </w:r>
      <w:r>
        <w:rPr>
          <w:bCs/>
          <w:color w:val="000000"/>
          <w:sz w:val="24"/>
          <w:u w:val="single"/>
        </w:rPr>
        <w:t xml:space="preserve">              </w:t>
      </w:r>
      <w:r>
        <w:rPr>
          <w:bCs/>
          <w:color w:val="000000"/>
          <w:sz w:val="24"/>
        </w:rPr>
        <w:t xml:space="preserve">  </w:t>
      </w:r>
      <w:r>
        <w:rPr>
          <w:rFonts w:ascii="宋体" w:hAnsi="宋体" w:cs="宋体"/>
          <w:sz w:val="24"/>
          <w:lang w:val="zh-TW" w:eastAsia="zh-TW" w:bidi="zh-TW"/>
        </w:rPr>
        <w:t>检查人员</w:t>
      </w:r>
      <w:r>
        <w:rPr>
          <w:bCs/>
          <w:color w:val="000000"/>
          <w:sz w:val="24"/>
        </w:rPr>
        <w:t>：</w:t>
      </w:r>
      <w:r>
        <w:rPr>
          <w:bCs/>
          <w:color w:val="000000"/>
          <w:sz w:val="24"/>
          <w:u w:val="single"/>
        </w:rPr>
        <w:t xml:space="preserve">             </w:t>
      </w:r>
      <w:r>
        <w:rPr>
          <w:rFonts w:hint="eastAsia" w:ascii="宋体" w:hAnsi="宋体" w:cs="宋体"/>
          <w:sz w:val="24"/>
          <w:lang w:val="zh-TW" w:eastAsia="zh-TW" w:bidi="zh-TW"/>
        </w:rPr>
        <w:t>运维签名</w:t>
      </w:r>
      <w:r>
        <w:rPr>
          <w:bCs/>
          <w:color w:val="000000"/>
          <w:sz w:val="24"/>
        </w:rPr>
        <w:t>：</w:t>
      </w:r>
      <w:r>
        <w:rPr>
          <w:bCs/>
          <w:color w:val="000000"/>
          <w:sz w:val="24"/>
          <w:u w:val="single"/>
        </w:rPr>
        <w:t xml:space="preserve">                            </w:t>
      </w:r>
    </w:p>
    <w:tbl>
      <w:tblPr>
        <w:tblStyle w:val="21"/>
        <w:tblW w:w="11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275"/>
        <w:gridCol w:w="662"/>
        <w:gridCol w:w="650"/>
        <w:gridCol w:w="510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98" w:type="dxa"/>
            <w:noWrap w:val="0"/>
            <w:vAlign w:val="center"/>
          </w:tcPr>
          <w:p>
            <w:pPr>
              <w:pStyle w:val="69"/>
              <w:jc w:val="center"/>
              <w:rPr>
                <w:sz w:val="21"/>
                <w:szCs w:val="21"/>
                <w:u w:val="single"/>
                <w:lang w:val="en-US" w:eastAsia="zh-CN"/>
              </w:rPr>
            </w:pPr>
            <w:r>
              <w:rPr>
                <w:rFonts w:hint="eastAsia"/>
                <w:b/>
                <w:bCs/>
                <w:sz w:val="21"/>
                <w:szCs w:val="21"/>
                <w:lang w:val="en-US" w:eastAsia="zh-CN"/>
              </w:rPr>
              <w:t>检查项目</w:t>
            </w:r>
          </w:p>
        </w:tc>
        <w:tc>
          <w:tcPr>
            <w:tcW w:w="1275" w:type="dxa"/>
            <w:noWrap w:val="0"/>
            <w:vAlign w:val="center"/>
          </w:tcPr>
          <w:p>
            <w:pPr>
              <w:pStyle w:val="69"/>
              <w:jc w:val="center"/>
              <w:rPr>
                <w:sz w:val="21"/>
                <w:szCs w:val="21"/>
                <w:u w:val="single"/>
                <w:lang w:val="en-US" w:eastAsia="zh-CN"/>
              </w:rPr>
            </w:pPr>
            <w:r>
              <w:rPr>
                <w:rFonts w:hint="eastAsia"/>
                <w:b/>
                <w:bCs/>
                <w:sz w:val="21"/>
                <w:szCs w:val="21"/>
              </w:rPr>
              <w:t>检查</w:t>
            </w:r>
            <w:r>
              <w:rPr>
                <w:rFonts w:hint="eastAsia"/>
                <w:b/>
                <w:bCs/>
                <w:sz w:val="21"/>
                <w:szCs w:val="21"/>
                <w:lang w:val="en-US" w:eastAsia="zh-CN"/>
              </w:rPr>
              <w:t>要点</w:t>
            </w:r>
          </w:p>
        </w:tc>
        <w:tc>
          <w:tcPr>
            <w:tcW w:w="662" w:type="dxa"/>
            <w:noWrap w:val="0"/>
            <w:vAlign w:val="center"/>
          </w:tcPr>
          <w:p>
            <w:pPr>
              <w:pStyle w:val="69"/>
              <w:jc w:val="center"/>
              <w:rPr>
                <w:sz w:val="21"/>
                <w:szCs w:val="21"/>
                <w:u w:val="single"/>
                <w:lang w:val="en-US" w:eastAsia="zh-CN"/>
              </w:rPr>
            </w:pPr>
            <w:r>
              <w:rPr>
                <w:rFonts w:hint="eastAsia"/>
                <w:b/>
                <w:bCs/>
                <w:sz w:val="21"/>
                <w:szCs w:val="21"/>
              </w:rPr>
              <w:t>单项分值</w:t>
            </w:r>
          </w:p>
        </w:tc>
        <w:tc>
          <w:tcPr>
            <w:tcW w:w="650" w:type="dxa"/>
            <w:noWrap w:val="0"/>
            <w:vAlign w:val="center"/>
          </w:tcPr>
          <w:p>
            <w:pPr>
              <w:pStyle w:val="69"/>
              <w:jc w:val="center"/>
              <w:rPr>
                <w:sz w:val="21"/>
                <w:szCs w:val="21"/>
                <w:u w:val="single"/>
                <w:lang w:val="en-US" w:eastAsia="zh-CN"/>
              </w:rPr>
            </w:pPr>
            <w:r>
              <w:rPr>
                <w:rFonts w:hint="eastAsia"/>
                <w:b/>
                <w:bCs/>
                <w:sz w:val="21"/>
                <w:szCs w:val="21"/>
              </w:rPr>
              <w:t>得分</w:t>
            </w:r>
          </w:p>
        </w:tc>
        <w:tc>
          <w:tcPr>
            <w:tcW w:w="5100" w:type="dxa"/>
            <w:noWrap w:val="0"/>
            <w:vAlign w:val="center"/>
          </w:tcPr>
          <w:p>
            <w:pPr>
              <w:pStyle w:val="69"/>
              <w:jc w:val="center"/>
              <w:rPr>
                <w:sz w:val="21"/>
                <w:szCs w:val="21"/>
                <w:u w:val="single"/>
                <w:lang w:val="en-US" w:eastAsia="zh-CN"/>
              </w:rPr>
            </w:pPr>
            <w:r>
              <w:rPr>
                <w:rFonts w:hint="eastAsia"/>
                <w:b/>
                <w:bCs/>
                <w:sz w:val="21"/>
                <w:szCs w:val="21"/>
              </w:rPr>
              <w:t>评分说明</w:t>
            </w:r>
          </w:p>
        </w:tc>
        <w:tc>
          <w:tcPr>
            <w:tcW w:w="2250" w:type="dxa"/>
            <w:noWrap w:val="0"/>
            <w:vAlign w:val="center"/>
          </w:tcPr>
          <w:p>
            <w:pPr>
              <w:jc w:val="center"/>
              <w:rPr>
                <w:rFonts w:ascii="宋体" w:hAnsi="宋体" w:cs="宋体"/>
                <w:szCs w:val="21"/>
                <w:u w:val="single"/>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restart"/>
            <w:noWrap w:val="0"/>
            <w:vAlign w:val="center"/>
          </w:tcPr>
          <w:p>
            <w:pPr>
              <w:pStyle w:val="69"/>
              <w:jc w:val="center"/>
              <w:rPr>
                <w:b/>
                <w:bCs/>
                <w:sz w:val="21"/>
                <w:szCs w:val="21"/>
                <w:u w:val="single"/>
                <w:lang w:val="en-US" w:eastAsia="zh-CN"/>
              </w:rPr>
            </w:pPr>
            <w:r>
              <w:rPr>
                <w:rFonts w:hint="eastAsia"/>
                <w:b/>
                <w:bCs/>
                <w:sz w:val="21"/>
                <w:szCs w:val="21"/>
                <w:lang w:val="en-US" w:eastAsia="zh-CN"/>
              </w:rPr>
              <w:t>运维规范性问题</w:t>
            </w:r>
          </w:p>
        </w:tc>
        <w:tc>
          <w:tcPr>
            <w:tcW w:w="1275" w:type="dxa"/>
            <w:noWrap w:val="0"/>
            <w:vAlign w:val="center"/>
          </w:tcPr>
          <w:p>
            <w:pPr>
              <w:pStyle w:val="69"/>
              <w:kinsoku w:val="0"/>
              <w:autoSpaceDE w:val="0"/>
              <w:autoSpaceDN w:val="0"/>
              <w:adjustRightInd w:val="0"/>
              <w:snapToGrid w:val="0"/>
              <w:jc w:val="center"/>
              <w:textAlignment w:val="baseline"/>
              <w:rPr>
                <w:b/>
                <w:bCs/>
                <w:sz w:val="21"/>
                <w:szCs w:val="21"/>
                <w:u w:val="single"/>
                <w:lang w:val="en-US" w:eastAsia="zh-CN"/>
              </w:rPr>
            </w:pPr>
            <w:r>
              <w:rPr>
                <w:rFonts w:hint="eastAsia"/>
                <w:b/>
                <w:bCs/>
                <w:sz w:val="21"/>
                <w:szCs w:val="21"/>
                <w:lang w:eastAsia="zh-CN"/>
              </w:rPr>
              <w:t>采水口</w:t>
            </w:r>
            <w:r>
              <w:rPr>
                <w:rFonts w:hint="eastAsia"/>
                <w:b/>
                <w:bCs/>
                <w:sz w:val="21"/>
                <w:szCs w:val="21"/>
              </w:rPr>
              <w:t>周围及管路清洁通畅</w:t>
            </w:r>
          </w:p>
        </w:tc>
        <w:tc>
          <w:tcPr>
            <w:tcW w:w="662" w:type="dxa"/>
            <w:noWrap w:val="0"/>
            <w:vAlign w:val="center"/>
          </w:tcPr>
          <w:p>
            <w:pPr>
              <w:pStyle w:val="69"/>
              <w:kinsoku w:val="0"/>
              <w:autoSpaceDE w:val="0"/>
              <w:autoSpaceDN w:val="0"/>
              <w:adjustRightInd w:val="0"/>
              <w:snapToGrid w:val="0"/>
              <w:jc w:val="center"/>
              <w:textAlignment w:val="baseline"/>
              <w:rPr>
                <w:sz w:val="21"/>
                <w:szCs w:val="21"/>
                <w:u w:val="single"/>
                <w:lang w:val="en-US" w:eastAsia="zh-CN"/>
              </w:rPr>
            </w:pPr>
            <w:r>
              <w:rPr>
                <w:rFonts w:hint="eastAsia"/>
                <w:color w:val="37363D"/>
                <w:sz w:val="21"/>
                <w:szCs w:val="21"/>
              </w:rPr>
              <w:t>4</w:t>
            </w:r>
          </w:p>
        </w:tc>
        <w:tc>
          <w:tcPr>
            <w:tcW w:w="650" w:type="dxa"/>
            <w:noWrap w:val="0"/>
            <w:vAlign w:val="center"/>
          </w:tcPr>
          <w:p>
            <w:pPr>
              <w:jc w:val="center"/>
              <w:rPr>
                <w:rFonts w:ascii="宋体" w:hAnsi="宋体" w:cs="宋体"/>
                <w:szCs w:val="21"/>
                <w:u w:val="single"/>
              </w:rPr>
            </w:pPr>
          </w:p>
        </w:tc>
        <w:tc>
          <w:tcPr>
            <w:tcW w:w="5100" w:type="dxa"/>
            <w:noWrap w:val="0"/>
            <w:vAlign w:val="center"/>
          </w:tcPr>
          <w:p>
            <w:pPr>
              <w:pStyle w:val="69"/>
              <w:rPr>
                <w:sz w:val="21"/>
                <w:szCs w:val="21"/>
              </w:rPr>
            </w:pPr>
            <w:r>
              <w:rPr>
                <w:rFonts w:hint="eastAsia"/>
                <w:sz w:val="21"/>
                <w:szCs w:val="21"/>
                <w:lang w:eastAsia="zh-CN"/>
              </w:rPr>
              <w:t>□ 采水口</w:t>
            </w:r>
            <w:r>
              <w:rPr>
                <w:rFonts w:hint="eastAsia"/>
                <w:sz w:val="21"/>
                <w:szCs w:val="21"/>
              </w:rPr>
              <w:t xml:space="preserve">处未定期清理，导致有大量水草、杂物堆积 </w:t>
            </w:r>
          </w:p>
          <w:p>
            <w:pPr>
              <w:pStyle w:val="69"/>
              <w:rPr>
                <w:sz w:val="21"/>
                <w:szCs w:val="21"/>
              </w:rPr>
            </w:pPr>
            <w:r>
              <w:rPr>
                <w:rFonts w:hint="eastAsia"/>
                <w:sz w:val="21"/>
                <w:szCs w:val="21"/>
                <w:lang w:eastAsia="zh-CN"/>
              </w:rPr>
              <w:t xml:space="preserve">□ </w:t>
            </w:r>
            <w:r>
              <w:rPr>
                <w:rFonts w:hint="eastAsia"/>
                <w:sz w:val="21"/>
                <w:szCs w:val="21"/>
              </w:rPr>
              <w:t>釆排水管路存在堵塞、漏液现象</w:t>
            </w:r>
          </w:p>
          <w:p>
            <w:pPr>
              <w:pStyle w:val="69"/>
              <w:rPr>
                <w:sz w:val="21"/>
                <w:szCs w:val="21"/>
                <w:u w:val="single"/>
                <w:lang w:val="en-US" w:eastAsia="zh-CN"/>
              </w:rPr>
            </w:pPr>
            <w:r>
              <w:rPr>
                <w:rFonts w:hint="eastAsia"/>
                <w:sz w:val="21"/>
                <w:szCs w:val="21"/>
              </w:rPr>
              <w:t>备注：一项不合格扣除2分</w:t>
            </w:r>
          </w:p>
        </w:tc>
        <w:tc>
          <w:tcPr>
            <w:tcW w:w="2250" w:type="dxa"/>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400"/>
              <w:jc w:val="center"/>
              <w:rPr>
                <w:b/>
                <w:bCs/>
                <w:sz w:val="21"/>
                <w:szCs w:val="21"/>
                <w:u w:val="single"/>
                <w:lang w:val="en-US" w:eastAsia="zh-CN"/>
              </w:rPr>
            </w:pPr>
          </w:p>
        </w:tc>
        <w:tc>
          <w:tcPr>
            <w:tcW w:w="1275" w:type="dxa"/>
            <w:noWrap w:val="0"/>
            <w:vAlign w:val="center"/>
          </w:tcPr>
          <w:p>
            <w:pPr>
              <w:pStyle w:val="69"/>
              <w:kinsoku w:val="0"/>
              <w:autoSpaceDE w:val="0"/>
              <w:autoSpaceDN w:val="0"/>
              <w:adjustRightInd w:val="0"/>
              <w:snapToGrid w:val="0"/>
              <w:jc w:val="center"/>
              <w:textAlignment w:val="baseline"/>
              <w:rPr>
                <w:b/>
                <w:bCs/>
                <w:sz w:val="21"/>
                <w:szCs w:val="21"/>
                <w:u w:val="single"/>
                <w:lang w:val="en-US" w:eastAsia="zh-CN"/>
              </w:rPr>
            </w:pPr>
            <w:r>
              <w:rPr>
                <w:rFonts w:hint="eastAsia"/>
                <w:b/>
                <w:bCs/>
                <w:sz w:val="21"/>
                <w:szCs w:val="21"/>
              </w:rPr>
              <w:t>配水及预处理单元满足要求</w:t>
            </w:r>
          </w:p>
        </w:tc>
        <w:tc>
          <w:tcPr>
            <w:tcW w:w="662" w:type="dxa"/>
            <w:noWrap w:val="0"/>
            <w:vAlign w:val="center"/>
          </w:tcPr>
          <w:p>
            <w:pPr>
              <w:pStyle w:val="69"/>
              <w:kinsoku w:val="0"/>
              <w:autoSpaceDE w:val="0"/>
              <w:autoSpaceDN w:val="0"/>
              <w:adjustRightInd w:val="0"/>
              <w:snapToGrid w:val="0"/>
              <w:jc w:val="center"/>
              <w:textAlignment w:val="baseline"/>
              <w:rPr>
                <w:sz w:val="21"/>
                <w:szCs w:val="21"/>
                <w:u w:val="single"/>
                <w:lang w:val="en-US" w:eastAsia="zh-CN"/>
              </w:rPr>
            </w:pPr>
            <w:r>
              <w:rPr>
                <w:rFonts w:hint="eastAsia"/>
                <w:sz w:val="21"/>
                <w:szCs w:val="21"/>
              </w:rPr>
              <w:t>8</w:t>
            </w:r>
          </w:p>
        </w:tc>
        <w:tc>
          <w:tcPr>
            <w:tcW w:w="650" w:type="dxa"/>
            <w:noWrap w:val="0"/>
            <w:vAlign w:val="center"/>
          </w:tcPr>
          <w:p>
            <w:pPr>
              <w:pStyle w:val="69"/>
              <w:jc w:val="center"/>
              <w:rPr>
                <w:sz w:val="21"/>
                <w:szCs w:val="21"/>
                <w:u w:val="single"/>
                <w:lang w:val="en-US" w:eastAsia="zh-CN"/>
              </w:rPr>
            </w:pPr>
          </w:p>
        </w:tc>
        <w:tc>
          <w:tcPr>
            <w:tcW w:w="5100" w:type="dxa"/>
            <w:noWrap w:val="0"/>
            <w:vAlign w:val="center"/>
          </w:tcPr>
          <w:p>
            <w:pPr>
              <w:pStyle w:val="69"/>
              <w:rPr>
                <w:sz w:val="21"/>
                <w:szCs w:val="21"/>
                <w:lang w:eastAsia="zh-CN"/>
              </w:rPr>
            </w:pPr>
            <w:r>
              <w:rPr>
                <w:rFonts w:hint="eastAsia"/>
                <w:sz w:val="21"/>
                <w:szCs w:val="21"/>
              </w:rPr>
              <w:sym w:font="Wingdings 2" w:char="00A3"/>
            </w:r>
            <w:r>
              <w:rPr>
                <w:rFonts w:hint="eastAsia"/>
                <w:sz w:val="21"/>
                <w:szCs w:val="21"/>
                <w:lang w:val="en-US" w:eastAsia="zh-CN"/>
              </w:rPr>
              <w:t xml:space="preserve"> </w:t>
            </w:r>
            <w:r>
              <w:rPr>
                <w:rFonts w:hint="eastAsia"/>
                <w:sz w:val="21"/>
                <w:szCs w:val="21"/>
                <w:lang w:eastAsia="zh-CN"/>
              </w:rPr>
              <w:t>五参数测定未使用原水</w:t>
            </w:r>
          </w:p>
          <w:p>
            <w:pPr>
              <w:pStyle w:val="69"/>
              <w:rPr>
                <w:sz w:val="21"/>
                <w:szCs w:val="21"/>
                <w:lang w:eastAsia="zh-CN"/>
              </w:rPr>
            </w:pPr>
            <w:r>
              <w:rPr>
                <w:rFonts w:hint="eastAsia"/>
                <w:sz w:val="21"/>
                <w:szCs w:val="21"/>
                <w:lang w:eastAsia="zh-CN"/>
              </w:rPr>
              <w:sym w:font="Wingdings 2" w:char="00A3"/>
            </w:r>
            <w:r>
              <w:rPr>
                <w:rFonts w:hint="eastAsia"/>
                <w:sz w:val="21"/>
                <w:szCs w:val="21"/>
                <w:lang w:eastAsia="zh-CN"/>
              </w:rPr>
              <w:t xml:space="preserve"> 高</w:t>
            </w:r>
            <w:r>
              <w:rPr>
                <w:rFonts w:hint="eastAsia"/>
                <w:sz w:val="21"/>
                <w:szCs w:val="21"/>
                <w:lang w:val="en-US" w:eastAsia="zh-CN"/>
              </w:rPr>
              <w:t>锰酸</w:t>
            </w:r>
            <w:r>
              <w:rPr>
                <w:rFonts w:hint="eastAsia"/>
                <w:sz w:val="21"/>
                <w:szCs w:val="21"/>
                <w:lang w:eastAsia="zh-CN"/>
              </w:rPr>
              <w:t>盐指数、总磷、总氮及氨氮仪器自然沉淀水样时间不满足</w:t>
            </w:r>
            <w:r>
              <w:rPr>
                <w:rFonts w:hint="eastAsia"/>
                <w:sz w:val="21"/>
                <w:szCs w:val="21"/>
                <w:lang w:val="en-US" w:eastAsia="zh-CN"/>
              </w:rPr>
              <w:t>30min</w:t>
            </w:r>
          </w:p>
          <w:p>
            <w:pPr>
              <w:pStyle w:val="69"/>
              <w:rPr>
                <w:sz w:val="21"/>
                <w:szCs w:val="21"/>
                <w:lang w:eastAsia="zh-CN"/>
              </w:rPr>
            </w:pPr>
            <w:r>
              <w:rPr>
                <w:rFonts w:hint="eastAsia"/>
                <w:sz w:val="21"/>
                <w:szCs w:val="21"/>
                <w:lang w:eastAsia="zh-CN"/>
              </w:rPr>
              <w:sym w:font="Wingdings 2" w:char="00A3"/>
            </w:r>
            <w:r>
              <w:rPr>
                <w:rFonts w:hint="eastAsia"/>
                <w:sz w:val="21"/>
                <w:szCs w:val="21"/>
                <w:lang w:val="en-US" w:eastAsia="zh-CN"/>
              </w:rPr>
              <w:t xml:space="preserve"> </w:t>
            </w:r>
            <w:r>
              <w:rPr>
                <w:rFonts w:hint="eastAsia"/>
                <w:sz w:val="21"/>
                <w:szCs w:val="21"/>
                <w:lang w:eastAsia="zh-CN"/>
              </w:rPr>
              <w:t xml:space="preserve">五参数检测池未清洁 </w:t>
            </w:r>
          </w:p>
          <w:p>
            <w:pPr>
              <w:pStyle w:val="69"/>
              <w:rPr>
                <w:sz w:val="21"/>
                <w:szCs w:val="21"/>
                <w:lang w:eastAsia="zh-CN"/>
              </w:rPr>
            </w:pPr>
            <w:r>
              <w:rPr>
                <w:rFonts w:hint="eastAsia"/>
                <w:sz w:val="21"/>
                <w:szCs w:val="21"/>
                <w:lang w:eastAsia="zh-CN"/>
              </w:rPr>
              <w:sym w:font="Wingdings 2" w:char="00A3"/>
            </w:r>
            <w:r>
              <w:rPr>
                <w:rFonts w:hint="eastAsia"/>
                <w:sz w:val="21"/>
                <w:szCs w:val="21"/>
                <w:lang w:eastAsia="zh-CN"/>
              </w:rPr>
              <w:t xml:space="preserve"> 预处理装置单元未清洁</w:t>
            </w:r>
          </w:p>
          <w:p>
            <w:pPr>
              <w:pStyle w:val="69"/>
              <w:rPr>
                <w:sz w:val="21"/>
                <w:szCs w:val="21"/>
                <w:u w:val="single"/>
                <w:lang w:val="en-US" w:eastAsia="zh-CN"/>
              </w:rPr>
            </w:pPr>
            <w:r>
              <w:rPr>
                <w:rFonts w:hint="eastAsia"/>
                <w:sz w:val="21"/>
                <w:szCs w:val="21"/>
                <w:lang w:eastAsia="zh-CN"/>
              </w:rPr>
              <w:t>备注：一项不合格扣除2分</w:t>
            </w:r>
          </w:p>
        </w:tc>
        <w:tc>
          <w:tcPr>
            <w:tcW w:w="2250" w:type="dxa"/>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400"/>
              <w:jc w:val="center"/>
              <w:rPr>
                <w:b/>
                <w:bCs/>
                <w:sz w:val="21"/>
                <w:szCs w:val="21"/>
                <w:u w:val="single"/>
                <w:lang w:val="en-US" w:eastAsia="zh-CN"/>
              </w:rPr>
            </w:pPr>
          </w:p>
        </w:tc>
        <w:tc>
          <w:tcPr>
            <w:tcW w:w="1275" w:type="dxa"/>
            <w:noWrap w:val="0"/>
            <w:vAlign w:val="center"/>
          </w:tcPr>
          <w:p>
            <w:pPr>
              <w:pStyle w:val="69"/>
              <w:kinsoku w:val="0"/>
              <w:autoSpaceDE w:val="0"/>
              <w:autoSpaceDN w:val="0"/>
              <w:adjustRightInd w:val="0"/>
              <w:snapToGrid w:val="0"/>
              <w:jc w:val="center"/>
              <w:textAlignment w:val="baseline"/>
              <w:rPr>
                <w:b/>
                <w:bCs/>
                <w:sz w:val="21"/>
                <w:szCs w:val="21"/>
                <w:u w:val="single"/>
                <w:lang w:val="en-US" w:eastAsia="zh-CN"/>
              </w:rPr>
            </w:pPr>
            <w:r>
              <w:rPr>
                <w:rFonts w:hint="eastAsia"/>
                <w:b/>
                <w:bCs/>
                <w:sz w:val="21"/>
                <w:szCs w:val="21"/>
              </w:rPr>
              <w:t>仪器、管路及试剂规范使用</w:t>
            </w:r>
          </w:p>
        </w:tc>
        <w:tc>
          <w:tcPr>
            <w:tcW w:w="662" w:type="dxa"/>
            <w:noWrap w:val="0"/>
            <w:vAlign w:val="center"/>
          </w:tcPr>
          <w:p>
            <w:pPr>
              <w:pStyle w:val="69"/>
              <w:kinsoku w:val="0"/>
              <w:autoSpaceDE w:val="0"/>
              <w:autoSpaceDN w:val="0"/>
              <w:adjustRightInd w:val="0"/>
              <w:snapToGrid w:val="0"/>
              <w:jc w:val="center"/>
              <w:textAlignment w:val="baseline"/>
              <w:rPr>
                <w:sz w:val="21"/>
                <w:szCs w:val="21"/>
                <w:u w:val="single"/>
                <w:lang w:val="en-US" w:eastAsia="zh-CN"/>
              </w:rPr>
            </w:pPr>
            <w:r>
              <w:rPr>
                <w:rFonts w:hint="eastAsia"/>
                <w:sz w:val="21"/>
                <w:szCs w:val="21"/>
              </w:rPr>
              <w:t>12</w:t>
            </w:r>
          </w:p>
        </w:tc>
        <w:tc>
          <w:tcPr>
            <w:tcW w:w="650" w:type="dxa"/>
            <w:noWrap w:val="0"/>
            <w:vAlign w:val="center"/>
          </w:tcPr>
          <w:p>
            <w:pPr>
              <w:pStyle w:val="69"/>
              <w:jc w:val="center"/>
              <w:rPr>
                <w:sz w:val="21"/>
                <w:szCs w:val="21"/>
                <w:u w:val="single"/>
                <w:lang w:val="en-US" w:eastAsia="zh-CN"/>
              </w:rPr>
            </w:pPr>
          </w:p>
        </w:tc>
        <w:tc>
          <w:tcPr>
            <w:tcW w:w="5100" w:type="dxa"/>
            <w:noWrap w:val="0"/>
            <w:vAlign w:val="center"/>
          </w:tcPr>
          <w:p>
            <w:pPr>
              <w:pStyle w:val="69"/>
              <w:rPr>
                <w:sz w:val="21"/>
                <w:szCs w:val="21"/>
              </w:rPr>
            </w:pPr>
            <w:r>
              <w:rPr>
                <w:rFonts w:hint="eastAsia"/>
                <w:sz w:val="21"/>
                <w:szCs w:val="21"/>
                <w:lang w:eastAsia="zh-CN"/>
              </w:rPr>
              <w:t xml:space="preserve">□ </w:t>
            </w:r>
            <w:r>
              <w:rPr>
                <w:rFonts w:hint="eastAsia"/>
                <w:sz w:val="21"/>
                <w:szCs w:val="21"/>
              </w:rPr>
              <w:t>样水杯未清洁</w:t>
            </w:r>
          </w:p>
          <w:p>
            <w:pPr>
              <w:pStyle w:val="69"/>
              <w:rPr>
                <w:sz w:val="21"/>
                <w:szCs w:val="21"/>
              </w:rPr>
            </w:pPr>
            <w:r>
              <w:rPr>
                <w:rFonts w:hint="eastAsia"/>
                <w:sz w:val="21"/>
                <w:szCs w:val="21"/>
                <w:lang w:eastAsia="zh-CN"/>
              </w:rPr>
              <w:t xml:space="preserve">□ </w:t>
            </w:r>
            <w:r>
              <w:rPr>
                <w:rFonts w:hint="eastAsia"/>
                <w:sz w:val="21"/>
                <w:szCs w:val="21"/>
              </w:rPr>
              <w:t>未保持仪器及管路干净整洁，有漏液情况</w:t>
            </w:r>
          </w:p>
          <w:p>
            <w:pPr>
              <w:pStyle w:val="69"/>
              <w:rPr>
                <w:sz w:val="21"/>
                <w:szCs w:val="21"/>
              </w:rPr>
            </w:pPr>
            <w:r>
              <w:rPr>
                <w:rFonts w:hint="eastAsia"/>
                <w:sz w:val="21"/>
                <w:szCs w:val="21"/>
              </w:rPr>
              <w:sym w:font="Wingdings 2" w:char="00A3"/>
            </w:r>
            <w:r>
              <w:rPr>
                <w:rFonts w:hint="eastAsia"/>
                <w:sz w:val="21"/>
                <w:szCs w:val="21"/>
                <w:lang w:val="en-US" w:eastAsia="zh-CN"/>
              </w:rPr>
              <w:t xml:space="preserve"> </w:t>
            </w:r>
            <w:r>
              <w:rPr>
                <w:rFonts w:hint="eastAsia"/>
                <w:sz w:val="21"/>
                <w:szCs w:val="21"/>
              </w:rPr>
              <w:t>试剂、标准溶液超过有效期仍在使用，或有效期设置不规范</w:t>
            </w:r>
          </w:p>
          <w:p>
            <w:pPr>
              <w:pStyle w:val="69"/>
              <w:rPr>
                <w:sz w:val="21"/>
                <w:szCs w:val="21"/>
              </w:rPr>
            </w:pPr>
            <w:r>
              <w:rPr>
                <w:rFonts w:hint="eastAsia"/>
                <w:sz w:val="21"/>
                <w:szCs w:val="21"/>
                <w:lang w:eastAsia="zh-CN"/>
              </w:rPr>
              <w:sym w:font="Wingdings 2" w:char="00A3"/>
            </w:r>
            <w:r>
              <w:rPr>
                <w:rFonts w:hint="eastAsia"/>
                <w:sz w:val="21"/>
                <w:szCs w:val="21"/>
                <w:lang w:eastAsia="zh-CN"/>
              </w:rPr>
              <w:t xml:space="preserve"> </w:t>
            </w:r>
            <w:r>
              <w:rPr>
                <w:rFonts w:hint="eastAsia"/>
                <w:sz w:val="21"/>
                <w:szCs w:val="21"/>
              </w:rPr>
              <w:t xml:space="preserve">试剂、标准溶液未按要求存放，未贴标签，或标签不规范 </w:t>
            </w:r>
          </w:p>
          <w:p>
            <w:pPr>
              <w:pStyle w:val="69"/>
              <w:rPr>
                <w:sz w:val="21"/>
                <w:szCs w:val="21"/>
              </w:rPr>
            </w:pPr>
            <w:r>
              <w:rPr>
                <w:rFonts w:hint="eastAsia"/>
                <w:sz w:val="21"/>
                <w:szCs w:val="21"/>
                <w:lang w:eastAsia="zh-CN"/>
              </w:rPr>
              <w:sym w:font="Wingdings 2" w:char="00A3"/>
            </w:r>
            <w:r>
              <w:rPr>
                <w:rFonts w:hint="eastAsia"/>
                <w:sz w:val="21"/>
                <w:szCs w:val="21"/>
                <w:lang w:eastAsia="zh-CN"/>
              </w:rPr>
              <w:t xml:space="preserve"> </w:t>
            </w:r>
            <w:r>
              <w:rPr>
                <w:rFonts w:hint="eastAsia"/>
                <w:sz w:val="21"/>
                <w:szCs w:val="21"/>
              </w:rPr>
              <w:t>仪器更换试剂（清洗水</w:t>
            </w:r>
            <w:r>
              <w:rPr>
                <w:rFonts w:hint="eastAsia"/>
                <w:sz w:val="21"/>
                <w:szCs w:val="21"/>
                <w:lang w:val="en-US" w:eastAsia="zh-CN"/>
              </w:rPr>
              <w:t>除</w:t>
            </w:r>
            <w:r>
              <w:rPr>
                <w:rFonts w:hint="eastAsia"/>
                <w:sz w:val="21"/>
                <w:szCs w:val="21"/>
              </w:rPr>
              <w:t xml:space="preserve">外），未进行校准或标液核查 </w:t>
            </w:r>
          </w:p>
          <w:p>
            <w:pPr>
              <w:pStyle w:val="69"/>
              <w:rPr>
                <w:sz w:val="21"/>
                <w:szCs w:val="21"/>
              </w:rPr>
            </w:pPr>
            <w:r>
              <w:rPr>
                <w:rFonts w:hint="eastAsia"/>
                <w:sz w:val="21"/>
                <w:szCs w:val="21"/>
                <w:lang w:eastAsia="zh-CN"/>
              </w:rPr>
              <w:sym w:font="Wingdings 2" w:char="00A3"/>
            </w:r>
            <w:r>
              <w:rPr>
                <w:rFonts w:hint="eastAsia"/>
                <w:sz w:val="21"/>
                <w:szCs w:val="21"/>
                <w:lang w:eastAsia="zh-CN"/>
              </w:rPr>
              <w:t xml:space="preserve"> </w:t>
            </w:r>
            <w:r>
              <w:rPr>
                <w:rFonts w:hint="eastAsia"/>
                <w:sz w:val="21"/>
                <w:szCs w:val="21"/>
              </w:rPr>
              <w:t>仪器更换关键部件后，未进行多点线性或实际水样比对</w:t>
            </w:r>
          </w:p>
          <w:p>
            <w:pPr>
              <w:pStyle w:val="69"/>
              <w:rPr>
                <w:sz w:val="21"/>
                <w:szCs w:val="21"/>
                <w:u w:val="single"/>
                <w:lang w:val="en-US" w:eastAsia="zh-CN"/>
              </w:rPr>
            </w:pPr>
            <w:r>
              <w:rPr>
                <w:rFonts w:hint="eastAsia"/>
                <w:sz w:val="21"/>
                <w:szCs w:val="21"/>
              </w:rPr>
              <w:t>备注：一项不合格扣除2分</w:t>
            </w:r>
          </w:p>
        </w:tc>
        <w:tc>
          <w:tcPr>
            <w:tcW w:w="2250" w:type="dxa"/>
            <w:noWrap w:val="0"/>
            <w:vAlign w:val="bottom"/>
          </w:tcPr>
          <w:p>
            <w:pPr>
              <w:pStyle w:val="69"/>
              <w:rPr>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restart"/>
            <w:noWrap w:val="0"/>
            <w:vAlign w:val="center"/>
          </w:tcPr>
          <w:p>
            <w:pPr>
              <w:pStyle w:val="69"/>
              <w:spacing w:line="293" w:lineRule="exact"/>
              <w:jc w:val="center"/>
              <w:rPr>
                <w:b/>
                <w:bCs/>
                <w:sz w:val="21"/>
                <w:szCs w:val="21"/>
                <w:u w:val="single"/>
                <w:lang w:val="en-US" w:eastAsia="zh-CN"/>
              </w:rPr>
            </w:pPr>
            <w:r>
              <w:rPr>
                <w:rFonts w:hint="eastAsia"/>
                <w:b/>
                <w:bCs/>
                <w:sz w:val="21"/>
                <w:szCs w:val="21"/>
              </w:rPr>
              <w:t>运推规范性问题</w:t>
            </w:r>
          </w:p>
        </w:tc>
        <w:tc>
          <w:tcPr>
            <w:tcW w:w="1275" w:type="dxa"/>
            <w:noWrap w:val="0"/>
            <w:vAlign w:val="center"/>
          </w:tcPr>
          <w:p>
            <w:pPr>
              <w:pStyle w:val="69"/>
              <w:kinsoku w:val="0"/>
              <w:autoSpaceDE w:val="0"/>
              <w:autoSpaceDN w:val="0"/>
              <w:adjustRightInd w:val="0"/>
              <w:snapToGrid w:val="0"/>
              <w:jc w:val="center"/>
              <w:textAlignment w:val="baseline"/>
              <w:rPr>
                <w:b/>
                <w:bCs/>
                <w:sz w:val="21"/>
                <w:szCs w:val="21"/>
                <w:u w:val="single"/>
                <w:lang w:val="en-US" w:eastAsia="zh-CN"/>
              </w:rPr>
            </w:pPr>
            <w:r>
              <w:rPr>
                <w:rFonts w:hint="eastAsia"/>
                <w:b/>
                <w:bCs/>
                <w:color w:val="37363D"/>
                <w:sz w:val="21"/>
                <w:szCs w:val="21"/>
              </w:rPr>
              <w:t>异常处理</w:t>
            </w:r>
          </w:p>
        </w:tc>
        <w:tc>
          <w:tcPr>
            <w:tcW w:w="662" w:type="dxa"/>
            <w:noWrap w:val="0"/>
            <w:vAlign w:val="center"/>
          </w:tcPr>
          <w:p>
            <w:pPr>
              <w:pStyle w:val="69"/>
              <w:kinsoku w:val="0"/>
              <w:autoSpaceDE w:val="0"/>
              <w:autoSpaceDN w:val="0"/>
              <w:adjustRightInd w:val="0"/>
              <w:snapToGrid w:val="0"/>
              <w:jc w:val="center"/>
              <w:textAlignment w:val="baseline"/>
              <w:rPr>
                <w:sz w:val="21"/>
                <w:szCs w:val="21"/>
                <w:u w:val="single"/>
                <w:lang w:val="en-US" w:eastAsia="zh-CN"/>
              </w:rPr>
            </w:pPr>
            <w:r>
              <w:rPr>
                <w:rFonts w:hint="eastAsia"/>
                <w:sz w:val="21"/>
                <w:szCs w:val="21"/>
                <w:lang w:val="en-US" w:eastAsia="zh-CN"/>
              </w:rPr>
              <w:t>12</w:t>
            </w:r>
          </w:p>
        </w:tc>
        <w:tc>
          <w:tcPr>
            <w:tcW w:w="650" w:type="dxa"/>
            <w:noWrap w:val="0"/>
            <w:vAlign w:val="center"/>
          </w:tcPr>
          <w:p>
            <w:pPr>
              <w:jc w:val="center"/>
              <w:rPr>
                <w:rFonts w:ascii="宋体" w:hAnsi="宋体" w:cs="宋体"/>
                <w:szCs w:val="21"/>
                <w:u w:val="single"/>
              </w:rPr>
            </w:pPr>
          </w:p>
        </w:tc>
        <w:tc>
          <w:tcPr>
            <w:tcW w:w="5100" w:type="dxa"/>
            <w:noWrap w:val="0"/>
            <w:vAlign w:val="bottom"/>
          </w:tcPr>
          <w:p>
            <w:pPr>
              <w:pStyle w:val="69"/>
              <w:rPr>
                <w:sz w:val="21"/>
                <w:szCs w:val="21"/>
              </w:rPr>
            </w:pPr>
            <w:r>
              <w:rPr>
                <w:rFonts w:hint="eastAsia"/>
                <w:sz w:val="21"/>
                <w:szCs w:val="21"/>
                <w:lang w:eastAsia="zh-CN"/>
              </w:rPr>
              <w:t xml:space="preserve">□ </w:t>
            </w:r>
            <w:r>
              <w:rPr>
                <w:rFonts w:hint="eastAsia"/>
                <w:sz w:val="21"/>
                <w:szCs w:val="21"/>
              </w:rPr>
              <w:t xml:space="preserve"> 一般故障未在8小时内（工作时间）响应，24小时内解决，故障处理过程无对应台账记录</w:t>
            </w:r>
          </w:p>
          <w:p>
            <w:pPr>
              <w:pStyle w:val="69"/>
              <w:rPr>
                <w:sz w:val="21"/>
                <w:szCs w:val="21"/>
              </w:rPr>
            </w:pPr>
            <w:r>
              <w:rPr>
                <w:rFonts w:hint="eastAsia"/>
                <w:sz w:val="21"/>
                <w:szCs w:val="21"/>
                <w:lang w:eastAsia="zh-CN"/>
              </w:rPr>
              <w:t xml:space="preserve">□ </w:t>
            </w:r>
            <w:r>
              <w:rPr>
                <w:rFonts w:hint="eastAsia"/>
                <w:sz w:val="21"/>
                <w:szCs w:val="21"/>
              </w:rPr>
              <w:t>不易诊断和检修故障48小时内未制定解决方案，未按要求开展补测</w:t>
            </w:r>
          </w:p>
          <w:p>
            <w:pPr>
              <w:pStyle w:val="69"/>
              <w:rPr>
                <w:sz w:val="21"/>
                <w:szCs w:val="21"/>
              </w:rPr>
            </w:pPr>
            <w:r>
              <w:rPr>
                <w:rFonts w:hint="eastAsia"/>
                <w:sz w:val="21"/>
                <w:szCs w:val="21"/>
                <w:lang w:eastAsia="zh-CN"/>
              </w:rPr>
              <w:t xml:space="preserve">□ </w:t>
            </w:r>
            <w:r>
              <w:rPr>
                <w:rFonts w:hint="eastAsia"/>
                <w:sz w:val="21"/>
                <w:szCs w:val="21"/>
              </w:rPr>
              <w:t>仪器设备未及时开展预防性维护，检查当日不能正常运行</w:t>
            </w:r>
          </w:p>
          <w:p>
            <w:pPr>
              <w:pStyle w:val="69"/>
              <w:rPr>
                <w:sz w:val="21"/>
                <w:szCs w:val="21"/>
                <w:u w:val="single"/>
                <w:lang w:val="en-US" w:eastAsia="zh-CN"/>
              </w:rPr>
            </w:pPr>
            <w:r>
              <w:rPr>
                <w:rFonts w:hint="eastAsia"/>
                <w:sz w:val="21"/>
                <w:szCs w:val="21"/>
              </w:rPr>
              <w:t>备注：一项不合格扣</w:t>
            </w:r>
            <w:r>
              <w:rPr>
                <w:rFonts w:hint="eastAsia"/>
                <w:sz w:val="21"/>
                <w:szCs w:val="21"/>
                <w:lang w:val="en-US" w:eastAsia="zh-CN"/>
              </w:rPr>
              <w:t>4</w:t>
            </w:r>
            <w:r>
              <w:rPr>
                <w:rFonts w:hint="eastAsia"/>
                <w:sz w:val="21"/>
                <w:szCs w:val="21"/>
              </w:rPr>
              <w:t>分</w:t>
            </w:r>
          </w:p>
        </w:tc>
        <w:tc>
          <w:tcPr>
            <w:tcW w:w="2250" w:type="dxa"/>
            <w:noWrap w:val="0"/>
            <w:vAlign w:val="center"/>
          </w:tcPr>
          <w:p>
            <w:pPr>
              <w:pStyle w:val="69"/>
              <w:jc w:val="center"/>
              <w:rPr>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jc w:val="center"/>
              <w:rPr>
                <w:rFonts w:ascii="宋体" w:hAnsi="宋体" w:cs="宋体"/>
                <w:b/>
                <w:bCs/>
                <w:szCs w:val="21"/>
                <w:u w:val="single"/>
              </w:rPr>
            </w:pPr>
          </w:p>
        </w:tc>
        <w:tc>
          <w:tcPr>
            <w:tcW w:w="1275" w:type="dxa"/>
            <w:noWrap w:val="0"/>
            <w:vAlign w:val="center"/>
          </w:tcPr>
          <w:p>
            <w:pPr>
              <w:pStyle w:val="69"/>
              <w:kinsoku w:val="0"/>
              <w:autoSpaceDE w:val="0"/>
              <w:autoSpaceDN w:val="0"/>
              <w:adjustRightInd w:val="0"/>
              <w:snapToGrid w:val="0"/>
              <w:jc w:val="center"/>
              <w:textAlignment w:val="baseline"/>
              <w:rPr>
                <w:b/>
                <w:bCs/>
                <w:sz w:val="21"/>
                <w:szCs w:val="21"/>
                <w:u w:val="single"/>
                <w:lang w:val="en-US" w:eastAsia="zh-CN"/>
              </w:rPr>
            </w:pPr>
            <w:r>
              <w:rPr>
                <w:rFonts w:hint="eastAsia"/>
                <w:b/>
                <w:bCs/>
                <w:color w:val="37363D"/>
                <w:sz w:val="21"/>
                <w:szCs w:val="21"/>
              </w:rPr>
              <w:t>档案记录规范填</w:t>
            </w:r>
            <w:r>
              <w:rPr>
                <w:rFonts w:hint="eastAsia"/>
                <w:b/>
                <w:bCs/>
                <w:sz w:val="21"/>
                <w:szCs w:val="21"/>
              </w:rPr>
              <w:t>写</w:t>
            </w:r>
          </w:p>
        </w:tc>
        <w:tc>
          <w:tcPr>
            <w:tcW w:w="662" w:type="dxa"/>
            <w:noWrap w:val="0"/>
            <w:vAlign w:val="center"/>
          </w:tcPr>
          <w:p>
            <w:pPr>
              <w:pStyle w:val="69"/>
              <w:kinsoku w:val="0"/>
              <w:autoSpaceDE w:val="0"/>
              <w:autoSpaceDN w:val="0"/>
              <w:adjustRightInd w:val="0"/>
              <w:snapToGrid w:val="0"/>
              <w:jc w:val="center"/>
              <w:textAlignment w:val="baseline"/>
              <w:rPr>
                <w:sz w:val="21"/>
                <w:szCs w:val="21"/>
                <w:u w:val="single"/>
                <w:lang w:val="en-US" w:eastAsia="zh-CN"/>
              </w:rPr>
            </w:pPr>
            <w:r>
              <w:rPr>
                <w:rFonts w:hint="eastAsia"/>
                <w:sz w:val="21"/>
                <w:szCs w:val="21"/>
              </w:rPr>
              <w:t>1</w:t>
            </w:r>
            <w:r>
              <w:rPr>
                <w:rFonts w:hint="eastAsia"/>
                <w:sz w:val="21"/>
                <w:szCs w:val="21"/>
                <w:lang w:val="en-US" w:eastAsia="zh-CN"/>
              </w:rPr>
              <w:t>2</w:t>
            </w:r>
          </w:p>
        </w:tc>
        <w:tc>
          <w:tcPr>
            <w:tcW w:w="650" w:type="dxa"/>
            <w:noWrap w:val="0"/>
            <w:vAlign w:val="center"/>
          </w:tcPr>
          <w:p>
            <w:pPr>
              <w:jc w:val="center"/>
              <w:rPr>
                <w:rFonts w:ascii="宋体" w:hAnsi="宋体" w:cs="宋体"/>
                <w:szCs w:val="21"/>
                <w:u w:val="single"/>
              </w:rPr>
            </w:pPr>
          </w:p>
        </w:tc>
        <w:tc>
          <w:tcPr>
            <w:tcW w:w="5100" w:type="dxa"/>
            <w:noWrap w:val="0"/>
            <w:vAlign w:val="top"/>
          </w:tcPr>
          <w:p>
            <w:pPr>
              <w:pStyle w:val="69"/>
              <w:rPr>
                <w:sz w:val="21"/>
                <w:szCs w:val="21"/>
              </w:rPr>
            </w:pPr>
            <w:r>
              <w:rPr>
                <w:rFonts w:hint="eastAsia"/>
                <w:sz w:val="21"/>
                <w:szCs w:val="21"/>
                <w:lang w:eastAsia="zh-CN"/>
              </w:rPr>
              <w:t xml:space="preserve">□ </w:t>
            </w:r>
            <w:r>
              <w:rPr>
                <w:rFonts w:hint="eastAsia"/>
                <w:sz w:val="21"/>
                <w:szCs w:val="21"/>
              </w:rPr>
              <w:t>无日常巡检记录或记录不准确、不完整</w:t>
            </w:r>
          </w:p>
          <w:p>
            <w:pPr>
              <w:pStyle w:val="69"/>
              <w:rPr>
                <w:sz w:val="21"/>
                <w:szCs w:val="21"/>
              </w:rPr>
            </w:pPr>
            <w:r>
              <w:rPr>
                <w:rFonts w:hint="eastAsia"/>
                <w:sz w:val="21"/>
                <w:szCs w:val="21"/>
                <w:lang w:eastAsia="zh-CN"/>
              </w:rPr>
              <w:t xml:space="preserve">□ </w:t>
            </w:r>
            <w:r>
              <w:rPr>
                <w:rFonts w:hint="eastAsia"/>
                <w:sz w:val="21"/>
                <w:szCs w:val="21"/>
              </w:rPr>
              <w:t>无试剂、标准样品更换记录或记录不准确、不完整</w:t>
            </w:r>
          </w:p>
          <w:p>
            <w:pPr>
              <w:pStyle w:val="69"/>
              <w:rPr>
                <w:sz w:val="21"/>
                <w:szCs w:val="21"/>
                <w:lang w:eastAsia="zh-CN"/>
              </w:rPr>
            </w:pPr>
            <w:r>
              <w:rPr>
                <w:rFonts w:hint="eastAsia"/>
                <w:sz w:val="21"/>
                <w:szCs w:val="21"/>
                <w:lang w:eastAsia="zh-CN"/>
              </w:rPr>
              <w:t xml:space="preserve">□ </w:t>
            </w:r>
            <w:r>
              <w:rPr>
                <w:rFonts w:hint="eastAsia"/>
                <w:sz w:val="21"/>
                <w:szCs w:val="21"/>
              </w:rPr>
              <w:t>无耗材、配件更换记录或记录不准确、不完整</w:t>
            </w:r>
            <w:r>
              <w:rPr>
                <w:rFonts w:hint="eastAsia"/>
                <w:sz w:val="21"/>
                <w:szCs w:val="21"/>
                <w:lang w:eastAsia="zh-CN"/>
              </w:rPr>
              <w:t xml:space="preserve"> </w:t>
            </w:r>
          </w:p>
          <w:p>
            <w:pPr>
              <w:pStyle w:val="69"/>
              <w:rPr>
                <w:sz w:val="21"/>
                <w:szCs w:val="21"/>
              </w:rPr>
            </w:pPr>
            <w:r>
              <w:rPr>
                <w:rFonts w:hint="eastAsia"/>
                <w:sz w:val="21"/>
                <w:szCs w:val="21"/>
                <w:lang w:eastAsia="zh-CN"/>
              </w:rPr>
              <w:t xml:space="preserve">□ </w:t>
            </w:r>
            <w:r>
              <w:rPr>
                <w:rFonts w:hint="eastAsia"/>
                <w:sz w:val="21"/>
                <w:szCs w:val="21"/>
              </w:rPr>
              <w:t xml:space="preserve">无仪器设备检修记录或记录不完整、不规范 </w:t>
            </w:r>
          </w:p>
          <w:p>
            <w:pPr>
              <w:pStyle w:val="69"/>
              <w:rPr>
                <w:sz w:val="21"/>
                <w:szCs w:val="21"/>
              </w:rPr>
            </w:pPr>
            <w:r>
              <w:rPr>
                <w:rFonts w:hint="eastAsia"/>
                <w:sz w:val="21"/>
                <w:szCs w:val="21"/>
                <w:lang w:eastAsia="zh-CN"/>
              </w:rPr>
              <w:sym w:font="Wingdings 2" w:char="00A3"/>
            </w:r>
            <w:r>
              <w:rPr>
                <w:rFonts w:hint="eastAsia"/>
                <w:sz w:val="21"/>
                <w:szCs w:val="21"/>
                <w:lang w:eastAsia="zh-CN"/>
              </w:rPr>
              <w:t xml:space="preserve"> </w:t>
            </w:r>
            <w:r>
              <w:rPr>
                <w:rFonts w:hint="eastAsia"/>
                <w:sz w:val="21"/>
                <w:szCs w:val="21"/>
              </w:rPr>
              <w:t>无仪器校准记录或记录不完整、不规范</w:t>
            </w:r>
          </w:p>
          <w:p>
            <w:pPr>
              <w:pStyle w:val="69"/>
              <w:rPr>
                <w:sz w:val="21"/>
                <w:szCs w:val="21"/>
                <w:lang w:eastAsia="zh-CN"/>
              </w:rPr>
            </w:pPr>
            <w:r>
              <w:rPr>
                <w:rFonts w:hint="eastAsia"/>
                <w:sz w:val="21"/>
                <w:szCs w:val="21"/>
                <w:lang w:eastAsia="zh-CN"/>
              </w:rPr>
              <w:t xml:space="preserve">□ </w:t>
            </w:r>
            <w:r>
              <w:rPr>
                <w:rFonts w:hint="eastAsia"/>
                <w:sz w:val="21"/>
                <w:szCs w:val="21"/>
              </w:rPr>
              <w:t>无每月实际水样比对记录或记录不完整、不规范</w:t>
            </w:r>
            <w:r>
              <w:rPr>
                <w:rFonts w:hint="eastAsia"/>
                <w:sz w:val="21"/>
                <w:szCs w:val="21"/>
                <w:lang w:eastAsia="zh-CN"/>
              </w:rPr>
              <w:t xml:space="preserve"> </w:t>
            </w:r>
          </w:p>
          <w:p>
            <w:pPr>
              <w:pStyle w:val="69"/>
              <w:rPr>
                <w:sz w:val="21"/>
                <w:szCs w:val="21"/>
              </w:rPr>
            </w:pPr>
            <w:r>
              <w:rPr>
                <w:rFonts w:hint="eastAsia"/>
                <w:sz w:val="21"/>
                <w:szCs w:val="21"/>
                <w:lang w:eastAsia="zh-CN"/>
              </w:rPr>
              <w:sym w:font="Wingdings 2" w:char="00A3"/>
            </w:r>
            <w:r>
              <w:rPr>
                <w:rFonts w:hint="eastAsia"/>
                <w:sz w:val="21"/>
                <w:szCs w:val="21"/>
                <w:lang w:eastAsia="zh-CN"/>
              </w:rPr>
              <w:t xml:space="preserve"> </w:t>
            </w:r>
            <w:r>
              <w:rPr>
                <w:rFonts w:hint="eastAsia"/>
                <w:sz w:val="21"/>
                <w:szCs w:val="21"/>
              </w:rPr>
              <w:t>无停运补测记录或记录不准确、不完整</w:t>
            </w:r>
          </w:p>
          <w:p>
            <w:pPr>
              <w:pStyle w:val="69"/>
              <w:rPr>
                <w:sz w:val="21"/>
                <w:szCs w:val="21"/>
                <w:u w:val="single"/>
                <w:lang w:val="en-US" w:eastAsia="zh-CN"/>
              </w:rPr>
            </w:pPr>
            <w:r>
              <w:rPr>
                <w:rFonts w:hint="eastAsia"/>
                <w:sz w:val="21"/>
                <w:szCs w:val="21"/>
              </w:rPr>
              <w:t>备注：一项不合格扣2分，扣分上限为单项分值</w:t>
            </w:r>
          </w:p>
        </w:tc>
        <w:tc>
          <w:tcPr>
            <w:tcW w:w="2250" w:type="dxa"/>
            <w:noWrap w:val="0"/>
            <w:vAlign w:val="top"/>
          </w:tcPr>
          <w:p>
            <w:pPr>
              <w:pStyle w:val="69"/>
              <w:jc w:val="center"/>
              <w:rPr>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jc w:val="center"/>
              <w:rPr>
                <w:rFonts w:ascii="宋体" w:hAnsi="宋体" w:cs="宋体"/>
                <w:b/>
                <w:bCs/>
                <w:szCs w:val="21"/>
                <w:u w:val="single"/>
              </w:rPr>
            </w:pPr>
          </w:p>
        </w:tc>
        <w:tc>
          <w:tcPr>
            <w:tcW w:w="1275" w:type="dxa"/>
            <w:noWrap w:val="0"/>
            <w:vAlign w:val="center"/>
          </w:tcPr>
          <w:p>
            <w:pPr>
              <w:pStyle w:val="69"/>
              <w:kinsoku w:val="0"/>
              <w:autoSpaceDE w:val="0"/>
              <w:autoSpaceDN w:val="0"/>
              <w:adjustRightInd w:val="0"/>
              <w:snapToGrid w:val="0"/>
              <w:jc w:val="center"/>
              <w:textAlignment w:val="baseline"/>
              <w:rPr>
                <w:b/>
                <w:bCs/>
                <w:sz w:val="21"/>
                <w:szCs w:val="21"/>
              </w:rPr>
            </w:pPr>
            <w:r>
              <w:rPr>
                <w:rFonts w:hint="eastAsia"/>
                <w:b/>
                <w:bCs/>
                <w:sz w:val="21"/>
                <w:szCs w:val="21"/>
                <w:lang w:val="en-US" w:eastAsia="zh-CN"/>
              </w:rPr>
              <w:t>人员</w:t>
            </w:r>
          </w:p>
        </w:tc>
        <w:tc>
          <w:tcPr>
            <w:tcW w:w="662" w:type="dxa"/>
            <w:noWrap w:val="0"/>
            <w:vAlign w:val="center"/>
          </w:tcPr>
          <w:p>
            <w:pPr>
              <w:pStyle w:val="69"/>
              <w:kinsoku w:val="0"/>
              <w:autoSpaceDE w:val="0"/>
              <w:autoSpaceDN w:val="0"/>
              <w:adjustRightInd w:val="0"/>
              <w:snapToGrid w:val="0"/>
              <w:jc w:val="center"/>
              <w:textAlignment w:val="baseline"/>
              <w:rPr>
                <w:sz w:val="21"/>
                <w:szCs w:val="21"/>
              </w:rPr>
            </w:pPr>
            <w:r>
              <w:rPr>
                <w:rFonts w:hint="eastAsia"/>
                <w:sz w:val="21"/>
                <w:szCs w:val="21"/>
                <w:lang w:val="en-US" w:eastAsia="zh-CN"/>
              </w:rPr>
              <w:t>5</w:t>
            </w:r>
          </w:p>
        </w:tc>
        <w:tc>
          <w:tcPr>
            <w:tcW w:w="650" w:type="dxa"/>
            <w:noWrap w:val="0"/>
            <w:vAlign w:val="center"/>
          </w:tcPr>
          <w:p>
            <w:pPr>
              <w:pStyle w:val="69"/>
              <w:jc w:val="center"/>
              <w:rPr>
                <w:sz w:val="21"/>
                <w:szCs w:val="21"/>
                <w:u w:val="single"/>
                <w:lang w:val="en-US" w:eastAsia="zh-CN"/>
              </w:rPr>
            </w:pPr>
          </w:p>
        </w:tc>
        <w:tc>
          <w:tcPr>
            <w:tcW w:w="5100" w:type="dxa"/>
            <w:noWrap w:val="0"/>
            <w:vAlign w:val="center"/>
          </w:tcPr>
          <w:p>
            <w:pPr>
              <w:pStyle w:val="70"/>
              <w:rPr>
                <w:sz w:val="21"/>
                <w:szCs w:val="21"/>
              </w:rPr>
            </w:pPr>
            <w:r>
              <w:rPr>
                <w:rFonts w:hint="eastAsia"/>
                <w:sz w:val="21"/>
                <w:szCs w:val="21"/>
                <w:lang w:eastAsia="zh-CN"/>
              </w:rPr>
              <w:t xml:space="preserve">□ </w:t>
            </w:r>
            <w:r>
              <w:rPr>
                <w:rFonts w:hint="eastAsia"/>
                <w:sz w:val="21"/>
                <w:szCs w:val="21"/>
              </w:rPr>
              <w:t>运维人员未持有</w:t>
            </w:r>
            <w:r>
              <w:rPr>
                <w:rFonts w:hint="eastAsia"/>
                <w:sz w:val="21"/>
                <w:szCs w:val="21"/>
                <w:lang w:val="en-US" w:eastAsia="zh-CN"/>
              </w:rPr>
              <w:t>省级以上机构</w:t>
            </w:r>
            <w:r>
              <w:rPr>
                <w:rFonts w:hint="eastAsia"/>
                <w:sz w:val="21"/>
                <w:szCs w:val="21"/>
              </w:rPr>
              <w:t>颁发的培训合格证、上岗证，或人证不符</w:t>
            </w:r>
          </w:p>
          <w:p>
            <w:pPr>
              <w:pStyle w:val="70"/>
              <w:rPr>
                <w:sz w:val="21"/>
                <w:szCs w:val="21"/>
              </w:rPr>
            </w:pPr>
            <w:r>
              <w:rPr>
                <w:rFonts w:hint="eastAsia"/>
                <w:sz w:val="21"/>
                <w:szCs w:val="21"/>
                <w:lang w:eastAsia="zh-CN"/>
              </w:rPr>
              <w:t xml:space="preserve">□ </w:t>
            </w:r>
            <w:r>
              <w:rPr>
                <w:rFonts w:hint="eastAsia"/>
                <w:sz w:val="21"/>
                <w:szCs w:val="21"/>
              </w:rPr>
              <w:t>运维人员未按照廉洁保密要求开展工作</w:t>
            </w:r>
          </w:p>
        </w:tc>
        <w:tc>
          <w:tcPr>
            <w:tcW w:w="2250" w:type="dxa"/>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noWrap w:val="0"/>
            <w:vAlign w:val="center"/>
          </w:tcPr>
          <w:p>
            <w:pPr>
              <w:pStyle w:val="69"/>
              <w:spacing w:line="293" w:lineRule="exact"/>
              <w:jc w:val="center"/>
              <w:rPr>
                <w:b/>
                <w:bCs/>
                <w:sz w:val="21"/>
                <w:szCs w:val="21"/>
                <w:u w:val="single"/>
                <w:lang w:val="en-US" w:eastAsia="zh-CN"/>
              </w:rPr>
            </w:pPr>
            <w:r>
              <w:rPr>
                <w:rFonts w:hint="eastAsia"/>
                <w:b/>
                <w:bCs/>
                <w:sz w:val="21"/>
                <w:szCs w:val="21"/>
              </w:rPr>
              <w:t>运维规范性问题</w:t>
            </w:r>
          </w:p>
        </w:tc>
        <w:tc>
          <w:tcPr>
            <w:tcW w:w="1275" w:type="dxa"/>
            <w:noWrap w:val="0"/>
            <w:vAlign w:val="center"/>
          </w:tcPr>
          <w:p>
            <w:pPr>
              <w:pStyle w:val="69"/>
              <w:kinsoku w:val="0"/>
              <w:autoSpaceDE w:val="0"/>
              <w:autoSpaceDN w:val="0"/>
              <w:adjustRightInd w:val="0"/>
              <w:snapToGrid w:val="0"/>
              <w:jc w:val="center"/>
              <w:textAlignment w:val="baseline"/>
              <w:rPr>
                <w:b/>
                <w:bCs/>
                <w:sz w:val="21"/>
                <w:szCs w:val="21"/>
              </w:rPr>
            </w:pPr>
            <w:r>
              <w:rPr>
                <w:rFonts w:hint="eastAsia"/>
                <w:b/>
                <w:bCs/>
                <w:color w:val="37363D"/>
                <w:sz w:val="21"/>
                <w:szCs w:val="21"/>
              </w:rPr>
              <w:t>运维质控</w:t>
            </w:r>
            <w:r>
              <w:rPr>
                <w:rFonts w:hint="eastAsia"/>
                <w:b/>
                <w:bCs/>
                <w:sz w:val="21"/>
                <w:szCs w:val="21"/>
              </w:rPr>
              <w:t>工作规</w:t>
            </w:r>
            <w:r>
              <w:rPr>
                <w:rFonts w:hint="eastAsia"/>
                <w:b/>
                <w:bCs/>
                <w:color w:val="37363D"/>
                <w:sz w:val="21"/>
                <w:szCs w:val="21"/>
              </w:rPr>
              <w:t>范完成</w:t>
            </w:r>
          </w:p>
        </w:tc>
        <w:tc>
          <w:tcPr>
            <w:tcW w:w="662" w:type="dxa"/>
            <w:noWrap w:val="0"/>
            <w:vAlign w:val="center"/>
          </w:tcPr>
          <w:p>
            <w:pPr>
              <w:pStyle w:val="69"/>
              <w:kinsoku w:val="0"/>
              <w:autoSpaceDE w:val="0"/>
              <w:autoSpaceDN w:val="0"/>
              <w:adjustRightInd w:val="0"/>
              <w:snapToGrid w:val="0"/>
              <w:jc w:val="center"/>
              <w:textAlignment w:val="baseline"/>
              <w:rPr>
                <w:sz w:val="21"/>
                <w:szCs w:val="21"/>
              </w:rPr>
            </w:pPr>
            <w:r>
              <w:rPr>
                <w:rFonts w:hint="eastAsia"/>
                <w:sz w:val="21"/>
                <w:szCs w:val="21"/>
              </w:rPr>
              <w:t>1</w:t>
            </w:r>
            <w:r>
              <w:rPr>
                <w:rFonts w:hint="eastAsia"/>
                <w:sz w:val="21"/>
                <w:szCs w:val="21"/>
                <w:lang w:val="en-US" w:eastAsia="zh-CN"/>
              </w:rPr>
              <w:t>5</w:t>
            </w:r>
          </w:p>
        </w:tc>
        <w:tc>
          <w:tcPr>
            <w:tcW w:w="650" w:type="dxa"/>
            <w:noWrap w:val="0"/>
            <w:vAlign w:val="center"/>
          </w:tcPr>
          <w:p>
            <w:pPr>
              <w:pStyle w:val="69"/>
              <w:jc w:val="center"/>
              <w:rPr>
                <w:sz w:val="21"/>
                <w:szCs w:val="21"/>
                <w:u w:val="single"/>
                <w:lang w:val="en-US" w:eastAsia="zh-CN"/>
              </w:rPr>
            </w:pPr>
          </w:p>
        </w:tc>
        <w:tc>
          <w:tcPr>
            <w:tcW w:w="5100" w:type="dxa"/>
            <w:noWrap w:val="0"/>
            <w:vAlign w:val="bottom"/>
          </w:tcPr>
          <w:p>
            <w:pPr>
              <w:pStyle w:val="69"/>
              <w:rPr>
                <w:sz w:val="21"/>
                <w:szCs w:val="21"/>
              </w:rPr>
            </w:pPr>
            <w:r>
              <w:rPr>
                <w:rFonts w:hint="eastAsia"/>
                <w:sz w:val="21"/>
                <w:szCs w:val="21"/>
                <w:lang w:eastAsia="zh-CN"/>
              </w:rPr>
              <w:t xml:space="preserve">□ </w:t>
            </w:r>
            <w:r>
              <w:rPr>
                <w:rFonts w:hint="eastAsia"/>
                <w:sz w:val="21"/>
                <w:szCs w:val="21"/>
              </w:rPr>
              <w:t>标样配制准备不充分、过程不规范</w:t>
            </w:r>
          </w:p>
          <w:p>
            <w:pPr>
              <w:pStyle w:val="69"/>
              <w:rPr>
                <w:sz w:val="21"/>
                <w:szCs w:val="21"/>
              </w:rPr>
            </w:pPr>
            <w:r>
              <w:rPr>
                <w:rFonts w:hint="eastAsia"/>
                <w:sz w:val="21"/>
                <w:szCs w:val="21"/>
                <w:lang w:eastAsia="zh-CN"/>
              </w:rPr>
              <w:t xml:space="preserve">□ </w:t>
            </w:r>
            <w:r>
              <w:rPr>
                <w:rFonts w:hint="eastAsia"/>
                <w:sz w:val="21"/>
                <w:szCs w:val="21"/>
              </w:rPr>
              <w:t>未按要求</w:t>
            </w:r>
            <w:r>
              <w:rPr>
                <w:rFonts w:hint="eastAsia"/>
                <w:sz w:val="21"/>
                <w:szCs w:val="21"/>
                <w:lang w:val="en-US" w:eastAsia="zh-CN"/>
              </w:rPr>
              <w:t>每</w:t>
            </w:r>
            <w:r>
              <w:rPr>
                <w:rFonts w:hint="eastAsia"/>
                <w:sz w:val="21"/>
                <w:szCs w:val="21"/>
              </w:rPr>
              <w:t>周开展标样核查（五参数）</w:t>
            </w:r>
          </w:p>
          <w:p>
            <w:pPr>
              <w:pStyle w:val="69"/>
              <w:rPr>
                <w:sz w:val="21"/>
                <w:szCs w:val="21"/>
                <w:lang w:eastAsia="zh-CN"/>
              </w:rPr>
            </w:pPr>
            <w:r>
              <w:rPr>
                <w:rFonts w:hint="eastAsia"/>
                <w:sz w:val="21"/>
                <w:szCs w:val="21"/>
              </w:rPr>
              <w:sym w:font="Wingdings 2" w:char="00A3"/>
            </w:r>
            <w:r>
              <w:rPr>
                <w:rFonts w:hint="eastAsia"/>
                <w:sz w:val="21"/>
                <w:szCs w:val="21"/>
                <w:lang w:val="en-US" w:eastAsia="zh-CN"/>
              </w:rPr>
              <w:t xml:space="preserve"> </w:t>
            </w:r>
            <w:r>
              <w:rPr>
                <w:rFonts w:hint="eastAsia"/>
                <w:sz w:val="21"/>
                <w:szCs w:val="21"/>
              </w:rPr>
              <w:t>未按要求每月开展多点线性核查</w:t>
            </w:r>
            <w:r>
              <w:rPr>
                <w:rFonts w:hint="eastAsia"/>
                <w:sz w:val="21"/>
                <w:szCs w:val="21"/>
                <w:lang w:eastAsia="zh-CN"/>
              </w:rPr>
              <w:t>（</w:t>
            </w:r>
            <w:r>
              <w:rPr>
                <w:rFonts w:hint="eastAsia"/>
                <w:sz w:val="21"/>
                <w:szCs w:val="21"/>
                <w:lang w:val="en-US" w:eastAsia="zh-CN"/>
              </w:rPr>
              <w:t>高指、氨氮、总磷、总氮</w:t>
            </w:r>
            <w:r>
              <w:rPr>
                <w:rFonts w:hint="eastAsia"/>
                <w:sz w:val="21"/>
                <w:szCs w:val="21"/>
                <w:lang w:eastAsia="zh-CN"/>
              </w:rPr>
              <w:t>）</w:t>
            </w:r>
          </w:p>
          <w:p>
            <w:pPr>
              <w:pStyle w:val="69"/>
              <w:rPr>
                <w:sz w:val="21"/>
                <w:szCs w:val="21"/>
              </w:rPr>
            </w:pPr>
            <w:r>
              <w:rPr>
                <w:rFonts w:hint="eastAsia"/>
                <w:sz w:val="21"/>
                <w:szCs w:val="21"/>
              </w:rPr>
              <w:sym w:font="Wingdings 2" w:char="00A3"/>
            </w:r>
            <w:r>
              <w:rPr>
                <w:rFonts w:hint="eastAsia"/>
                <w:sz w:val="21"/>
                <w:szCs w:val="21"/>
                <w:lang w:val="en-US" w:eastAsia="zh-CN"/>
              </w:rPr>
              <w:t xml:space="preserve"> </w:t>
            </w:r>
            <w:r>
              <w:rPr>
                <w:rFonts w:hint="eastAsia"/>
                <w:sz w:val="21"/>
                <w:szCs w:val="21"/>
              </w:rPr>
              <w:t>未按要求每月开展实际水样比对</w:t>
            </w:r>
          </w:p>
          <w:p>
            <w:pPr>
              <w:pStyle w:val="69"/>
              <w:rPr>
                <w:sz w:val="21"/>
                <w:szCs w:val="21"/>
              </w:rPr>
            </w:pPr>
            <w:r>
              <w:rPr>
                <w:rFonts w:hint="eastAsia"/>
                <w:sz w:val="21"/>
                <w:szCs w:val="21"/>
              </w:rPr>
              <w:sym w:font="Wingdings 2" w:char="00A3"/>
            </w:r>
            <w:r>
              <w:rPr>
                <w:rFonts w:hint="eastAsia"/>
                <w:sz w:val="21"/>
                <w:szCs w:val="21"/>
                <w:lang w:val="en-US" w:eastAsia="zh-CN"/>
              </w:rPr>
              <w:t xml:space="preserve"> </w:t>
            </w:r>
            <w:r>
              <w:rPr>
                <w:rFonts w:hint="eastAsia"/>
                <w:sz w:val="21"/>
                <w:szCs w:val="21"/>
              </w:rPr>
              <w:t>未按要求每月开展集成干预检査</w:t>
            </w:r>
          </w:p>
          <w:p>
            <w:pPr>
              <w:pStyle w:val="69"/>
              <w:rPr>
                <w:sz w:val="21"/>
                <w:szCs w:val="21"/>
              </w:rPr>
            </w:pPr>
            <w:r>
              <w:rPr>
                <w:rFonts w:hint="eastAsia"/>
                <w:sz w:val="21"/>
                <w:szCs w:val="21"/>
              </w:rPr>
              <w:sym w:font="Wingdings 2" w:char="00A3"/>
            </w:r>
            <w:r>
              <w:rPr>
                <w:rFonts w:hint="eastAsia"/>
                <w:sz w:val="21"/>
                <w:szCs w:val="21"/>
                <w:lang w:val="en-US" w:eastAsia="zh-CN"/>
              </w:rPr>
              <w:t xml:space="preserve"> </w:t>
            </w:r>
            <w:r>
              <w:rPr>
                <w:rFonts w:hint="eastAsia"/>
                <w:sz w:val="21"/>
                <w:szCs w:val="21"/>
              </w:rPr>
              <w:t xml:space="preserve">未按要求每月开展加标回收率测试 </w:t>
            </w:r>
          </w:p>
          <w:p>
            <w:pPr>
              <w:pStyle w:val="69"/>
              <w:rPr>
                <w:sz w:val="21"/>
                <w:szCs w:val="21"/>
                <w:lang w:val="en-US" w:eastAsia="zh-CN"/>
              </w:rPr>
            </w:pPr>
            <w:r>
              <w:rPr>
                <w:rFonts w:hint="eastAsia"/>
                <w:sz w:val="21"/>
                <w:szCs w:val="21"/>
                <w:lang w:eastAsia="zh-CN"/>
              </w:rPr>
              <w:t>□</w:t>
            </w:r>
            <w:r>
              <w:rPr>
                <w:rFonts w:hint="eastAsia"/>
                <w:sz w:val="21"/>
                <w:szCs w:val="21"/>
                <w:lang w:val="en-US" w:eastAsia="zh-CN"/>
              </w:rPr>
              <w:t xml:space="preserve"> 生物毒性仪每周开展温度校准和标样测试</w:t>
            </w:r>
          </w:p>
          <w:p>
            <w:pPr>
              <w:pStyle w:val="69"/>
              <w:rPr>
                <w:sz w:val="21"/>
                <w:szCs w:val="21"/>
              </w:rPr>
            </w:pPr>
            <w:r>
              <w:rPr>
                <w:rFonts w:hint="eastAsia"/>
                <w:sz w:val="21"/>
                <w:szCs w:val="21"/>
                <w:lang w:eastAsia="zh-CN"/>
              </w:rPr>
              <w:t xml:space="preserve">□ </w:t>
            </w:r>
            <w:r>
              <w:rPr>
                <w:rFonts w:hint="eastAsia"/>
                <w:sz w:val="21"/>
                <w:szCs w:val="21"/>
              </w:rPr>
              <w:t>未按要求开展停运补测</w:t>
            </w:r>
          </w:p>
          <w:p>
            <w:pPr>
              <w:pStyle w:val="69"/>
              <w:rPr>
                <w:sz w:val="21"/>
                <w:szCs w:val="21"/>
              </w:rPr>
            </w:pPr>
            <w:r>
              <w:rPr>
                <w:rFonts w:hint="eastAsia"/>
                <w:sz w:val="21"/>
                <w:szCs w:val="21"/>
              </w:rPr>
              <w:t>备注：一项不合格扣2分</w:t>
            </w:r>
          </w:p>
        </w:tc>
        <w:tc>
          <w:tcPr>
            <w:tcW w:w="2250" w:type="dxa"/>
            <w:noWrap w:val="0"/>
            <w:vAlign w:val="center"/>
          </w:tcPr>
          <w:p>
            <w:pPr>
              <w:pStyle w:val="69"/>
              <w:jc w:val="right"/>
              <w:rPr>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restart"/>
            <w:noWrap w:val="0"/>
            <w:vAlign w:val="center"/>
          </w:tcPr>
          <w:p>
            <w:pPr>
              <w:pStyle w:val="69"/>
              <w:kinsoku w:val="0"/>
              <w:autoSpaceDE w:val="0"/>
              <w:autoSpaceDN w:val="0"/>
              <w:adjustRightInd w:val="0"/>
              <w:snapToGrid w:val="0"/>
              <w:spacing w:before="240" w:beforeLines="100" w:after="60"/>
              <w:jc w:val="center"/>
              <w:textAlignment w:val="baseline"/>
              <w:rPr>
                <w:b/>
                <w:bCs/>
                <w:sz w:val="21"/>
                <w:szCs w:val="21"/>
              </w:rPr>
            </w:pPr>
            <w:r>
              <w:rPr>
                <w:rFonts w:hint="eastAsia"/>
                <w:b/>
                <w:bCs/>
                <w:sz w:val="21"/>
                <w:szCs w:val="21"/>
              </w:rPr>
              <w:t>运维规范性问題</w:t>
            </w:r>
          </w:p>
        </w:tc>
        <w:tc>
          <w:tcPr>
            <w:tcW w:w="1275" w:type="dxa"/>
            <w:vMerge w:val="restart"/>
            <w:noWrap w:val="0"/>
            <w:vAlign w:val="center"/>
          </w:tcPr>
          <w:p>
            <w:pPr>
              <w:pStyle w:val="69"/>
              <w:kinsoku w:val="0"/>
              <w:autoSpaceDE w:val="0"/>
              <w:autoSpaceDN w:val="0"/>
              <w:adjustRightInd w:val="0"/>
              <w:snapToGrid w:val="0"/>
              <w:jc w:val="center"/>
              <w:textAlignment w:val="baseline"/>
              <w:rPr>
                <w:b/>
                <w:bCs/>
                <w:color w:val="37363D"/>
                <w:sz w:val="21"/>
                <w:szCs w:val="21"/>
              </w:rPr>
            </w:pPr>
            <w:r>
              <w:rPr>
                <w:rFonts w:hint="eastAsia"/>
                <w:b/>
                <w:bCs/>
                <w:color w:val="000000"/>
                <w:kern w:val="0"/>
                <w:sz w:val="21"/>
                <w:szCs w:val="21"/>
                <w:lang w:bidi="ar"/>
              </w:rPr>
              <w:t>五参数现场比对</w:t>
            </w:r>
          </w:p>
        </w:tc>
        <w:tc>
          <w:tcPr>
            <w:tcW w:w="662" w:type="dxa"/>
            <w:vMerge w:val="restart"/>
            <w:noWrap w:val="0"/>
            <w:vAlign w:val="center"/>
          </w:tcPr>
          <w:p>
            <w:pPr>
              <w:pStyle w:val="69"/>
              <w:kinsoku w:val="0"/>
              <w:autoSpaceDE w:val="0"/>
              <w:autoSpaceDN w:val="0"/>
              <w:adjustRightInd w:val="0"/>
              <w:snapToGrid w:val="0"/>
              <w:jc w:val="center"/>
              <w:textAlignment w:val="baseline"/>
              <w:rPr>
                <w:sz w:val="21"/>
                <w:szCs w:val="21"/>
              </w:rPr>
            </w:pPr>
            <w:r>
              <w:rPr>
                <w:rFonts w:hint="eastAsia"/>
                <w:sz w:val="21"/>
                <w:szCs w:val="21"/>
                <w:lang w:val="en-US" w:eastAsia="zh-CN"/>
              </w:rPr>
              <w:t>12</w:t>
            </w:r>
          </w:p>
        </w:tc>
        <w:tc>
          <w:tcPr>
            <w:tcW w:w="650" w:type="dxa"/>
            <w:vMerge w:val="restart"/>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zCs w:val="21"/>
              </w:rPr>
              <w:t>水温现场比对:                                     合格□ 不合格□</w:t>
            </w:r>
            <w:r>
              <w:rPr>
                <w:rFonts w:hint="eastAsia" w:ascii="宋体" w:hAnsi="宋体" w:cs="宋体"/>
                <w:szCs w:val="21"/>
              </w:rPr>
              <w:br w:type="textWrapping"/>
            </w:r>
            <w:r>
              <w:rPr>
                <w:rFonts w:hint="eastAsia" w:ascii="宋体" w:hAnsi="宋体" w:cs="宋体"/>
                <w:snapToGrid w:val="0"/>
                <w:color w:val="000000"/>
                <w:szCs w:val="21"/>
                <w:lang w:val="zh-TW" w:eastAsia="zh-TW" w:bidi="zh-TW"/>
              </w:rPr>
              <w:t xml:space="preserve">便携式仪器值：         在线设备值：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restart"/>
            <w:noWrap w:val="0"/>
            <w:vAlign w:val="top"/>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680"/>
              <w:jc w:val="center"/>
              <w:rPr>
                <w:b/>
                <w:bCs/>
                <w:sz w:val="21"/>
                <w:szCs w:val="21"/>
              </w:rPr>
            </w:pPr>
          </w:p>
        </w:tc>
        <w:tc>
          <w:tcPr>
            <w:tcW w:w="1275" w:type="dxa"/>
            <w:vMerge w:val="continue"/>
            <w:noWrap w:val="0"/>
            <w:vAlign w:val="center"/>
          </w:tcPr>
          <w:p>
            <w:pPr>
              <w:pStyle w:val="69"/>
              <w:kinsoku w:val="0"/>
              <w:autoSpaceDE w:val="0"/>
              <w:autoSpaceDN w:val="0"/>
              <w:adjustRightInd w:val="0"/>
              <w:snapToGrid w:val="0"/>
              <w:jc w:val="center"/>
              <w:textAlignment w:val="baseline"/>
              <w:rPr>
                <w:b/>
                <w:bCs/>
                <w:color w:val="37363D"/>
                <w:sz w:val="21"/>
                <w:szCs w:val="21"/>
              </w:rPr>
            </w:pPr>
          </w:p>
        </w:tc>
        <w:tc>
          <w:tcPr>
            <w:tcW w:w="662" w:type="dxa"/>
            <w:vMerge w:val="continue"/>
            <w:noWrap w:val="0"/>
            <w:vAlign w:val="center"/>
          </w:tcPr>
          <w:p>
            <w:pPr>
              <w:pStyle w:val="69"/>
              <w:kinsoku w:val="0"/>
              <w:autoSpaceDE w:val="0"/>
              <w:autoSpaceDN w:val="0"/>
              <w:adjustRightInd w:val="0"/>
              <w:snapToGrid w:val="0"/>
              <w:jc w:val="center"/>
              <w:textAlignment w:val="baseline"/>
              <w:rPr>
                <w:sz w:val="21"/>
                <w:szCs w:val="21"/>
              </w:rPr>
            </w:pPr>
          </w:p>
        </w:tc>
        <w:tc>
          <w:tcPr>
            <w:tcW w:w="650" w:type="dxa"/>
            <w:vMerge w:val="continue"/>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pH现场比对:                                       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便携式仪器值：         在线设备值：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680"/>
              <w:jc w:val="center"/>
              <w:rPr>
                <w:b/>
                <w:bCs/>
                <w:sz w:val="21"/>
                <w:szCs w:val="21"/>
              </w:rPr>
            </w:pPr>
          </w:p>
        </w:tc>
        <w:tc>
          <w:tcPr>
            <w:tcW w:w="1275" w:type="dxa"/>
            <w:vMerge w:val="continue"/>
            <w:noWrap w:val="0"/>
            <w:vAlign w:val="center"/>
          </w:tcPr>
          <w:p>
            <w:pPr>
              <w:pStyle w:val="69"/>
              <w:kinsoku w:val="0"/>
              <w:autoSpaceDE w:val="0"/>
              <w:autoSpaceDN w:val="0"/>
              <w:adjustRightInd w:val="0"/>
              <w:snapToGrid w:val="0"/>
              <w:jc w:val="center"/>
              <w:textAlignment w:val="baseline"/>
              <w:rPr>
                <w:b/>
                <w:bCs/>
                <w:color w:val="37363D"/>
                <w:sz w:val="21"/>
                <w:szCs w:val="21"/>
              </w:rPr>
            </w:pPr>
          </w:p>
        </w:tc>
        <w:tc>
          <w:tcPr>
            <w:tcW w:w="662" w:type="dxa"/>
            <w:vMerge w:val="continue"/>
            <w:noWrap w:val="0"/>
            <w:vAlign w:val="center"/>
          </w:tcPr>
          <w:p>
            <w:pPr>
              <w:pStyle w:val="69"/>
              <w:kinsoku w:val="0"/>
              <w:autoSpaceDE w:val="0"/>
              <w:autoSpaceDN w:val="0"/>
              <w:adjustRightInd w:val="0"/>
              <w:snapToGrid w:val="0"/>
              <w:jc w:val="center"/>
              <w:textAlignment w:val="baseline"/>
              <w:rPr>
                <w:sz w:val="21"/>
                <w:szCs w:val="21"/>
              </w:rPr>
            </w:pPr>
          </w:p>
        </w:tc>
        <w:tc>
          <w:tcPr>
            <w:tcW w:w="650" w:type="dxa"/>
            <w:vMerge w:val="continue"/>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溶解氧现场比对:                                   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便携式仪器值：         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680"/>
              <w:jc w:val="center"/>
              <w:rPr>
                <w:b/>
                <w:bCs/>
                <w:sz w:val="21"/>
                <w:szCs w:val="21"/>
              </w:rPr>
            </w:pPr>
          </w:p>
        </w:tc>
        <w:tc>
          <w:tcPr>
            <w:tcW w:w="1275" w:type="dxa"/>
            <w:vMerge w:val="continue"/>
            <w:noWrap w:val="0"/>
            <w:vAlign w:val="center"/>
          </w:tcPr>
          <w:p>
            <w:pPr>
              <w:pStyle w:val="69"/>
              <w:kinsoku w:val="0"/>
              <w:autoSpaceDE w:val="0"/>
              <w:autoSpaceDN w:val="0"/>
              <w:adjustRightInd w:val="0"/>
              <w:snapToGrid w:val="0"/>
              <w:jc w:val="center"/>
              <w:textAlignment w:val="baseline"/>
              <w:rPr>
                <w:b/>
                <w:bCs/>
                <w:color w:val="37363D"/>
                <w:sz w:val="21"/>
                <w:szCs w:val="21"/>
              </w:rPr>
            </w:pPr>
          </w:p>
        </w:tc>
        <w:tc>
          <w:tcPr>
            <w:tcW w:w="662" w:type="dxa"/>
            <w:vMerge w:val="continue"/>
            <w:noWrap w:val="0"/>
            <w:vAlign w:val="center"/>
          </w:tcPr>
          <w:p>
            <w:pPr>
              <w:pStyle w:val="69"/>
              <w:kinsoku w:val="0"/>
              <w:autoSpaceDE w:val="0"/>
              <w:autoSpaceDN w:val="0"/>
              <w:adjustRightInd w:val="0"/>
              <w:snapToGrid w:val="0"/>
              <w:jc w:val="center"/>
              <w:textAlignment w:val="baseline"/>
              <w:rPr>
                <w:sz w:val="21"/>
                <w:szCs w:val="21"/>
              </w:rPr>
            </w:pPr>
          </w:p>
        </w:tc>
        <w:tc>
          <w:tcPr>
            <w:tcW w:w="650" w:type="dxa"/>
            <w:vMerge w:val="continue"/>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浊度现场比对:                                     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便携式仪器</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680"/>
              <w:jc w:val="center"/>
              <w:rPr>
                <w:b/>
                <w:bCs/>
                <w:sz w:val="21"/>
                <w:szCs w:val="21"/>
              </w:rPr>
            </w:pPr>
          </w:p>
        </w:tc>
        <w:tc>
          <w:tcPr>
            <w:tcW w:w="1275" w:type="dxa"/>
            <w:vMerge w:val="continue"/>
            <w:noWrap w:val="0"/>
            <w:vAlign w:val="center"/>
          </w:tcPr>
          <w:p>
            <w:pPr>
              <w:pStyle w:val="69"/>
              <w:kinsoku w:val="0"/>
              <w:autoSpaceDE w:val="0"/>
              <w:autoSpaceDN w:val="0"/>
              <w:adjustRightInd w:val="0"/>
              <w:snapToGrid w:val="0"/>
              <w:jc w:val="center"/>
              <w:textAlignment w:val="baseline"/>
              <w:rPr>
                <w:b/>
                <w:bCs/>
                <w:color w:val="37363D"/>
                <w:sz w:val="21"/>
                <w:szCs w:val="21"/>
              </w:rPr>
            </w:pPr>
          </w:p>
        </w:tc>
        <w:tc>
          <w:tcPr>
            <w:tcW w:w="662" w:type="dxa"/>
            <w:vMerge w:val="continue"/>
            <w:noWrap w:val="0"/>
            <w:vAlign w:val="center"/>
          </w:tcPr>
          <w:p>
            <w:pPr>
              <w:pStyle w:val="69"/>
              <w:kinsoku w:val="0"/>
              <w:autoSpaceDE w:val="0"/>
              <w:autoSpaceDN w:val="0"/>
              <w:adjustRightInd w:val="0"/>
              <w:snapToGrid w:val="0"/>
              <w:jc w:val="center"/>
              <w:textAlignment w:val="baseline"/>
              <w:rPr>
                <w:sz w:val="21"/>
                <w:szCs w:val="21"/>
              </w:rPr>
            </w:pPr>
          </w:p>
        </w:tc>
        <w:tc>
          <w:tcPr>
            <w:tcW w:w="650" w:type="dxa"/>
            <w:vMerge w:val="continue"/>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电导率现场比对:                                   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便携式仪器</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pStyle w:val="69"/>
              <w:ind w:firstLine="680"/>
              <w:jc w:val="center"/>
              <w:rPr>
                <w:b/>
                <w:bCs/>
                <w:sz w:val="21"/>
                <w:szCs w:val="21"/>
              </w:rPr>
            </w:pPr>
          </w:p>
        </w:tc>
        <w:tc>
          <w:tcPr>
            <w:tcW w:w="1275" w:type="dxa"/>
            <w:vMerge w:val="continue"/>
            <w:noWrap w:val="0"/>
            <w:vAlign w:val="center"/>
          </w:tcPr>
          <w:p>
            <w:pPr>
              <w:pStyle w:val="69"/>
              <w:kinsoku w:val="0"/>
              <w:autoSpaceDE w:val="0"/>
              <w:autoSpaceDN w:val="0"/>
              <w:adjustRightInd w:val="0"/>
              <w:snapToGrid w:val="0"/>
              <w:jc w:val="center"/>
              <w:textAlignment w:val="baseline"/>
              <w:rPr>
                <w:b/>
                <w:bCs/>
                <w:color w:val="37363D"/>
                <w:sz w:val="21"/>
                <w:szCs w:val="21"/>
              </w:rPr>
            </w:pPr>
          </w:p>
        </w:tc>
        <w:tc>
          <w:tcPr>
            <w:tcW w:w="662" w:type="dxa"/>
            <w:vMerge w:val="continue"/>
            <w:noWrap w:val="0"/>
            <w:vAlign w:val="center"/>
          </w:tcPr>
          <w:p>
            <w:pPr>
              <w:pStyle w:val="69"/>
              <w:kinsoku w:val="0"/>
              <w:autoSpaceDE w:val="0"/>
              <w:autoSpaceDN w:val="0"/>
              <w:adjustRightInd w:val="0"/>
              <w:snapToGrid w:val="0"/>
              <w:jc w:val="center"/>
              <w:textAlignment w:val="baseline"/>
              <w:rPr>
                <w:sz w:val="21"/>
                <w:szCs w:val="21"/>
              </w:rPr>
            </w:pPr>
          </w:p>
        </w:tc>
        <w:tc>
          <w:tcPr>
            <w:tcW w:w="650" w:type="dxa"/>
            <w:vMerge w:val="continue"/>
            <w:noWrap w:val="0"/>
            <w:vAlign w:val="center"/>
          </w:tcPr>
          <w:p>
            <w:pPr>
              <w:jc w:val="center"/>
              <w:rPr>
                <w:rFonts w:ascii="宋体" w:hAnsi="宋体" w:cs="宋体"/>
                <w:szCs w:val="21"/>
                <w:u w:val="single"/>
              </w:rPr>
            </w:pPr>
          </w:p>
        </w:tc>
        <w:tc>
          <w:tcPr>
            <w:tcW w:w="5100" w:type="dxa"/>
            <w:noWrap w:val="0"/>
            <w:vAlign w:val="center"/>
          </w:tcPr>
          <w:p>
            <w:pPr>
              <w:widowControl/>
              <w:jc w:val="left"/>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bidi="zh-TW"/>
              </w:rPr>
              <w:t>总叶绿素</w:t>
            </w:r>
            <w:r>
              <w:rPr>
                <w:rFonts w:hint="eastAsia" w:ascii="宋体" w:hAnsi="宋体" w:cs="宋体"/>
                <w:snapToGrid w:val="0"/>
                <w:color w:val="000000"/>
                <w:szCs w:val="21"/>
                <w:lang w:val="zh-TW" w:eastAsia="zh-TW" w:bidi="zh-TW"/>
              </w:rPr>
              <w:t>现场比对:                                 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便携式仪器</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比对误差：</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jc w:val="center"/>
              <w:rPr>
                <w:rFonts w:ascii="宋体" w:hAnsi="宋体" w:cs="宋体"/>
                <w:b/>
                <w:bCs/>
                <w:szCs w:val="21"/>
              </w:rPr>
            </w:pPr>
          </w:p>
        </w:tc>
        <w:tc>
          <w:tcPr>
            <w:tcW w:w="1275" w:type="dxa"/>
            <w:vMerge w:val="restart"/>
            <w:noWrap w:val="0"/>
            <w:vAlign w:val="center"/>
          </w:tcPr>
          <w:p>
            <w:pPr>
              <w:pStyle w:val="69"/>
              <w:kinsoku w:val="0"/>
              <w:autoSpaceDE w:val="0"/>
              <w:autoSpaceDN w:val="0"/>
              <w:adjustRightInd w:val="0"/>
              <w:snapToGrid w:val="0"/>
              <w:jc w:val="center"/>
              <w:textAlignment w:val="baseline"/>
              <w:rPr>
                <w:b/>
                <w:bCs/>
                <w:color w:val="37363D"/>
                <w:sz w:val="21"/>
                <w:szCs w:val="21"/>
              </w:rPr>
            </w:pPr>
            <w:r>
              <w:rPr>
                <w:rFonts w:hint="eastAsia"/>
                <w:b/>
                <w:bCs/>
                <w:color w:val="000000"/>
                <w:kern w:val="0"/>
                <w:sz w:val="21"/>
                <w:szCs w:val="21"/>
                <w:lang w:bidi="ar"/>
              </w:rPr>
              <w:t>盲样考核</w:t>
            </w:r>
          </w:p>
        </w:tc>
        <w:tc>
          <w:tcPr>
            <w:tcW w:w="662" w:type="dxa"/>
            <w:vMerge w:val="restart"/>
            <w:noWrap w:val="0"/>
            <w:vAlign w:val="center"/>
          </w:tcPr>
          <w:p>
            <w:pPr>
              <w:pStyle w:val="69"/>
              <w:kinsoku w:val="0"/>
              <w:autoSpaceDE w:val="0"/>
              <w:autoSpaceDN w:val="0"/>
              <w:adjustRightInd w:val="0"/>
              <w:snapToGrid w:val="0"/>
              <w:jc w:val="center"/>
              <w:textAlignment w:val="baseline"/>
              <w:rPr>
                <w:sz w:val="21"/>
                <w:szCs w:val="21"/>
              </w:rPr>
            </w:pPr>
            <w:r>
              <w:rPr>
                <w:rFonts w:hint="eastAsia"/>
                <w:sz w:val="21"/>
                <w:szCs w:val="21"/>
              </w:rPr>
              <w:t>20</w:t>
            </w:r>
          </w:p>
        </w:tc>
        <w:tc>
          <w:tcPr>
            <w:tcW w:w="650" w:type="dxa"/>
            <w:vMerge w:val="restart"/>
            <w:noWrap w:val="0"/>
            <w:vAlign w:val="center"/>
          </w:tcPr>
          <w:p>
            <w:pPr>
              <w:pStyle w:val="69"/>
              <w:jc w:val="center"/>
              <w:rPr>
                <w:sz w:val="21"/>
                <w:szCs w:val="21"/>
                <w:u w:val="single"/>
                <w:lang w:val="en-US" w:eastAsia="zh-CN"/>
              </w:rPr>
            </w:pPr>
          </w:p>
        </w:tc>
        <w:tc>
          <w:tcPr>
            <w:tcW w:w="5100" w:type="dxa"/>
            <w:noWrap w:val="0"/>
            <w:vAlign w:val="center"/>
          </w:tcPr>
          <w:p>
            <w:pPr>
              <w:widowControl/>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高锰酸盐指数盲样考核结果(单位：mg/L)</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盲样编号：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盲样浓度：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相对误差：         </w:t>
            </w:r>
          </w:p>
        </w:tc>
        <w:tc>
          <w:tcPr>
            <w:tcW w:w="2250" w:type="dxa"/>
            <w:vMerge w:val="restart"/>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rPr>
                <w:rFonts w:ascii="宋体" w:hAnsi="宋体" w:cs="宋体"/>
                <w:b/>
                <w:bCs/>
                <w:szCs w:val="21"/>
              </w:rPr>
            </w:pPr>
          </w:p>
        </w:tc>
        <w:tc>
          <w:tcPr>
            <w:tcW w:w="1275" w:type="dxa"/>
            <w:vMerge w:val="continue"/>
            <w:noWrap w:val="0"/>
            <w:vAlign w:val="center"/>
          </w:tcPr>
          <w:p>
            <w:pPr>
              <w:pStyle w:val="69"/>
              <w:jc w:val="center"/>
              <w:rPr>
                <w:b/>
                <w:bCs/>
                <w:color w:val="37363D"/>
                <w:sz w:val="21"/>
                <w:szCs w:val="21"/>
              </w:rPr>
            </w:pPr>
          </w:p>
        </w:tc>
        <w:tc>
          <w:tcPr>
            <w:tcW w:w="662" w:type="dxa"/>
            <w:vMerge w:val="continue"/>
            <w:noWrap w:val="0"/>
            <w:vAlign w:val="center"/>
          </w:tcPr>
          <w:p>
            <w:pPr>
              <w:pStyle w:val="69"/>
              <w:ind w:firstLine="420"/>
              <w:rPr>
                <w:sz w:val="21"/>
                <w:szCs w:val="21"/>
              </w:rPr>
            </w:pPr>
          </w:p>
        </w:tc>
        <w:tc>
          <w:tcPr>
            <w:tcW w:w="650" w:type="dxa"/>
            <w:vMerge w:val="continue"/>
            <w:noWrap w:val="0"/>
            <w:vAlign w:val="center"/>
          </w:tcPr>
          <w:p>
            <w:pPr>
              <w:pStyle w:val="69"/>
              <w:rPr>
                <w:sz w:val="21"/>
                <w:szCs w:val="21"/>
                <w:u w:val="single"/>
                <w:lang w:val="en-US" w:eastAsia="zh-CN"/>
              </w:rPr>
            </w:pPr>
          </w:p>
        </w:tc>
        <w:tc>
          <w:tcPr>
            <w:tcW w:w="5100" w:type="dxa"/>
            <w:noWrap w:val="0"/>
            <w:vAlign w:val="center"/>
          </w:tcPr>
          <w:p>
            <w:pPr>
              <w:widowControl/>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 xml:space="preserve">氨氮盲样考核结果（单位：mg/L）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盲样编号：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盲样浓度：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相对误差：          </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rPr>
                <w:rFonts w:ascii="宋体" w:hAnsi="宋体" w:cs="宋体"/>
                <w:b/>
                <w:bCs/>
                <w:szCs w:val="21"/>
              </w:rPr>
            </w:pPr>
          </w:p>
        </w:tc>
        <w:tc>
          <w:tcPr>
            <w:tcW w:w="1275" w:type="dxa"/>
            <w:vMerge w:val="continue"/>
            <w:noWrap w:val="0"/>
            <w:vAlign w:val="center"/>
          </w:tcPr>
          <w:p>
            <w:pPr>
              <w:pStyle w:val="69"/>
              <w:jc w:val="center"/>
              <w:rPr>
                <w:b/>
                <w:bCs/>
                <w:color w:val="37363D"/>
                <w:sz w:val="21"/>
                <w:szCs w:val="21"/>
              </w:rPr>
            </w:pPr>
          </w:p>
        </w:tc>
        <w:tc>
          <w:tcPr>
            <w:tcW w:w="662" w:type="dxa"/>
            <w:vMerge w:val="continue"/>
            <w:noWrap w:val="0"/>
            <w:vAlign w:val="center"/>
          </w:tcPr>
          <w:p>
            <w:pPr>
              <w:pStyle w:val="69"/>
              <w:ind w:firstLine="420"/>
              <w:rPr>
                <w:sz w:val="21"/>
                <w:szCs w:val="21"/>
              </w:rPr>
            </w:pPr>
          </w:p>
        </w:tc>
        <w:tc>
          <w:tcPr>
            <w:tcW w:w="650" w:type="dxa"/>
            <w:vMerge w:val="continue"/>
            <w:noWrap w:val="0"/>
            <w:vAlign w:val="center"/>
          </w:tcPr>
          <w:p>
            <w:pPr>
              <w:pStyle w:val="69"/>
              <w:rPr>
                <w:sz w:val="21"/>
                <w:szCs w:val="21"/>
                <w:u w:val="single"/>
                <w:lang w:val="en-US" w:eastAsia="zh-CN"/>
              </w:rPr>
            </w:pPr>
          </w:p>
        </w:tc>
        <w:tc>
          <w:tcPr>
            <w:tcW w:w="5100" w:type="dxa"/>
            <w:noWrap w:val="0"/>
            <w:vAlign w:val="center"/>
          </w:tcPr>
          <w:p>
            <w:pPr>
              <w:widowControl/>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 xml:space="preserve">总磷盲样考核结果（单位：mg/L）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盲样编号：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盲样浓度：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相对误差：      </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rPr>
                <w:rFonts w:ascii="宋体" w:hAnsi="宋体" w:cs="宋体"/>
                <w:b/>
                <w:bCs/>
                <w:szCs w:val="21"/>
              </w:rPr>
            </w:pPr>
          </w:p>
        </w:tc>
        <w:tc>
          <w:tcPr>
            <w:tcW w:w="1275" w:type="dxa"/>
            <w:vMerge w:val="continue"/>
            <w:noWrap w:val="0"/>
            <w:vAlign w:val="center"/>
          </w:tcPr>
          <w:p>
            <w:pPr>
              <w:pStyle w:val="69"/>
              <w:jc w:val="center"/>
              <w:rPr>
                <w:b/>
                <w:bCs/>
                <w:color w:val="37363D"/>
                <w:sz w:val="21"/>
                <w:szCs w:val="21"/>
              </w:rPr>
            </w:pPr>
          </w:p>
        </w:tc>
        <w:tc>
          <w:tcPr>
            <w:tcW w:w="662" w:type="dxa"/>
            <w:vMerge w:val="continue"/>
            <w:noWrap w:val="0"/>
            <w:vAlign w:val="center"/>
          </w:tcPr>
          <w:p>
            <w:pPr>
              <w:pStyle w:val="69"/>
              <w:ind w:firstLine="420"/>
              <w:rPr>
                <w:sz w:val="21"/>
                <w:szCs w:val="21"/>
              </w:rPr>
            </w:pPr>
          </w:p>
        </w:tc>
        <w:tc>
          <w:tcPr>
            <w:tcW w:w="650" w:type="dxa"/>
            <w:vMerge w:val="continue"/>
            <w:noWrap w:val="0"/>
            <w:vAlign w:val="center"/>
          </w:tcPr>
          <w:p>
            <w:pPr>
              <w:pStyle w:val="69"/>
              <w:rPr>
                <w:sz w:val="21"/>
                <w:szCs w:val="21"/>
                <w:u w:val="single"/>
                <w:lang w:val="en-US" w:eastAsia="zh-CN"/>
              </w:rPr>
            </w:pPr>
          </w:p>
        </w:tc>
        <w:tc>
          <w:tcPr>
            <w:tcW w:w="5100" w:type="dxa"/>
            <w:noWrap w:val="0"/>
            <w:vAlign w:val="center"/>
          </w:tcPr>
          <w:p>
            <w:pPr>
              <w:widowControl/>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val="zh-TW" w:eastAsia="zh-TW" w:bidi="zh-TW"/>
              </w:rPr>
              <w:t xml:space="preserve">总氮盲样考核结果（单位：mg/L）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盲样编号：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盲样浓度：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相对误差：         </w:t>
            </w:r>
          </w:p>
        </w:tc>
        <w:tc>
          <w:tcPr>
            <w:tcW w:w="2250" w:type="dxa"/>
            <w:vMerge w:val="continue"/>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vMerge w:val="continue"/>
            <w:noWrap w:val="0"/>
            <w:vAlign w:val="center"/>
          </w:tcPr>
          <w:p>
            <w:pPr>
              <w:rPr>
                <w:rFonts w:ascii="宋体" w:hAnsi="宋体" w:cs="宋体"/>
                <w:b/>
                <w:bCs/>
                <w:szCs w:val="21"/>
              </w:rPr>
            </w:pPr>
          </w:p>
        </w:tc>
        <w:tc>
          <w:tcPr>
            <w:tcW w:w="1275" w:type="dxa"/>
            <w:vMerge w:val="continue"/>
            <w:noWrap w:val="0"/>
            <w:vAlign w:val="center"/>
          </w:tcPr>
          <w:p>
            <w:pPr>
              <w:pStyle w:val="69"/>
              <w:jc w:val="center"/>
              <w:rPr>
                <w:b/>
                <w:bCs/>
                <w:color w:val="37363D"/>
                <w:sz w:val="21"/>
                <w:szCs w:val="21"/>
              </w:rPr>
            </w:pPr>
          </w:p>
        </w:tc>
        <w:tc>
          <w:tcPr>
            <w:tcW w:w="662" w:type="dxa"/>
            <w:vMerge w:val="continue"/>
            <w:noWrap w:val="0"/>
            <w:vAlign w:val="center"/>
          </w:tcPr>
          <w:p>
            <w:pPr>
              <w:pStyle w:val="69"/>
              <w:ind w:firstLine="420"/>
              <w:rPr>
                <w:sz w:val="21"/>
                <w:szCs w:val="21"/>
              </w:rPr>
            </w:pPr>
          </w:p>
        </w:tc>
        <w:tc>
          <w:tcPr>
            <w:tcW w:w="650" w:type="dxa"/>
            <w:vMerge w:val="continue"/>
            <w:noWrap w:val="0"/>
            <w:vAlign w:val="center"/>
          </w:tcPr>
          <w:p>
            <w:pPr>
              <w:pStyle w:val="69"/>
              <w:rPr>
                <w:sz w:val="21"/>
                <w:szCs w:val="21"/>
                <w:u w:val="single"/>
                <w:lang w:val="en-US" w:eastAsia="zh-CN"/>
              </w:rPr>
            </w:pPr>
          </w:p>
        </w:tc>
        <w:tc>
          <w:tcPr>
            <w:tcW w:w="5100" w:type="dxa"/>
            <w:noWrap w:val="0"/>
            <w:vAlign w:val="center"/>
          </w:tcPr>
          <w:p>
            <w:pPr>
              <w:widowControl/>
              <w:textAlignment w:val="center"/>
              <w:rPr>
                <w:rFonts w:ascii="宋体" w:hAnsi="宋体" w:cs="宋体"/>
                <w:snapToGrid w:val="0"/>
                <w:color w:val="000000"/>
                <w:szCs w:val="21"/>
                <w:lang w:val="zh-TW" w:eastAsia="zh-TW" w:bidi="zh-TW"/>
              </w:rPr>
            </w:pPr>
            <w:r>
              <w:rPr>
                <w:rFonts w:hint="eastAsia" w:ascii="宋体" w:hAnsi="宋体" w:cs="宋体"/>
                <w:snapToGrid w:val="0"/>
                <w:color w:val="000000"/>
                <w:szCs w:val="21"/>
                <w:lang w:bidi="zh-TW"/>
              </w:rPr>
              <w:t>急性毒性</w:t>
            </w:r>
            <w:r>
              <w:rPr>
                <w:rFonts w:hint="eastAsia" w:ascii="宋体" w:hAnsi="宋体" w:cs="宋体"/>
                <w:snapToGrid w:val="0"/>
                <w:color w:val="000000"/>
                <w:szCs w:val="21"/>
                <w:lang w:val="zh-TW" w:eastAsia="zh-TW" w:bidi="zh-TW"/>
              </w:rPr>
              <w:t>盲样考核结果（</w:t>
            </w:r>
            <w:r>
              <w:rPr>
                <w:rFonts w:hint="eastAsia" w:ascii="宋体" w:hAnsi="宋体" w:cs="宋体"/>
                <w:snapToGrid w:val="0"/>
                <w:color w:val="000000"/>
                <w:szCs w:val="21"/>
                <w:lang w:bidi="zh-TW"/>
              </w:rPr>
              <w:t>抑制率：%</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合格□ 不合格□</w:t>
            </w:r>
            <w:r>
              <w:rPr>
                <w:rFonts w:hint="eastAsia" w:ascii="宋体" w:hAnsi="宋体" w:cs="宋体"/>
                <w:snapToGrid w:val="0"/>
                <w:color w:val="000000"/>
                <w:szCs w:val="21"/>
                <w:lang w:val="zh-TW" w:eastAsia="zh-TW" w:bidi="zh-TW"/>
              </w:rPr>
              <w:br w:type="textWrapping"/>
            </w:r>
            <w:r>
              <w:rPr>
                <w:rFonts w:hint="eastAsia" w:ascii="宋体" w:hAnsi="宋体" w:cs="宋体"/>
                <w:snapToGrid w:val="0"/>
                <w:color w:val="000000"/>
                <w:szCs w:val="21"/>
                <w:lang w:val="zh-TW" w:eastAsia="zh-TW" w:bidi="zh-TW"/>
              </w:rPr>
              <w:t xml:space="preserve">盲样编号：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盲样浓度：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 </w:t>
            </w:r>
          </w:p>
          <w:p>
            <w:pPr>
              <w:widowControl/>
              <w:textAlignment w:val="center"/>
              <w:rPr>
                <w:rFonts w:ascii="宋体" w:hAnsi="宋体" w:cs="宋体"/>
                <w:szCs w:val="21"/>
              </w:rPr>
            </w:pPr>
            <w:r>
              <w:rPr>
                <w:rFonts w:hint="eastAsia" w:ascii="宋体" w:hAnsi="宋体" w:cs="宋体"/>
                <w:snapToGrid w:val="0"/>
                <w:color w:val="000000"/>
                <w:szCs w:val="21"/>
                <w:lang w:val="zh-TW" w:eastAsia="zh-TW" w:bidi="zh-TW"/>
              </w:rPr>
              <w:t>在线设备</w:t>
            </w:r>
            <w:r>
              <w:rPr>
                <w:rFonts w:hint="eastAsia" w:ascii="宋体" w:hAnsi="宋体" w:cs="宋体"/>
                <w:snapToGrid w:val="0"/>
                <w:color w:val="000000"/>
                <w:szCs w:val="21"/>
                <w:lang w:val="zh-TW" w:bidi="zh-TW"/>
              </w:rPr>
              <w:t>值</w:t>
            </w:r>
            <w:r>
              <w:rPr>
                <w:rFonts w:hint="eastAsia" w:ascii="宋体" w:hAnsi="宋体" w:cs="宋体"/>
                <w:snapToGrid w:val="0"/>
                <w:color w:val="000000"/>
                <w:szCs w:val="21"/>
                <w:lang w:val="zh-TW" w:eastAsia="zh-TW" w:bidi="zh-TW"/>
              </w:rPr>
              <w:t xml:space="preserve">： </w:t>
            </w:r>
            <w:r>
              <w:rPr>
                <w:rFonts w:hint="eastAsia" w:ascii="宋体" w:hAnsi="宋体" w:cs="宋体"/>
                <w:snapToGrid w:val="0"/>
                <w:color w:val="000000"/>
                <w:szCs w:val="21"/>
                <w:lang w:bidi="zh-TW"/>
              </w:rPr>
              <w:t xml:space="preserve">      </w:t>
            </w:r>
            <w:r>
              <w:rPr>
                <w:rFonts w:hint="eastAsia" w:ascii="宋体" w:hAnsi="宋体" w:cs="宋体"/>
                <w:snapToGrid w:val="0"/>
                <w:color w:val="000000"/>
                <w:szCs w:val="21"/>
                <w:lang w:val="zh-TW" w:eastAsia="zh-TW" w:bidi="zh-TW"/>
              </w:rPr>
              <w:t xml:space="preserve">相对误差：      </w:t>
            </w:r>
          </w:p>
        </w:tc>
        <w:tc>
          <w:tcPr>
            <w:tcW w:w="2250" w:type="dxa"/>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8" w:type="dxa"/>
            <w:noWrap w:val="0"/>
            <w:vAlign w:val="center"/>
          </w:tcPr>
          <w:p>
            <w:pPr>
              <w:pStyle w:val="66"/>
              <w:rPr>
                <w:rFonts w:hint="default" w:ascii="Calibri" w:hAnsi="Calibri" w:eastAsia="仿宋" w:cs="Times New Roman"/>
                <w:color w:val="auto"/>
                <w:kern w:val="2"/>
                <w:sz w:val="21"/>
                <w:szCs w:val="21"/>
                <w:lang w:val="en-US" w:eastAsia="zh-CN" w:bidi="ar-SA"/>
              </w:rPr>
            </w:pPr>
            <w:r>
              <w:rPr>
                <w:rFonts w:hint="eastAsia" w:eastAsia="仿宋"/>
                <w:b/>
                <w:bCs/>
                <w:color w:val="auto"/>
                <w:sz w:val="21"/>
                <w:szCs w:val="21"/>
                <w:lang w:val="en-US" w:eastAsia="zh-CN"/>
              </w:rPr>
              <w:t>人员配备</w:t>
            </w:r>
          </w:p>
        </w:tc>
        <w:tc>
          <w:tcPr>
            <w:tcW w:w="1275" w:type="dxa"/>
            <w:noWrap w:val="0"/>
            <w:vAlign w:val="center"/>
          </w:tcPr>
          <w:p>
            <w:pPr>
              <w:pStyle w:val="66"/>
              <w:rPr>
                <w:rFonts w:hint="eastAsia" w:ascii="Calibri" w:hAnsi="Calibri" w:eastAsia="仿宋" w:cs="Times New Roman"/>
                <w:color w:val="auto"/>
                <w:kern w:val="2"/>
                <w:sz w:val="21"/>
                <w:szCs w:val="21"/>
                <w:lang w:val="en-US" w:eastAsia="zh-CN" w:bidi="ar-SA"/>
              </w:rPr>
            </w:pPr>
            <w:r>
              <w:rPr>
                <w:rFonts w:hint="eastAsia" w:eastAsia="仿宋"/>
                <w:color w:val="auto"/>
                <w:sz w:val="21"/>
                <w:szCs w:val="21"/>
                <w:lang w:eastAsia="zh-CN"/>
              </w:rPr>
              <w:t>根据投标文件核实项目组成员是否满足要求</w:t>
            </w:r>
          </w:p>
        </w:tc>
        <w:tc>
          <w:tcPr>
            <w:tcW w:w="1312" w:type="dxa"/>
            <w:gridSpan w:val="2"/>
            <w:noWrap w:val="0"/>
            <w:vAlign w:val="center"/>
          </w:tcPr>
          <w:p>
            <w:pPr>
              <w:pStyle w:val="66"/>
              <w:jc w:val="left"/>
              <w:rPr>
                <w:rFonts w:ascii="Calibri" w:hAnsi="Calibri" w:eastAsia="仿宋" w:cs="Times New Roman"/>
                <w:color w:val="auto"/>
                <w:kern w:val="2"/>
                <w:sz w:val="21"/>
                <w:szCs w:val="21"/>
                <w:lang w:val="en-US" w:eastAsia="zh-CN" w:bidi="ar-SA"/>
              </w:rPr>
            </w:pPr>
          </w:p>
        </w:tc>
        <w:tc>
          <w:tcPr>
            <w:tcW w:w="5100" w:type="dxa"/>
            <w:noWrap w:val="0"/>
            <w:vAlign w:val="center"/>
          </w:tcPr>
          <w:p>
            <w:pPr>
              <w:pStyle w:val="66"/>
              <w:jc w:val="left"/>
              <w:rPr>
                <w:rFonts w:hint="eastAsia" w:ascii="Calibri" w:hAnsi="Calibri" w:eastAsia="仿宋" w:cs="Times New Roman"/>
                <w:color w:val="auto"/>
                <w:kern w:val="2"/>
                <w:sz w:val="21"/>
                <w:szCs w:val="21"/>
                <w:lang w:val="zh-TW" w:eastAsia="zh-TW" w:bidi="ar-SA"/>
              </w:rPr>
            </w:pPr>
            <w:r>
              <w:rPr>
                <w:rFonts w:hint="eastAsia" w:eastAsia="仿宋" w:cs="Times New Roman"/>
                <w:color w:val="auto"/>
                <w:kern w:val="2"/>
                <w:sz w:val="21"/>
                <w:szCs w:val="21"/>
                <w:lang w:val="zh-TW" w:eastAsia="zh-CN" w:bidi="ar-SA"/>
              </w:rPr>
              <w:t>此项据实填写。</w:t>
            </w:r>
          </w:p>
        </w:tc>
        <w:tc>
          <w:tcPr>
            <w:tcW w:w="2250" w:type="dxa"/>
            <w:noWrap w:val="0"/>
            <w:vAlign w:val="top"/>
          </w:tcPr>
          <w:p>
            <w:pP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73" w:type="dxa"/>
            <w:gridSpan w:val="2"/>
            <w:noWrap w:val="0"/>
            <w:vAlign w:val="center"/>
          </w:tcPr>
          <w:p>
            <w:pPr>
              <w:pStyle w:val="69"/>
              <w:jc w:val="center"/>
              <w:rPr>
                <w:b/>
                <w:bCs/>
                <w:color w:val="37363D"/>
                <w:sz w:val="21"/>
                <w:szCs w:val="21"/>
                <w:lang w:val="en-US"/>
              </w:rPr>
            </w:pPr>
            <w:r>
              <w:rPr>
                <w:rFonts w:hint="eastAsia"/>
                <w:b/>
                <w:bCs/>
                <w:sz w:val="21"/>
                <w:szCs w:val="21"/>
                <w:lang w:val="en-US" w:eastAsia="zh-CN"/>
              </w:rPr>
              <w:t>总分（100分）</w:t>
            </w:r>
          </w:p>
        </w:tc>
        <w:tc>
          <w:tcPr>
            <w:tcW w:w="8662" w:type="dxa"/>
            <w:gridSpan w:val="4"/>
            <w:noWrap w:val="0"/>
            <w:vAlign w:val="center"/>
          </w:tcPr>
          <w:p>
            <w:pPr>
              <w:rPr>
                <w:rFonts w:ascii="宋体" w:hAnsi="宋体" w:cs="宋体"/>
                <w:szCs w:val="21"/>
                <w:u w:val="single"/>
              </w:rPr>
            </w:pPr>
          </w:p>
          <w:p>
            <w:pPr>
              <w:rPr>
                <w:rFonts w:ascii="宋体" w:hAnsi="宋体" w:cs="宋体"/>
                <w:szCs w:val="21"/>
                <w:u w:val="single"/>
              </w:rPr>
            </w:pPr>
          </w:p>
        </w:tc>
      </w:tr>
    </w:tbl>
    <w:tbl>
      <w:tblPr>
        <w:tblStyle w:val="20"/>
        <w:tblW w:w="11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213"/>
        <w:gridCol w:w="1301"/>
        <w:gridCol w:w="6391"/>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7" w:hRule="exact"/>
          <w:jc w:val="center"/>
        </w:trPr>
        <w:tc>
          <w:tcPr>
            <w:tcW w:w="1213" w:type="dxa"/>
            <w:tcBorders>
              <w:tl2br w:val="nil"/>
              <w:tr2bl w:val="nil"/>
            </w:tcBorders>
            <w:shd w:val="clear" w:color="auto" w:fill="FFFFFF"/>
            <w:noWrap w:val="0"/>
            <w:vAlign w:val="center"/>
          </w:tcPr>
          <w:p>
            <w:pPr>
              <w:pStyle w:val="69"/>
              <w:jc w:val="center"/>
              <w:rPr>
                <w:b/>
                <w:bCs/>
                <w:sz w:val="21"/>
                <w:szCs w:val="21"/>
                <w:lang w:val="en-US" w:eastAsia="zh-CN"/>
              </w:rPr>
            </w:pPr>
            <w:r>
              <w:rPr>
                <w:rFonts w:hint="eastAsia"/>
                <w:b/>
                <w:bCs/>
                <w:sz w:val="21"/>
                <w:szCs w:val="21"/>
                <w:lang w:val="en-US" w:eastAsia="zh-CN"/>
              </w:rPr>
              <w:t>检查项目</w:t>
            </w:r>
          </w:p>
        </w:tc>
        <w:tc>
          <w:tcPr>
            <w:tcW w:w="1301" w:type="dxa"/>
            <w:tcBorders>
              <w:tl2br w:val="nil"/>
              <w:tr2bl w:val="nil"/>
            </w:tcBorders>
            <w:shd w:val="clear" w:color="auto" w:fill="FFFFFF"/>
            <w:noWrap w:val="0"/>
            <w:vAlign w:val="center"/>
          </w:tcPr>
          <w:p>
            <w:pPr>
              <w:pStyle w:val="69"/>
              <w:jc w:val="center"/>
              <w:rPr>
                <w:b/>
                <w:bCs/>
                <w:sz w:val="21"/>
                <w:szCs w:val="21"/>
                <w:lang w:val="en-US" w:eastAsia="zh-CN"/>
              </w:rPr>
            </w:pPr>
            <w:r>
              <w:rPr>
                <w:b/>
                <w:bCs/>
                <w:sz w:val="21"/>
                <w:szCs w:val="21"/>
              </w:rPr>
              <w:t>检查</w:t>
            </w:r>
            <w:r>
              <w:rPr>
                <w:rFonts w:hint="eastAsia"/>
                <w:b/>
                <w:bCs/>
                <w:sz w:val="21"/>
                <w:szCs w:val="21"/>
                <w:lang w:val="en-US" w:eastAsia="zh-CN"/>
              </w:rPr>
              <w:t>要点</w:t>
            </w:r>
          </w:p>
        </w:tc>
        <w:tc>
          <w:tcPr>
            <w:tcW w:w="6391" w:type="dxa"/>
            <w:tcBorders>
              <w:tl2br w:val="nil"/>
              <w:tr2bl w:val="nil"/>
            </w:tcBorders>
            <w:shd w:val="clear" w:color="auto" w:fill="FFFFFF"/>
            <w:noWrap w:val="0"/>
            <w:vAlign w:val="center"/>
          </w:tcPr>
          <w:p>
            <w:pPr>
              <w:pStyle w:val="69"/>
              <w:jc w:val="center"/>
              <w:rPr>
                <w:b/>
                <w:bCs/>
                <w:sz w:val="21"/>
                <w:szCs w:val="21"/>
              </w:rPr>
            </w:pPr>
            <w:r>
              <w:rPr>
                <w:rFonts w:hint="eastAsia"/>
                <w:b/>
                <w:bCs/>
                <w:sz w:val="21"/>
                <w:szCs w:val="21"/>
                <w:lang w:val="en-US" w:eastAsia="zh-CN"/>
              </w:rPr>
              <w:t>检查</w:t>
            </w:r>
            <w:r>
              <w:rPr>
                <w:b/>
                <w:bCs/>
                <w:sz w:val="21"/>
                <w:szCs w:val="21"/>
              </w:rPr>
              <w:t>说明</w:t>
            </w:r>
          </w:p>
        </w:tc>
        <w:tc>
          <w:tcPr>
            <w:tcW w:w="2256" w:type="dxa"/>
            <w:tcBorders>
              <w:tl2br w:val="nil"/>
              <w:tr2bl w:val="nil"/>
            </w:tcBorders>
            <w:shd w:val="clear" w:color="auto" w:fill="FFFFFF"/>
            <w:noWrap w:val="0"/>
            <w:vAlign w:val="center"/>
          </w:tcPr>
          <w:p>
            <w:pPr>
              <w:jc w:val="center"/>
              <w:rPr>
                <w:rFonts w:eastAsia="宋体"/>
                <w:b/>
                <w:bCs/>
              </w:rPr>
            </w:pPr>
            <w:r>
              <w:rPr>
                <w:rFonts w:hint="eastAsia" w:ascii="宋体" w:hAnsi="宋体" w:cs="宋体"/>
                <w:b/>
                <w:bCs/>
                <w:lang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1" w:hRule="exact"/>
          <w:jc w:val="center"/>
        </w:trPr>
        <w:tc>
          <w:tcPr>
            <w:tcW w:w="1213" w:type="dxa"/>
            <w:vMerge w:val="restart"/>
            <w:tcBorders>
              <w:tl2br w:val="nil"/>
              <w:tr2bl w:val="nil"/>
            </w:tcBorders>
            <w:shd w:val="clear" w:color="auto" w:fill="FFFFFF"/>
            <w:noWrap w:val="0"/>
            <w:vAlign w:val="center"/>
          </w:tcPr>
          <w:p>
            <w:pPr>
              <w:pStyle w:val="69"/>
              <w:jc w:val="center"/>
              <w:rPr>
                <w:sz w:val="21"/>
                <w:szCs w:val="21"/>
                <w:lang w:val="en-US" w:eastAsia="zh-CN"/>
              </w:rPr>
            </w:pPr>
            <w:r>
              <w:rPr>
                <w:rFonts w:hint="eastAsia"/>
                <w:sz w:val="21"/>
                <w:szCs w:val="21"/>
                <w:lang w:val="en-US" w:eastAsia="zh-CN"/>
              </w:rPr>
              <w:t>其他问题</w:t>
            </w:r>
          </w:p>
        </w:tc>
        <w:tc>
          <w:tcPr>
            <w:tcW w:w="1301" w:type="dxa"/>
            <w:tcBorders>
              <w:tl2br w:val="nil"/>
              <w:tr2bl w:val="nil"/>
            </w:tcBorders>
            <w:shd w:val="clear" w:color="auto" w:fill="FFFFFF"/>
            <w:noWrap w:val="0"/>
            <w:vAlign w:val="center"/>
          </w:tcPr>
          <w:p>
            <w:pPr>
              <w:pStyle w:val="69"/>
              <w:jc w:val="center"/>
              <w:rPr>
                <w:sz w:val="21"/>
                <w:szCs w:val="21"/>
                <w:lang w:eastAsia="zh-CN"/>
              </w:rPr>
            </w:pPr>
            <w:r>
              <w:rPr>
                <w:sz w:val="21"/>
                <w:szCs w:val="21"/>
                <w:lang w:eastAsia="zh-CN"/>
              </w:rPr>
              <w:t>关键参数设置准确</w:t>
            </w:r>
          </w:p>
        </w:tc>
        <w:tc>
          <w:tcPr>
            <w:tcW w:w="6391" w:type="dxa"/>
            <w:tcBorders>
              <w:tl2br w:val="nil"/>
              <w:tr2bl w:val="nil"/>
            </w:tcBorders>
            <w:shd w:val="clear" w:color="auto" w:fill="FFFFFF"/>
            <w:noWrap w:val="0"/>
            <w:vAlign w:val="center"/>
          </w:tcPr>
          <w:p>
            <w:pPr>
              <w:pStyle w:val="70"/>
              <w:spacing w:line="384" w:lineRule="exact"/>
              <w:rPr>
                <w:sz w:val="21"/>
                <w:szCs w:val="21"/>
              </w:rPr>
            </w:pPr>
            <w:r>
              <w:rPr>
                <w:rFonts w:hint="eastAsia"/>
                <w:sz w:val="21"/>
                <w:szCs w:val="21"/>
                <w:lang w:eastAsia="zh-CN"/>
              </w:rPr>
              <w:sym w:font="Wingdings 2" w:char="00A3"/>
            </w:r>
            <w:r>
              <w:rPr>
                <w:rFonts w:hint="eastAsia"/>
                <w:sz w:val="21"/>
                <w:szCs w:val="21"/>
                <w:lang w:eastAsia="zh-CN"/>
              </w:rPr>
              <w:t xml:space="preserve"> </w:t>
            </w:r>
            <w:r>
              <w:rPr>
                <w:sz w:val="21"/>
                <w:szCs w:val="21"/>
              </w:rPr>
              <w:t>擅自更改仪器关键参数设置，关键参数包括消解温度、消解时间、斜率与截距，关键参数应与平台备案不一致</w:t>
            </w:r>
          </w:p>
        </w:tc>
        <w:tc>
          <w:tcPr>
            <w:tcW w:w="2256" w:type="dxa"/>
            <w:tcBorders>
              <w:tl2br w:val="nil"/>
              <w:tr2bl w:val="nil"/>
            </w:tcBorders>
            <w:shd w:val="clear" w:color="auto" w:fill="FFFFFF"/>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15" w:hRule="exact"/>
          <w:jc w:val="center"/>
        </w:trPr>
        <w:tc>
          <w:tcPr>
            <w:tcW w:w="1213" w:type="dxa"/>
            <w:vMerge w:val="continue"/>
            <w:tcBorders>
              <w:tl2br w:val="nil"/>
              <w:tr2bl w:val="nil"/>
            </w:tcBorders>
            <w:shd w:val="clear" w:color="auto" w:fill="FFFFFF"/>
            <w:noWrap w:val="0"/>
            <w:vAlign w:val="center"/>
          </w:tcPr>
          <w:p>
            <w:pPr>
              <w:pStyle w:val="69"/>
              <w:jc w:val="center"/>
              <w:rPr>
                <w:sz w:val="21"/>
                <w:szCs w:val="21"/>
                <w:lang w:val="en-US" w:eastAsia="zh-CN"/>
              </w:rPr>
            </w:pPr>
          </w:p>
        </w:tc>
        <w:tc>
          <w:tcPr>
            <w:tcW w:w="1301" w:type="dxa"/>
            <w:tcBorders>
              <w:tl2br w:val="nil"/>
              <w:tr2bl w:val="nil"/>
            </w:tcBorders>
            <w:shd w:val="clear" w:color="auto" w:fill="FFFFFF"/>
            <w:noWrap w:val="0"/>
            <w:vAlign w:val="center"/>
          </w:tcPr>
          <w:p>
            <w:pPr>
              <w:pStyle w:val="69"/>
              <w:spacing w:line="365" w:lineRule="exact"/>
              <w:ind w:left="140"/>
              <w:jc w:val="center"/>
              <w:rPr>
                <w:snapToGrid w:val="0"/>
                <w:color w:val="000000"/>
                <w:sz w:val="21"/>
                <w:szCs w:val="21"/>
                <w:lang w:eastAsia="zh-CN"/>
              </w:rPr>
            </w:pPr>
            <w:r>
              <w:rPr>
                <w:sz w:val="21"/>
                <w:szCs w:val="21"/>
              </w:rPr>
              <w:t>排查人为干扰监测系统、篡改监测数据情况</w:t>
            </w:r>
          </w:p>
        </w:tc>
        <w:tc>
          <w:tcPr>
            <w:tcW w:w="6391" w:type="dxa"/>
            <w:tcBorders>
              <w:tl2br w:val="nil"/>
              <w:tr2bl w:val="nil"/>
            </w:tcBorders>
            <w:shd w:val="clear" w:color="auto" w:fill="FFFFFF"/>
            <w:noWrap w:val="0"/>
            <w:vAlign w:val="center"/>
          </w:tcPr>
          <w:p>
            <w:pPr>
              <w:pStyle w:val="69"/>
              <w:spacing w:line="379" w:lineRule="exact"/>
              <w:rPr>
                <w:sz w:val="21"/>
                <w:szCs w:val="21"/>
              </w:rPr>
            </w:pPr>
            <w:r>
              <w:rPr>
                <w:rFonts w:hint="eastAsia"/>
                <w:sz w:val="21"/>
                <w:szCs w:val="21"/>
                <w:lang w:eastAsia="zh-CN"/>
              </w:rPr>
              <w:sym w:font="Wingdings 2" w:char="00A3"/>
            </w:r>
            <w:r>
              <w:rPr>
                <w:rFonts w:hint="eastAsia"/>
                <w:sz w:val="21"/>
                <w:szCs w:val="21"/>
                <w:lang w:eastAsia="zh-CN"/>
              </w:rPr>
              <w:t xml:space="preserve"> </w:t>
            </w:r>
            <w:r>
              <w:rPr>
                <w:sz w:val="21"/>
                <w:szCs w:val="21"/>
              </w:rPr>
              <w:t>虚假填写运维工单，干扰监测数据质量</w:t>
            </w:r>
          </w:p>
          <w:p>
            <w:pPr>
              <w:pStyle w:val="69"/>
              <w:spacing w:line="379" w:lineRule="exact"/>
              <w:rPr>
                <w:sz w:val="21"/>
                <w:szCs w:val="21"/>
              </w:rPr>
            </w:pPr>
            <w:r>
              <w:rPr>
                <w:rFonts w:hint="eastAsia"/>
                <w:sz w:val="21"/>
                <w:szCs w:val="21"/>
                <w:lang w:eastAsia="zh-CN"/>
              </w:rPr>
              <w:t xml:space="preserve">□ </w:t>
            </w:r>
            <w:r>
              <w:rPr>
                <w:sz w:val="21"/>
                <w:szCs w:val="21"/>
              </w:rPr>
              <w:t>改变原水水质，干扰监测数据质量</w:t>
            </w:r>
          </w:p>
          <w:p>
            <w:pPr>
              <w:pStyle w:val="69"/>
              <w:spacing w:line="379" w:lineRule="exact"/>
              <w:rPr>
                <w:sz w:val="21"/>
                <w:szCs w:val="21"/>
              </w:rPr>
            </w:pPr>
            <w:r>
              <w:rPr>
                <w:rFonts w:hint="eastAsia"/>
                <w:sz w:val="21"/>
                <w:szCs w:val="21"/>
                <w:lang w:eastAsia="zh-CN"/>
              </w:rPr>
              <w:t xml:space="preserve">□ </w:t>
            </w:r>
            <w:r>
              <w:rPr>
                <w:sz w:val="21"/>
                <w:szCs w:val="21"/>
              </w:rPr>
              <w:t>在仪器设备上安</w:t>
            </w:r>
            <w:r>
              <w:rPr>
                <w:rFonts w:hint="eastAsia"/>
                <w:sz w:val="21"/>
                <w:szCs w:val="21"/>
                <w:lang w:val="en-US" w:eastAsia="zh-CN"/>
              </w:rPr>
              <w:t>装</w:t>
            </w:r>
            <w:r>
              <w:rPr>
                <w:sz w:val="21"/>
                <w:szCs w:val="21"/>
              </w:rPr>
              <w:t xml:space="preserve">有不允许的插件或远程控制软件 </w:t>
            </w:r>
          </w:p>
          <w:p>
            <w:pPr>
              <w:pStyle w:val="69"/>
              <w:spacing w:line="379" w:lineRule="exact"/>
              <w:rPr>
                <w:sz w:val="21"/>
                <w:szCs w:val="21"/>
              </w:rPr>
            </w:pPr>
            <w:r>
              <w:rPr>
                <w:rFonts w:hint="eastAsia"/>
                <w:sz w:val="21"/>
                <w:szCs w:val="21"/>
                <w:lang w:eastAsia="zh-CN"/>
              </w:rPr>
              <w:t xml:space="preserve">□ </w:t>
            </w:r>
            <w:r>
              <w:rPr>
                <w:sz w:val="21"/>
                <w:szCs w:val="21"/>
              </w:rPr>
              <w:t>站点停运原因与实际情况不一致</w:t>
            </w:r>
          </w:p>
          <w:p>
            <w:pPr>
              <w:pStyle w:val="69"/>
              <w:spacing w:line="379" w:lineRule="exact"/>
              <w:rPr>
                <w:snapToGrid w:val="0"/>
                <w:color w:val="000000"/>
                <w:sz w:val="21"/>
                <w:szCs w:val="21"/>
                <w:lang w:eastAsia="zh-CN"/>
              </w:rPr>
            </w:pPr>
            <w:r>
              <w:rPr>
                <w:rFonts w:hint="eastAsia"/>
                <w:sz w:val="21"/>
                <w:szCs w:val="21"/>
                <w:lang w:eastAsia="zh-CN"/>
              </w:rPr>
              <w:t xml:space="preserve">□ </w:t>
            </w:r>
            <w:r>
              <w:rPr>
                <w:rFonts w:hint="eastAsia"/>
                <w:sz w:val="21"/>
                <w:szCs w:val="21"/>
                <w:lang w:val="en-US" w:eastAsia="zh-CN"/>
              </w:rPr>
              <w:t>其他</w:t>
            </w:r>
            <w:r>
              <w:rPr>
                <w:sz w:val="21"/>
                <w:szCs w:val="21"/>
              </w:rPr>
              <w:t>人为干扰</w:t>
            </w:r>
            <w:r>
              <w:rPr>
                <w:rFonts w:hint="eastAsia"/>
                <w:sz w:val="21"/>
                <w:szCs w:val="21"/>
                <w:lang w:val="en-US" w:eastAsia="zh-CN"/>
              </w:rPr>
              <w:t>情况</w:t>
            </w:r>
          </w:p>
        </w:tc>
        <w:tc>
          <w:tcPr>
            <w:tcW w:w="2256" w:type="dxa"/>
            <w:tcBorders>
              <w:tl2br w:val="nil"/>
              <w:tr2bl w:val="nil"/>
            </w:tcBorders>
            <w:shd w:val="clear" w:color="auto" w:fill="FFFFFF"/>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6" w:hRule="exact"/>
          <w:jc w:val="center"/>
        </w:trPr>
        <w:tc>
          <w:tcPr>
            <w:tcW w:w="1213" w:type="dxa"/>
            <w:vMerge w:val="continue"/>
            <w:tcBorders>
              <w:tl2br w:val="nil"/>
              <w:tr2bl w:val="nil"/>
            </w:tcBorders>
            <w:shd w:val="clear" w:color="auto" w:fill="FFFFFF"/>
            <w:noWrap w:val="0"/>
            <w:vAlign w:val="center"/>
          </w:tcPr>
          <w:p>
            <w:pPr>
              <w:pStyle w:val="69"/>
              <w:ind w:firstLine="400"/>
              <w:rPr>
                <w:sz w:val="21"/>
                <w:szCs w:val="21"/>
              </w:rPr>
            </w:pPr>
          </w:p>
        </w:tc>
        <w:tc>
          <w:tcPr>
            <w:tcW w:w="1301" w:type="dxa"/>
            <w:tcBorders>
              <w:tl2br w:val="nil"/>
              <w:tr2bl w:val="nil"/>
            </w:tcBorders>
            <w:shd w:val="clear" w:color="auto" w:fill="FFFFFF"/>
            <w:noWrap w:val="0"/>
            <w:vAlign w:val="center"/>
          </w:tcPr>
          <w:p>
            <w:pPr>
              <w:pStyle w:val="69"/>
              <w:jc w:val="center"/>
              <w:rPr>
                <w:sz w:val="21"/>
                <w:szCs w:val="21"/>
                <w:lang w:val="en-US" w:eastAsia="zh-CN"/>
              </w:rPr>
            </w:pPr>
            <w:r>
              <w:rPr>
                <w:rFonts w:hint="eastAsia"/>
                <w:sz w:val="21"/>
                <w:szCs w:val="21"/>
                <w:lang w:val="en-US" w:eastAsia="zh-CN"/>
              </w:rPr>
              <w:t>日常维护满足规范要求</w:t>
            </w:r>
          </w:p>
        </w:tc>
        <w:tc>
          <w:tcPr>
            <w:tcW w:w="6391" w:type="dxa"/>
            <w:tcBorders>
              <w:tl2br w:val="nil"/>
              <w:tr2bl w:val="nil"/>
            </w:tcBorders>
            <w:shd w:val="clear" w:color="auto" w:fill="FFFFFF"/>
            <w:noWrap w:val="0"/>
            <w:vAlign w:val="center"/>
          </w:tcPr>
          <w:p>
            <w:pPr>
              <w:pStyle w:val="70"/>
              <w:spacing w:line="384" w:lineRule="exact"/>
              <w:rPr>
                <w:sz w:val="21"/>
                <w:szCs w:val="21"/>
              </w:rPr>
            </w:pPr>
            <w:r>
              <w:rPr>
                <w:rFonts w:hint="eastAsia"/>
                <w:sz w:val="21"/>
                <w:szCs w:val="21"/>
                <w:lang w:eastAsia="zh-CN"/>
              </w:rPr>
              <w:t xml:space="preserve">□ </w:t>
            </w:r>
            <w:r>
              <w:rPr>
                <w:sz w:val="21"/>
                <w:szCs w:val="21"/>
              </w:rPr>
              <w:t>仪器系统耗材、易损件及备件未按规定及时更换</w:t>
            </w:r>
          </w:p>
          <w:p>
            <w:pPr>
              <w:pStyle w:val="70"/>
              <w:spacing w:line="384" w:lineRule="exact"/>
              <w:rPr>
                <w:sz w:val="21"/>
                <w:szCs w:val="21"/>
              </w:rPr>
            </w:pPr>
            <w:r>
              <w:rPr>
                <w:rFonts w:hint="eastAsia"/>
                <w:sz w:val="21"/>
                <w:szCs w:val="21"/>
                <w:lang w:eastAsia="zh-CN"/>
              </w:rPr>
              <w:t xml:space="preserve">□ </w:t>
            </w:r>
            <w:r>
              <w:rPr>
                <w:sz w:val="21"/>
                <w:szCs w:val="21"/>
              </w:rPr>
              <w:t>检查当日仪器设备突发异常，不能正常运行</w:t>
            </w:r>
          </w:p>
          <w:p>
            <w:pPr>
              <w:pStyle w:val="70"/>
              <w:spacing w:line="384" w:lineRule="exact"/>
              <w:rPr>
                <w:sz w:val="21"/>
                <w:szCs w:val="21"/>
              </w:rPr>
            </w:pPr>
            <w:r>
              <w:rPr>
                <w:rFonts w:hint="eastAsia"/>
                <w:sz w:val="21"/>
                <w:szCs w:val="21"/>
                <w:lang w:eastAsia="zh-CN"/>
              </w:rPr>
              <w:t xml:space="preserve">□ </w:t>
            </w:r>
            <w:r>
              <w:rPr>
                <w:sz w:val="21"/>
                <w:szCs w:val="21"/>
              </w:rPr>
              <w:t>数据采集、传输异常，仪器数据与工控机、平台误差超过1%</w:t>
            </w:r>
          </w:p>
        </w:tc>
        <w:tc>
          <w:tcPr>
            <w:tcW w:w="2256" w:type="dxa"/>
            <w:tcBorders>
              <w:tl2br w:val="nil"/>
              <w:tr2bl w:val="nil"/>
            </w:tcBorders>
            <w:shd w:val="clear" w:color="auto" w:fill="FFFFFF"/>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5" w:hRule="exact"/>
          <w:jc w:val="center"/>
        </w:trPr>
        <w:tc>
          <w:tcPr>
            <w:tcW w:w="1213" w:type="dxa"/>
            <w:vMerge w:val="continue"/>
            <w:tcBorders>
              <w:tl2br w:val="nil"/>
              <w:tr2bl w:val="nil"/>
            </w:tcBorders>
            <w:shd w:val="clear" w:color="auto" w:fill="FFFFFF"/>
            <w:noWrap w:val="0"/>
            <w:vAlign w:val="center"/>
          </w:tcPr>
          <w:p>
            <w:pPr>
              <w:pStyle w:val="69"/>
              <w:ind w:firstLine="400"/>
              <w:rPr>
                <w:sz w:val="21"/>
                <w:szCs w:val="21"/>
              </w:rPr>
            </w:pPr>
          </w:p>
        </w:tc>
        <w:tc>
          <w:tcPr>
            <w:tcW w:w="1301" w:type="dxa"/>
            <w:tcBorders>
              <w:tl2br w:val="nil"/>
              <w:tr2bl w:val="nil"/>
            </w:tcBorders>
            <w:shd w:val="clear" w:color="auto" w:fill="FFFFFF"/>
            <w:noWrap w:val="0"/>
            <w:vAlign w:val="center"/>
          </w:tcPr>
          <w:p>
            <w:pPr>
              <w:pStyle w:val="69"/>
              <w:jc w:val="center"/>
              <w:rPr>
                <w:sz w:val="21"/>
                <w:szCs w:val="21"/>
                <w:lang w:val="en-US" w:eastAsia="zh-CN"/>
              </w:rPr>
            </w:pPr>
            <w:r>
              <w:rPr>
                <w:rFonts w:hint="eastAsia"/>
                <w:sz w:val="21"/>
                <w:szCs w:val="21"/>
                <w:lang w:val="en-US" w:eastAsia="zh-CN"/>
              </w:rPr>
              <w:t>规范程序性文件制定</w:t>
            </w:r>
          </w:p>
        </w:tc>
        <w:tc>
          <w:tcPr>
            <w:tcW w:w="6391" w:type="dxa"/>
            <w:tcBorders>
              <w:tl2br w:val="nil"/>
              <w:tr2bl w:val="nil"/>
            </w:tcBorders>
            <w:shd w:val="clear" w:color="auto" w:fill="FFFFFF"/>
            <w:noWrap w:val="0"/>
            <w:vAlign w:val="center"/>
          </w:tcPr>
          <w:p>
            <w:pPr>
              <w:pStyle w:val="70"/>
              <w:spacing w:line="384" w:lineRule="exact"/>
              <w:rPr>
                <w:sz w:val="21"/>
                <w:szCs w:val="21"/>
              </w:rPr>
            </w:pPr>
            <w:r>
              <w:rPr>
                <w:rFonts w:hint="eastAsia"/>
                <w:sz w:val="21"/>
                <w:szCs w:val="21"/>
                <w:lang w:eastAsia="zh-CN"/>
              </w:rPr>
              <w:t xml:space="preserve">□ </w:t>
            </w:r>
            <w:r>
              <w:rPr>
                <w:sz w:val="21"/>
                <w:szCs w:val="21"/>
              </w:rPr>
              <w:t>未编制质量手册、程序文件</w:t>
            </w:r>
          </w:p>
          <w:p>
            <w:pPr>
              <w:pStyle w:val="70"/>
              <w:spacing w:line="384" w:lineRule="exact"/>
              <w:rPr>
                <w:sz w:val="21"/>
                <w:szCs w:val="21"/>
              </w:rPr>
            </w:pPr>
            <w:r>
              <w:rPr>
                <w:rFonts w:hint="eastAsia"/>
                <w:sz w:val="21"/>
                <w:szCs w:val="21"/>
                <w:lang w:eastAsia="zh-CN"/>
              </w:rPr>
              <w:t xml:space="preserve">□ </w:t>
            </w:r>
            <w:r>
              <w:rPr>
                <w:sz w:val="21"/>
                <w:szCs w:val="21"/>
              </w:rPr>
              <w:t>未编制作业指导书</w:t>
            </w:r>
          </w:p>
        </w:tc>
        <w:tc>
          <w:tcPr>
            <w:tcW w:w="2256" w:type="dxa"/>
            <w:tcBorders>
              <w:tl2br w:val="nil"/>
              <w:tr2bl w:val="nil"/>
            </w:tcBorders>
            <w:shd w:val="clear" w:color="auto" w:fill="FFFFFF"/>
            <w:noWrap w:val="0"/>
            <w:vAlign w:val="bottom"/>
          </w:tcPr>
          <w:p>
            <w:pPr>
              <w:pStyle w:val="69"/>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55" w:hRule="exact"/>
          <w:jc w:val="center"/>
        </w:trPr>
        <w:tc>
          <w:tcPr>
            <w:tcW w:w="1213" w:type="dxa"/>
            <w:vMerge w:val="continue"/>
            <w:tcBorders>
              <w:tl2br w:val="nil"/>
              <w:tr2bl w:val="nil"/>
            </w:tcBorders>
            <w:shd w:val="clear" w:color="auto" w:fill="FFFFFF"/>
            <w:noWrap w:val="0"/>
            <w:vAlign w:val="center"/>
          </w:tcPr>
          <w:p>
            <w:pPr>
              <w:pStyle w:val="69"/>
              <w:ind w:firstLine="400"/>
              <w:rPr>
                <w:sz w:val="21"/>
                <w:szCs w:val="21"/>
              </w:rPr>
            </w:pPr>
          </w:p>
        </w:tc>
        <w:tc>
          <w:tcPr>
            <w:tcW w:w="1301" w:type="dxa"/>
            <w:tcBorders>
              <w:tl2br w:val="nil"/>
              <w:tr2bl w:val="nil"/>
            </w:tcBorders>
            <w:shd w:val="clear" w:color="auto" w:fill="FFFFFF"/>
            <w:noWrap w:val="0"/>
            <w:vAlign w:val="center"/>
          </w:tcPr>
          <w:p>
            <w:pPr>
              <w:pStyle w:val="69"/>
              <w:jc w:val="center"/>
              <w:rPr>
                <w:sz w:val="21"/>
                <w:szCs w:val="21"/>
                <w:lang w:val="en-US" w:eastAsia="zh-CN"/>
              </w:rPr>
            </w:pPr>
            <w:r>
              <w:rPr>
                <w:rFonts w:hint="eastAsia"/>
                <w:sz w:val="21"/>
                <w:szCs w:val="21"/>
                <w:lang w:val="en-US" w:eastAsia="zh-CN"/>
              </w:rPr>
              <w:t>站房环境满足规范要求</w:t>
            </w:r>
          </w:p>
        </w:tc>
        <w:tc>
          <w:tcPr>
            <w:tcW w:w="6391" w:type="dxa"/>
            <w:tcBorders>
              <w:tl2br w:val="nil"/>
              <w:tr2bl w:val="nil"/>
            </w:tcBorders>
            <w:shd w:val="clear" w:color="auto" w:fill="FFFFFF"/>
            <w:noWrap w:val="0"/>
            <w:vAlign w:val="center"/>
          </w:tcPr>
          <w:p>
            <w:pPr>
              <w:pStyle w:val="70"/>
              <w:spacing w:line="384" w:lineRule="exact"/>
              <w:rPr>
                <w:sz w:val="21"/>
                <w:szCs w:val="21"/>
              </w:rPr>
            </w:pPr>
            <w:r>
              <w:rPr>
                <w:rFonts w:hint="eastAsia"/>
                <w:sz w:val="21"/>
                <w:szCs w:val="21"/>
                <w:lang w:eastAsia="zh-CN"/>
              </w:rPr>
              <w:t xml:space="preserve">□ </w:t>
            </w:r>
            <w:r>
              <w:rPr>
                <w:sz w:val="21"/>
                <w:szCs w:val="21"/>
              </w:rPr>
              <w:t>站房环境脏，有明显刺鼻异味：仪器电源线路管路等不规整</w:t>
            </w:r>
          </w:p>
          <w:p>
            <w:pPr>
              <w:pStyle w:val="70"/>
              <w:spacing w:line="384" w:lineRule="exact"/>
              <w:rPr>
                <w:sz w:val="21"/>
                <w:szCs w:val="21"/>
              </w:rPr>
            </w:pPr>
            <w:r>
              <w:rPr>
                <w:rFonts w:hint="eastAsia"/>
                <w:sz w:val="21"/>
                <w:szCs w:val="21"/>
                <w:lang w:eastAsia="zh-CN"/>
              </w:rPr>
              <w:t xml:space="preserve">□ </w:t>
            </w:r>
            <w:r>
              <w:rPr>
                <w:sz w:val="21"/>
                <w:szCs w:val="21"/>
              </w:rPr>
              <w:t>站房温度不在</w:t>
            </w:r>
            <w:r>
              <w:rPr>
                <w:sz w:val="21"/>
                <w:szCs w:val="21"/>
                <w:lang w:val="en-US" w:eastAsia="zh-CN" w:bidi="en-US"/>
              </w:rPr>
              <w:t>18-28</w:t>
            </w:r>
            <w:r>
              <w:rPr>
                <w:rFonts w:hint="eastAsia"/>
                <w:sz w:val="21"/>
                <w:szCs w:val="21"/>
                <w:lang w:val="en-US" w:eastAsia="zh-CN" w:bidi="en-US"/>
              </w:rPr>
              <w:t>℃</w:t>
            </w:r>
            <w:r>
              <w:rPr>
                <w:sz w:val="21"/>
                <w:szCs w:val="21"/>
              </w:rPr>
              <w:t>范围，相对湿度超过60%</w:t>
            </w:r>
            <w:r>
              <w:rPr>
                <w:rFonts w:hint="eastAsia"/>
                <w:sz w:val="21"/>
                <w:szCs w:val="21"/>
                <w:lang w:eastAsia="zh-CN"/>
              </w:rPr>
              <w:t>，</w:t>
            </w:r>
            <w:r>
              <w:rPr>
                <w:sz w:val="21"/>
                <w:szCs w:val="21"/>
              </w:rPr>
              <w:t xml:space="preserve">或站房未配备温、湿度计 </w:t>
            </w:r>
          </w:p>
          <w:p>
            <w:pPr>
              <w:pStyle w:val="70"/>
              <w:spacing w:line="384" w:lineRule="exact"/>
              <w:rPr>
                <w:sz w:val="21"/>
                <w:szCs w:val="21"/>
              </w:rPr>
            </w:pPr>
            <w:r>
              <w:rPr>
                <w:rFonts w:hint="eastAsia"/>
                <w:sz w:val="21"/>
                <w:szCs w:val="21"/>
                <w:lang w:eastAsia="zh-CN"/>
              </w:rPr>
              <w:t xml:space="preserve">□ </w:t>
            </w:r>
            <w:r>
              <w:rPr>
                <w:sz w:val="21"/>
                <w:szCs w:val="21"/>
              </w:rPr>
              <w:t>站房有无关设备及杂物</w:t>
            </w:r>
          </w:p>
        </w:tc>
        <w:tc>
          <w:tcPr>
            <w:tcW w:w="2256" w:type="dxa"/>
            <w:tcBorders>
              <w:tl2br w:val="nil"/>
              <w:tr2bl w:val="nil"/>
            </w:tcBorders>
            <w:shd w:val="clear" w:color="auto" w:fill="FFFFFF"/>
            <w:noWrap w:val="0"/>
            <w:vAlign w:val="bottom"/>
          </w:tcPr>
          <w:p>
            <w:pPr>
              <w:pStyle w:val="69"/>
              <w:ind w:firstLine="320"/>
              <w:rPr>
                <w:rFonts w:ascii="Times New Roman" w:hAnsi="Times New Roman" w:eastAsia="Times New Roman" w:cs="Times New Roman"/>
                <w:color w:val="37363D"/>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8" w:hRule="exact"/>
          <w:jc w:val="center"/>
        </w:trPr>
        <w:tc>
          <w:tcPr>
            <w:tcW w:w="11161" w:type="dxa"/>
            <w:gridSpan w:val="4"/>
            <w:tcBorders>
              <w:tl2br w:val="nil"/>
              <w:tr2bl w:val="nil"/>
            </w:tcBorders>
            <w:shd w:val="clear" w:color="auto" w:fill="FFFFFF"/>
            <w:noWrap w:val="0"/>
            <w:vAlign w:val="top"/>
          </w:tcPr>
          <w:p>
            <w:pPr>
              <w:pStyle w:val="69"/>
              <w:ind w:firstLine="320"/>
              <w:rPr>
                <w:rFonts w:ascii="Times New Roman" w:hAnsi="Times New Roman" w:cs="Times New Roman"/>
                <w:color w:val="37363D"/>
                <w:sz w:val="21"/>
                <w:szCs w:val="21"/>
                <w:lang w:val="en-US" w:eastAsia="zh-CN"/>
              </w:rPr>
            </w:pPr>
            <w:r>
              <w:rPr>
                <w:rFonts w:hint="eastAsia" w:ascii="Times New Roman" w:hAnsi="Times New Roman" w:cs="Times New Roman"/>
                <w:color w:val="37363D"/>
                <w:sz w:val="21"/>
                <w:szCs w:val="21"/>
                <w:lang w:val="en-US" w:eastAsia="zh-CN"/>
              </w:rPr>
              <w:t>其他需要特别记录的问题</w:t>
            </w:r>
          </w:p>
          <w:p>
            <w:pPr>
              <w:pStyle w:val="69"/>
              <w:ind w:firstLine="320"/>
              <w:rPr>
                <w:rFonts w:ascii="Times New Roman" w:hAnsi="Times New Roman" w:cs="Times New Roman"/>
                <w:color w:val="37363D"/>
                <w:sz w:val="21"/>
                <w:szCs w:val="21"/>
                <w:lang w:val="en-US" w:eastAsia="zh-CN"/>
              </w:rPr>
            </w:pPr>
          </w:p>
          <w:p>
            <w:pPr>
              <w:pStyle w:val="69"/>
              <w:ind w:firstLine="320"/>
              <w:rPr>
                <w:rFonts w:ascii="Times New Roman" w:hAnsi="Times New Roman" w:cs="Times New Roman"/>
                <w:color w:val="37363D"/>
                <w:sz w:val="21"/>
                <w:szCs w:val="21"/>
                <w:lang w:val="en-US" w:eastAsia="zh-CN"/>
              </w:rPr>
            </w:pPr>
          </w:p>
          <w:p>
            <w:pPr>
              <w:pStyle w:val="69"/>
              <w:ind w:firstLine="320"/>
              <w:rPr>
                <w:rFonts w:ascii="Times New Roman" w:hAnsi="Times New Roman" w:cs="Times New Roman"/>
                <w:color w:val="37363D"/>
                <w:sz w:val="21"/>
                <w:szCs w:val="21"/>
                <w:lang w:val="en-US" w:eastAsia="zh-CN"/>
              </w:rPr>
            </w:pPr>
          </w:p>
        </w:tc>
      </w:tr>
    </w:tbl>
    <w:p>
      <w:pPr>
        <w:snapToGrid w:val="0"/>
        <w:spacing w:before="156" w:beforeLines="50" w:after="50" w:line="360" w:lineRule="auto"/>
        <w:outlineLvl w:val="0"/>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pStyle w:val="2"/>
        <w:rPr>
          <w:rFonts w:hint="default"/>
          <w:lang w:val="en-US" w:eastAsia="zh-CN"/>
        </w:rPr>
      </w:pPr>
    </w:p>
    <w:p>
      <w:pPr>
        <w:snapToGrid w:val="0"/>
        <w:spacing w:before="156" w:beforeLines="50" w:after="50" w:line="360" w:lineRule="auto"/>
        <w:outlineLvl w:val="0"/>
        <w:rPr>
          <w:rFonts w:hint="default" w:ascii="宋体" w:hAnsi="宋体"/>
          <w:b/>
          <w:sz w:val="28"/>
          <w:lang w:val="en-US" w:eastAsia="zh-CN"/>
        </w:rPr>
      </w:pPr>
      <w:r>
        <w:rPr>
          <w:rFonts w:hint="eastAsia" w:ascii="宋体" w:hAnsi="宋体"/>
          <w:b/>
          <w:sz w:val="28"/>
          <w:lang w:val="en-US" w:eastAsia="zh-CN"/>
        </w:rPr>
        <w:t>附件20</w:t>
      </w:r>
    </w:p>
    <w:p>
      <w:pPr>
        <w:spacing w:before="60" w:after="120" w:line="320" w:lineRule="exact"/>
        <w:outlineLvl w:val="0"/>
        <w:rPr>
          <w:rFonts w:ascii="宋体" w:hAnsi="宋体" w:cs="宋体"/>
          <w:color w:val="000000"/>
          <w:kern w:val="0"/>
          <w:sz w:val="24"/>
          <w:lang w:eastAsia="zh-Hans"/>
        </w:rPr>
      </w:pPr>
      <w:r>
        <w:rPr>
          <w:rFonts w:hint="eastAsia" w:ascii="宋体" w:hAnsi="宋体" w:cs="宋体"/>
          <w:color w:val="000000"/>
          <w:kern w:val="0"/>
          <w:sz w:val="24"/>
          <w:lang w:eastAsia="zh-Hans"/>
        </w:rPr>
        <w:t>防人为干扰检查记录表</w:t>
      </w:r>
    </w:p>
    <w:p>
      <w:pPr>
        <w:spacing w:line="560" w:lineRule="exact"/>
        <w:jc w:val="center"/>
        <w:outlineLvl w:val="0"/>
        <w:rPr>
          <w:rFonts w:eastAsia="方正小标宋简体"/>
          <w:sz w:val="36"/>
          <w:szCs w:val="36"/>
        </w:rPr>
      </w:pPr>
      <w:r>
        <w:rPr>
          <w:rFonts w:eastAsia="方正小标宋简体"/>
          <w:sz w:val="36"/>
          <w:szCs w:val="36"/>
        </w:rPr>
        <w:t>水站</w:t>
      </w:r>
      <w:r>
        <w:rPr>
          <w:rFonts w:hint="eastAsia" w:eastAsia="方正小标宋简体"/>
          <w:sz w:val="36"/>
          <w:szCs w:val="36"/>
        </w:rPr>
        <w:t>防人为干扰</w:t>
      </w:r>
      <w:r>
        <w:rPr>
          <w:rFonts w:eastAsia="方正小标宋简体"/>
          <w:sz w:val="36"/>
          <w:szCs w:val="36"/>
        </w:rPr>
        <w:t>现场检查表</w:t>
      </w:r>
    </w:p>
    <w:p>
      <w:pPr>
        <w:spacing w:line="560" w:lineRule="exact"/>
        <w:outlineLvl w:val="0"/>
        <w:rPr>
          <w:rFonts w:eastAsia="方正小标宋简体"/>
          <w:sz w:val="24"/>
        </w:rPr>
      </w:pPr>
      <w:r>
        <w:rPr>
          <w:bCs/>
          <w:sz w:val="24"/>
          <w:u w:val="single"/>
        </w:rPr>
        <w:t xml:space="preserve">        </w:t>
      </w:r>
      <w:r>
        <w:rPr>
          <w:bCs/>
          <w:sz w:val="24"/>
        </w:rPr>
        <w:t>县（市、区）</w:t>
      </w:r>
      <w:r>
        <w:rPr>
          <w:bCs/>
          <w:sz w:val="24"/>
          <w:u w:val="single"/>
        </w:rPr>
        <w:t xml:space="preserve">               </w:t>
      </w:r>
      <w:r>
        <w:rPr>
          <w:bCs/>
          <w:sz w:val="24"/>
        </w:rPr>
        <w:t>断面（水站）</w:t>
      </w:r>
      <w:r>
        <w:rPr>
          <w:sz w:val="24"/>
        </w:rPr>
        <w:t xml:space="preserve">                                           </w:t>
      </w:r>
      <w:r>
        <w:rPr>
          <w:bCs/>
          <w:sz w:val="24"/>
        </w:rPr>
        <w:t>检查时间：</w:t>
      </w:r>
      <w:r>
        <w:rPr>
          <w:bCs/>
          <w:sz w:val="24"/>
          <w:u w:val="single"/>
        </w:rPr>
        <w:t xml:space="preserve">                    </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255"/>
        <w:gridCol w:w="880"/>
        <w:gridCol w:w="35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Header/>
        </w:trPr>
        <w:tc>
          <w:tcPr>
            <w:tcW w:w="802" w:type="dxa"/>
            <w:noWrap w:val="0"/>
            <w:vAlign w:val="center"/>
          </w:tcPr>
          <w:p>
            <w:pPr>
              <w:spacing w:before="60" w:after="120" w:line="320" w:lineRule="exact"/>
              <w:jc w:val="center"/>
              <w:outlineLvl w:val="0"/>
              <w:rPr>
                <w:rFonts w:eastAsia="黑体"/>
                <w:kern w:val="0"/>
                <w:sz w:val="24"/>
              </w:rPr>
            </w:pPr>
            <w:r>
              <w:rPr>
                <w:rFonts w:eastAsia="黑体"/>
                <w:kern w:val="0"/>
                <w:sz w:val="24"/>
              </w:rPr>
              <w:t>序号</w:t>
            </w:r>
          </w:p>
        </w:tc>
        <w:tc>
          <w:tcPr>
            <w:tcW w:w="8255" w:type="dxa"/>
            <w:noWrap w:val="0"/>
            <w:vAlign w:val="center"/>
          </w:tcPr>
          <w:p>
            <w:pPr>
              <w:spacing w:before="60" w:after="120" w:line="320" w:lineRule="exact"/>
              <w:jc w:val="center"/>
              <w:outlineLvl w:val="0"/>
              <w:rPr>
                <w:rFonts w:eastAsia="黑体"/>
                <w:kern w:val="0"/>
                <w:sz w:val="24"/>
              </w:rPr>
            </w:pPr>
            <w:r>
              <w:rPr>
                <w:rFonts w:eastAsia="黑体"/>
                <w:kern w:val="0"/>
                <w:sz w:val="24"/>
              </w:rPr>
              <w:t>检查内容</w:t>
            </w:r>
          </w:p>
        </w:tc>
        <w:tc>
          <w:tcPr>
            <w:tcW w:w="880" w:type="dxa"/>
            <w:noWrap w:val="0"/>
            <w:vAlign w:val="center"/>
          </w:tcPr>
          <w:p>
            <w:pPr>
              <w:spacing w:before="60" w:after="120" w:line="320" w:lineRule="exact"/>
              <w:jc w:val="center"/>
              <w:outlineLvl w:val="0"/>
              <w:rPr>
                <w:rFonts w:eastAsia="黑体"/>
                <w:kern w:val="0"/>
                <w:sz w:val="24"/>
              </w:rPr>
            </w:pPr>
            <w:r>
              <w:rPr>
                <w:rFonts w:eastAsia="黑体"/>
                <w:kern w:val="0"/>
                <w:sz w:val="24"/>
              </w:rPr>
              <w:t>是/否</w:t>
            </w:r>
          </w:p>
        </w:tc>
        <w:tc>
          <w:tcPr>
            <w:tcW w:w="3560" w:type="dxa"/>
            <w:noWrap w:val="0"/>
            <w:vAlign w:val="center"/>
          </w:tcPr>
          <w:p>
            <w:pPr>
              <w:spacing w:before="60" w:after="120" w:line="320" w:lineRule="exact"/>
              <w:jc w:val="center"/>
              <w:outlineLvl w:val="0"/>
              <w:rPr>
                <w:rFonts w:eastAsia="黑体"/>
                <w:kern w:val="0"/>
                <w:sz w:val="24"/>
              </w:rPr>
            </w:pPr>
            <w:r>
              <w:rPr>
                <w:rFonts w:eastAsia="黑体"/>
                <w:kern w:val="0"/>
                <w:sz w:val="24"/>
              </w:rPr>
              <w:t>存在问题</w:t>
            </w:r>
          </w:p>
        </w:tc>
        <w:tc>
          <w:tcPr>
            <w:tcW w:w="1200" w:type="dxa"/>
            <w:noWrap w:val="0"/>
            <w:vAlign w:val="center"/>
          </w:tcPr>
          <w:p>
            <w:pPr>
              <w:spacing w:before="60" w:after="120" w:line="320" w:lineRule="exact"/>
              <w:jc w:val="center"/>
              <w:outlineLvl w:val="0"/>
              <w:rPr>
                <w:rFonts w:eastAsia="黑体"/>
                <w:kern w:val="0"/>
                <w:sz w:val="24"/>
              </w:rPr>
            </w:pPr>
            <w:r>
              <w:rPr>
                <w:rFonts w:eastAsia="黑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1</w:t>
            </w:r>
          </w:p>
        </w:tc>
        <w:tc>
          <w:tcPr>
            <w:tcW w:w="8255" w:type="dxa"/>
            <w:noWrap w:val="0"/>
            <w:vAlign w:val="top"/>
          </w:tcPr>
          <w:p>
            <w:pPr>
              <w:spacing w:before="60" w:after="120" w:line="320" w:lineRule="exact"/>
              <w:outlineLvl w:val="0"/>
              <w:rPr>
                <w:rFonts w:eastAsia="方正小标宋简体"/>
                <w:kern w:val="0"/>
                <w:sz w:val="24"/>
              </w:rPr>
            </w:pPr>
            <w:r>
              <w:rPr>
                <w:kern w:val="0"/>
                <w:sz w:val="24"/>
              </w:rPr>
              <w:t>是否存在擅自变更监测断面手工采样、水站采水口位置的情况。</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2</w:t>
            </w:r>
          </w:p>
        </w:tc>
        <w:tc>
          <w:tcPr>
            <w:tcW w:w="8255" w:type="dxa"/>
            <w:noWrap w:val="0"/>
            <w:vAlign w:val="top"/>
          </w:tcPr>
          <w:p>
            <w:pPr>
              <w:spacing w:before="60" w:after="120" w:line="320" w:lineRule="exact"/>
              <w:outlineLvl w:val="0"/>
              <w:rPr>
                <w:rFonts w:eastAsia="方正小标宋简体"/>
                <w:kern w:val="0"/>
                <w:sz w:val="24"/>
              </w:rPr>
            </w:pPr>
            <w:r>
              <w:rPr>
                <w:kern w:val="0"/>
                <w:sz w:val="24"/>
              </w:rPr>
              <w:t>是否存在人为造成河流改道或断流，故意绕开监测断面、水站采水口的情况。</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3</w:t>
            </w:r>
          </w:p>
        </w:tc>
        <w:tc>
          <w:tcPr>
            <w:tcW w:w="8255" w:type="dxa"/>
            <w:noWrap w:val="0"/>
            <w:vAlign w:val="top"/>
          </w:tcPr>
          <w:p>
            <w:pPr>
              <w:spacing w:before="60" w:after="120" w:line="320" w:lineRule="exact"/>
              <w:outlineLvl w:val="0"/>
              <w:rPr>
                <w:kern w:val="0"/>
                <w:sz w:val="24"/>
              </w:rPr>
            </w:pPr>
            <w:r>
              <w:rPr>
                <w:kern w:val="0"/>
                <w:sz w:val="24"/>
              </w:rPr>
              <w:t>断面桩、水站标识牌、警示牌是否存在未按要求安装和缺少、损毁的情况。</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blHeader/>
        </w:trPr>
        <w:tc>
          <w:tcPr>
            <w:tcW w:w="802" w:type="dxa"/>
            <w:noWrap w:val="0"/>
            <w:vAlign w:val="center"/>
          </w:tcPr>
          <w:p>
            <w:pPr>
              <w:spacing w:before="60" w:after="120" w:line="320" w:lineRule="exact"/>
              <w:jc w:val="center"/>
              <w:outlineLvl w:val="0"/>
              <w:rPr>
                <w:kern w:val="0"/>
                <w:sz w:val="24"/>
              </w:rPr>
            </w:pPr>
            <w:r>
              <w:rPr>
                <w:kern w:val="0"/>
                <w:sz w:val="24"/>
              </w:rPr>
              <w:t>4</w:t>
            </w:r>
          </w:p>
        </w:tc>
        <w:tc>
          <w:tcPr>
            <w:tcW w:w="8255" w:type="dxa"/>
            <w:noWrap w:val="0"/>
            <w:vAlign w:val="top"/>
          </w:tcPr>
          <w:p>
            <w:pPr>
              <w:spacing w:before="60" w:after="120" w:line="320" w:lineRule="exact"/>
              <w:outlineLvl w:val="0"/>
              <w:rPr>
                <w:kern w:val="0"/>
                <w:sz w:val="24"/>
              </w:rPr>
            </w:pPr>
            <w:r>
              <w:rPr>
                <w:kern w:val="0"/>
                <w:sz w:val="24"/>
              </w:rPr>
              <w:t>监测断面、水站采水口上游及支流1000米，下游200米内或湖库点位（采水口）</w:t>
            </w:r>
            <w:r>
              <w:rPr>
                <w:rFonts w:eastAsia="Times New Roman"/>
                <w:kern w:val="0"/>
                <w:sz w:val="24"/>
              </w:rPr>
              <w:t>500</w:t>
            </w:r>
            <w:r>
              <w:rPr>
                <w:kern w:val="0"/>
                <w:sz w:val="24"/>
              </w:rPr>
              <w:t>米范围内，是否存在投放生物、化学药剂等强行改变水体理化性质的行为；是否存在人工喷泉、曝气等增氧设施和人工水草种植情况；是否存在治理公司净水实验、消防演练等情况。</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5</w:t>
            </w:r>
          </w:p>
        </w:tc>
        <w:tc>
          <w:tcPr>
            <w:tcW w:w="8255" w:type="dxa"/>
            <w:noWrap w:val="0"/>
            <w:vAlign w:val="top"/>
          </w:tcPr>
          <w:p>
            <w:pPr>
              <w:spacing w:before="60" w:after="120" w:line="320" w:lineRule="exact"/>
              <w:outlineLvl w:val="0"/>
              <w:rPr>
                <w:rFonts w:eastAsia="方正小标宋简体"/>
                <w:kern w:val="0"/>
                <w:sz w:val="24"/>
              </w:rPr>
            </w:pPr>
            <w:r>
              <w:rPr>
                <w:kern w:val="0"/>
                <w:sz w:val="24"/>
              </w:rPr>
              <w:t>监测断面、水站采水口上游1000米，下游200米内或湖库点位（采水口）</w:t>
            </w:r>
            <w:r>
              <w:rPr>
                <w:rFonts w:eastAsia="Times New Roman"/>
                <w:kern w:val="0"/>
                <w:sz w:val="24"/>
              </w:rPr>
              <w:t>500</w:t>
            </w:r>
            <w:r>
              <w:rPr>
                <w:kern w:val="0"/>
                <w:sz w:val="24"/>
              </w:rPr>
              <w:t>米范围内，是否存在未报批或备案的水环境治理或河道整治项目在实施。</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6</w:t>
            </w:r>
          </w:p>
        </w:tc>
        <w:tc>
          <w:tcPr>
            <w:tcW w:w="8255" w:type="dxa"/>
            <w:noWrap w:val="0"/>
            <w:vAlign w:val="top"/>
          </w:tcPr>
          <w:p>
            <w:pPr>
              <w:spacing w:before="60" w:after="120" w:line="320" w:lineRule="exact"/>
              <w:outlineLvl w:val="0"/>
              <w:rPr>
                <w:kern w:val="0"/>
                <w:sz w:val="24"/>
              </w:rPr>
            </w:pPr>
            <w:r>
              <w:rPr>
                <w:kern w:val="0"/>
                <w:sz w:val="24"/>
              </w:rPr>
              <w:t>是否存在破坏、损毁监测设备、通讯线路、信息采集传输设备、监控仪器仪表及其它辅助设施的情形。</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7</w:t>
            </w:r>
          </w:p>
        </w:tc>
        <w:tc>
          <w:tcPr>
            <w:tcW w:w="8255" w:type="dxa"/>
            <w:noWrap w:val="0"/>
            <w:vAlign w:val="top"/>
          </w:tcPr>
          <w:p>
            <w:pPr>
              <w:spacing w:before="60" w:after="120" w:line="320" w:lineRule="exact"/>
              <w:outlineLvl w:val="0"/>
              <w:rPr>
                <w:rFonts w:eastAsia="方正小标宋简体"/>
                <w:kern w:val="0"/>
                <w:sz w:val="24"/>
              </w:rPr>
            </w:pPr>
            <w:r>
              <w:rPr>
                <w:kern w:val="0"/>
                <w:sz w:val="24"/>
              </w:rPr>
              <w:t>近期水质自动监测数据是否存在明显异常的情况。</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trPr>
        <w:tc>
          <w:tcPr>
            <w:tcW w:w="802" w:type="dxa"/>
            <w:noWrap w:val="0"/>
            <w:vAlign w:val="center"/>
          </w:tcPr>
          <w:p>
            <w:pPr>
              <w:spacing w:before="60" w:after="120" w:line="320" w:lineRule="exact"/>
              <w:jc w:val="center"/>
              <w:outlineLvl w:val="0"/>
              <w:rPr>
                <w:kern w:val="0"/>
                <w:sz w:val="24"/>
              </w:rPr>
            </w:pPr>
            <w:r>
              <w:rPr>
                <w:kern w:val="0"/>
                <w:sz w:val="24"/>
              </w:rPr>
              <w:t>8</w:t>
            </w:r>
          </w:p>
        </w:tc>
        <w:tc>
          <w:tcPr>
            <w:tcW w:w="8255" w:type="dxa"/>
            <w:noWrap w:val="0"/>
            <w:vAlign w:val="top"/>
          </w:tcPr>
          <w:p>
            <w:pPr>
              <w:spacing w:before="60" w:after="120" w:line="320" w:lineRule="exact"/>
              <w:outlineLvl w:val="0"/>
              <w:rPr>
                <w:kern w:val="0"/>
                <w:sz w:val="24"/>
              </w:rPr>
            </w:pPr>
            <w:r>
              <w:rPr>
                <w:kern w:val="0"/>
                <w:sz w:val="24"/>
              </w:rPr>
              <w:t>是否存在其它违反《环境监测数据弄虚作假行为判定及处理办法》的情形。</w:t>
            </w:r>
          </w:p>
        </w:tc>
        <w:tc>
          <w:tcPr>
            <w:tcW w:w="880" w:type="dxa"/>
            <w:noWrap w:val="0"/>
            <w:vAlign w:val="top"/>
          </w:tcPr>
          <w:p>
            <w:pPr>
              <w:spacing w:before="60" w:after="120" w:line="320" w:lineRule="exact"/>
              <w:outlineLvl w:val="0"/>
              <w:rPr>
                <w:rFonts w:eastAsia="方正小标宋简体"/>
                <w:kern w:val="0"/>
                <w:sz w:val="24"/>
              </w:rPr>
            </w:pPr>
          </w:p>
        </w:tc>
        <w:tc>
          <w:tcPr>
            <w:tcW w:w="3560" w:type="dxa"/>
            <w:noWrap w:val="0"/>
            <w:vAlign w:val="top"/>
          </w:tcPr>
          <w:p>
            <w:pPr>
              <w:spacing w:before="60" w:after="120" w:line="320" w:lineRule="exact"/>
              <w:outlineLvl w:val="0"/>
              <w:rPr>
                <w:rFonts w:eastAsia="方正小标宋简体"/>
                <w:kern w:val="0"/>
                <w:sz w:val="24"/>
              </w:rPr>
            </w:pPr>
          </w:p>
        </w:tc>
        <w:tc>
          <w:tcPr>
            <w:tcW w:w="1200" w:type="dxa"/>
            <w:noWrap w:val="0"/>
            <w:vAlign w:val="top"/>
          </w:tcPr>
          <w:p>
            <w:pPr>
              <w:spacing w:before="60" w:after="120" w:line="320" w:lineRule="exact"/>
              <w:outlineLvl w:val="0"/>
              <w:rPr>
                <w:rFonts w:eastAsia="方正小标宋简体"/>
                <w:kern w:val="0"/>
                <w:sz w:val="24"/>
              </w:rPr>
            </w:pPr>
          </w:p>
        </w:tc>
      </w:tr>
    </w:tbl>
    <w:p>
      <w:pPr>
        <w:adjustRightInd w:val="0"/>
        <w:snapToGrid w:val="0"/>
        <w:spacing w:line="560" w:lineRule="exact"/>
        <w:rPr>
          <w:szCs w:val="22"/>
          <w:u w:val="single"/>
        </w:rPr>
        <w:sectPr>
          <w:pgSz w:w="16838" w:h="11906" w:orient="landscape"/>
          <w:pgMar w:top="1344" w:right="1440" w:bottom="1060" w:left="1440" w:header="851" w:footer="992" w:gutter="0"/>
          <w:cols w:space="720" w:num="1"/>
          <w:docGrid w:linePitch="312" w:charSpace="0"/>
        </w:sectPr>
      </w:pPr>
      <w:r>
        <w:rPr>
          <w:bCs/>
          <w:szCs w:val="21"/>
        </w:rPr>
        <w:t>检查单位：</w:t>
      </w:r>
      <w:r>
        <w:rPr>
          <w:bCs/>
          <w:szCs w:val="21"/>
          <w:u w:val="single"/>
        </w:rPr>
        <w:t xml:space="preserve">                </w:t>
      </w:r>
      <w:r>
        <w:rPr>
          <w:bCs/>
          <w:szCs w:val="21"/>
        </w:rPr>
        <w:t xml:space="preserve">                                               检查人员：</w:t>
      </w:r>
      <w:r>
        <w:rPr>
          <w:szCs w:val="22"/>
          <w:u w:val="single"/>
        </w:rPr>
        <w:t xml:space="preserve">                     </w:t>
      </w:r>
    </w:p>
    <w:p>
      <w:pPr>
        <w:adjustRightInd w:val="0"/>
        <w:snapToGrid w:val="0"/>
        <w:spacing w:line="560" w:lineRule="exact"/>
        <w:jc w:val="center"/>
        <w:rPr>
          <w:rFonts w:eastAsia="方正小标宋简体"/>
          <w:sz w:val="36"/>
          <w:szCs w:val="36"/>
        </w:rPr>
      </w:pPr>
      <w:r>
        <w:rPr>
          <w:rFonts w:eastAsia="方正小标宋简体"/>
          <w:sz w:val="36"/>
          <w:szCs w:val="36"/>
        </w:rPr>
        <w:t>气站</w:t>
      </w:r>
      <w:r>
        <w:rPr>
          <w:rFonts w:hint="eastAsia" w:eastAsia="方正小标宋简体"/>
          <w:sz w:val="36"/>
          <w:szCs w:val="36"/>
        </w:rPr>
        <w:t>防人为干扰</w:t>
      </w:r>
      <w:r>
        <w:rPr>
          <w:rFonts w:eastAsia="方正小标宋简体"/>
          <w:sz w:val="36"/>
          <w:szCs w:val="36"/>
        </w:rPr>
        <w:t>现场检查表</w:t>
      </w:r>
    </w:p>
    <w:p>
      <w:pPr>
        <w:adjustRightInd w:val="0"/>
        <w:snapToGrid w:val="0"/>
        <w:spacing w:line="560" w:lineRule="exact"/>
        <w:ind w:firstLine="2160" w:firstLineChars="900"/>
        <w:jc w:val="left"/>
        <w:rPr>
          <w:rFonts w:eastAsia="方正小标宋简体"/>
          <w:sz w:val="24"/>
        </w:rPr>
      </w:pPr>
      <w:r>
        <w:rPr>
          <w:bCs/>
          <w:sz w:val="24"/>
          <w:u w:val="single"/>
        </w:rPr>
        <w:t xml:space="preserve">       </w:t>
      </w:r>
      <w:r>
        <w:rPr>
          <w:bCs/>
          <w:sz w:val="24"/>
        </w:rPr>
        <w:t>县（市、区）</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rPr>
        <w:t>站</w:t>
      </w:r>
      <w:r>
        <w:rPr>
          <w:bCs/>
          <w:sz w:val="24"/>
        </w:rPr>
        <w:t>（</w:t>
      </w:r>
      <w:r>
        <w:rPr>
          <w:rFonts w:hint="eastAsia"/>
          <w:bCs/>
          <w:sz w:val="24"/>
        </w:rPr>
        <w:t>气</w:t>
      </w:r>
      <w:r>
        <w:rPr>
          <w:bCs/>
          <w:sz w:val="24"/>
        </w:rPr>
        <w:t>站）</w:t>
      </w:r>
      <w:r>
        <w:rPr>
          <w:sz w:val="24"/>
        </w:rPr>
        <w:t xml:space="preserve">        </w:t>
      </w:r>
      <w:r>
        <w:rPr>
          <w:bCs/>
          <w:sz w:val="24"/>
        </w:rPr>
        <w:t>检查时间：</w:t>
      </w:r>
      <w:r>
        <w:rPr>
          <w:bCs/>
          <w:sz w:val="24"/>
          <w:u w:val="single"/>
        </w:rPr>
        <w:t xml:space="preserve">    </w:t>
      </w:r>
      <w:r>
        <w:rPr>
          <w:rFonts w:hint="eastAsia"/>
          <w:bCs/>
          <w:sz w:val="24"/>
          <w:u w:val="single"/>
        </w:rPr>
        <w:t xml:space="preserve">      </w:t>
      </w:r>
      <w:r>
        <w:rPr>
          <w:bCs/>
          <w:sz w:val="24"/>
          <w:u w:val="single"/>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826"/>
        <w:gridCol w:w="157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10" w:type="dxa"/>
            <w:noWrap w:val="0"/>
            <w:vAlign w:val="top"/>
          </w:tcPr>
          <w:p>
            <w:pPr>
              <w:spacing w:before="60" w:after="120" w:line="320" w:lineRule="exact"/>
              <w:jc w:val="center"/>
              <w:outlineLvl w:val="0"/>
              <w:rPr>
                <w:b/>
                <w:bCs/>
                <w:kern w:val="0"/>
                <w:sz w:val="24"/>
              </w:rPr>
            </w:pPr>
            <w:r>
              <w:rPr>
                <w:b/>
                <w:bCs/>
                <w:kern w:val="0"/>
                <w:sz w:val="24"/>
              </w:rPr>
              <w:t>序号</w:t>
            </w:r>
          </w:p>
        </w:tc>
        <w:tc>
          <w:tcPr>
            <w:tcW w:w="5826" w:type="dxa"/>
            <w:noWrap w:val="0"/>
            <w:vAlign w:val="top"/>
          </w:tcPr>
          <w:p>
            <w:pPr>
              <w:spacing w:before="60" w:after="120" w:line="320" w:lineRule="exact"/>
              <w:jc w:val="center"/>
              <w:outlineLvl w:val="0"/>
              <w:rPr>
                <w:rFonts w:ascii="Calibri" w:hAnsi="Calibri"/>
                <w:b/>
                <w:bCs/>
                <w:kern w:val="0"/>
                <w:sz w:val="24"/>
              </w:rPr>
            </w:pPr>
            <w:r>
              <w:rPr>
                <w:rFonts w:ascii="Calibri" w:hAnsi="Calibri"/>
                <w:b/>
                <w:bCs/>
                <w:kern w:val="0"/>
                <w:sz w:val="24"/>
              </w:rPr>
              <w:t>巡查内容</w:t>
            </w:r>
          </w:p>
        </w:tc>
        <w:tc>
          <w:tcPr>
            <w:tcW w:w="1574" w:type="dxa"/>
            <w:noWrap w:val="0"/>
            <w:vAlign w:val="top"/>
          </w:tcPr>
          <w:p>
            <w:pPr>
              <w:spacing w:before="60" w:after="120" w:line="320" w:lineRule="exact"/>
              <w:jc w:val="center"/>
              <w:outlineLvl w:val="0"/>
              <w:rPr>
                <w:rFonts w:ascii="Calibri" w:hAnsi="Calibri"/>
                <w:b/>
                <w:bCs/>
                <w:kern w:val="0"/>
                <w:sz w:val="24"/>
              </w:rPr>
            </w:pPr>
            <w:r>
              <w:rPr>
                <w:rFonts w:ascii="Calibri" w:hAnsi="Calibri"/>
                <w:b/>
                <w:bCs/>
                <w:kern w:val="0"/>
                <w:sz w:val="24"/>
              </w:rPr>
              <w:t>结果</w:t>
            </w:r>
          </w:p>
        </w:tc>
        <w:tc>
          <w:tcPr>
            <w:tcW w:w="1241" w:type="dxa"/>
            <w:noWrap w:val="0"/>
            <w:vAlign w:val="top"/>
          </w:tcPr>
          <w:p>
            <w:pPr>
              <w:spacing w:before="60" w:after="120" w:line="320" w:lineRule="exact"/>
              <w:jc w:val="center"/>
              <w:outlineLvl w:val="0"/>
              <w:rPr>
                <w:rFonts w:ascii="Calibri" w:hAnsi="Calibri"/>
                <w:b/>
                <w:bCs/>
                <w:kern w:val="0"/>
                <w:sz w:val="24"/>
              </w:rPr>
            </w:pPr>
            <w:r>
              <w:rPr>
                <w:rFonts w:ascii="Calibri" w:hAnsi="Calibri"/>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0" w:type="dxa"/>
            <w:noWrap w:val="0"/>
            <w:vAlign w:val="center"/>
          </w:tcPr>
          <w:p>
            <w:pPr>
              <w:spacing w:before="60" w:after="120" w:line="320" w:lineRule="exact"/>
              <w:jc w:val="center"/>
              <w:outlineLvl w:val="0"/>
              <w:rPr>
                <w:kern w:val="0"/>
                <w:sz w:val="24"/>
              </w:rPr>
            </w:pPr>
            <w:r>
              <w:rPr>
                <w:kern w:val="0"/>
                <w:sz w:val="24"/>
              </w:rPr>
              <w:t>1</w:t>
            </w:r>
          </w:p>
        </w:tc>
        <w:tc>
          <w:tcPr>
            <w:tcW w:w="5826" w:type="dxa"/>
            <w:noWrap w:val="0"/>
            <w:vAlign w:val="center"/>
          </w:tcPr>
          <w:p>
            <w:pPr>
              <w:spacing w:before="60" w:after="120" w:line="320" w:lineRule="exact"/>
              <w:outlineLvl w:val="0"/>
              <w:rPr>
                <w:rFonts w:ascii="Calibri" w:hAnsi="Calibri"/>
                <w:kern w:val="0"/>
                <w:sz w:val="24"/>
              </w:rPr>
            </w:pPr>
            <w:r>
              <w:rPr>
                <w:rFonts w:ascii="Calibri" w:hAnsi="Calibri"/>
                <w:kern w:val="0"/>
                <w:sz w:val="24"/>
              </w:rPr>
              <w:t>站点基础保障工作是否到位：（1）站房用地、电力供应、安全保障工作和周边环境是否正常；（2）站房周边是否有杂草、积水，地面卫生是否清洁。（3）站房周围树木生长是否会影响自动监测设备的采样工作。</w:t>
            </w:r>
          </w:p>
        </w:tc>
        <w:tc>
          <w:tcPr>
            <w:tcW w:w="1574" w:type="dxa"/>
            <w:noWrap w:val="0"/>
            <w:vAlign w:val="center"/>
          </w:tcPr>
          <w:p>
            <w:pPr>
              <w:spacing w:before="60" w:after="120" w:line="320" w:lineRule="exact"/>
              <w:outlineLvl w:val="0"/>
              <w:rPr>
                <w:rFonts w:ascii="Calibri" w:hAnsi="Calibri"/>
                <w:kern w:val="0"/>
                <w:sz w:val="24"/>
              </w:rPr>
            </w:pPr>
          </w:p>
        </w:tc>
        <w:tc>
          <w:tcPr>
            <w:tcW w:w="1241" w:type="dxa"/>
            <w:noWrap w:val="0"/>
            <w:vAlign w:val="center"/>
          </w:tcPr>
          <w:p>
            <w:pPr>
              <w:spacing w:before="60" w:after="120" w:line="320" w:lineRule="exact"/>
              <w:outlineLvl w:val="0"/>
              <w:rPr>
                <w:rFonts w:ascii="Calibri" w:hAnsi="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0" w:type="dxa"/>
            <w:noWrap w:val="0"/>
            <w:vAlign w:val="center"/>
          </w:tcPr>
          <w:p>
            <w:pPr>
              <w:spacing w:before="60" w:after="120" w:line="320" w:lineRule="exact"/>
              <w:jc w:val="center"/>
              <w:outlineLvl w:val="0"/>
              <w:rPr>
                <w:kern w:val="0"/>
                <w:sz w:val="24"/>
              </w:rPr>
            </w:pPr>
            <w:r>
              <w:rPr>
                <w:kern w:val="0"/>
                <w:sz w:val="24"/>
              </w:rPr>
              <w:t>2</w:t>
            </w:r>
          </w:p>
        </w:tc>
        <w:tc>
          <w:tcPr>
            <w:tcW w:w="5826" w:type="dxa"/>
            <w:noWrap w:val="0"/>
            <w:vAlign w:val="center"/>
          </w:tcPr>
          <w:p>
            <w:pPr>
              <w:spacing w:before="60" w:after="120" w:line="320" w:lineRule="exact"/>
              <w:outlineLvl w:val="0"/>
              <w:rPr>
                <w:rFonts w:ascii="Calibri" w:hAnsi="Calibri"/>
                <w:kern w:val="0"/>
                <w:sz w:val="24"/>
              </w:rPr>
            </w:pPr>
            <w:r>
              <w:rPr>
                <w:rFonts w:ascii="Calibri" w:hAnsi="Calibri"/>
                <w:kern w:val="0"/>
                <w:sz w:val="24"/>
              </w:rPr>
              <w:t>安全防护设施，以及站点四周栅栏、安全警示标志是否配备齐全。</w:t>
            </w:r>
          </w:p>
        </w:tc>
        <w:tc>
          <w:tcPr>
            <w:tcW w:w="1574" w:type="dxa"/>
            <w:noWrap w:val="0"/>
            <w:vAlign w:val="center"/>
          </w:tcPr>
          <w:p>
            <w:pPr>
              <w:spacing w:before="60" w:after="120" w:line="320" w:lineRule="exact"/>
              <w:outlineLvl w:val="0"/>
              <w:rPr>
                <w:rFonts w:ascii="Calibri" w:hAnsi="Calibri"/>
                <w:kern w:val="0"/>
                <w:sz w:val="24"/>
              </w:rPr>
            </w:pPr>
          </w:p>
        </w:tc>
        <w:tc>
          <w:tcPr>
            <w:tcW w:w="1241" w:type="dxa"/>
            <w:noWrap w:val="0"/>
            <w:vAlign w:val="center"/>
          </w:tcPr>
          <w:p>
            <w:pPr>
              <w:spacing w:before="60" w:after="120" w:line="320" w:lineRule="exact"/>
              <w:outlineLvl w:val="0"/>
              <w:rPr>
                <w:rFonts w:ascii="Calibri" w:hAnsi="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10" w:type="dxa"/>
            <w:noWrap w:val="0"/>
            <w:vAlign w:val="center"/>
          </w:tcPr>
          <w:p>
            <w:pPr>
              <w:spacing w:before="60" w:after="120" w:line="320" w:lineRule="exact"/>
              <w:jc w:val="center"/>
              <w:outlineLvl w:val="0"/>
              <w:rPr>
                <w:kern w:val="0"/>
                <w:sz w:val="24"/>
              </w:rPr>
            </w:pPr>
            <w:r>
              <w:rPr>
                <w:kern w:val="0"/>
                <w:sz w:val="24"/>
              </w:rPr>
              <w:t>3</w:t>
            </w:r>
          </w:p>
        </w:tc>
        <w:tc>
          <w:tcPr>
            <w:tcW w:w="5826" w:type="dxa"/>
            <w:noWrap w:val="0"/>
            <w:vAlign w:val="center"/>
          </w:tcPr>
          <w:p>
            <w:pPr>
              <w:spacing w:before="60" w:after="120" w:line="320" w:lineRule="exact"/>
              <w:outlineLvl w:val="0"/>
              <w:rPr>
                <w:rFonts w:ascii="Calibri" w:hAnsi="Calibri"/>
                <w:kern w:val="0"/>
                <w:sz w:val="24"/>
              </w:rPr>
            </w:pPr>
            <w:r>
              <w:rPr>
                <w:rFonts w:ascii="Calibri" w:hAnsi="Calibri"/>
                <w:kern w:val="0"/>
                <w:sz w:val="24"/>
              </w:rPr>
              <w:t>站点目视范围内是否存在影响监测数据的局地污染源：如烟囱、餐饮油烟等。</w:t>
            </w:r>
          </w:p>
        </w:tc>
        <w:tc>
          <w:tcPr>
            <w:tcW w:w="1574" w:type="dxa"/>
            <w:noWrap w:val="0"/>
            <w:vAlign w:val="center"/>
          </w:tcPr>
          <w:p>
            <w:pPr>
              <w:spacing w:before="60" w:after="120" w:line="320" w:lineRule="exact"/>
              <w:outlineLvl w:val="0"/>
              <w:rPr>
                <w:rFonts w:ascii="Calibri" w:hAnsi="Calibri"/>
                <w:kern w:val="0"/>
                <w:sz w:val="24"/>
              </w:rPr>
            </w:pPr>
          </w:p>
        </w:tc>
        <w:tc>
          <w:tcPr>
            <w:tcW w:w="1241" w:type="dxa"/>
            <w:noWrap w:val="0"/>
            <w:vAlign w:val="center"/>
          </w:tcPr>
          <w:p>
            <w:pPr>
              <w:spacing w:before="60" w:after="120" w:line="320" w:lineRule="exact"/>
              <w:outlineLvl w:val="0"/>
              <w:rPr>
                <w:rFonts w:ascii="Calibri" w:hAnsi="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910" w:type="dxa"/>
            <w:noWrap w:val="0"/>
            <w:vAlign w:val="center"/>
          </w:tcPr>
          <w:p>
            <w:pPr>
              <w:spacing w:before="60" w:after="120" w:line="320" w:lineRule="exact"/>
              <w:jc w:val="center"/>
              <w:outlineLvl w:val="0"/>
              <w:rPr>
                <w:kern w:val="0"/>
                <w:sz w:val="24"/>
              </w:rPr>
            </w:pPr>
            <w:r>
              <w:rPr>
                <w:kern w:val="0"/>
                <w:sz w:val="24"/>
              </w:rPr>
              <w:t>4</w:t>
            </w:r>
          </w:p>
        </w:tc>
        <w:tc>
          <w:tcPr>
            <w:tcW w:w="5826" w:type="dxa"/>
            <w:noWrap w:val="0"/>
            <w:vAlign w:val="center"/>
          </w:tcPr>
          <w:p>
            <w:pPr>
              <w:spacing w:before="60" w:after="120" w:line="320" w:lineRule="exact"/>
              <w:outlineLvl w:val="0"/>
              <w:rPr>
                <w:rFonts w:ascii="Calibri" w:hAnsi="Calibri"/>
                <w:kern w:val="0"/>
                <w:sz w:val="24"/>
              </w:rPr>
            </w:pPr>
            <w:r>
              <w:rPr>
                <w:rFonts w:ascii="Calibri" w:hAnsi="Calibri"/>
                <w:kern w:val="0"/>
                <w:sz w:val="24"/>
              </w:rPr>
              <w:t>是否有干扰自动监测设施、破坏环境质量自动监测系统的行为：（1）是否有非运维人员在未获得许可的情况下进入国家城市站站房、站房房顶、站房栅栏及采样器20米范围内；（2）空气站周边是否有施工、工程治理等项目，如有是否会对自动监测工作产生影响。</w:t>
            </w:r>
          </w:p>
        </w:tc>
        <w:tc>
          <w:tcPr>
            <w:tcW w:w="1574" w:type="dxa"/>
            <w:noWrap w:val="0"/>
            <w:vAlign w:val="center"/>
          </w:tcPr>
          <w:p>
            <w:pPr>
              <w:spacing w:before="60" w:after="120" w:line="320" w:lineRule="exact"/>
              <w:outlineLvl w:val="0"/>
              <w:rPr>
                <w:rFonts w:ascii="Calibri" w:hAnsi="Calibri"/>
                <w:kern w:val="0"/>
                <w:sz w:val="24"/>
              </w:rPr>
            </w:pPr>
          </w:p>
        </w:tc>
        <w:tc>
          <w:tcPr>
            <w:tcW w:w="1241" w:type="dxa"/>
            <w:noWrap w:val="0"/>
            <w:vAlign w:val="center"/>
          </w:tcPr>
          <w:p>
            <w:pPr>
              <w:spacing w:before="60" w:after="120" w:line="320" w:lineRule="exact"/>
              <w:outlineLvl w:val="0"/>
              <w:rPr>
                <w:rFonts w:ascii="Calibri" w:hAnsi="Calibri"/>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0" w:type="dxa"/>
            <w:noWrap w:val="0"/>
            <w:vAlign w:val="center"/>
          </w:tcPr>
          <w:p>
            <w:pPr>
              <w:spacing w:before="60" w:after="120" w:line="320" w:lineRule="exact"/>
              <w:jc w:val="center"/>
              <w:outlineLvl w:val="0"/>
              <w:rPr>
                <w:kern w:val="0"/>
                <w:sz w:val="24"/>
              </w:rPr>
            </w:pPr>
            <w:r>
              <w:rPr>
                <w:kern w:val="0"/>
                <w:sz w:val="24"/>
              </w:rPr>
              <w:t>5</w:t>
            </w:r>
          </w:p>
        </w:tc>
        <w:tc>
          <w:tcPr>
            <w:tcW w:w="5826" w:type="dxa"/>
            <w:noWrap w:val="0"/>
            <w:vAlign w:val="center"/>
          </w:tcPr>
          <w:p>
            <w:pPr>
              <w:spacing w:before="60" w:after="120" w:line="320" w:lineRule="exact"/>
              <w:outlineLvl w:val="0"/>
              <w:rPr>
                <w:rFonts w:ascii="Calibri" w:hAnsi="Calibri"/>
                <w:kern w:val="0"/>
                <w:sz w:val="24"/>
              </w:rPr>
            </w:pPr>
            <w:r>
              <w:rPr>
                <w:rFonts w:ascii="Calibri" w:hAnsi="Calibri"/>
                <w:kern w:val="0"/>
                <w:sz w:val="24"/>
              </w:rPr>
              <w:t>站点及采样口周边是否存在以下喷淋行为：（1）站点周边50米范围内是否有安装喷淋装置；（2）是否有雾炮车、洒水等装置直接喷淋国家城市站站房、站房房顶及采样区域的行为。</w:t>
            </w:r>
          </w:p>
        </w:tc>
        <w:tc>
          <w:tcPr>
            <w:tcW w:w="1574" w:type="dxa"/>
            <w:noWrap w:val="0"/>
            <w:vAlign w:val="center"/>
          </w:tcPr>
          <w:p>
            <w:pPr>
              <w:spacing w:before="60" w:after="120" w:line="320" w:lineRule="exact"/>
              <w:outlineLvl w:val="0"/>
              <w:rPr>
                <w:rFonts w:ascii="Calibri" w:hAnsi="Calibri"/>
                <w:kern w:val="0"/>
                <w:sz w:val="24"/>
              </w:rPr>
            </w:pPr>
          </w:p>
        </w:tc>
        <w:tc>
          <w:tcPr>
            <w:tcW w:w="1241" w:type="dxa"/>
            <w:noWrap w:val="0"/>
            <w:vAlign w:val="center"/>
          </w:tcPr>
          <w:p>
            <w:pPr>
              <w:spacing w:before="60" w:after="120" w:line="320" w:lineRule="exact"/>
              <w:outlineLvl w:val="0"/>
              <w:rPr>
                <w:rFonts w:ascii="Calibri" w:hAnsi="Calibri"/>
                <w:kern w:val="0"/>
                <w:sz w:val="24"/>
              </w:rPr>
            </w:pPr>
          </w:p>
        </w:tc>
      </w:tr>
    </w:tbl>
    <w:p>
      <w:pPr>
        <w:pStyle w:val="3"/>
        <w:ind w:firstLine="1890" w:firstLineChars="900"/>
        <w:rPr>
          <w:rFonts w:hint="default"/>
          <w:lang w:val="en-US" w:eastAsia="zh-CN"/>
        </w:rPr>
      </w:pPr>
      <w:r>
        <w:rPr>
          <w:bCs/>
          <w:szCs w:val="21"/>
        </w:rPr>
        <w:t>检查单位：</w:t>
      </w:r>
      <w:r>
        <w:rPr>
          <w:bCs/>
          <w:szCs w:val="21"/>
          <w:u w:val="single"/>
        </w:rPr>
        <w:t xml:space="preserve">         </w:t>
      </w:r>
      <w:r>
        <w:rPr>
          <w:rFonts w:hint="eastAsia"/>
          <w:bCs/>
          <w:szCs w:val="21"/>
          <w:u w:val="single"/>
        </w:rPr>
        <w:t xml:space="preserve">     </w:t>
      </w:r>
      <w:r>
        <w:rPr>
          <w:bCs/>
          <w:szCs w:val="21"/>
          <w:u w:val="single"/>
        </w:rPr>
        <w:t xml:space="preserve">       </w:t>
      </w:r>
      <w:r>
        <w:rPr>
          <w:bCs/>
          <w:szCs w:val="21"/>
        </w:rPr>
        <w:t xml:space="preserve">                         检查人员：</w:t>
      </w:r>
      <w:r>
        <w:rPr>
          <w:u w:val="single"/>
        </w:rPr>
        <w:t xml:space="preserve">            </w:t>
      </w:r>
    </w:p>
    <w:sectPr>
      <w:pgSz w:w="16838" w:h="11906" w:orient="landscape"/>
      <w:pgMar w:top="1417" w:right="1440" w:bottom="1417" w:left="1440" w:header="851" w:footer="850"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台州市政府采购招标文件--服务</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p>
  <w:p>
    <w:pPr>
      <w:spacing w:line="20" w:lineRule="atLeast"/>
      <w:ind w:left="3253" w:hanging="3253" w:hangingChars="1800"/>
      <w:jc w:val="left"/>
    </w:pPr>
    <w:r>
      <w:rPr>
        <w:rFonts w:hint="eastAsia"/>
        <w:b/>
        <w:i/>
        <w:color w:val="000000" w:themeColor="text1"/>
        <w:kern w:val="0"/>
        <w:sz w:val="18"/>
        <w:u w:val="single"/>
        <w14:textFill>
          <w14:solidFill>
            <w14:schemeClr w14:val="tx1"/>
          </w14:solidFill>
        </w14:textFill>
      </w:rPr>
      <w:t>台州市政府采购招标文件--服务</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jc w:val="lef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p>
  <w:p>
    <w:pPr>
      <w:spacing w:line="20" w:lineRule="atLeast"/>
      <w:ind w:left="3253" w:hanging="3253" w:hangingChars="1800"/>
      <w:jc w:val="left"/>
    </w:pPr>
    <w:r>
      <w:rPr>
        <w:rFonts w:hint="eastAsia"/>
        <w:b/>
        <w:i/>
        <w:color w:val="000000" w:themeColor="text1"/>
        <w:kern w:val="0"/>
        <w:sz w:val="18"/>
        <w:u w:val="single"/>
        <w14:textFill>
          <w14:solidFill>
            <w14:schemeClr w14:val="tx1"/>
          </w14:solidFill>
        </w14:textFill>
      </w:rPr>
      <w:t>台州市政府采购招标文件--服务</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FA382"/>
    <w:multiLevelType w:val="singleLevel"/>
    <w:tmpl w:val="95CFA382"/>
    <w:lvl w:ilvl="0" w:tentative="0">
      <w:start w:val="1"/>
      <w:numFmt w:val="decimal"/>
      <w:suff w:val="nothing"/>
      <w:lvlText w:val="%1、"/>
      <w:lvlJc w:val="left"/>
    </w:lvl>
  </w:abstractNum>
  <w:abstractNum w:abstractNumId="1">
    <w:nsid w:val="999ADDD6"/>
    <w:multiLevelType w:val="singleLevel"/>
    <w:tmpl w:val="999ADDD6"/>
    <w:lvl w:ilvl="0" w:tentative="0">
      <w:start w:val="1"/>
      <w:numFmt w:val="decimal"/>
      <w:suff w:val="nothing"/>
      <w:lvlText w:val="%1、"/>
      <w:lvlJc w:val="left"/>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DF48CB86"/>
    <w:multiLevelType w:val="singleLevel"/>
    <w:tmpl w:val="DF48CB86"/>
    <w:lvl w:ilvl="0" w:tentative="0">
      <w:start w:val="1"/>
      <w:numFmt w:val="chineseCounting"/>
      <w:suff w:val="nothing"/>
      <w:lvlText w:val="（%1）"/>
      <w:lvlJc w:val="left"/>
      <w:rPr>
        <w:rFonts w:hint="eastAsia"/>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468D9129"/>
    <w:multiLevelType w:val="singleLevel"/>
    <w:tmpl w:val="468D9129"/>
    <w:lvl w:ilvl="0" w:tentative="0">
      <w:start w:val="1"/>
      <w:numFmt w:val="decimal"/>
      <w:suff w:val="nothing"/>
      <w:lvlText w:val="%1、"/>
      <w:lvlJc w:val="left"/>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678CBF3"/>
    <w:multiLevelType w:val="singleLevel"/>
    <w:tmpl w:val="5678CBF3"/>
    <w:lvl w:ilvl="0" w:tentative="0">
      <w:start w:val="2"/>
      <w:numFmt w:val="decimal"/>
      <w:suff w:val="nothing"/>
      <w:lvlText w:val="%1、"/>
      <w:lvlJc w:val="left"/>
    </w:lvl>
  </w:abstractNum>
  <w:abstractNum w:abstractNumId="11">
    <w:nsid w:val="626B9BD9"/>
    <w:multiLevelType w:val="singleLevel"/>
    <w:tmpl w:val="626B9BD9"/>
    <w:lvl w:ilvl="0" w:tentative="0">
      <w:start w:val="1"/>
      <w:numFmt w:val="decimal"/>
      <w:suff w:val="nothing"/>
      <w:lvlText w:val="%1、"/>
      <w:lvlJc w:val="left"/>
    </w:lvl>
  </w:abstractNum>
  <w:abstractNum w:abstractNumId="12">
    <w:nsid w:val="626B9E26"/>
    <w:multiLevelType w:val="singleLevel"/>
    <w:tmpl w:val="626B9E26"/>
    <w:lvl w:ilvl="0" w:tentative="0">
      <w:start w:val="1"/>
      <w:numFmt w:val="decimal"/>
      <w:suff w:val="nothing"/>
      <w:lvlText w:val="%1."/>
      <w:lvlJc w:val="left"/>
    </w:lvl>
  </w:abstractNum>
  <w:abstractNum w:abstractNumId="13">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num w:numId="1">
    <w:abstractNumId w:val="13"/>
  </w:num>
  <w:num w:numId="2">
    <w:abstractNumId w:val="6"/>
  </w:num>
  <w:num w:numId="3">
    <w:abstractNumId w:val="14"/>
  </w:num>
  <w:num w:numId="4">
    <w:abstractNumId w:val="7"/>
  </w:num>
  <w:num w:numId="5">
    <w:abstractNumId w:val="11"/>
  </w:num>
  <w:num w:numId="6">
    <w:abstractNumId w:val="3"/>
  </w:num>
  <w:num w:numId="7">
    <w:abstractNumId w:val="2"/>
  </w:num>
  <w:num w:numId="8">
    <w:abstractNumId w:val="10"/>
  </w:num>
  <w:num w:numId="9">
    <w:abstractNumId w:val="4"/>
  </w:num>
  <w:num w:numId="10">
    <w:abstractNumId w:val="5"/>
  </w:num>
  <w:num w:numId="11">
    <w:abstractNumId w:val="1"/>
  </w:num>
  <w:num w:numId="12">
    <w:abstractNumId w:val="12"/>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jY1Mzc2OWU2NDVmODRmMDAyNmIwM2QzN2I4MzIifQ=="/>
  </w:docVars>
  <w:rsids>
    <w:rsidRoot w:val="685F2B0C"/>
    <w:rsid w:val="000036BF"/>
    <w:rsid w:val="00030D77"/>
    <w:rsid w:val="00037B97"/>
    <w:rsid w:val="000478B4"/>
    <w:rsid w:val="00052966"/>
    <w:rsid w:val="00071BA1"/>
    <w:rsid w:val="000A2B60"/>
    <w:rsid w:val="0012404F"/>
    <w:rsid w:val="00164010"/>
    <w:rsid w:val="00165EE9"/>
    <w:rsid w:val="001918C0"/>
    <w:rsid w:val="001D7879"/>
    <w:rsid w:val="00291503"/>
    <w:rsid w:val="00315916"/>
    <w:rsid w:val="004056A1"/>
    <w:rsid w:val="004165DD"/>
    <w:rsid w:val="0047309B"/>
    <w:rsid w:val="0055610A"/>
    <w:rsid w:val="005D0DD1"/>
    <w:rsid w:val="00667357"/>
    <w:rsid w:val="00681196"/>
    <w:rsid w:val="00682398"/>
    <w:rsid w:val="006B6BA2"/>
    <w:rsid w:val="006D5C96"/>
    <w:rsid w:val="006E3C73"/>
    <w:rsid w:val="00706893"/>
    <w:rsid w:val="007477AD"/>
    <w:rsid w:val="008B254F"/>
    <w:rsid w:val="008D3C07"/>
    <w:rsid w:val="00905DA1"/>
    <w:rsid w:val="00920526"/>
    <w:rsid w:val="00981A24"/>
    <w:rsid w:val="00987EDA"/>
    <w:rsid w:val="009A08CA"/>
    <w:rsid w:val="009D46C4"/>
    <w:rsid w:val="009D6A9E"/>
    <w:rsid w:val="00A85072"/>
    <w:rsid w:val="00A85AC9"/>
    <w:rsid w:val="00A921FD"/>
    <w:rsid w:val="00AB072A"/>
    <w:rsid w:val="00AB49B7"/>
    <w:rsid w:val="00B9797D"/>
    <w:rsid w:val="00C061A0"/>
    <w:rsid w:val="00C2375B"/>
    <w:rsid w:val="00C50B60"/>
    <w:rsid w:val="00C6520A"/>
    <w:rsid w:val="00CE59AA"/>
    <w:rsid w:val="00D01095"/>
    <w:rsid w:val="00D14AD5"/>
    <w:rsid w:val="00D81728"/>
    <w:rsid w:val="00DD7E3E"/>
    <w:rsid w:val="00E27717"/>
    <w:rsid w:val="00E42018"/>
    <w:rsid w:val="00EE4A1A"/>
    <w:rsid w:val="00EF3A29"/>
    <w:rsid w:val="00FA2351"/>
    <w:rsid w:val="00FC1E7F"/>
    <w:rsid w:val="00FD473D"/>
    <w:rsid w:val="00FF7A94"/>
    <w:rsid w:val="010077E5"/>
    <w:rsid w:val="010742D5"/>
    <w:rsid w:val="010F7B98"/>
    <w:rsid w:val="011533A2"/>
    <w:rsid w:val="01270A4D"/>
    <w:rsid w:val="012D5C8F"/>
    <w:rsid w:val="01851778"/>
    <w:rsid w:val="01A729ED"/>
    <w:rsid w:val="01AB423B"/>
    <w:rsid w:val="01AE11E6"/>
    <w:rsid w:val="01B729F0"/>
    <w:rsid w:val="01C61E4C"/>
    <w:rsid w:val="01E96BCD"/>
    <w:rsid w:val="01EC5763"/>
    <w:rsid w:val="01F53A09"/>
    <w:rsid w:val="02222883"/>
    <w:rsid w:val="02A01370"/>
    <w:rsid w:val="02C62BA9"/>
    <w:rsid w:val="02DD1A2B"/>
    <w:rsid w:val="034C79A8"/>
    <w:rsid w:val="035E327D"/>
    <w:rsid w:val="03624C71"/>
    <w:rsid w:val="037171B2"/>
    <w:rsid w:val="03723D7D"/>
    <w:rsid w:val="039D55F6"/>
    <w:rsid w:val="03A55E37"/>
    <w:rsid w:val="04071573"/>
    <w:rsid w:val="04357EE7"/>
    <w:rsid w:val="043E0AAC"/>
    <w:rsid w:val="044F2C90"/>
    <w:rsid w:val="04604D98"/>
    <w:rsid w:val="04762FE4"/>
    <w:rsid w:val="04811509"/>
    <w:rsid w:val="048361AE"/>
    <w:rsid w:val="048962DE"/>
    <w:rsid w:val="04C403D8"/>
    <w:rsid w:val="04DA625A"/>
    <w:rsid w:val="04EC1A8B"/>
    <w:rsid w:val="04EF476C"/>
    <w:rsid w:val="04F14B4B"/>
    <w:rsid w:val="051B3189"/>
    <w:rsid w:val="0528054A"/>
    <w:rsid w:val="05287815"/>
    <w:rsid w:val="052D2D41"/>
    <w:rsid w:val="0538232A"/>
    <w:rsid w:val="0552233D"/>
    <w:rsid w:val="05601E7D"/>
    <w:rsid w:val="05782C43"/>
    <w:rsid w:val="05903056"/>
    <w:rsid w:val="059451B2"/>
    <w:rsid w:val="05A46F78"/>
    <w:rsid w:val="05AE3027"/>
    <w:rsid w:val="05B01B1D"/>
    <w:rsid w:val="05E17C80"/>
    <w:rsid w:val="05E55725"/>
    <w:rsid w:val="05E5760D"/>
    <w:rsid w:val="06066F04"/>
    <w:rsid w:val="061614DB"/>
    <w:rsid w:val="062C6F51"/>
    <w:rsid w:val="0639353C"/>
    <w:rsid w:val="06436049"/>
    <w:rsid w:val="06474E34"/>
    <w:rsid w:val="06484055"/>
    <w:rsid w:val="065949DD"/>
    <w:rsid w:val="06653EC4"/>
    <w:rsid w:val="0699402C"/>
    <w:rsid w:val="069C64C8"/>
    <w:rsid w:val="06A0112C"/>
    <w:rsid w:val="06A81BEC"/>
    <w:rsid w:val="06DC60DB"/>
    <w:rsid w:val="06F44F8B"/>
    <w:rsid w:val="06F84851"/>
    <w:rsid w:val="06FB0045"/>
    <w:rsid w:val="073B085A"/>
    <w:rsid w:val="07416A2C"/>
    <w:rsid w:val="07436F37"/>
    <w:rsid w:val="074501D0"/>
    <w:rsid w:val="07534BA7"/>
    <w:rsid w:val="077B362D"/>
    <w:rsid w:val="079A6E72"/>
    <w:rsid w:val="079F3EE7"/>
    <w:rsid w:val="07AA1AB7"/>
    <w:rsid w:val="07CA7E11"/>
    <w:rsid w:val="07DF5164"/>
    <w:rsid w:val="07E50580"/>
    <w:rsid w:val="07EE133F"/>
    <w:rsid w:val="07F60B29"/>
    <w:rsid w:val="08065B86"/>
    <w:rsid w:val="08274ACF"/>
    <w:rsid w:val="08310251"/>
    <w:rsid w:val="084703F0"/>
    <w:rsid w:val="08696EDC"/>
    <w:rsid w:val="08705B4A"/>
    <w:rsid w:val="087A7753"/>
    <w:rsid w:val="08814CE3"/>
    <w:rsid w:val="08843C53"/>
    <w:rsid w:val="08884C10"/>
    <w:rsid w:val="08986544"/>
    <w:rsid w:val="08BB6846"/>
    <w:rsid w:val="08C93556"/>
    <w:rsid w:val="08D55A74"/>
    <w:rsid w:val="08DC3175"/>
    <w:rsid w:val="08E052CE"/>
    <w:rsid w:val="08E73603"/>
    <w:rsid w:val="08FC203D"/>
    <w:rsid w:val="08FD3C48"/>
    <w:rsid w:val="09161D47"/>
    <w:rsid w:val="093D3ABC"/>
    <w:rsid w:val="09422A86"/>
    <w:rsid w:val="09746E18"/>
    <w:rsid w:val="09BC37CC"/>
    <w:rsid w:val="09CE19BC"/>
    <w:rsid w:val="09D92955"/>
    <w:rsid w:val="09E70A54"/>
    <w:rsid w:val="09E84CCD"/>
    <w:rsid w:val="09FF3ED1"/>
    <w:rsid w:val="0A051115"/>
    <w:rsid w:val="0A217932"/>
    <w:rsid w:val="0A253B8D"/>
    <w:rsid w:val="0A3A5C5D"/>
    <w:rsid w:val="0A570314"/>
    <w:rsid w:val="0A8528D5"/>
    <w:rsid w:val="0A8A0A3A"/>
    <w:rsid w:val="0AB52BD8"/>
    <w:rsid w:val="0AD56F1F"/>
    <w:rsid w:val="0AE17CB5"/>
    <w:rsid w:val="0AEA3C8C"/>
    <w:rsid w:val="0AF049F1"/>
    <w:rsid w:val="0AF7305A"/>
    <w:rsid w:val="0B186926"/>
    <w:rsid w:val="0B1E0CF0"/>
    <w:rsid w:val="0B1E2894"/>
    <w:rsid w:val="0B3A637F"/>
    <w:rsid w:val="0B4D0C8D"/>
    <w:rsid w:val="0B564C73"/>
    <w:rsid w:val="0B650ACA"/>
    <w:rsid w:val="0B935CC9"/>
    <w:rsid w:val="0BBC5307"/>
    <w:rsid w:val="0BC1638D"/>
    <w:rsid w:val="0BCE1370"/>
    <w:rsid w:val="0BCF240A"/>
    <w:rsid w:val="0BD84E5C"/>
    <w:rsid w:val="0BD94FD3"/>
    <w:rsid w:val="0BE34CD8"/>
    <w:rsid w:val="0BE83010"/>
    <w:rsid w:val="0BF47D4E"/>
    <w:rsid w:val="0BF86799"/>
    <w:rsid w:val="0C211D10"/>
    <w:rsid w:val="0C2731F8"/>
    <w:rsid w:val="0C377F1F"/>
    <w:rsid w:val="0C516743"/>
    <w:rsid w:val="0C5D1BDB"/>
    <w:rsid w:val="0C7E2237"/>
    <w:rsid w:val="0C962266"/>
    <w:rsid w:val="0C9B1D93"/>
    <w:rsid w:val="0CA34118"/>
    <w:rsid w:val="0CA758F8"/>
    <w:rsid w:val="0CCD457A"/>
    <w:rsid w:val="0CED2959"/>
    <w:rsid w:val="0CEF3BF8"/>
    <w:rsid w:val="0D000761"/>
    <w:rsid w:val="0D3F7F2E"/>
    <w:rsid w:val="0D430CE9"/>
    <w:rsid w:val="0D6344EC"/>
    <w:rsid w:val="0D705EC6"/>
    <w:rsid w:val="0D7446FA"/>
    <w:rsid w:val="0D926295"/>
    <w:rsid w:val="0D935A59"/>
    <w:rsid w:val="0D9E2045"/>
    <w:rsid w:val="0DAF4F2F"/>
    <w:rsid w:val="0DB14507"/>
    <w:rsid w:val="0DB757B9"/>
    <w:rsid w:val="0DDF4B9F"/>
    <w:rsid w:val="0DE545F3"/>
    <w:rsid w:val="0DE7555E"/>
    <w:rsid w:val="0E072513"/>
    <w:rsid w:val="0E1B62C2"/>
    <w:rsid w:val="0E5A2B0A"/>
    <w:rsid w:val="0EFC6E4B"/>
    <w:rsid w:val="0F041E04"/>
    <w:rsid w:val="0F0662BA"/>
    <w:rsid w:val="0F0D0D2C"/>
    <w:rsid w:val="0F300538"/>
    <w:rsid w:val="0F385060"/>
    <w:rsid w:val="0F466394"/>
    <w:rsid w:val="0F58781F"/>
    <w:rsid w:val="0F5D7625"/>
    <w:rsid w:val="0F6147A2"/>
    <w:rsid w:val="0F7B5DC0"/>
    <w:rsid w:val="0F86061B"/>
    <w:rsid w:val="0F9337CB"/>
    <w:rsid w:val="0FC27645"/>
    <w:rsid w:val="0FD4645C"/>
    <w:rsid w:val="0FE906C2"/>
    <w:rsid w:val="1007199F"/>
    <w:rsid w:val="101A3630"/>
    <w:rsid w:val="10267232"/>
    <w:rsid w:val="102C199B"/>
    <w:rsid w:val="10317031"/>
    <w:rsid w:val="105576A8"/>
    <w:rsid w:val="108044EB"/>
    <w:rsid w:val="109E4EEF"/>
    <w:rsid w:val="10BE1B05"/>
    <w:rsid w:val="10C64B9C"/>
    <w:rsid w:val="10CB7C05"/>
    <w:rsid w:val="10CF3933"/>
    <w:rsid w:val="10F25464"/>
    <w:rsid w:val="10FD1FE7"/>
    <w:rsid w:val="10FF1D49"/>
    <w:rsid w:val="115B5C4F"/>
    <w:rsid w:val="11821E1A"/>
    <w:rsid w:val="11877731"/>
    <w:rsid w:val="118A244C"/>
    <w:rsid w:val="11A2124C"/>
    <w:rsid w:val="11C20C82"/>
    <w:rsid w:val="11D0460B"/>
    <w:rsid w:val="11DE5C79"/>
    <w:rsid w:val="12081017"/>
    <w:rsid w:val="12101447"/>
    <w:rsid w:val="121B5831"/>
    <w:rsid w:val="12215961"/>
    <w:rsid w:val="122356AC"/>
    <w:rsid w:val="125F1817"/>
    <w:rsid w:val="127C1B91"/>
    <w:rsid w:val="128936F9"/>
    <w:rsid w:val="128D04EC"/>
    <w:rsid w:val="12AA2320"/>
    <w:rsid w:val="12DB53B1"/>
    <w:rsid w:val="12E81B94"/>
    <w:rsid w:val="130F521E"/>
    <w:rsid w:val="13122201"/>
    <w:rsid w:val="13257C63"/>
    <w:rsid w:val="133707C2"/>
    <w:rsid w:val="13441C72"/>
    <w:rsid w:val="134C77A5"/>
    <w:rsid w:val="13731B39"/>
    <w:rsid w:val="13732205"/>
    <w:rsid w:val="137F0CE3"/>
    <w:rsid w:val="13C21CAA"/>
    <w:rsid w:val="13C30E6E"/>
    <w:rsid w:val="13FF4A16"/>
    <w:rsid w:val="141B13D5"/>
    <w:rsid w:val="141C741E"/>
    <w:rsid w:val="14234B06"/>
    <w:rsid w:val="14611E4B"/>
    <w:rsid w:val="14832432"/>
    <w:rsid w:val="149D3DC9"/>
    <w:rsid w:val="149E1778"/>
    <w:rsid w:val="14AD4839"/>
    <w:rsid w:val="14C30A80"/>
    <w:rsid w:val="14EA3450"/>
    <w:rsid w:val="14F767B6"/>
    <w:rsid w:val="15002A2B"/>
    <w:rsid w:val="151C1171"/>
    <w:rsid w:val="151F570E"/>
    <w:rsid w:val="15287486"/>
    <w:rsid w:val="15840A84"/>
    <w:rsid w:val="15961883"/>
    <w:rsid w:val="15AF033B"/>
    <w:rsid w:val="15E6387F"/>
    <w:rsid w:val="16031113"/>
    <w:rsid w:val="160C1329"/>
    <w:rsid w:val="16332D75"/>
    <w:rsid w:val="16502A53"/>
    <w:rsid w:val="16725D01"/>
    <w:rsid w:val="16777B9F"/>
    <w:rsid w:val="168F227C"/>
    <w:rsid w:val="169A575C"/>
    <w:rsid w:val="16AD5C51"/>
    <w:rsid w:val="16B91260"/>
    <w:rsid w:val="16C11894"/>
    <w:rsid w:val="16C1500C"/>
    <w:rsid w:val="16C377D3"/>
    <w:rsid w:val="16C72FB1"/>
    <w:rsid w:val="171F0861"/>
    <w:rsid w:val="17306175"/>
    <w:rsid w:val="1731374B"/>
    <w:rsid w:val="173B1F0E"/>
    <w:rsid w:val="173D243C"/>
    <w:rsid w:val="17534ECF"/>
    <w:rsid w:val="1767721F"/>
    <w:rsid w:val="1773213F"/>
    <w:rsid w:val="179B06BF"/>
    <w:rsid w:val="17D4298E"/>
    <w:rsid w:val="17DC7BF0"/>
    <w:rsid w:val="17E7717C"/>
    <w:rsid w:val="180053F0"/>
    <w:rsid w:val="181011F1"/>
    <w:rsid w:val="18425268"/>
    <w:rsid w:val="184877F9"/>
    <w:rsid w:val="185F5F75"/>
    <w:rsid w:val="188227EF"/>
    <w:rsid w:val="189220EE"/>
    <w:rsid w:val="189E4B47"/>
    <w:rsid w:val="18A977E6"/>
    <w:rsid w:val="18E36CFC"/>
    <w:rsid w:val="18F365C9"/>
    <w:rsid w:val="19000C71"/>
    <w:rsid w:val="192A06DB"/>
    <w:rsid w:val="193028F8"/>
    <w:rsid w:val="19775234"/>
    <w:rsid w:val="19800DAF"/>
    <w:rsid w:val="198218DD"/>
    <w:rsid w:val="198D1B84"/>
    <w:rsid w:val="198E4D52"/>
    <w:rsid w:val="19923F06"/>
    <w:rsid w:val="19A766D8"/>
    <w:rsid w:val="19AF2729"/>
    <w:rsid w:val="19E51688"/>
    <w:rsid w:val="19EE2A8B"/>
    <w:rsid w:val="19EE41FA"/>
    <w:rsid w:val="1A1830B1"/>
    <w:rsid w:val="1A2F4589"/>
    <w:rsid w:val="1A4C1D4A"/>
    <w:rsid w:val="1A587B66"/>
    <w:rsid w:val="1A5A6066"/>
    <w:rsid w:val="1A5B78E2"/>
    <w:rsid w:val="1A647FAE"/>
    <w:rsid w:val="1A6C1C47"/>
    <w:rsid w:val="1A777345"/>
    <w:rsid w:val="1A813E1F"/>
    <w:rsid w:val="1A8357FC"/>
    <w:rsid w:val="1A9F2503"/>
    <w:rsid w:val="1AA3486A"/>
    <w:rsid w:val="1ACE692C"/>
    <w:rsid w:val="1AE33064"/>
    <w:rsid w:val="1AF23F0D"/>
    <w:rsid w:val="1AF357C2"/>
    <w:rsid w:val="1AFB35F6"/>
    <w:rsid w:val="1B0353F5"/>
    <w:rsid w:val="1B0B3690"/>
    <w:rsid w:val="1B27080D"/>
    <w:rsid w:val="1B307452"/>
    <w:rsid w:val="1B3B15AA"/>
    <w:rsid w:val="1B66415C"/>
    <w:rsid w:val="1B6A3FBF"/>
    <w:rsid w:val="1B753A8E"/>
    <w:rsid w:val="1B8C6B7B"/>
    <w:rsid w:val="1B9E29B4"/>
    <w:rsid w:val="1BA535D6"/>
    <w:rsid w:val="1BA80D15"/>
    <w:rsid w:val="1BBF65FB"/>
    <w:rsid w:val="1BC2281C"/>
    <w:rsid w:val="1BF657FB"/>
    <w:rsid w:val="1C166655"/>
    <w:rsid w:val="1C374515"/>
    <w:rsid w:val="1C4235A6"/>
    <w:rsid w:val="1C4F222F"/>
    <w:rsid w:val="1CA86A15"/>
    <w:rsid w:val="1CBB4247"/>
    <w:rsid w:val="1CCC6034"/>
    <w:rsid w:val="1CD630C3"/>
    <w:rsid w:val="1CFA7EEF"/>
    <w:rsid w:val="1CFB1146"/>
    <w:rsid w:val="1D1338EC"/>
    <w:rsid w:val="1D37062D"/>
    <w:rsid w:val="1D3B199E"/>
    <w:rsid w:val="1D5B6D2E"/>
    <w:rsid w:val="1DC84F72"/>
    <w:rsid w:val="1DCC5D28"/>
    <w:rsid w:val="1DDFA5E7"/>
    <w:rsid w:val="1DEC270F"/>
    <w:rsid w:val="1DF10281"/>
    <w:rsid w:val="1DFF4AC7"/>
    <w:rsid w:val="1E0672A1"/>
    <w:rsid w:val="1E0D3D46"/>
    <w:rsid w:val="1E331E3B"/>
    <w:rsid w:val="1E370C0B"/>
    <w:rsid w:val="1E4E212D"/>
    <w:rsid w:val="1E5021D2"/>
    <w:rsid w:val="1E561B49"/>
    <w:rsid w:val="1E5A2895"/>
    <w:rsid w:val="1E5B5B74"/>
    <w:rsid w:val="1E7F11A9"/>
    <w:rsid w:val="1E847B39"/>
    <w:rsid w:val="1E860C88"/>
    <w:rsid w:val="1EAD27E8"/>
    <w:rsid w:val="1EBA3159"/>
    <w:rsid w:val="1ED462A6"/>
    <w:rsid w:val="1ED734FA"/>
    <w:rsid w:val="1EDB21B2"/>
    <w:rsid w:val="1EE21D29"/>
    <w:rsid w:val="1EE72005"/>
    <w:rsid w:val="1EF914DA"/>
    <w:rsid w:val="1F2F246F"/>
    <w:rsid w:val="1F3E1D5D"/>
    <w:rsid w:val="1F680BA2"/>
    <w:rsid w:val="1F6E3177"/>
    <w:rsid w:val="1F6F04BA"/>
    <w:rsid w:val="1F8129BD"/>
    <w:rsid w:val="20027E74"/>
    <w:rsid w:val="20192E74"/>
    <w:rsid w:val="2024650C"/>
    <w:rsid w:val="204663FA"/>
    <w:rsid w:val="20624FA2"/>
    <w:rsid w:val="206A1137"/>
    <w:rsid w:val="20835E3C"/>
    <w:rsid w:val="20847565"/>
    <w:rsid w:val="20AA1825"/>
    <w:rsid w:val="20BB1EB1"/>
    <w:rsid w:val="210F3F17"/>
    <w:rsid w:val="21100506"/>
    <w:rsid w:val="21144C23"/>
    <w:rsid w:val="211D5FD9"/>
    <w:rsid w:val="212A75E7"/>
    <w:rsid w:val="21593740"/>
    <w:rsid w:val="215C6880"/>
    <w:rsid w:val="2163612C"/>
    <w:rsid w:val="217039C6"/>
    <w:rsid w:val="21754AF5"/>
    <w:rsid w:val="217E7700"/>
    <w:rsid w:val="218158E0"/>
    <w:rsid w:val="218F0080"/>
    <w:rsid w:val="21BA53F5"/>
    <w:rsid w:val="21C26275"/>
    <w:rsid w:val="21D544E9"/>
    <w:rsid w:val="21E72DB7"/>
    <w:rsid w:val="220B781D"/>
    <w:rsid w:val="2220525E"/>
    <w:rsid w:val="222C0CD1"/>
    <w:rsid w:val="224449F5"/>
    <w:rsid w:val="2253345C"/>
    <w:rsid w:val="225D16C1"/>
    <w:rsid w:val="226505C8"/>
    <w:rsid w:val="2266010D"/>
    <w:rsid w:val="226E430B"/>
    <w:rsid w:val="226E674C"/>
    <w:rsid w:val="22712A0D"/>
    <w:rsid w:val="22734646"/>
    <w:rsid w:val="22890B36"/>
    <w:rsid w:val="22910089"/>
    <w:rsid w:val="22955953"/>
    <w:rsid w:val="22B609EC"/>
    <w:rsid w:val="22C23296"/>
    <w:rsid w:val="22CF4727"/>
    <w:rsid w:val="23031EC0"/>
    <w:rsid w:val="23280561"/>
    <w:rsid w:val="2330019D"/>
    <w:rsid w:val="235E2799"/>
    <w:rsid w:val="23666663"/>
    <w:rsid w:val="23693289"/>
    <w:rsid w:val="23795972"/>
    <w:rsid w:val="239147E1"/>
    <w:rsid w:val="23B97C89"/>
    <w:rsid w:val="23BB34F7"/>
    <w:rsid w:val="23BD47E8"/>
    <w:rsid w:val="23CB333E"/>
    <w:rsid w:val="23D82FFD"/>
    <w:rsid w:val="23D96B35"/>
    <w:rsid w:val="23E80E96"/>
    <w:rsid w:val="23F91B39"/>
    <w:rsid w:val="243A5F83"/>
    <w:rsid w:val="244702BD"/>
    <w:rsid w:val="24512418"/>
    <w:rsid w:val="247E0687"/>
    <w:rsid w:val="24A20628"/>
    <w:rsid w:val="24B45D14"/>
    <w:rsid w:val="24C21C5E"/>
    <w:rsid w:val="24F829C8"/>
    <w:rsid w:val="24FE0E05"/>
    <w:rsid w:val="250F4166"/>
    <w:rsid w:val="25171BA0"/>
    <w:rsid w:val="251B18C1"/>
    <w:rsid w:val="25206D5C"/>
    <w:rsid w:val="25222461"/>
    <w:rsid w:val="25501E67"/>
    <w:rsid w:val="25524FA6"/>
    <w:rsid w:val="25532EC3"/>
    <w:rsid w:val="256D5C11"/>
    <w:rsid w:val="25925077"/>
    <w:rsid w:val="25AF3989"/>
    <w:rsid w:val="25B24E51"/>
    <w:rsid w:val="25C73339"/>
    <w:rsid w:val="25C86149"/>
    <w:rsid w:val="25D62822"/>
    <w:rsid w:val="25F16B68"/>
    <w:rsid w:val="260663DB"/>
    <w:rsid w:val="26096D97"/>
    <w:rsid w:val="26396573"/>
    <w:rsid w:val="26500188"/>
    <w:rsid w:val="26546373"/>
    <w:rsid w:val="26841C6E"/>
    <w:rsid w:val="26934343"/>
    <w:rsid w:val="26B424FB"/>
    <w:rsid w:val="26B73D93"/>
    <w:rsid w:val="26E62133"/>
    <w:rsid w:val="26E63D40"/>
    <w:rsid w:val="26F31D80"/>
    <w:rsid w:val="26FB0FE9"/>
    <w:rsid w:val="27037402"/>
    <w:rsid w:val="2712582C"/>
    <w:rsid w:val="27187360"/>
    <w:rsid w:val="27365A2A"/>
    <w:rsid w:val="277F68D2"/>
    <w:rsid w:val="27870FB2"/>
    <w:rsid w:val="278F0AAA"/>
    <w:rsid w:val="27B57BD6"/>
    <w:rsid w:val="27B84345"/>
    <w:rsid w:val="27CB7A47"/>
    <w:rsid w:val="27CF31D6"/>
    <w:rsid w:val="27E53B63"/>
    <w:rsid w:val="27EFA438"/>
    <w:rsid w:val="27F52A10"/>
    <w:rsid w:val="280E4470"/>
    <w:rsid w:val="283E405F"/>
    <w:rsid w:val="28446343"/>
    <w:rsid w:val="28770012"/>
    <w:rsid w:val="28792601"/>
    <w:rsid w:val="28B56834"/>
    <w:rsid w:val="28B83236"/>
    <w:rsid w:val="28D9203E"/>
    <w:rsid w:val="28EB0C2F"/>
    <w:rsid w:val="294A370F"/>
    <w:rsid w:val="295E1181"/>
    <w:rsid w:val="29834F65"/>
    <w:rsid w:val="299D2FD5"/>
    <w:rsid w:val="29B00B02"/>
    <w:rsid w:val="29B661A7"/>
    <w:rsid w:val="29DB1483"/>
    <w:rsid w:val="29DC3277"/>
    <w:rsid w:val="29F26356"/>
    <w:rsid w:val="29F4297D"/>
    <w:rsid w:val="29FA460F"/>
    <w:rsid w:val="2A0B6D48"/>
    <w:rsid w:val="2A397DF9"/>
    <w:rsid w:val="2A3C6EB3"/>
    <w:rsid w:val="2A510806"/>
    <w:rsid w:val="2A6B10E6"/>
    <w:rsid w:val="2A7C5019"/>
    <w:rsid w:val="2A81520E"/>
    <w:rsid w:val="2A8E3410"/>
    <w:rsid w:val="2AC017A8"/>
    <w:rsid w:val="2AFF0727"/>
    <w:rsid w:val="2B3677A4"/>
    <w:rsid w:val="2B3F0007"/>
    <w:rsid w:val="2B7F5D7B"/>
    <w:rsid w:val="2B9073EB"/>
    <w:rsid w:val="2BAD682D"/>
    <w:rsid w:val="2BED521F"/>
    <w:rsid w:val="2BEE5A9C"/>
    <w:rsid w:val="2C4E2381"/>
    <w:rsid w:val="2C6B41B7"/>
    <w:rsid w:val="2CAF7AE9"/>
    <w:rsid w:val="2CB550EC"/>
    <w:rsid w:val="2CB776CA"/>
    <w:rsid w:val="2CD91CAE"/>
    <w:rsid w:val="2CF947D9"/>
    <w:rsid w:val="2CFA06CC"/>
    <w:rsid w:val="2D2233D4"/>
    <w:rsid w:val="2D340277"/>
    <w:rsid w:val="2D3F090C"/>
    <w:rsid w:val="2D473273"/>
    <w:rsid w:val="2D5200C4"/>
    <w:rsid w:val="2D8167C0"/>
    <w:rsid w:val="2D8B10F9"/>
    <w:rsid w:val="2D9C1D44"/>
    <w:rsid w:val="2DAA45B6"/>
    <w:rsid w:val="2DAB174B"/>
    <w:rsid w:val="2DAC3053"/>
    <w:rsid w:val="2DB40F04"/>
    <w:rsid w:val="2DB55317"/>
    <w:rsid w:val="2DD04A2C"/>
    <w:rsid w:val="2DDD44E2"/>
    <w:rsid w:val="2DE7E86B"/>
    <w:rsid w:val="2E1A2D69"/>
    <w:rsid w:val="2E1C2312"/>
    <w:rsid w:val="2E522FFD"/>
    <w:rsid w:val="2E617376"/>
    <w:rsid w:val="2E6A68D7"/>
    <w:rsid w:val="2E79206F"/>
    <w:rsid w:val="2EAB4B2F"/>
    <w:rsid w:val="2ED13170"/>
    <w:rsid w:val="2EE16EB1"/>
    <w:rsid w:val="2F011E82"/>
    <w:rsid w:val="2F415E64"/>
    <w:rsid w:val="2F457F63"/>
    <w:rsid w:val="2F6858EF"/>
    <w:rsid w:val="2F764269"/>
    <w:rsid w:val="2F7674B4"/>
    <w:rsid w:val="2FBE437F"/>
    <w:rsid w:val="2FC51659"/>
    <w:rsid w:val="2FCB2DE8"/>
    <w:rsid w:val="2FD35C9B"/>
    <w:rsid w:val="30082C17"/>
    <w:rsid w:val="301A6B35"/>
    <w:rsid w:val="30305216"/>
    <w:rsid w:val="30385048"/>
    <w:rsid w:val="30400DE6"/>
    <w:rsid w:val="3046030C"/>
    <w:rsid w:val="304E3BFE"/>
    <w:rsid w:val="30577166"/>
    <w:rsid w:val="30865E1D"/>
    <w:rsid w:val="30A8450A"/>
    <w:rsid w:val="30B147B2"/>
    <w:rsid w:val="30FE64F4"/>
    <w:rsid w:val="310D00D7"/>
    <w:rsid w:val="31254D4B"/>
    <w:rsid w:val="314A5A0E"/>
    <w:rsid w:val="31682139"/>
    <w:rsid w:val="316E7BA2"/>
    <w:rsid w:val="318671D6"/>
    <w:rsid w:val="31917CE2"/>
    <w:rsid w:val="319957F6"/>
    <w:rsid w:val="31C036D0"/>
    <w:rsid w:val="31D953B1"/>
    <w:rsid w:val="31EC1741"/>
    <w:rsid w:val="31EF6CF0"/>
    <w:rsid w:val="31F7619B"/>
    <w:rsid w:val="3200575E"/>
    <w:rsid w:val="321F0CAE"/>
    <w:rsid w:val="321F3505"/>
    <w:rsid w:val="322B0318"/>
    <w:rsid w:val="322E76C1"/>
    <w:rsid w:val="32494369"/>
    <w:rsid w:val="324C0B81"/>
    <w:rsid w:val="32517D1E"/>
    <w:rsid w:val="32521FA8"/>
    <w:rsid w:val="32605D27"/>
    <w:rsid w:val="327B2543"/>
    <w:rsid w:val="32806718"/>
    <w:rsid w:val="329B0438"/>
    <w:rsid w:val="32B63AAA"/>
    <w:rsid w:val="33091096"/>
    <w:rsid w:val="33202DCB"/>
    <w:rsid w:val="33232830"/>
    <w:rsid w:val="3341533E"/>
    <w:rsid w:val="33843CA1"/>
    <w:rsid w:val="338957D1"/>
    <w:rsid w:val="33904E70"/>
    <w:rsid w:val="33A40C35"/>
    <w:rsid w:val="33DA2E1A"/>
    <w:rsid w:val="33DB4845"/>
    <w:rsid w:val="33F379CE"/>
    <w:rsid w:val="344D764F"/>
    <w:rsid w:val="34655258"/>
    <w:rsid w:val="34690455"/>
    <w:rsid w:val="34762E9A"/>
    <w:rsid w:val="34840E39"/>
    <w:rsid w:val="34AA1765"/>
    <w:rsid w:val="34B82917"/>
    <w:rsid w:val="34D7618A"/>
    <w:rsid w:val="34FE589B"/>
    <w:rsid w:val="3529493E"/>
    <w:rsid w:val="35327830"/>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2D5279"/>
    <w:rsid w:val="36475152"/>
    <w:rsid w:val="365674EF"/>
    <w:rsid w:val="365A49F7"/>
    <w:rsid w:val="367134DE"/>
    <w:rsid w:val="36787E34"/>
    <w:rsid w:val="3692435D"/>
    <w:rsid w:val="3695201B"/>
    <w:rsid w:val="36BF32FD"/>
    <w:rsid w:val="36FC06E4"/>
    <w:rsid w:val="370B0055"/>
    <w:rsid w:val="37303AFB"/>
    <w:rsid w:val="374976F8"/>
    <w:rsid w:val="37533A9C"/>
    <w:rsid w:val="375D8AB6"/>
    <w:rsid w:val="37821544"/>
    <w:rsid w:val="3787676D"/>
    <w:rsid w:val="378E1C1E"/>
    <w:rsid w:val="37953793"/>
    <w:rsid w:val="37A53093"/>
    <w:rsid w:val="37E702EC"/>
    <w:rsid w:val="380D7327"/>
    <w:rsid w:val="383C09C6"/>
    <w:rsid w:val="38486746"/>
    <w:rsid w:val="38517A07"/>
    <w:rsid w:val="38575800"/>
    <w:rsid w:val="386121DB"/>
    <w:rsid w:val="38727414"/>
    <w:rsid w:val="38AF4648"/>
    <w:rsid w:val="38B3392D"/>
    <w:rsid w:val="38B37C06"/>
    <w:rsid w:val="38E50A97"/>
    <w:rsid w:val="391D5BEF"/>
    <w:rsid w:val="391E370A"/>
    <w:rsid w:val="39204B96"/>
    <w:rsid w:val="392F5095"/>
    <w:rsid w:val="393C7ED6"/>
    <w:rsid w:val="39465433"/>
    <w:rsid w:val="39581B4E"/>
    <w:rsid w:val="395B6912"/>
    <w:rsid w:val="39A56F77"/>
    <w:rsid w:val="39BE4A11"/>
    <w:rsid w:val="39E72124"/>
    <w:rsid w:val="39F12A0F"/>
    <w:rsid w:val="3A0D261A"/>
    <w:rsid w:val="3A27520A"/>
    <w:rsid w:val="3A2C3F3F"/>
    <w:rsid w:val="3A350D0D"/>
    <w:rsid w:val="3A3F6C87"/>
    <w:rsid w:val="3A465FD4"/>
    <w:rsid w:val="3A956A72"/>
    <w:rsid w:val="3AD70862"/>
    <w:rsid w:val="3ADB3446"/>
    <w:rsid w:val="3AE312E1"/>
    <w:rsid w:val="3AE76311"/>
    <w:rsid w:val="3AEA295B"/>
    <w:rsid w:val="3B1109C9"/>
    <w:rsid w:val="3B181272"/>
    <w:rsid w:val="3B2552D7"/>
    <w:rsid w:val="3B332981"/>
    <w:rsid w:val="3B3942B5"/>
    <w:rsid w:val="3B3F7D03"/>
    <w:rsid w:val="3B970D6B"/>
    <w:rsid w:val="3BA12C1F"/>
    <w:rsid w:val="3BA7084C"/>
    <w:rsid w:val="3BE51125"/>
    <w:rsid w:val="3BE90506"/>
    <w:rsid w:val="3BEB6832"/>
    <w:rsid w:val="3BF178CC"/>
    <w:rsid w:val="3BFA2E9E"/>
    <w:rsid w:val="3C0F5578"/>
    <w:rsid w:val="3C38405F"/>
    <w:rsid w:val="3C3E6CAB"/>
    <w:rsid w:val="3C40766B"/>
    <w:rsid w:val="3C476B61"/>
    <w:rsid w:val="3C583A62"/>
    <w:rsid w:val="3C813630"/>
    <w:rsid w:val="3C813EBD"/>
    <w:rsid w:val="3CB702EA"/>
    <w:rsid w:val="3CBD35C8"/>
    <w:rsid w:val="3CCF0F73"/>
    <w:rsid w:val="3CE437F4"/>
    <w:rsid w:val="3D360ADC"/>
    <w:rsid w:val="3D386985"/>
    <w:rsid w:val="3D3906B1"/>
    <w:rsid w:val="3D5583EE"/>
    <w:rsid w:val="3D584E9B"/>
    <w:rsid w:val="3D880E45"/>
    <w:rsid w:val="3D8A3A3B"/>
    <w:rsid w:val="3D9C69C1"/>
    <w:rsid w:val="3DA0424A"/>
    <w:rsid w:val="3DA419D7"/>
    <w:rsid w:val="3DBA5A08"/>
    <w:rsid w:val="3DDA6370"/>
    <w:rsid w:val="3DDB156D"/>
    <w:rsid w:val="3DDD2C1B"/>
    <w:rsid w:val="3DEF337F"/>
    <w:rsid w:val="3DF9ADD0"/>
    <w:rsid w:val="3DFF5060"/>
    <w:rsid w:val="3E0474C2"/>
    <w:rsid w:val="3E136870"/>
    <w:rsid w:val="3E530995"/>
    <w:rsid w:val="3E5D5F3B"/>
    <w:rsid w:val="3E615282"/>
    <w:rsid w:val="3E6954C4"/>
    <w:rsid w:val="3E8429B9"/>
    <w:rsid w:val="3EB95614"/>
    <w:rsid w:val="3EBE7D18"/>
    <w:rsid w:val="3ECC547A"/>
    <w:rsid w:val="3ED8273D"/>
    <w:rsid w:val="3EDFA224"/>
    <w:rsid w:val="3EE01AD6"/>
    <w:rsid w:val="3EEFB34A"/>
    <w:rsid w:val="3EFF7F8A"/>
    <w:rsid w:val="3F0A74B8"/>
    <w:rsid w:val="3F106C8C"/>
    <w:rsid w:val="3F1A1718"/>
    <w:rsid w:val="3F23578A"/>
    <w:rsid w:val="3F4E5041"/>
    <w:rsid w:val="3F506818"/>
    <w:rsid w:val="3FBBA84E"/>
    <w:rsid w:val="3FC73B81"/>
    <w:rsid w:val="3FE36C1C"/>
    <w:rsid w:val="3FEB19D5"/>
    <w:rsid w:val="3FFFBE1E"/>
    <w:rsid w:val="400F3C62"/>
    <w:rsid w:val="40332E03"/>
    <w:rsid w:val="40340044"/>
    <w:rsid w:val="40661E5E"/>
    <w:rsid w:val="406E45AD"/>
    <w:rsid w:val="407C0CAD"/>
    <w:rsid w:val="40924D64"/>
    <w:rsid w:val="40963A57"/>
    <w:rsid w:val="40C30E24"/>
    <w:rsid w:val="40D16C5D"/>
    <w:rsid w:val="40EC5BCE"/>
    <w:rsid w:val="410762BE"/>
    <w:rsid w:val="410A3110"/>
    <w:rsid w:val="41310CA2"/>
    <w:rsid w:val="414341C4"/>
    <w:rsid w:val="41483F38"/>
    <w:rsid w:val="417E2272"/>
    <w:rsid w:val="4180676D"/>
    <w:rsid w:val="41893506"/>
    <w:rsid w:val="41977B61"/>
    <w:rsid w:val="419915A4"/>
    <w:rsid w:val="41A82FD1"/>
    <w:rsid w:val="41C35995"/>
    <w:rsid w:val="41CF7D38"/>
    <w:rsid w:val="41D95A67"/>
    <w:rsid w:val="41FC4A89"/>
    <w:rsid w:val="420F1D94"/>
    <w:rsid w:val="422C362E"/>
    <w:rsid w:val="423E5ED2"/>
    <w:rsid w:val="42417305"/>
    <w:rsid w:val="424441F1"/>
    <w:rsid w:val="425E0F00"/>
    <w:rsid w:val="42664FBD"/>
    <w:rsid w:val="426D5149"/>
    <w:rsid w:val="426E5C20"/>
    <w:rsid w:val="427E3E3A"/>
    <w:rsid w:val="428917B7"/>
    <w:rsid w:val="42A55149"/>
    <w:rsid w:val="42AC575F"/>
    <w:rsid w:val="42C65173"/>
    <w:rsid w:val="430B7DA4"/>
    <w:rsid w:val="430D4AC0"/>
    <w:rsid w:val="43157F81"/>
    <w:rsid w:val="431E047F"/>
    <w:rsid w:val="431E65EF"/>
    <w:rsid w:val="435A4BBF"/>
    <w:rsid w:val="436037BB"/>
    <w:rsid w:val="436A6565"/>
    <w:rsid w:val="43737316"/>
    <w:rsid w:val="437A019F"/>
    <w:rsid w:val="43891F34"/>
    <w:rsid w:val="438B169A"/>
    <w:rsid w:val="43B21221"/>
    <w:rsid w:val="43C63987"/>
    <w:rsid w:val="43CE1E0F"/>
    <w:rsid w:val="43D0146A"/>
    <w:rsid w:val="43E95C6A"/>
    <w:rsid w:val="43FB7AE7"/>
    <w:rsid w:val="4400649E"/>
    <w:rsid w:val="441426C6"/>
    <w:rsid w:val="441466E5"/>
    <w:rsid w:val="4421734C"/>
    <w:rsid w:val="442F447A"/>
    <w:rsid w:val="44437D45"/>
    <w:rsid w:val="44460A9F"/>
    <w:rsid w:val="4478624B"/>
    <w:rsid w:val="44815F77"/>
    <w:rsid w:val="4493367B"/>
    <w:rsid w:val="44A72843"/>
    <w:rsid w:val="44AB74B4"/>
    <w:rsid w:val="44B2771E"/>
    <w:rsid w:val="44B8368E"/>
    <w:rsid w:val="44CE7C32"/>
    <w:rsid w:val="44FE3D05"/>
    <w:rsid w:val="452905F3"/>
    <w:rsid w:val="4531085A"/>
    <w:rsid w:val="456A35B3"/>
    <w:rsid w:val="45764FFE"/>
    <w:rsid w:val="45A42B29"/>
    <w:rsid w:val="45A45439"/>
    <w:rsid w:val="45CA7348"/>
    <w:rsid w:val="45CB72CE"/>
    <w:rsid w:val="45D85B67"/>
    <w:rsid w:val="461F4864"/>
    <w:rsid w:val="462B6DAB"/>
    <w:rsid w:val="464E04AD"/>
    <w:rsid w:val="46536C47"/>
    <w:rsid w:val="46702D38"/>
    <w:rsid w:val="46977D08"/>
    <w:rsid w:val="469B2D5C"/>
    <w:rsid w:val="469B5592"/>
    <w:rsid w:val="46A5400A"/>
    <w:rsid w:val="46C67C71"/>
    <w:rsid w:val="46DB6342"/>
    <w:rsid w:val="46E40512"/>
    <w:rsid w:val="46EA5C44"/>
    <w:rsid w:val="46F207EA"/>
    <w:rsid w:val="46F40267"/>
    <w:rsid w:val="46F87058"/>
    <w:rsid w:val="47283388"/>
    <w:rsid w:val="47373EAB"/>
    <w:rsid w:val="474C5CA2"/>
    <w:rsid w:val="47505EDD"/>
    <w:rsid w:val="4750618B"/>
    <w:rsid w:val="477A20CD"/>
    <w:rsid w:val="47C35102"/>
    <w:rsid w:val="47C90408"/>
    <w:rsid w:val="47CA3491"/>
    <w:rsid w:val="47DE0285"/>
    <w:rsid w:val="47E25CB6"/>
    <w:rsid w:val="47EA0372"/>
    <w:rsid w:val="47F77566"/>
    <w:rsid w:val="48131737"/>
    <w:rsid w:val="481C1F20"/>
    <w:rsid w:val="48215F65"/>
    <w:rsid w:val="482932B2"/>
    <w:rsid w:val="4839247B"/>
    <w:rsid w:val="48452D6C"/>
    <w:rsid w:val="48490177"/>
    <w:rsid w:val="48734131"/>
    <w:rsid w:val="487A6E20"/>
    <w:rsid w:val="487D4E0F"/>
    <w:rsid w:val="48801F0A"/>
    <w:rsid w:val="489C4879"/>
    <w:rsid w:val="489C7EA5"/>
    <w:rsid w:val="48BE4790"/>
    <w:rsid w:val="48F00A86"/>
    <w:rsid w:val="491E0394"/>
    <w:rsid w:val="49276E58"/>
    <w:rsid w:val="492FBC74"/>
    <w:rsid w:val="4949392B"/>
    <w:rsid w:val="494B4338"/>
    <w:rsid w:val="496B1D8B"/>
    <w:rsid w:val="497B56F5"/>
    <w:rsid w:val="497C5511"/>
    <w:rsid w:val="49B65DC9"/>
    <w:rsid w:val="49CB7EAA"/>
    <w:rsid w:val="49EA64D4"/>
    <w:rsid w:val="4A131AB1"/>
    <w:rsid w:val="4A3241BC"/>
    <w:rsid w:val="4A34760C"/>
    <w:rsid w:val="4A3C24D8"/>
    <w:rsid w:val="4A64259A"/>
    <w:rsid w:val="4A9A627B"/>
    <w:rsid w:val="4AA4128B"/>
    <w:rsid w:val="4AAA7028"/>
    <w:rsid w:val="4AD11D36"/>
    <w:rsid w:val="4AD50D4A"/>
    <w:rsid w:val="4AD8338C"/>
    <w:rsid w:val="4ADC75C4"/>
    <w:rsid w:val="4ADD7DE7"/>
    <w:rsid w:val="4B280947"/>
    <w:rsid w:val="4B2977E3"/>
    <w:rsid w:val="4B3429AF"/>
    <w:rsid w:val="4B3A3263"/>
    <w:rsid w:val="4B404F96"/>
    <w:rsid w:val="4B5F395F"/>
    <w:rsid w:val="4BA83D98"/>
    <w:rsid w:val="4BB73A13"/>
    <w:rsid w:val="4BD82207"/>
    <w:rsid w:val="4BDC1A2F"/>
    <w:rsid w:val="4BE22955"/>
    <w:rsid w:val="4BE55284"/>
    <w:rsid w:val="4BE809FC"/>
    <w:rsid w:val="4C3D2DBA"/>
    <w:rsid w:val="4C440D2D"/>
    <w:rsid w:val="4C60411D"/>
    <w:rsid w:val="4C723EE2"/>
    <w:rsid w:val="4C9743B6"/>
    <w:rsid w:val="4C9F5714"/>
    <w:rsid w:val="4CA56DBD"/>
    <w:rsid w:val="4CA86724"/>
    <w:rsid w:val="4CCD70EB"/>
    <w:rsid w:val="4CD15334"/>
    <w:rsid w:val="4CDC2AC2"/>
    <w:rsid w:val="4CEF194A"/>
    <w:rsid w:val="4D123D13"/>
    <w:rsid w:val="4D26428C"/>
    <w:rsid w:val="4D3904C0"/>
    <w:rsid w:val="4D4473CA"/>
    <w:rsid w:val="4D594184"/>
    <w:rsid w:val="4D670A85"/>
    <w:rsid w:val="4D7009BD"/>
    <w:rsid w:val="4D751145"/>
    <w:rsid w:val="4D80617B"/>
    <w:rsid w:val="4D806473"/>
    <w:rsid w:val="4D9051A1"/>
    <w:rsid w:val="4DB87F6B"/>
    <w:rsid w:val="4DF85FC0"/>
    <w:rsid w:val="4E1074C8"/>
    <w:rsid w:val="4E2B1D2E"/>
    <w:rsid w:val="4E527CB0"/>
    <w:rsid w:val="4E575025"/>
    <w:rsid w:val="4E6F1EF6"/>
    <w:rsid w:val="4E7B029B"/>
    <w:rsid w:val="4E8235A7"/>
    <w:rsid w:val="4E9C2A45"/>
    <w:rsid w:val="4EB62B89"/>
    <w:rsid w:val="4ECB07EA"/>
    <w:rsid w:val="4ECF3CD9"/>
    <w:rsid w:val="4EDA18B9"/>
    <w:rsid w:val="4EFE0E3F"/>
    <w:rsid w:val="4F216F20"/>
    <w:rsid w:val="4F573543"/>
    <w:rsid w:val="4F6118D1"/>
    <w:rsid w:val="4F6D467A"/>
    <w:rsid w:val="4FED507D"/>
    <w:rsid w:val="4FFB62E9"/>
    <w:rsid w:val="501646F7"/>
    <w:rsid w:val="501C4E89"/>
    <w:rsid w:val="502B325D"/>
    <w:rsid w:val="505D795E"/>
    <w:rsid w:val="50630959"/>
    <w:rsid w:val="50721A76"/>
    <w:rsid w:val="5091017C"/>
    <w:rsid w:val="50950771"/>
    <w:rsid w:val="50DD3BA3"/>
    <w:rsid w:val="50E61CAB"/>
    <w:rsid w:val="50F50302"/>
    <w:rsid w:val="5132754D"/>
    <w:rsid w:val="513564CC"/>
    <w:rsid w:val="514E3A09"/>
    <w:rsid w:val="517C3AF1"/>
    <w:rsid w:val="51915B3D"/>
    <w:rsid w:val="519F5121"/>
    <w:rsid w:val="5229273F"/>
    <w:rsid w:val="525276B9"/>
    <w:rsid w:val="52547228"/>
    <w:rsid w:val="52553CF2"/>
    <w:rsid w:val="52641FE4"/>
    <w:rsid w:val="527D373A"/>
    <w:rsid w:val="529432E6"/>
    <w:rsid w:val="52A8026E"/>
    <w:rsid w:val="532C197B"/>
    <w:rsid w:val="534C6115"/>
    <w:rsid w:val="534D0C83"/>
    <w:rsid w:val="53561F88"/>
    <w:rsid w:val="536B5C40"/>
    <w:rsid w:val="53BC34C4"/>
    <w:rsid w:val="53CE29B7"/>
    <w:rsid w:val="53E93F16"/>
    <w:rsid w:val="53F04BF7"/>
    <w:rsid w:val="53FD13CD"/>
    <w:rsid w:val="540337E7"/>
    <w:rsid w:val="54142032"/>
    <w:rsid w:val="54143B82"/>
    <w:rsid w:val="54283C98"/>
    <w:rsid w:val="542D206A"/>
    <w:rsid w:val="543A75DD"/>
    <w:rsid w:val="54421487"/>
    <w:rsid w:val="54451376"/>
    <w:rsid w:val="54595381"/>
    <w:rsid w:val="547455B0"/>
    <w:rsid w:val="54776BE8"/>
    <w:rsid w:val="5478427C"/>
    <w:rsid w:val="547B2C44"/>
    <w:rsid w:val="547F7066"/>
    <w:rsid w:val="548C0083"/>
    <w:rsid w:val="54BC10AE"/>
    <w:rsid w:val="54DE257B"/>
    <w:rsid w:val="54F82DE2"/>
    <w:rsid w:val="54FD0125"/>
    <w:rsid w:val="55091415"/>
    <w:rsid w:val="5533415E"/>
    <w:rsid w:val="553D5A1E"/>
    <w:rsid w:val="553D746C"/>
    <w:rsid w:val="555B4C1C"/>
    <w:rsid w:val="55665E4B"/>
    <w:rsid w:val="557C6AE7"/>
    <w:rsid w:val="55A0704C"/>
    <w:rsid w:val="55A923B9"/>
    <w:rsid w:val="55AD5535"/>
    <w:rsid w:val="55BF3A91"/>
    <w:rsid w:val="55DD38ED"/>
    <w:rsid w:val="561A3EA2"/>
    <w:rsid w:val="56384EE2"/>
    <w:rsid w:val="56434C8D"/>
    <w:rsid w:val="564E0974"/>
    <w:rsid w:val="567C060E"/>
    <w:rsid w:val="568A68D9"/>
    <w:rsid w:val="568F5A10"/>
    <w:rsid w:val="56A438D4"/>
    <w:rsid w:val="56BA5C7F"/>
    <w:rsid w:val="56EA1F97"/>
    <w:rsid w:val="56FA4666"/>
    <w:rsid w:val="57060707"/>
    <w:rsid w:val="570F0FFB"/>
    <w:rsid w:val="574C616E"/>
    <w:rsid w:val="574E065D"/>
    <w:rsid w:val="575B7C13"/>
    <w:rsid w:val="575F7000"/>
    <w:rsid w:val="576E7E03"/>
    <w:rsid w:val="577218B7"/>
    <w:rsid w:val="578A5B09"/>
    <w:rsid w:val="57AA5D1A"/>
    <w:rsid w:val="57BE32DB"/>
    <w:rsid w:val="57D631F8"/>
    <w:rsid w:val="57DA2325"/>
    <w:rsid w:val="57E3096E"/>
    <w:rsid w:val="57E54729"/>
    <w:rsid w:val="57FE5217"/>
    <w:rsid w:val="58082218"/>
    <w:rsid w:val="581028EA"/>
    <w:rsid w:val="58344161"/>
    <w:rsid w:val="585D0DF7"/>
    <w:rsid w:val="5869181F"/>
    <w:rsid w:val="587316C8"/>
    <w:rsid w:val="58943211"/>
    <w:rsid w:val="58AD641D"/>
    <w:rsid w:val="58B0120D"/>
    <w:rsid w:val="58B420E4"/>
    <w:rsid w:val="58C16652"/>
    <w:rsid w:val="59075821"/>
    <w:rsid w:val="59135C67"/>
    <w:rsid w:val="593C1329"/>
    <w:rsid w:val="59520F61"/>
    <w:rsid w:val="595A34E9"/>
    <w:rsid w:val="595B7937"/>
    <w:rsid w:val="597C7365"/>
    <w:rsid w:val="597F7369"/>
    <w:rsid w:val="59997155"/>
    <w:rsid w:val="59A2414B"/>
    <w:rsid w:val="59E940B2"/>
    <w:rsid w:val="59FE08FA"/>
    <w:rsid w:val="5A060D86"/>
    <w:rsid w:val="5A6837C4"/>
    <w:rsid w:val="5A7553D9"/>
    <w:rsid w:val="5A886394"/>
    <w:rsid w:val="5A9F6060"/>
    <w:rsid w:val="5ACF7403"/>
    <w:rsid w:val="5B19FE5A"/>
    <w:rsid w:val="5B2F9464"/>
    <w:rsid w:val="5B381181"/>
    <w:rsid w:val="5B3F5488"/>
    <w:rsid w:val="5B46719F"/>
    <w:rsid w:val="5B581FA3"/>
    <w:rsid w:val="5B5E7AAF"/>
    <w:rsid w:val="5B737DCF"/>
    <w:rsid w:val="5BA42A14"/>
    <w:rsid w:val="5BB47CCC"/>
    <w:rsid w:val="5BD05B9D"/>
    <w:rsid w:val="5BD343E6"/>
    <w:rsid w:val="5BE00F61"/>
    <w:rsid w:val="5BFB5206"/>
    <w:rsid w:val="5BFD526A"/>
    <w:rsid w:val="5C266DF5"/>
    <w:rsid w:val="5C8F61D6"/>
    <w:rsid w:val="5CB65A64"/>
    <w:rsid w:val="5CD26BB3"/>
    <w:rsid w:val="5CEB063E"/>
    <w:rsid w:val="5D0B0214"/>
    <w:rsid w:val="5D0F303A"/>
    <w:rsid w:val="5D1A0A42"/>
    <w:rsid w:val="5D4F1710"/>
    <w:rsid w:val="5D5A2063"/>
    <w:rsid w:val="5D71045F"/>
    <w:rsid w:val="5DA55EAC"/>
    <w:rsid w:val="5DAC626B"/>
    <w:rsid w:val="5DFD02EA"/>
    <w:rsid w:val="5E146811"/>
    <w:rsid w:val="5E3F1ED0"/>
    <w:rsid w:val="5E4A015A"/>
    <w:rsid w:val="5E4E1E2F"/>
    <w:rsid w:val="5E704EA4"/>
    <w:rsid w:val="5E7E280E"/>
    <w:rsid w:val="5EA343F9"/>
    <w:rsid w:val="5ED65E9E"/>
    <w:rsid w:val="5F164D5E"/>
    <w:rsid w:val="5F2D2E3D"/>
    <w:rsid w:val="5F467905"/>
    <w:rsid w:val="5F511649"/>
    <w:rsid w:val="5F5D070A"/>
    <w:rsid w:val="5F6C503A"/>
    <w:rsid w:val="5F741C71"/>
    <w:rsid w:val="5F7B6C1A"/>
    <w:rsid w:val="5F884475"/>
    <w:rsid w:val="5F940261"/>
    <w:rsid w:val="5FBE713C"/>
    <w:rsid w:val="5FBFD9CD"/>
    <w:rsid w:val="5FDA399F"/>
    <w:rsid w:val="5FFA79ED"/>
    <w:rsid w:val="5FFB994C"/>
    <w:rsid w:val="5FFD4ABE"/>
    <w:rsid w:val="5FFF4986"/>
    <w:rsid w:val="601F751B"/>
    <w:rsid w:val="60260BBC"/>
    <w:rsid w:val="606D0EF6"/>
    <w:rsid w:val="60806A99"/>
    <w:rsid w:val="60A1795D"/>
    <w:rsid w:val="60AE40F7"/>
    <w:rsid w:val="60B442A8"/>
    <w:rsid w:val="60F22F23"/>
    <w:rsid w:val="60FD7810"/>
    <w:rsid w:val="61013040"/>
    <w:rsid w:val="610E310A"/>
    <w:rsid w:val="61107F73"/>
    <w:rsid w:val="611862EC"/>
    <w:rsid w:val="611C35B8"/>
    <w:rsid w:val="611D1C0E"/>
    <w:rsid w:val="61A25580"/>
    <w:rsid w:val="61AE7556"/>
    <w:rsid w:val="61C55F7F"/>
    <w:rsid w:val="61C71164"/>
    <w:rsid w:val="61D41854"/>
    <w:rsid w:val="61F46458"/>
    <w:rsid w:val="62282B27"/>
    <w:rsid w:val="62336C8B"/>
    <w:rsid w:val="623E5B92"/>
    <w:rsid w:val="624F2F20"/>
    <w:rsid w:val="625642AF"/>
    <w:rsid w:val="625A6442"/>
    <w:rsid w:val="62C31135"/>
    <w:rsid w:val="62C76106"/>
    <w:rsid w:val="62CC474C"/>
    <w:rsid w:val="62F53AC8"/>
    <w:rsid w:val="630814D1"/>
    <w:rsid w:val="6371006B"/>
    <w:rsid w:val="637B0B27"/>
    <w:rsid w:val="63874046"/>
    <w:rsid w:val="638B4892"/>
    <w:rsid w:val="639114B0"/>
    <w:rsid w:val="63A17B3C"/>
    <w:rsid w:val="63BB45AD"/>
    <w:rsid w:val="63C73E6D"/>
    <w:rsid w:val="63DD4529"/>
    <w:rsid w:val="63ED3463"/>
    <w:rsid w:val="63FC0611"/>
    <w:rsid w:val="6406145F"/>
    <w:rsid w:val="640D6BEF"/>
    <w:rsid w:val="641222ED"/>
    <w:rsid w:val="642828E4"/>
    <w:rsid w:val="642B5582"/>
    <w:rsid w:val="644878A5"/>
    <w:rsid w:val="64516BFF"/>
    <w:rsid w:val="64592721"/>
    <w:rsid w:val="64643953"/>
    <w:rsid w:val="64825AF2"/>
    <w:rsid w:val="64963CFA"/>
    <w:rsid w:val="649B58D5"/>
    <w:rsid w:val="649F1DB3"/>
    <w:rsid w:val="64B31A3E"/>
    <w:rsid w:val="64BB7086"/>
    <w:rsid w:val="64D11BF8"/>
    <w:rsid w:val="64DF720B"/>
    <w:rsid w:val="64FB2F8F"/>
    <w:rsid w:val="6502750F"/>
    <w:rsid w:val="655769D7"/>
    <w:rsid w:val="658C66C4"/>
    <w:rsid w:val="65B55B98"/>
    <w:rsid w:val="65B76CC0"/>
    <w:rsid w:val="65C86337"/>
    <w:rsid w:val="65DC6542"/>
    <w:rsid w:val="65FE3124"/>
    <w:rsid w:val="66475BEE"/>
    <w:rsid w:val="66477CB9"/>
    <w:rsid w:val="665B6338"/>
    <w:rsid w:val="667F5483"/>
    <w:rsid w:val="66921396"/>
    <w:rsid w:val="669A00A1"/>
    <w:rsid w:val="669A0A1D"/>
    <w:rsid w:val="66C77EC3"/>
    <w:rsid w:val="66CD32EE"/>
    <w:rsid w:val="66EF31C1"/>
    <w:rsid w:val="67114C75"/>
    <w:rsid w:val="67286643"/>
    <w:rsid w:val="67340A1D"/>
    <w:rsid w:val="67415D12"/>
    <w:rsid w:val="67645CC5"/>
    <w:rsid w:val="677F6642"/>
    <w:rsid w:val="679D0438"/>
    <w:rsid w:val="679F14A6"/>
    <w:rsid w:val="67A7594A"/>
    <w:rsid w:val="67C77580"/>
    <w:rsid w:val="67ED1D74"/>
    <w:rsid w:val="67F71CAA"/>
    <w:rsid w:val="67F79B7E"/>
    <w:rsid w:val="67FF5FDD"/>
    <w:rsid w:val="67FF6452"/>
    <w:rsid w:val="68374646"/>
    <w:rsid w:val="683952FA"/>
    <w:rsid w:val="683F72CE"/>
    <w:rsid w:val="6851003F"/>
    <w:rsid w:val="68532F31"/>
    <w:rsid w:val="685E1B20"/>
    <w:rsid w:val="685F2B0C"/>
    <w:rsid w:val="686A5890"/>
    <w:rsid w:val="686E4CA0"/>
    <w:rsid w:val="68AB5F43"/>
    <w:rsid w:val="68CD56D6"/>
    <w:rsid w:val="68CE0878"/>
    <w:rsid w:val="68DF3F07"/>
    <w:rsid w:val="68E14DD2"/>
    <w:rsid w:val="68F47630"/>
    <w:rsid w:val="68FF17F8"/>
    <w:rsid w:val="691F6273"/>
    <w:rsid w:val="6938799E"/>
    <w:rsid w:val="69875626"/>
    <w:rsid w:val="69913E1E"/>
    <w:rsid w:val="6998538E"/>
    <w:rsid w:val="69A773FE"/>
    <w:rsid w:val="69AC4EE2"/>
    <w:rsid w:val="69B15060"/>
    <w:rsid w:val="69B72806"/>
    <w:rsid w:val="69C21FC2"/>
    <w:rsid w:val="69CB7528"/>
    <w:rsid w:val="69CC5602"/>
    <w:rsid w:val="69DE1C53"/>
    <w:rsid w:val="69DF0F70"/>
    <w:rsid w:val="69E401B6"/>
    <w:rsid w:val="69F431E5"/>
    <w:rsid w:val="69FB05D9"/>
    <w:rsid w:val="6A1A2624"/>
    <w:rsid w:val="6A21429B"/>
    <w:rsid w:val="6A317FEC"/>
    <w:rsid w:val="6A395739"/>
    <w:rsid w:val="6A667351"/>
    <w:rsid w:val="6A690452"/>
    <w:rsid w:val="6AC86B5F"/>
    <w:rsid w:val="6ACF2C36"/>
    <w:rsid w:val="6AD5470C"/>
    <w:rsid w:val="6AD77A2B"/>
    <w:rsid w:val="6AEF0620"/>
    <w:rsid w:val="6AF1512E"/>
    <w:rsid w:val="6B372870"/>
    <w:rsid w:val="6B4C78DC"/>
    <w:rsid w:val="6B5D66AE"/>
    <w:rsid w:val="6B6D4BD4"/>
    <w:rsid w:val="6B736C65"/>
    <w:rsid w:val="6B884223"/>
    <w:rsid w:val="6BAB31BF"/>
    <w:rsid w:val="6BAB575E"/>
    <w:rsid w:val="6BAC3191"/>
    <w:rsid w:val="6BC4672D"/>
    <w:rsid w:val="6BCC6A33"/>
    <w:rsid w:val="6BDD580D"/>
    <w:rsid w:val="6BE94680"/>
    <w:rsid w:val="6C1648A2"/>
    <w:rsid w:val="6C2A6C7A"/>
    <w:rsid w:val="6C2B5B56"/>
    <w:rsid w:val="6C405A24"/>
    <w:rsid w:val="6C4C1DDE"/>
    <w:rsid w:val="6C6F1B82"/>
    <w:rsid w:val="6C7360A2"/>
    <w:rsid w:val="6C8479CE"/>
    <w:rsid w:val="6C8D127D"/>
    <w:rsid w:val="6C98271E"/>
    <w:rsid w:val="6CA90039"/>
    <w:rsid w:val="6CB357D4"/>
    <w:rsid w:val="6CD6095A"/>
    <w:rsid w:val="6D09664F"/>
    <w:rsid w:val="6D1A3ED2"/>
    <w:rsid w:val="6D1C5D45"/>
    <w:rsid w:val="6D2052F1"/>
    <w:rsid w:val="6D2A1AE4"/>
    <w:rsid w:val="6D2C0363"/>
    <w:rsid w:val="6D2F488F"/>
    <w:rsid w:val="6D4556BC"/>
    <w:rsid w:val="6D7C6B86"/>
    <w:rsid w:val="6D886D51"/>
    <w:rsid w:val="6D98425A"/>
    <w:rsid w:val="6D9905ED"/>
    <w:rsid w:val="6D9C4CB2"/>
    <w:rsid w:val="6DAC52D8"/>
    <w:rsid w:val="6DCC4C0D"/>
    <w:rsid w:val="6DE52F24"/>
    <w:rsid w:val="6E0D5193"/>
    <w:rsid w:val="6E2B38B7"/>
    <w:rsid w:val="6E366EBD"/>
    <w:rsid w:val="6E42100A"/>
    <w:rsid w:val="6E4341AC"/>
    <w:rsid w:val="6E736E6A"/>
    <w:rsid w:val="6E9D5BDB"/>
    <w:rsid w:val="6EC02CDB"/>
    <w:rsid w:val="6ECD1366"/>
    <w:rsid w:val="6F436F8F"/>
    <w:rsid w:val="6F4D5562"/>
    <w:rsid w:val="6F5A2F04"/>
    <w:rsid w:val="6F663712"/>
    <w:rsid w:val="6F6D69E8"/>
    <w:rsid w:val="6F8B29B5"/>
    <w:rsid w:val="6F9B0752"/>
    <w:rsid w:val="6FBD7130"/>
    <w:rsid w:val="6FD156E3"/>
    <w:rsid w:val="6FDA53DA"/>
    <w:rsid w:val="6FDE35E6"/>
    <w:rsid w:val="6FED75FB"/>
    <w:rsid w:val="6FFBD76B"/>
    <w:rsid w:val="70041560"/>
    <w:rsid w:val="703467FC"/>
    <w:rsid w:val="7040732E"/>
    <w:rsid w:val="70830974"/>
    <w:rsid w:val="7086364B"/>
    <w:rsid w:val="70A36C70"/>
    <w:rsid w:val="70A42103"/>
    <w:rsid w:val="710B27AB"/>
    <w:rsid w:val="710F6AA8"/>
    <w:rsid w:val="712801BC"/>
    <w:rsid w:val="712C6F85"/>
    <w:rsid w:val="71320E55"/>
    <w:rsid w:val="71321C7C"/>
    <w:rsid w:val="71340B64"/>
    <w:rsid w:val="71546F0E"/>
    <w:rsid w:val="7170146E"/>
    <w:rsid w:val="717268C8"/>
    <w:rsid w:val="71802D0E"/>
    <w:rsid w:val="718F5890"/>
    <w:rsid w:val="719323BF"/>
    <w:rsid w:val="71932563"/>
    <w:rsid w:val="719D42E6"/>
    <w:rsid w:val="71BF5087"/>
    <w:rsid w:val="71C23C59"/>
    <w:rsid w:val="71C536A4"/>
    <w:rsid w:val="71C57971"/>
    <w:rsid w:val="71D607B4"/>
    <w:rsid w:val="71EC11CD"/>
    <w:rsid w:val="720506A4"/>
    <w:rsid w:val="72143E26"/>
    <w:rsid w:val="7216013B"/>
    <w:rsid w:val="722B6EAC"/>
    <w:rsid w:val="72337825"/>
    <w:rsid w:val="7235573F"/>
    <w:rsid w:val="723629FF"/>
    <w:rsid w:val="724B3F0A"/>
    <w:rsid w:val="726C56B8"/>
    <w:rsid w:val="7288771C"/>
    <w:rsid w:val="728D4961"/>
    <w:rsid w:val="72911F34"/>
    <w:rsid w:val="72A458E1"/>
    <w:rsid w:val="72CB6BE4"/>
    <w:rsid w:val="72CE592F"/>
    <w:rsid w:val="72E33D79"/>
    <w:rsid w:val="72F838AA"/>
    <w:rsid w:val="73133096"/>
    <w:rsid w:val="73134385"/>
    <w:rsid w:val="731726EC"/>
    <w:rsid w:val="73197AE0"/>
    <w:rsid w:val="73221860"/>
    <w:rsid w:val="732E3406"/>
    <w:rsid w:val="73363311"/>
    <w:rsid w:val="7338174B"/>
    <w:rsid w:val="733A4EF6"/>
    <w:rsid w:val="733D0234"/>
    <w:rsid w:val="733E33D3"/>
    <w:rsid w:val="733F0360"/>
    <w:rsid w:val="7348177C"/>
    <w:rsid w:val="7375030D"/>
    <w:rsid w:val="73773239"/>
    <w:rsid w:val="73835DC4"/>
    <w:rsid w:val="739BD02E"/>
    <w:rsid w:val="73C761B5"/>
    <w:rsid w:val="73C97C37"/>
    <w:rsid w:val="73D872D7"/>
    <w:rsid w:val="73EE065C"/>
    <w:rsid w:val="73FA14E3"/>
    <w:rsid w:val="740A7F35"/>
    <w:rsid w:val="742D0BE7"/>
    <w:rsid w:val="742D4CA1"/>
    <w:rsid w:val="74336AF3"/>
    <w:rsid w:val="74613585"/>
    <w:rsid w:val="747D3462"/>
    <w:rsid w:val="74812030"/>
    <w:rsid w:val="74886161"/>
    <w:rsid w:val="74A039B1"/>
    <w:rsid w:val="74E66F49"/>
    <w:rsid w:val="74EB245C"/>
    <w:rsid w:val="74ED7826"/>
    <w:rsid w:val="751C2FCB"/>
    <w:rsid w:val="75323CE4"/>
    <w:rsid w:val="753C15BB"/>
    <w:rsid w:val="75585493"/>
    <w:rsid w:val="755E6626"/>
    <w:rsid w:val="75841DF5"/>
    <w:rsid w:val="758C4CA2"/>
    <w:rsid w:val="75CB3D4F"/>
    <w:rsid w:val="75D40046"/>
    <w:rsid w:val="75D96E3B"/>
    <w:rsid w:val="75F449AE"/>
    <w:rsid w:val="762F29E5"/>
    <w:rsid w:val="764374F1"/>
    <w:rsid w:val="7654136A"/>
    <w:rsid w:val="766034F6"/>
    <w:rsid w:val="76944E76"/>
    <w:rsid w:val="769A26CA"/>
    <w:rsid w:val="76A023D1"/>
    <w:rsid w:val="76C34928"/>
    <w:rsid w:val="76D17FE1"/>
    <w:rsid w:val="76D75C40"/>
    <w:rsid w:val="76D7A88B"/>
    <w:rsid w:val="76DF15B8"/>
    <w:rsid w:val="76EDE4CF"/>
    <w:rsid w:val="76FB601C"/>
    <w:rsid w:val="7708778F"/>
    <w:rsid w:val="770B7BD2"/>
    <w:rsid w:val="77334767"/>
    <w:rsid w:val="773F356E"/>
    <w:rsid w:val="773F703B"/>
    <w:rsid w:val="7746096A"/>
    <w:rsid w:val="774C4479"/>
    <w:rsid w:val="777E0FB0"/>
    <w:rsid w:val="778364BE"/>
    <w:rsid w:val="7799548D"/>
    <w:rsid w:val="77C845FF"/>
    <w:rsid w:val="77ED1FBE"/>
    <w:rsid w:val="77FD22CA"/>
    <w:rsid w:val="77FFF224"/>
    <w:rsid w:val="78350435"/>
    <w:rsid w:val="787764A6"/>
    <w:rsid w:val="78867CFB"/>
    <w:rsid w:val="78BF9A53"/>
    <w:rsid w:val="78D06FA5"/>
    <w:rsid w:val="78DA3BB3"/>
    <w:rsid w:val="78F044C0"/>
    <w:rsid w:val="793C27A7"/>
    <w:rsid w:val="793D3D59"/>
    <w:rsid w:val="79582048"/>
    <w:rsid w:val="795F47C4"/>
    <w:rsid w:val="795F4B87"/>
    <w:rsid w:val="799447B2"/>
    <w:rsid w:val="79993DEC"/>
    <w:rsid w:val="79B212FC"/>
    <w:rsid w:val="79CF798A"/>
    <w:rsid w:val="79D33A4B"/>
    <w:rsid w:val="79E6167A"/>
    <w:rsid w:val="79EA1578"/>
    <w:rsid w:val="79F9227E"/>
    <w:rsid w:val="79FBBD76"/>
    <w:rsid w:val="79FE43B1"/>
    <w:rsid w:val="7A03141B"/>
    <w:rsid w:val="7A046375"/>
    <w:rsid w:val="7A2F68CB"/>
    <w:rsid w:val="7A307366"/>
    <w:rsid w:val="7A532F6D"/>
    <w:rsid w:val="7A545986"/>
    <w:rsid w:val="7A770E0E"/>
    <w:rsid w:val="7A8F0E3A"/>
    <w:rsid w:val="7A9E603E"/>
    <w:rsid w:val="7AA163B3"/>
    <w:rsid w:val="7AB01F3D"/>
    <w:rsid w:val="7AB612DF"/>
    <w:rsid w:val="7ABFC061"/>
    <w:rsid w:val="7AC3173F"/>
    <w:rsid w:val="7ACE4950"/>
    <w:rsid w:val="7ADB04CF"/>
    <w:rsid w:val="7ADD1DF2"/>
    <w:rsid w:val="7AFE0D18"/>
    <w:rsid w:val="7AFF583B"/>
    <w:rsid w:val="7B051FFD"/>
    <w:rsid w:val="7B1F73F5"/>
    <w:rsid w:val="7B20154A"/>
    <w:rsid w:val="7B4B5341"/>
    <w:rsid w:val="7B5B1A0B"/>
    <w:rsid w:val="7B70050C"/>
    <w:rsid w:val="7B856E03"/>
    <w:rsid w:val="7BB31608"/>
    <w:rsid w:val="7BD58B17"/>
    <w:rsid w:val="7BD95DD9"/>
    <w:rsid w:val="7BDF0A19"/>
    <w:rsid w:val="7BE50BC8"/>
    <w:rsid w:val="7BEB0BF2"/>
    <w:rsid w:val="7BF3ACEC"/>
    <w:rsid w:val="7BF9716D"/>
    <w:rsid w:val="7BFDA25D"/>
    <w:rsid w:val="7C0240A4"/>
    <w:rsid w:val="7C077508"/>
    <w:rsid w:val="7C1F4334"/>
    <w:rsid w:val="7C2430FB"/>
    <w:rsid w:val="7C3B14CA"/>
    <w:rsid w:val="7C42078B"/>
    <w:rsid w:val="7C5713BA"/>
    <w:rsid w:val="7C605FBA"/>
    <w:rsid w:val="7C695398"/>
    <w:rsid w:val="7C6D2C5C"/>
    <w:rsid w:val="7C811217"/>
    <w:rsid w:val="7C867073"/>
    <w:rsid w:val="7C8D2D58"/>
    <w:rsid w:val="7C9727B7"/>
    <w:rsid w:val="7CB302CB"/>
    <w:rsid w:val="7CCE67A3"/>
    <w:rsid w:val="7CDDE3AE"/>
    <w:rsid w:val="7D1948FD"/>
    <w:rsid w:val="7D2C6F9F"/>
    <w:rsid w:val="7D474CA4"/>
    <w:rsid w:val="7D543264"/>
    <w:rsid w:val="7D5D2410"/>
    <w:rsid w:val="7D633479"/>
    <w:rsid w:val="7D6D7156"/>
    <w:rsid w:val="7D7115AD"/>
    <w:rsid w:val="7D924319"/>
    <w:rsid w:val="7DAE4568"/>
    <w:rsid w:val="7DC85A4E"/>
    <w:rsid w:val="7DDBAD6A"/>
    <w:rsid w:val="7DE71E07"/>
    <w:rsid w:val="7DF550BA"/>
    <w:rsid w:val="7E531FFF"/>
    <w:rsid w:val="7E5E764B"/>
    <w:rsid w:val="7E6A0FE2"/>
    <w:rsid w:val="7ECB55B8"/>
    <w:rsid w:val="7ED40407"/>
    <w:rsid w:val="7EE626A2"/>
    <w:rsid w:val="7EEB7A6E"/>
    <w:rsid w:val="7EF54C4F"/>
    <w:rsid w:val="7EFB3937"/>
    <w:rsid w:val="7EFE058A"/>
    <w:rsid w:val="7F020EC4"/>
    <w:rsid w:val="7F1C7CFD"/>
    <w:rsid w:val="7F381A2F"/>
    <w:rsid w:val="7F47543C"/>
    <w:rsid w:val="7F4A6AF1"/>
    <w:rsid w:val="7F4C4C6E"/>
    <w:rsid w:val="7F5957B0"/>
    <w:rsid w:val="7F6D525A"/>
    <w:rsid w:val="7F73005B"/>
    <w:rsid w:val="7F736D6E"/>
    <w:rsid w:val="7F7F0039"/>
    <w:rsid w:val="7F7FA4D4"/>
    <w:rsid w:val="7F9846AE"/>
    <w:rsid w:val="7F9A7F46"/>
    <w:rsid w:val="7FAD0277"/>
    <w:rsid w:val="7FBD28C5"/>
    <w:rsid w:val="7FC50214"/>
    <w:rsid w:val="7FD3D1EF"/>
    <w:rsid w:val="7FEF71EF"/>
    <w:rsid w:val="7FFEBB4A"/>
    <w:rsid w:val="8ECEA342"/>
    <w:rsid w:val="8FFEADA8"/>
    <w:rsid w:val="965894A1"/>
    <w:rsid w:val="97F6F7FB"/>
    <w:rsid w:val="99FF90E9"/>
    <w:rsid w:val="9F3678C7"/>
    <w:rsid w:val="9FBFBCF3"/>
    <w:rsid w:val="A757A5C8"/>
    <w:rsid w:val="A76CF546"/>
    <w:rsid w:val="A9BEA23D"/>
    <w:rsid w:val="ADFC83A9"/>
    <w:rsid w:val="ADFE1DC0"/>
    <w:rsid w:val="AEBFEE06"/>
    <w:rsid w:val="AF6BD4B1"/>
    <w:rsid w:val="AFE6DA2F"/>
    <w:rsid w:val="B36B0C9B"/>
    <w:rsid w:val="B6DFA76E"/>
    <w:rsid w:val="B7D283F8"/>
    <w:rsid w:val="B7F7CD31"/>
    <w:rsid w:val="BCAE8E24"/>
    <w:rsid w:val="BDCAB8AE"/>
    <w:rsid w:val="BDFFFB37"/>
    <w:rsid w:val="BEBF339C"/>
    <w:rsid w:val="BFB7DB24"/>
    <w:rsid w:val="BFEFBFB1"/>
    <w:rsid w:val="BFF7A7B8"/>
    <w:rsid w:val="BFFE66CE"/>
    <w:rsid w:val="BFFF3BC2"/>
    <w:rsid w:val="BFFFECD1"/>
    <w:rsid w:val="C5FE3D20"/>
    <w:rsid w:val="C9C3E96E"/>
    <w:rsid w:val="CE3F9FC0"/>
    <w:rsid w:val="CFF85BB5"/>
    <w:rsid w:val="D7FEE622"/>
    <w:rsid w:val="D7FFDFDF"/>
    <w:rsid w:val="D955787E"/>
    <w:rsid w:val="DAE72576"/>
    <w:rsid w:val="DC769F9D"/>
    <w:rsid w:val="DDDB9133"/>
    <w:rsid w:val="DDFFDCEE"/>
    <w:rsid w:val="DEFFC9D9"/>
    <w:rsid w:val="DF3F9A5A"/>
    <w:rsid w:val="DF8E2B31"/>
    <w:rsid w:val="DFCE52B9"/>
    <w:rsid w:val="DFDB0A20"/>
    <w:rsid w:val="DFDEF25C"/>
    <w:rsid w:val="DFDF8B8D"/>
    <w:rsid w:val="DFE31468"/>
    <w:rsid w:val="DFF5B6F8"/>
    <w:rsid w:val="DFF7BFD9"/>
    <w:rsid w:val="DFFB4C90"/>
    <w:rsid w:val="DFFE9782"/>
    <w:rsid w:val="E3FFB2C0"/>
    <w:rsid w:val="E4D7CF6E"/>
    <w:rsid w:val="E6DDEB5B"/>
    <w:rsid w:val="E7E7BEB0"/>
    <w:rsid w:val="E9E9CBAF"/>
    <w:rsid w:val="EB671222"/>
    <w:rsid w:val="EB7EC1CF"/>
    <w:rsid w:val="ECFBC1B4"/>
    <w:rsid w:val="EDF2CFFF"/>
    <w:rsid w:val="EEFF700C"/>
    <w:rsid w:val="EF5F68BA"/>
    <w:rsid w:val="EFFF7D4B"/>
    <w:rsid w:val="F1BF4A6E"/>
    <w:rsid w:val="F1EBB0F2"/>
    <w:rsid w:val="F4FAE936"/>
    <w:rsid w:val="F57FA0D2"/>
    <w:rsid w:val="F5EF6467"/>
    <w:rsid w:val="F61E2AD6"/>
    <w:rsid w:val="F63BC492"/>
    <w:rsid w:val="F6AFA7CD"/>
    <w:rsid w:val="F6BFA202"/>
    <w:rsid w:val="F75A7151"/>
    <w:rsid w:val="F7BF1022"/>
    <w:rsid w:val="F7CD8297"/>
    <w:rsid w:val="F7FB69D9"/>
    <w:rsid w:val="F7FF4A85"/>
    <w:rsid w:val="F99E470B"/>
    <w:rsid w:val="F9D7485F"/>
    <w:rsid w:val="FA76221E"/>
    <w:rsid w:val="FA8F4905"/>
    <w:rsid w:val="FAEB7C73"/>
    <w:rsid w:val="FBFC8EFC"/>
    <w:rsid w:val="FBFFF674"/>
    <w:rsid w:val="FCDC71D8"/>
    <w:rsid w:val="FCFD27C8"/>
    <w:rsid w:val="FD13AF6B"/>
    <w:rsid w:val="FDB649C5"/>
    <w:rsid w:val="FDFF111E"/>
    <w:rsid w:val="FE55A80E"/>
    <w:rsid w:val="FE799667"/>
    <w:rsid w:val="FF57C0B5"/>
    <w:rsid w:val="FF7A4463"/>
    <w:rsid w:val="FF8B1DDF"/>
    <w:rsid w:val="FFBE99BA"/>
    <w:rsid w:val="FFDF2477"/>
    <w:rsid w:val="FFEE372A"/>
    <w:rsid w:val="FFFA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Body Text Indent"/>
    <w:basedOn w:val="1"/>
    <w:next w:val="2"/>
    <w:qFormat/>
    <w:uiPriority w:val="0"/>
    <w:pPr>
      <w:spacing w:after="120"/>
      <w:ind w:left="420" w:leftChars="200"/>
    </w:pPr>
  </w:style>
  <w:style w:type="paragraph" w:styleId="7">
    <w:name w:val="List Number"/>
    <w:basedOn w:val="1"/>
    <w:qFormat/>
    <w:uiPriority w:val="0"/>
    <w:pPr>
      <w:numPr>
        <w:ilvl w:val="0"/>
        <w:numId w:val="2"/>
      </w:numPr>
    </w:pPr>
  </w:style>
  <w:style w:type="paragraph" w:styleId="8">
    <w:name w:val="annotation text"/>
    <w:basedOn w:val="1"/>
    <w:qFormat/>
    <w:uiPriority w:val="0"/>
    <w:pPr>
      <w:jc w:val="left"/>
    </w:pPr>
  </w:style>
  <w:style w:type="paragraph" w:styleId="9">
    <w:name w:val="Body Text"/>
    <w:basedOn w:val="1"/>
    <w:next w:val="10"/>
    <w:qFormat/>
    <w:uiPriority w:val="0"/>
    <w:pPr>
      <w:spacing w:line="360" w:lineRule="exact"/>
    </w:pPr>
    <w:rPr>
      <w:sz w:val="24"/>
    </w:rPr>
  </w:style>
  <w:style w:type="paragraph" w:styleId="10">
    <w:name w:val="Body Text First Indent"/>
    <w:basedOn w:val="9"/>
    <w:next w:val="11"/>
    <w:qFormat/>
    <w:uiPriority w:val="0"/>
    <w:pPr>
      <w:ind w:firstLine="200" w:firstLineChars="200"/>
    </w:pPr>
  </w:style>
  <w:style w:type="paragraph" w:styleId="11">
    <w:name w:val="toc 6"/>
    <w:basedOn w:val="1"/>
    <w:next w:val="1"/>
    <w:unhideWhenUsed/>
    <w:qFormat/>
    <w:uiPriority w:val="39"/>
    <w:pPr>
      <w:widowControl/>
      <w:ind w:left="2100" w:leftChars="1000"/>
      <w:jc w:val="left"/>
    </w:pPr>
    <w:rPr>
      <w:rFonts w:ascii="宋体" w:hAnsi="宋体" w:cs="宋体"/>
      <w:kern w:val="0"/>
      <w:sz w:val="24"/>
    </w:rPr>
  </w:style>
  <w:style w:type="paragraph" w:styleId="12">
    <w:name w:val="Plain Text"/>
    <w:basedOn w:val="1"/>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2"/>
    <w:basedOn w:val="3"/>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3">
    <w:name w:val="Strong"/>
    <w:basedOn w:val="22"/>
    <w:qFormat/>
    <w:uiPriority w:val="0"/>
    <w:rPr>
      <w:b/>
    </w:rPr>
  </w:style>
  <w:style w:type="character" w:styleId="24">
    <w:name w:val="Hyperlink"/>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7">
    <w:name w:val="列表段落1"/>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qFormat/>
    <w:uiPriority w:val="0"/>
    <w:rPr>
      <w:rFonts w:hint="default" w:ascii="Arial" w:hAnsi="Arial" w:cs="Arial"/>
      <w:color w:val="000000"/>
      <w:sz w:val="20"/>
      <w:szCs w:val="20"/>
      <w:u w:val="none"/>
    </w:rPr>
  </w:style>
  <w:style w:type="character" w:customStyle="1" w:styleId="43">
    <w:name w:val="font01"/>
    <w:basedOn w:val="22"/>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qFormat/>
    <w:uiPriority w:val="0"/>
    <w:rPr>
      <w:rFonts w:ascii="Tahoma" w:hAnsi="Tahoma"/>
      <w:sz w:val="24"/>
      <w:szCs w:val="20"/>
    </w:rPr>
  </w:style>
  <w:style w:type="character" w:customStyle="1" w:styleId="49">
    <w:name w:val="批注框文本 字符"/>
    <w:basedOn w:val="22"/>
    <w:link w:val="14"/>
    <w:qFormat/>
    <w:uiPriority w:val="0"/>
    <w:rPr>
      <w:kern w:val="2"/>
      <w:sz w:val="18"/>
      <w:szCs w:val="18"/>
    </w:rPr>
  </w:style>
  <w:style w:type="character" w:customStyle="1" w:styleId="50">
    <w:name w:val="NormalCharacter"/>
    <w:semiHidden/>
    <w:qFormat/>
    <w:uiPriority w:val="0"/>
    <w:rPr>
      <w:rFonts w:ascii="Calibri" w:hAnsi="Calibri"/>
      <w:kern w:val="2"/>
      <w:sz w:val="21"/>
      <w:szCs w:val="24"/>
      <w:lang w:val="en-US" w:eastAsia="zh-CN" w:bidi="ar-SA"/>
    </w:rPr>
  </w:style>
  <w:style w:type="paragraph" w:customStyle="1" w:styleId="51">
    <w:name w:val="PlainText"/>
    <w:basedOn w:val="1"/>
    <w:qFormat/>
    <w:uiPriority w:val="0"/>
    <w:rPr>
      <w:rFonts w:ascii="宋体" w:hAnsi="Courier New"/>
    </w:rPr>
  </w:style>
  <w:style w:type="paragraph" w:customStyle="1" w:styleId="52">
    <w:name w:val="列表段落2"/>
    <w:basedOn w:val="1"/>
    <w:qFormat/>
    <w:uiPriority w:val="99"/>
    <w:pPr>
      <w:ind w:firstLine="420" w:firstLineChars="200"/>
    </w:pPr>
  </w:style>
  <w:style w:type="paragraph" w:customStyle="1" w:styleId="53">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54">
    <w:name w:val="List Paragraph"/>
    <w:basedOn w:val="1"/>
    <w:qFormat/>
    <w:uiPriority w:val="34"/>
    <w:pPr>
      <w:ind w:firstLine="420"/>
    </w:pPr>
  </w:style>
  <w:style w:type="character" w:customStyle="1" w:styleId="55">
    <w:name w:val="font91"/>
    <w:basedOn w:val="22"/>
    <w:qFormat/>
    <w:uiPriority w:val="0"/>
    <w:rPr>
      <w:rFonts w:hint="eastAsia" w:ascii="宋体" w:hAnsi="宋体" w:eastAsia="宋体" w:cs="宋体"/>
      <w:color w:val="000000"/>
      <w:sz w:val="26"/>
      <w:szCs w:val="26"/>
      <w:u w:val="none"/>
    </w:rPr>
  </w:style>
  <w:style w:type="character" w:customStyle="1" w:styleId="56">
    <w:name w:val="font112"/>
    <w:basedOn w:val="22"/>
    <w:qFormat/>
    <w:uiPriority w:val="0"/>
    <w:rPr>
      <w:rFonts w:hint="default" w:ascii="Times New Roman" w:hAnsi="Times New Roman" w:cs="Times New Roman"/>
      <w:color w:val="000000"/>
      <w:sz w:val="26"/>
      <w:szCs w:val="26"/>
      <w:u w:val="none"/>
    </w:rPr>
  </w:style>
  <w:style w:type="character" w:customStyle="1" w:styleId="57">
    <w:name w:val="font41"/>
    <w:basedOn w:val="22"/>
    <w:qFormat/>
    <w:uiPriority w:val="0"/>
    <w:rPr>
      <w:rFonts w:hint="eastAsia" w:ascii="宋体" w:hAnsi="宋体" w:eastAsia="宋体" w:cs="宋体"/>
      <w:color w:val="000000"/>
      <w:sz w:val="26"/>
      <w:szCs w:val="26"/>
      <w:u w:val="none"/>
    </w:rPr>
  </w:style>
  <w:style w:type="character" w:customStyle="1" w:styleId="58">
    <w:name w:val="font121"/>
    <w:basedOn w:val="22"/>
    <w:qFormat/>
    <w:uiPriority w:val="0"/>
    <w:rPr>
      <w:rFonts w:hint="default" w:ascii="Times New Roman" w:hAnsi="Times New Roman" w:cs="Times New Roman"/>
      <w:color w:val="000000"/>
      <w:sz w:val="26"/>
      <w:szCs w:val="26"/>
      <w:u w:val="none"/>
    </w:rPr>
  </w:style>
  <w:style w:type="character" w:customStyle="1" w:styleId="59">
    <w:name w:val="font61"/>
    <w:basedOn w:val="22"/>
    <w:qFormat/>
    <w:uiPriority w:val="0"/>
    <w:rPr>
      <w:rFonts w:hint="eastAsia" w:ascii="宋体" w:hAnsi="宋体" w:eastAsia="宋体" w:cs="宋体"/>
      <w:b/>
      <w:bCs/>
      <w:color w:val="000000"/>
      <w:sz w:val="26"/>
      <w:szCs w:val="26"/>
      <w:u w:val="none"/>
    </w:rPr>
  </w:style>
  <w:style w:type="character" w:customStyle="1" w:styleId="60">
    <w:name w:val="font81"/>
    <w:basedOn w:val="22"/>
    <w:qFormat/>
    <w:uiPriority w:val="0"/>
    <w:rPr>
      <w:rFonts w:hint="default" w:ascii="Times New Roman" w:hAnsi="Times New Roman" w:cs="Times New Roman"/>
      <w:b/>
      <w:bCs/>
      <w:color w:val="000000"/>
      <w:sz w:val="26"/>
      <w:szCs w:val="26"/>
      <w:u w:val="none"/>
    </w:rPr>
  </w:style>
  <w:style w:type="character" w:customStyle="1" w:styleId="61">
    <w:name w:val="font11"/>
    <w:basedOn w:val="22"/>
    <w:qFormat/>
    <w:uiPriority w:val="0"/>
    <w:rPr>
      <w:rFonts w:hint="default" w:ascii="等线" w:hAnsi="等线" w:eastAsia="等线" w:cs="等线"/>
      <w:b/>
      <w:bCs/>
      <w:color w:val="000000"/>
      <w:sz w:val="28"/>
      <w:szCs w:val="28"/>
      <w:u w:val="none"/>
    </w:rPr>
  </w:style>
  <w:style w:type="character" w:customStyle="1" w:styleId="62">
    <w:name w:val="font51"/>
    <w:basedOn w:val="22"/>
    <w:qFormat/>
    <w:uiPriority w:val="0"/>
    <w:rPr>
      <w:rFonts w:hint="default" w:ascii="等线" w:hAnsi="等线" w:eastAsia="等线" w:cs="等线"/>
      <w:color w:val="000000"/>
      <w:sz w:val="24"/>
      <w:szCs w:val="24"/>
      <w:u w:val="none"/>
    </w:rPr>
  </w:style>
  <w:style w:type="paragraph" w:customStyle="1" w:styleId="63">
    <w:name w:val="zw"/>
    <w:basedOn w:val="1"/>
    <w:qFormat/>
    <w:uiPriority w:val="0"/>
    <w:pPr>
      <w:widowControl/>
      <w:spacing w:before="30"/>
      <w:ind w:left="100" w:right="100"/>
    </w:pPr>
    <w:rPr>
      <w:rFonts w:ascii="方正书宋简体" w:hAnsi="宋体" w:eastAsia="方正书宋简体"/>
      <w:color w:val="000000"/>
      <w:kern w:val="0"/>
      <w:szCs w:val="21"/>
    </w:rPr>
  </w:style>
  <w:style w:type="character" w:customStyle="1" w:styleId="64">
    <w:name w:val="font31"/>
    <w:basedOn w:val="22"/>
    <w:qFormat/>
    <w:uiPriority w:val="0"/>
    <w:rPr>
      <w:rFonts w:hint="eastAsia" w:ascii="宋体" w:hAnsi="宋体" w:eastAsia="宋体" w:cs="宋体"/>
      <w:color w:val="000000"/>
      <w:sz w:val="24"/>
      <w:szCs w:val="24"/>
      <w:u w:val="none"/>
    </w:rPr>
  </w:style>
  <w:style w:type="paragraph" w:customStyle="1" w:styleId="65">
    <w:name w:val="正文+缩进"/>
    <w:basedOn w:val="1"/>
    <w:qFormat/>
    <w:uiPriority w:val="0"/>
    <w:rPr>
      <w:rFonts w:ascii="宋体"/>
      <w:lang w:val="en-GB"/>
    </w:rPr>
  </w:style>
  <w:style w:type="paragraph" w:customStyle="1" w:styleId="66">
    <w:name w:val="表格"/>
    <w:basedOn w:val="1"/>
    <w:qFormat/>
    <w:uiPriority w:val="0"/>
    <w:pPr>
      <w:adjustRightInd w:val="0"/>
      <w:snapToGrid w:val="0"/>
      <w:jc w:val="center"/>
    </w:pPr>
    <w:rPr>
      <w:rFonts w:eastAsia="仿宋_GB2312"/>
      <w:sz w:val="24"/>
    </w:rPr>
  </w:style>
  <w:style w:type="table" w:customStyle="1" w:styleId="67">
    <w:name w:val="Table Normal"/>
    <w:unhideWhenUsed/>
    <w:qFormat/>
    <w:uiPriority w:val="0"/>
    <w:tblPr>
      <w:tblCellMar>
        <w:top w:w="0" w:type="dxa"/>
        <w:left w:w="0" w:type="dxa"/>
        <w:bottom w:w="0" w:type="dxa"/>
        <w:right w:w="0" w:type="dxa"/>
      </w:tblCellMar>
    </w:tblPr>
  </w:style>
  <w:style w:type="paragraph" w:customStyle="1" w:styleId="68">
    <w:name w:val="Table caption|1"/>
    <w:basedOn w:val="1"/>
    <w:qFormat/>
    <w:uiPriority w:val="0"/>
    <w:pPr>
      <w:spacing w:line="271" w:lineRule="auto"/>
    </w:pPr>
    <w:rPr>
      <w:rFonts w:ascii="宋体" w:hAnsi="宋体" w:cs="宋体"/>
      <w:sz w:val="20"/>
      <w:szCs w:val="20"/>
      <w:lang w:val="zh-TW" w:eastAsia="zh-TW" w:bidi="zh-TW"/>
    </w:rPr>
  </w:style>
  <w:style w:type="paragraph" w:customStyle="1" w:styleId="69">
    <w:name w:val="Other|1"/>
    <w:basedOn w:val="1"/>
    <w:qFormat/>
    <w:uiPriority w:val="0"/>
    <w:rPr>
      <w:rFonts w:ascii="宋体" w:hAnsi="宋体" w:cs="宋体"/>
      <w:sz w:val="20"/>
      <w:szCs w:val="20"/>
      <w:lang w:val="zh-TW" w:eastAsia="zh-TW" w:bidi="zh-TW"/>
    </w:rPr>
  </w:style>
  <w:style w:type="paragraph" w:customStyle="1" w:styleId="70">
    <w:name w:val="Body text|1"/>
    <w:basedOn w:val="1"/>
    <w:qFormat/>
    <w:uiPriority w:val="0"/>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33621</Words>
  <Characters>35276</Characters>
  <Lines>203</Lines>
  <Paragraphs>57</Paragraphs>
  <TotalTime>0</TotalTime>
  <ScaleCrop>false</ScaleCrop>
  <LinksUpToDate>false</LinksUpToDate>
  <CharactersWithSpaces>36758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2021-02-15T09:06:00Z</dcterms:created>
  <dc:creator>Thorpe521</dc:creator>
  <cp:lastModifiedBy>Ushop</cp:lastModifiedBy>
  <dcterms:modified xsi:type="dcterms:W3CDTF">2023-11-03T01:52:18Z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614C9F0063604A118BEA6D269CA62BE5</vt:lpwstr>
  </property>
</Properties>
</file>