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24"/>
        </w:rPr>
      </w:pPr>
    </w:p>
    <w:p>
      <w:pPr>
        <w:pStyle w:val="14"/>
        <w:rPr>
          <w:rFonts w:ascii="宋体" w:hAnsi="宋体" w:cs="宋体"/>
          <w:b/>
          <w:color w:val="auto"/>
          <w:kern w:val="0"/>
          <w:sz w:val="24"/>
          <w:szCs w:val="24"/>
        </w:rPr>
      </w:pPr>
    </w:p>
    <w:p>
      <w:pPr>
        <w:pStyle w:val="14"/>
        <w:rPr>
          <w:rFonts w:ascii="宋体" w:hAnsi="宋体" w:cs="宋体"/>
          <w:b/>
          <w:color w:val="auto"/>
          <w:kern w:val="0"/>
          <w:sz w:val="24"/>
          <w:szCs w:val="24"/>
        </w:rPr>
      </w:pPr>
    </w:p>
    <w:p>
      <w:pPr>
        <w:pStyle w:val="14"/>
        <w:rPr>
          <w:rFonts w:ascii="宋体" w:hAnsi="宋体" w:cs="宋体"/>
          <w:b/>
          <w:color w:val="auto"/>
          <w:kern w:val="0"/>
          <w:sz w:val="24"/>
          <w:szCs w:val="24"/>
        </w:rPr>
      </w:pPr>
    </w:p>
    <w:p>
      <w:pPr>
        <w:pStyle w:val="14"/>
        <w:rPr>
          <w:rFonts w:ascii="宋体" w:hAnsi="宋体" w:cs="宋体"/>
          <w:b/>
          <w:color w:val="auto"/>
          <w:kern w:val="0"/>
          <w:sz w:val="24"/>
          <w:szCs w:val="2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2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r>
        <w:rPr>
          <w:rFonts w:hint="eastAsia" w:ascii="宋体" w:hAnsi="宋体" w:cs="宋体"/>
          <w:b/>
          <w:color w:val="auto"/>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color w:val="auto"/>
          <w:kern w:val="0"/>
          <w:sz w:val="32"/>
          <w:szCs w:val="32"/>
        </w:rPr>
      </w:pPr>
      <w:r>
        <w:rPr>
          <w:rFonts w:hint="eastAsia" w:ascii="宋体" w:hAnsi="宋体" w:cs="宋体"/>
          <w:b/>
          <w:color w:val="auto"/>
          <w:kern w:val="0"/>
          <w:sz w:val="32"/>
          <w:szCs w:val="32"/>
        </w:rPr>
        <w:t>TZTX-2022-GK007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autoSpaceDE w:val="0"/>
        <w:autoSpaceDN w:val="0"/>
        <w:adjustRightInd w:val="0"/>
        <w:spacing w:line="360" w:lineRule="auto"/>
        <w:rPr>
          <w:rFonts w:ascii="宋体" w:hAnsi="宋体" w:cs="宋体"/>
          <w:b/>
          <w:color w:val="auto"/>
          <w:kern w:val="0"/>
          <w:sz w:val="24"/>
        </w:rPr>
      </w:pPr>
    </w:p>
    <w:p>
      <w:pPr>
        <w:autoSpaceDE w:val="0"/>
        <w:autoSpaceDN w:val="0"/>
        <w:adjustRightInd w:val="0"/>
        <w:spacing w:line="360" w:lineRule="auto"/>
        <w:ind w:firstLine="1540" w:firstLineChars="642"/>
        <w:jc w:val="left"/>
        <w:rPr>
          <w:rFonts w:ascii="宋体" w:hAnsi="宋体" w:cs="宋体"/>
          <w:color w:val="auto"/>
          <w:kern w:val="0"/>
          <w:sz w:val="24"/>
        </w:rPr>
      </w:pPr>
    </w:p>
    <w:p>
      <w:pPr>
        <w:pStyle w:val="14"/>
        <w:rPr>
          <w:rFonts w:ascii="宋体" w:hAnsi="宋体" w:cs="宋体"/>
          <w:color w:val="auto"/>
          <w:kern w:val="0"/>
          <w:sz w:val="24"/>
          <w:szCs w:val="24"/>
        </w:rPr>
      </w:pPr>
    </w:p>
    <w:p>
      <w:pPr>
        <w:pStyle w:val="14"/>
        <w:rPr>
          <w:rFonts w:ascii="宋体" w:hAnsi="宋体" w:cs="宋体"/>
          <w:color w:val="auto"/>
          <w:kern w:val="0"/>
          <w:sz w:val="24"/>
          <w:szCs w:val="24"/>
        </w:rPr>
      </w:pPr>
    </w:p>
    <w:p>
      <w:pPr>
        <w:pStyle w:val="14"/>
        <w:rPr>
          <w:color w:val="auto"/>
        </w:rPr>
      </w:pPr>
    </w:p>
    <w:p>
      <w:pPr>
        <w:autoSpaceDE w:val="0"/>
        <w:autoSpaceDN w:val="0"/>
        <w:adjustRightInd w:val="0"/>
        <w:spacing w:line="360" w:lineRule="auto"/>
        <w:ind w:firstLine="1540" w:firstLineChars="642"/>
        <w:jc w:val="left"/>
        <w:rPr>
          <w:rFonts w:ascii="宋体" w:hAnsi="宋体" w:cs="宋体"/>
          <w:color w:val="auto"/>
          <w:kern w:val="0"/>
          <w:sz w:val="24"/>
        </w:rPr>
      </w:pPr>
    </w:p>
    <w:p>
      <w:pPr>
        <w:autoSpaceDE w:val="0"/>
        <w:autoSpaceDN w:val="0"/>
        <w:adjustRightInd w:val="0"/>
        <w:spacing w:line="360" w:lineRule="auto"/>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采购项目：台州市一体化智能化公共数据平台（数据资源体系）项目</w:t>
      </w:r>
    </w:p>
    <w:p>
      <w:pPr>
        <w:pStyle w:val="12"/>
        <w:rPr>
          <w:color w:val="auto"/>
        </w:rPr>
      </w:pPr>
    </w:p>
    <w:p>
      <w:pPr>
        <w:autoSpaceDE w:val="0"/>
        <w:autoSpaceDN w:val="0"/>
        <w:adjustRightInd w:val="0"/>
        <w:spacing w:line="360" w:lineRule="auto"/>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采购人：</w:t>
      </w:r>
      <w:r>
        <w:rPr>
          <w:rFonts w:hint="eastAsia" w:ascii="宋体" w:hAnsi="宋体" w:cs="宋体"/>
          <w:color w:val="auto"/>
          <w:kern w:val="0"/>
          <w:sz w:val="28"/>
          <w:szCs w:val="28"/>
          <w:lang w:eastAsia="zh-CN"/>
        </w:rPr>
        <w:t>台州市大数据发展中心</w:t>
      </w:r>
    </w:p>
    <w:p>
      <w:pPr>
        <w:autoSpaceDE w:val="0"/>
        <w:autoSpaceDN w:val="0"/>
        <w:adjustRightInd w:val="0"/>
        <w:spacing w:line="360" w:lineRule="auto"/>
        <w:rPr>
          <w:rFonts w:ascii="宋体" w:hAnsi="宋体" w:cs="宋体"/>
          <w:color w:val="auto"/>
          <w:kern w:val="0"/>
          <w:sz w:val="24"/>
        </w:rPr>
      </w:pPr>
    </w:p>
    <w:p>
      <w:pPr>
        <w:autoSpaceDE w:val="0"/>
        <w:autoSpaceDN w:val="0"/>
        <w:adjustRightInd w:val="0"/>
        <w:spacing w:line="360" w:lineRule="auto"/>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pStyle w:val="14"/>
        <w:rPr>
          <w:rFonts w:ascii="宋体" w:hAnsi="宋体" w:cs="宋体"/>
          <w:color w:val="auto"/>
          <w:kern w:val="0"/>
          <w:sz w:val="24"/>
          <w:szCs w:val="24"/>
        </w:rPr>
      </w:pPr>
    </w:p>
    <w:p>
      <w:pPr>
        <w:pStyle w:val="14"/>
        <w:rPr>
          <w:rFonts w:ascii="宋体" w:hAnsi="宋体" w:cs="宋体"/>
          <w:color w:val="auto"/>
          <w:kern w:val="0"/>
          <w:sz w:val="24"/>
          <w:szCs w:val="24"/>
        </w:rPr>
      </w:pPr>
    </w:p>
    <w:p>
      <w:pPr>
        <w:pStyle w:val="14"/>
        <w:rPr>
          <w:rFonts w:ascii="宋体" w:hAnsi="宋体" w:cs="宋体"/>
          <w:color w:val="auto"/>
          <w:kern w:val="0"/>
          <w:sz w:val="24"/>
          <w:szCs w:val="24"/>
        </w:rPr>
      </w:pPr>
    </w:p>
    <w:p>
      <w:pPr>
        <w:pStyle w:val="14"/>
        <w:rPr>
          <w:rFonts w:ascii="宋体" w:hAnsi="宋体" w:cs="宋体"/>
          <w:color w:val="auto"/>
          <w:kern w:val="0"/>
          <w:sz w:val="24"/>
          <w:szCs w:val="24"/>
        </w:rPr>
      </w:pPr>
    </w:p>
    <w:p>
      <w:pPr>
        <w:pStyle w:val="14"/>
        <w:rPr>
          <w:rFonts w:ascii="宋体" w:hAnsi="宋体" w:cs="宋体"/>
          <w:color w:val="auto"/>
          <w:kern w:val="0"/>
          <w:sz w:val="24"/>
          <w:szCs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color w:val="auto"/>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sz w:val="28"/>
          <w:szCs w:val="28"/>
        </w:rPr>
      </w:pPr>
      <w:r>
        <w:rPr>
          <w:rFonts w:hint="eastAsia" w:ascii="宋体" w:hAnsi="宋体" w:cs="宋体"/>
          <w:color w:val="auto"/>
          <w:kern w:val="0"/>
          <w:sz w:val="28"/>
          <w:szCs w:val="28"/>
        </w:rPr>
        <w:t>2022年0</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 xml:space="preserve">月 </w:t>
      </w:r>
    </w:p>
    <w:p>
      <w:pPr>
        <w:rPr>
          <w:color w:val="auto"/>
        </w:rPr>
      </w:pPr>
      <w:r>
        <w:rPr>
          <w:rFonts w:hint="eastAsia" w:ascii="宋体" w:hAnsi="宋体" w:cs="宋体"/>
          <w:b/>
          <w:bCs/>
          <w:color w:val="auto"/>
          <w:sz w:val="24"/>
        </w:rPr>
        <w:br w:type="page"/>
      </w:r>
    </w:p>
    <w:p>
      <w:pPr>
        <w:rPr>
          <w:rFonts w:ascii="宋体" w:hAnsi="宋体" w:cs="宋体"/>
          <w:color w:val="auto"/>
          <w:sz w:val="24"/>
        </w:rPr>
      </w:pPr>
      <w:bookmarkStart w:id="0" w:name="_Toc25017_WPSOffice_Type1"/>
    </w:p>
    <w:p>
      <w:pPr>
        <w:pStyle w:val="2"/>
        <w:rPr>
          <w:rFonts w:ascii="宋体" w:hAnsi="宋体" w:cs="宋体"/>
          <w:color w:val="auto"/>
          <w:sz w:val="24"/>
        </w:rPr>
      </w:pPr>
    </w:p>
    <w:p>
      <w:pPr>
        <w:rPr>
          <w:rFonts w:ascii="宋体" w:hAnsi="宋体" w:cs="宋体"/>
          <w:color w:val="auto"/>
          <w:sz w:val="24"/>
        </w:rPr>
      </w:pPr>
    </w:p>
    <w:p>
      <w:pPr>
        <w:pStyle w:val="2"/>
        <w:rPr>
          <w:color w:val="auto"/>
        </w:rPr>
      </w:pPr>
    </w:p>
    <w:p>
      <w:pPr>
        <w:spacing w:line="480" w:lineRule="auto"/>
        <w:jc w:val="center"/>
        <w:rPr>
          <w:rFonts w:ascii="宋体" w:hAnsi="宋体" w:cs="宋体"/>
          <w:color w:val="auto"/>
          <w:sz w:val="28"/>
          <w:szCs w:val="28"/>
        </w:rPr>
      </w:pPr>
      <w:r>
        <w:rPr>
          <w:rFonts w:hint="eastAsia" w:ascii="宋体" w:hAnsi="宋体" w:cs="宋体"/>
          <w:b/>
          <w:bCs/>
          <w:color w:val="auto"/>
          <w:sz w:val="28"/>
          <w:szCs w:val="28"/>
        </w:rPr>
        <w:t>目  录</w:t>
      </w:r>
    </w:p>
    <w:p>
      <w:pPr>
        <w:pStyle w:val="48"/>
        <w:tabs>
          <w:tab w:val="right" w:leader="dot" w:pos="8300"/>
        </w:tabs>
        <w:spacing w:line="480" w:lineRule="auto"/>
        <w:rPr>
          <w:rFonts w:ascii="宋体" w:hAnsi="宋体" w:cs="宋体"/>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ascii="宋体" w:hAnsi="宋体" w:cs="宋体"/>
          <w:color w:val="auto"/>
          <w:sz w:val="28"/>
          <w:szCs w:val="28"/>
        </w:rPr>
        <w:t>第一章 投标邀请</w:t>
      </w:r>
      <w:r>
        <w:rPr>
          <w:rFonts w:hint="eastAsia" w:ascii="宋体" w:hAnsi="宋体" w:cs="宋体"/>
          <w:color w:val="auto"/>
          <w:sz w:val="28"/>
          <w:szCs w:val="28"/>
        </w:rPr>
        <w:tab/>
      </w:r>
      <w:bookmarkStart w:id="1" w:name="_Toc4350_WPSOffice_Level1Page"/>
      <w:r>
        <w:rPr>
          <w:rFonts w:hint="eastAsia" w:ascii="宋体" w:hAnsi="宋体" w:cs="宋体"/>
          <w:color w:val="auto"/>
          <w:sz w:val="28"/>
          <w:szCs w:val="28"/>
        </w:rPr>
        <w:t>3</w:t>
      </w:r>
      <w:bookmarkEnd w:id="1"/>
      <w:r>
        <w:rPr>
          <w:rFonts w:hint="eastAsia" w:ascii="宋体" w:hAnsi="宋体" w:cs="宋体"/>
          <w:color w:val="auto"/>
          <w:sz w:val="28"/>
          <w:szCs w:val="28"/>
        </w:rPr>
        <w:fldChar w:fldCharType="end"/>
      </w:r>
    </w:p>
    <w:p>
      <w:pPr>
        <w:pStyle w:val="48"/>
        <w:tabs>
          <w:tab w:val="right" w:leader="dot" w:pos="8300"/>
        </w:tabs>
        <w:spacing w:line="480" w:lineRule="auto"/>
        <w:rPr>
          <w:rFonts w:ascii="宋体" w:hAnsi="宋体" w:cs="宋体"/>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ascii="宋体" w:hAnsi="宋体" w:cs="宋体"/>
          <w:color w:val="auto"/>
          <w:sz w:val="28"/>
          <w:szCs w:val="28"/>
        </w:rPr>
        <w:t>第二章 投标人须知</w:t>
      </w:r>
      <w:r>
        <w:rPr>
          <w:rFonts w:hint="eastAsia" w:ascii="宋体" w:hAnsi="宋体" w:cs="宋体"/>
          <w:color w:val="auto"/>
          <w:sz w:val="28"/>
          <w:szCs w:val="28"/>
        </w:rPr>
        <w:tab/>
      </w:r>
      <w:r>
        <w:rPr>
          <w:rFonts w:hint="eastAsia" w:ascii="宋体" w:hAnsi="宋体" w:cs="宋体"/>
          <w:color w:val="auto"/>
          <w:sz w:val="28"/>
          <w:szCs w:val="28"/>
        </w:rPr>
        <w:t>6</w:t>
      </w:r>
      <w:r>
        <w:rPr>
          <w:rFonts w:hint="eastAsia" w:ascii="宋体" w:hAnsi="宋体" w:cs="宋体"/>
          <w:color w:val="auto"/>
          <w:sz w:val="28"/>
          <w:szCs w:val="28"/>
        </w:rPr>
        <w:fldChar w:fldCharType="end"/>
      </w:r>
    </w:p>
    <w:p>
      <w:pPr>
        <w:pStyle w:val="48"/>
        <w:tabs>
          <w:tab w:val="right" w:leader="dot" w:pos="8300"/>
        </w:tabs>
        <w:spacing w:line="480" w:lineRule="auto"/>
        <w:rPr>
          <w:rFonts w:ascii="宋体" w:hAnsi="宋体" w:cs="宋体"/>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ascii="宋体" w:hAnsi="宋体" w:cs="宋体"/>
          <w:color w:val="auto"/>
          <w:sz w:val="28"/>
          <w:szCs w:val="28"/>
        </w:rPr>
        <w:t>第三章 招标需求</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t>5</w:t>
      </w:r>
    </w:p>
    <w:p>
      <w:pPr>
        <w:pStyle w:val="48"/>
        <w:tabs>
          <w:tab w:val="right" w:leader="dot" w:pos="8300"/>
        </w:tabs>
        <w:spacing w:line="480" w:lineRule="auto"/>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"_Toc31173_WPSOffice_Level1" </w:instrText>
      </w:r>
      <w:r>
        <w:rPr>
          <w:color w:val="auto"/>
        </w:rPr>
        <w:fldChar w:fldCharType="separate"/>
      </w:r>
      <w:r>
        <w:rPr>
          <w:rFonts w:hint="eastAsia" w:ascii="宋体" w:hAnsi="宋体" w:cs="宋体"/>
          <w:color w:val="auto"/>
          <w:sz w:val="28"/>
          <w:szCs w:val="28"/>
        </w:rPr>
        <w:t>第四章 评标</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7</w:t>
      </w:r>
    </w:p>
    <w:p>
      <w:pPr>
        <w:pStyle w:val="48"/>
        <w:tabs>
          <w:tab w:val="right" w:leader="dot" w:pos="8300"/>
        </w:tabs>
        <w:spacing w:line="480" w:lineRule="auto"/>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"_Toc27944_WPSOffice_Level1" </w:instrText>
      </w:r>
      <w:r>
        <w:rPr>
          <w:color w:val="auto"/>
        </w:rPr>
        <w:fldChar w:fldCharType="separate"/>
      </w:r>
      <w:r>
        <w:rPr>
          <w:rFonts w:hint="eastAsia" w:ascii="宋体" w:hAnsi="宋体" w:cs="宋体"/>
          <w:color w:val="auto"/>
          <w:sz w:val="28"/>
          <w:szCs w:val="28"/>
        </w:rPr>
        <w:t>第五章 拟签订的合同文本</w:t>
      </w:r>
      <w:r>
        <w:rPr>
          <w:rFonts w:hint="eastAsia" w:ascii="宋体" w:hAnsi="宋体" w:cs="宋体"/>
          <w:color w:val="auto"/>
          <w:sz w:val="28"/>
          <w:szCs w:val="28"/>
        </w:rPr>
        <w:tab/>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5</w:t>
      </w:r>
    </w:p>
    <w:p>
      <w:pPr>
        <w:pStyle w:val="48"/>
        <w:tabs>
          <w:tab w:val="right" w:leader="dot" w:pos="8300"/>
        </w:tabs>
        <w:spacing w:line="480" w:lineRule="auto"/>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"_Toc5481_WPSOffice_Level1" </w:instrText>
      </w:r>
      <w:r>
        <w:rPr>
          <w:color w:val="auto"/>
        </w:rPr>
        <w:fldChar w:fldCharType="separate"/>
      </w:r>
      <w:r>
        <w:rPr>
          <w:rFonts w:hint="eastAsia" w:ascii="宋体" w:hAnsi="宋体" w:cs="宋体"/>
          <w:color w:val="auto"/>
          <w:sz w:val="28"/>
          <w:szCs w:val="28"/>
        </w:rPr>
        <w:t>第六章 投标文件格式</w:t>
      </w:r>
      <w:r>
        <w:rPr>
          <w:rFonts w:hint="eastAsia" w:ascii="宋体" w:hAnsi="宋体" w:cs="宋体"/>
          <w:color w:val="auto"/>
          <w:sz w:val="28"/>
          <w:szCs w:val="28"/>
        </w:rPr>
        <w:tab/>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9</w:t>
      </w:r>
    </w:p>
    <w:bookmarkEnd w:id="0"/>
    <w:p>
      <w:pPr>
        <w:spacing w:line="480" w:lineRule="auto"/>
        <w:rPr>
          <w:rFonts w:ascii="宋体" w:hAnsi="宋体" w:cs="宋体"/>
          <w:color w:val="auto"/>
          <w:sz w:val="28"/>
          <w:szCs w:val="28"/>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rPr>
          <w:rFonts w:ascii="宋体" w:hAnsi="宋体" w:cs="宋体"/>
          <w:b/>
          <w:color w:val="auto"/>
          <w:sz w:val="24"/>
        </w:rPr>
      </w:pPr>
      <w:r>
        <w:rPr>
          <w:rFonts w:hint="eastAsia" w:ascii="宋体" w:hAnsi="宋体" w:cs="宋体"/>
          <w:b/>
          <w:color w:val="auto"/>
          <w:kern w:val="0"/>
          <w:sz w:val="24"/>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24"/>
        </w:rPr>
      </w:pPr>
      <w:bookmarkStart w:id="2" w:name="_Toc4350_WPSOffice_Level1"/>
      <w:r>
        <w:rPr>
          <w:rFonts w:hint="eastAsia" w:ascii="宋体" w:hAnsi="宋体" w:cs="宋体"/>
          <w:b/>
          <w:color w:val="auto"/>
          <w:kern w:val="0"/>
          <w:sz w:val="24"/>
        </w:rPr>
        <w:t>投标邀请</w:t>
      </w:r>
      <w:bookmarkEnd w:id="2"/>
    </w:p>
    <w:p>
      <w:pPr>
        <w:pStyle w:val="5"/>
        <w:ind w:firstLine="480" w:firstLineChars="200"/>
        <w:rPr>
          <w:rFonts w:cs="宋体"/>
          <w:b w:val="0"/>
          <w:color w:val="auto"/>
          <w:sz w:val="24"/>
          <w:szCs w:val="24"/>
        </w:rPr>
      </w:pPr>
      <w:bookmarkStart w:id="3" w:name="_Toc28359002"/>
      <w:bookmarkStart w:id="4" w:name="_Toc28359079"/>
      <w:bookmarkStart w:id="5" w:name="_Toc35393621"/>
      <w:bookmarkStart w:id="6" w:name="_Toc35393790"/>
      <w:bookmarkStart w:id="7" w:name="_Hlk24379207"/>
      <w:r>
        <w:rPr>
          <w:rFonts w:hint="eastAsia" w:cs="宋体"/>
          <w:b w:val="0"/>
          <w:color w:val="auto"/>
          <w:sz w:val="24"/>
          <w:szCs w:val="24"/>
        </w:rPr>
        <w:t>台州天兴工程管理咨询有限公司受</w:t>
      </w:r>
      <w:r>
        <w:rPr>
          <w:rFonts w:hint="eastAsia" w:cs="宋体"/>
          <w:b w:val="0"/>
          <w:color w:val="auto"/>
          <w:sz w:val="24"/>
          <w:szCs w:val="24"/>
          <w:lang w:eastAsia="zh-CN"/>
        </w:rPr>
        <w:t>台州市大数据发展中心</w:t>
      </w:r>
      <w:r>
        <w:rPr>
          <w:rFonts w:hint="eastAsia" w:cs="宋体"/>
          <w:b w:val="0"/>
          <w:color w:val="auto"/>
          <w:sz w:val="24"/>
          <w:szCs w:val="24"/>
        </w:rPr>
        <w:t>委托，就台州市一体化智能化公共数据平台（数据资源体系）项目进行公开招标，欢迎符合资格条件的国内投标人参加投标。</w:t>
      </w:r>
    </w:p>
    <w:p>
      <w:pPr>
        <w:pStyle w:val="5"/>
        <w:ind w:firstLine="482" w:firstLineChars="200"/>
        <w:rPr>
          <w:rFonts w:cs="宋体"/>
          <w:bCs/>
          <w:color w:val="auto"/>
          <w:sz w:val="24"/>
          <w:szCs w:val="24"/>
        </w:rPr>
      </w:pPr>
      <w:r>
        <w:rPr>
          <w:rFonts w:hint="eastAsia" w:cs="宋体"/>
          <w:bCs/>
          <w:color w:val="auto"/>
          <w:sz w:val="24"/>
          <w:szCs w:val="24"/>
        </w:rPr>
        <w:t>一、项目基本情况</w:t>
      </w:r>
      <w:bookmarkEnd w:id="3"/>
      <w:bookmarkEnd w:id="4"/>
      <w:bookmarkEnd w:id="5"/>
      <w:bookmarkEnd w:id="6"/>
    </w:p>
    <w:p>
      <w:pPr>
        <w:spacing w:line="360" w:lineRule="auto"/>
        <w:ind w:firstLine="480" w:firstLineChars="20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highlight w:val="none"/>
        </w:rPr>
        <w:t>TZTX-2022-GK007</w:t>
      </w:r>
    </w:p>
    <w:bookmarkEnd w:id="7"/>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kern w:val="0"/>
          <w:sz w:val="24"/>
          <w:lang w:eastAsia="zh-CN"/>
        </w:rPr>
        <w:t>台州市大数据发展中心</w:t>
      </w:r>
      <w:r>
        <w:rPr>
          <w:rFonts w:hint="eastAsia" w:ascii="宋体" w:hAnsi="宋体" w:cs="宋体"/>
          <w:color w:val="auto"/>
          <w:kern w:val="0"/>
          <w:sz w:val="24"/>
        </w:rPr>
        <w:t>台州市一体化智能化公共数据平台（数据资源体系）项目</w:t>
      </w:r>
    </w:p>
    <w:tbl>
      <w:tblPr>
        <w:tblStyle w:val="25"/>
        <w:tblW w:w="8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35"/>
        <w:gridCol w:w="785"/>
        <w:gridCol w:w="838"/>
        <w:gridCol w:w="1302"/>
        <w:gridCol w:w="132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172"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标项号</w:t>
            </w:r>
          </w:p>
        </w:tc>
        <w:tc>
          <w:tcPr>
            <w:tcW w:w="1835" w:type="dxa"/>
            <w:vAlign w:val="center"/>
          </w:tcPr>
          <w:p>
            <w:pPr>
              <w:tabs>
                <w:tab w:val="left" w:pos="8280"/>
              </w:tabs>
              <w:autoSpaceDE w:val="0"/>
              <w:autoSpaceDN w:val="0"/>
              <w:adjustRightInd w:val="0"/>
              <w:ind w:firstLine="120" w:firstLineChars="50"/>
              <w:jc w:val="center"/>
              <w:rPr>
                <w:rFonts w:ascii="宋体" w:hAnsi="宋体" w:cs="宋体"/>
                <w:b/>
                <w:color w:val="auto"/>
                <w:sz w:val="24"/>
              </w:rPr>
            </w:pPr>
            <w:r>
              <w:rPr>
                <w:rFonts w:hint="eastAsia" w:ascii="宋体" w:hAnsi="宋体" w:cs="宋体"/>
                <w:b/>
                <w:color w:val="auto"/>
                <w:sz w:val="24"/>
              </w:rPr>
              <w:t>标项名称</w:t>
            </w:r>
          </w:p>
        </w:tc>
        <w:tc>
          <w:tcPr>
            <w:tcW w:w="785"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kern w:val="0"/>
                <w:sz w:val="24"/>
              </w:rPr>
              <w:t>数量</w:t>
            </w:r>
          </w:p>
        </w:tc>
        <w:tc>
          <w:tcPr>
            <w:tcW w:w="838"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单位</w:t>
            </w:r>
          </w:p>
        </w:tc>
        <w:tc>
          <w:tcPr>
            <w:tcW w:w="1302"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预算</w:t>
            </w:r>
          </w:p>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（万元）</w:t>
            </w:r>
          </w:p>
        </w:tc>
        <w:tc>
          <w:tcPr>
            <w:tcW w:w="1324"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最高限价（万元）</w:t>
            </w:r>
          </w:p>
        </w:tc>
        <w:tc>
          <w:tcPr>
            <w:tcW w:w="1293" w:type="dxa"/>
            <w:vAlign w:val="center"/>
          </w:tcPr>
          <w:p>
            <w:pPr>
              <w:jc w:val="center"/>
              <w:rPr>
                <w:rFonts w:ascii="宋体" w:hAnsi="宋体" w:cs="宋体"/>
                <w:b/>
                <w:color w:val="auto"/>
                <w:sz w:val="24"/>
              </w:rPr>
            </w:pPr>
            <w:r>
              <w:rPr>
                <w:rFonts w:hint="eastAsia" w:ascii="宋体" w:hAnsi="宋体" w:cs="宋体"/>
                <w:b/>
                <w:color w:val="auto"/>
                <w:sz w:val="24"/>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172"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1</w:t>
            </w:r>
          </w:p>
        </w:tc>
        <w:tc>
          <w:tcPr>
            <w:tcW w:w="1835"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台州市一体化智能化公共数据平台（数据资源体系）项目</w:t>
            </w:r>
          </w:p>
        </w:tc>
        <w:tc>
          <w:tcPr>
            <w:tcW w:w="785"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1</w:t>
            </w:r>
          </w:p>
        </w:tc>
        <w:tc>
          <w:tcPr>
            <w:tcW w:w="838"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项</w:t>
            </w:r>
          </w:p>
        </w:tc>
        <w:tc>
          <w:tcPr>
            <w:tcW w:w="1302" w:type="dxa"/>
            <w:vAlign w:val="center"/>
          </w:tcPr>
          <w:p>
            <w:pPr>
              <w:tabs>
                <w:tab w:val="left" w:pos="8280"/>
              </w:tabs>
              <w:autoSpaceDE w:val="0"/>
              <w:autoSpaceDN w:val="0"/>
              <w:adjustRightInd w:val="0"/>
              <w:ind w:right="25"/>
              <w:jc w:val="center"/>
              <w:rPr>
                <w:rFonts w:hint="eastAsia" w:ascii="宋体" w:hAnsi="宋体" w:eastAsia="宋体" w:cs="宋体"/>
                <w:bCs/>
                <w:color w:val="auto"/>
                <w:sz w:val="24"/>
                <w:lang w:val="en-US" w:eastAsia="zh-CN"/>
              </w:rPr>
            </w:pPr>
            <w:r>
              <w:rPr>
                <w:rFonts w:hint="eastAsia" w:asciiTheme="minorEastAsia" w:hAnsiTheme="minorEastAsia"/>
                <w:color w:val="auto"/>
                <w:sz w:val="24"/>
                <w:lang w:val="en-US" w:eastAsia="zh-CN"/>
              </w:rPr>
              <w:t>1300</w:t>
            </w:r>
          </w:p>
        </w:tc>
        <w:tc>
          <w:tcPr>
            <w:tcW w:w="1324" w:type="dxa"/>
            <w:vAlign w:val="center"/>
          </w:tcPr>
          <w:p>
            <w:pPr>
              <w:tabs>
                <w:tab w:val="left" w:pos="8280"/>
              </w:tabs>
              <w:autoSpaceDE w:val="0"/>
              <w:autoSpaceDN w:val="0"/>
              <w:adjustRightInd w:val="0"/>
              <w:ind w:right="25"/>
              <w:jc w:val="center"/>
              <w:rPr>
                <w:rFonts w:ascii="宋体" w:hAnsi="宋体" w:cs="宋体"/>
                <w:bCs/>
                <w:color w:val="auto"/>
                <w:sz w:val="24"/>
              </w:rPr>
            </w:pPr>
            <w:r>
              <w:rPr>
                <w:rFonts w:asciiTheme="minorEastAsia" w:hAnsiTheme="minorEastAsia"/>
                <w:color w:val="auto"/>
                <w:sz w:val="24"/>
              </w:rPr>
              <w:t>1229</w:t>
            </w:r>
          </w:p>
        </w:tc>
        <w:tc>
          <w:tcPr>
            <w:tcW w:w="1293"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bCs/>
                <w:color w:val="auto"/>
                <w:sz w:val="24"/>
              </w:rPr>
              <w:t>合同签订后</w:t>
            </w:r>
            <w:r>
              <w:rPr>
                <w:rFonts w:ascii="宋体" w:hAnsi="宋体"/>
                <w:bCs/>
                <w:color w:val="auto"/>
                <w:sz w:val="24"/>
              </w:rPr>
              <w:t>3</w:t>
            </w:r>
            <w:r>
              <w:rPr>
                <w:rFonts w:hint="eastAsia" w:ascii="宋体" w:hAnsi="宋体"/>
                <w:bCs/>
                <w:color w:val="auto"/>
                <w:sz w:val="24"/>
              </w:rPr>
              <w:t>个月内交付部署试运营</w:t>
            </w:r>
          </w:p>
        </w:tc>
      </w:tr>
    </w:tbl>
    <w:p>
      <w:pPr>
        <w:pStyle w:val="5"/>
        <w:ind w:right="0" w:firstLine="482" w:firstLineChars="200"/>
        <w:rPr>
          <w:rFonts w:cs="宋体"/>
          <w:bCs/>
          <w:color w:val="auto"/>
          <w:sz w:val="24"/>
          <w:szCs w:val="24"/>
        </w:rPr>
      </w:pPr>
      <w:bookmarkStart w:id="8" w:name="_Toc28359080"/>
      <w:bookmarkStart w:id="9" w:name="_Toc35393622"/>
      <w:bookmarkStart w:id="10" w:name="_Toc28359003"/>
      <w:bookmarkStart w:id="11" w:name="_Toc35393791"/>
      <w:r>
        <w:rPr>
          <w:rFonts w:hint="eastAsia" w:cs="宋体"/>
          <w:bCs/>
          <w:color w:val="auto"/>
          <w:sz w:val="24"/>
          <w:szCs w:val="24"/>
        </w:rPr>
        <w:t>二、投标人的资格要求</w:t>
      </w:r>
      <w:bookmarkEnd w:id="8"/>
      <w:bookmarkEnd w:id="9"/>
      <w:bookmarkEnd w:id="10"/>
      <w:bookmarkEnd w:id="11"/>
    </w:p>
    <w:p>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p>
    <w:p>
      <w:pPr>
        <w:spacing w:line="360" w:lineRule="auto"/>
        <w:ind w:firstLine="480" w:firstLineChars="200"/>
        <w:rPr>
          <w:rFonts w:ascii="宋体" w:hAnsi="宋体" w:cs="宋体"/>
          <w:color w:val="auto"/>
          <w:sz w:val="24"/>
        </w:rPr>
      </w:pPr>
      <w:bookmarkStart w:id="12" w:name="_Toc35393792"/>
      <w:bookmarkStart w:id="13" w:name="_Toc28359081"/>
      <w:bookmarkStart w:id="14" w:name="_Toc28359004"/>
      <w:bookmarkStart w:id="15" w:name="_Toc35393623"/>
      <w:r>
        <w:rPr>
          <w:rFonts w:hint="eastAsia" w:ascii="宋体" w:hAnsi="宋体" w:cs="宋体"/>
          <w:color w:val="auto"/>
          <w:sz w:val="24"/>
        </w:rPr>
        <w:t>（二）本项目的特定资格要求：无。</w:t>
      </w:r>
    </w:p>
    <w:p>
      <w:pPr>
        <w:spacing w:line="360" w:lineRule="auto"/>
        <w:ind w:firstLine="480" w:firstLineChars="200"/>
        <w:rPr>
          <w:rFonts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 不接受/□ 接受）</w:t>
      </w:r>
      <w:r>
        <w:rPr>
          <w:rFonts w:hint="eastAsia" w:ascii="宋体" w:hAnsi="宋体" w:cs="宋体"/>
          <w:color w:val="auto"/>
          <w:sz w:val="24"/>
        </w:rPr>
        <w:t>联合体投标</w:t>
      </w:r>
    </w:p>
    <w:p>
      <w:pPr>
        <w:spacing w:line="360" w:lineRule="auto"/>
        <w:ind w:firstLine="480" w:firstLineChars="200"/>
        <w:rPr>
          <w:rFonts w:ascii="宋体" w:hAnsi="宋体" w:cs="宋体"/>
          <w:color w:val="auto"/>
          <w:sz w:val="24"/>
        </w:rPr>
      </w:pPr>
      <w:r>
        <w:rPr>
          <w:rFonts w:hint="eastAsia" w:ascii="宋体" w:hAnsi="宋体" w:cs="宋体"/>
          <w:color w:val="auto"/>
          <w:sz w:val="24"/>
        </w:rPr>
        <w:t>（四）本项目</w:t>
      </w:r>
      <w:r>
        <w:rPr>
          <w:rFonts w:hint="eastAsia" w:ascii="宋体" w:hAnsi="宋体" w:cs="宋体"/>
          <w:b/>
          <w:bCs/>
          <w:color w:val="auto"/>
          <w:sz w:val="24"/>
        </w:rPr>
        <w:t>（□ 是/☑ 否）</w:t>
      </w:r>
      <w:r>
        <w:rPr>
          <w:rFonts w:hint="eastAsia" w:ascii="宋体" w:hAnsi="宋体" w:cs="宋体"/>
          <w:color w:val="auto"/>
          <w:sz w:val="24"/>
        </w:rPr>
        <w:t>针对为中小企业</w:t>
      </w:r>
    </w:p>
    <w:p>
      <w:pPr>
        <w:spacing w:line="360" w:lineRule="auto"/>
        <w:ind w:firstLine="480" w:firstLineChars="200"/>
        <w:rPr>
          <w:rFonts w:ascii="宋体" w:hAnsi="宋体" w:cs="宋体"/>
          <w:color w:val="auto"/>
          <w:sz w:val="24"/>
        </w:rPr>
      </w:pPr>
      <w:r>
        <w:rPr>
          <w:rFonts w:hint="eastAsia" w:ascii="宋体" w:hAnsi="宋体" w:cs="宋体"/>
          <w:color w:val="auto"/>
          <w:sz w:val="24"/>
        </w:rPr>
        <w:t>（五）信用记录：未被列入“信用中国”失信被执行人或重大税收违法案件当事人名单；未处于“中国政府采购网”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color w:val="auto"/>
        </w:rPr>
        <w:fldChar w:fldCharType="end"/>
      </w:r>
    </w:p>
    <w:p>
      <w:pPr>
        <w:spacing w:line="360" w:lineRule="auto"/>
        <w:ind w:firstLine="480" w:firstLineChars="200"/>
        <w:rPr>
          <w:rFonts w:ascii="宋体" w:hAnsi="宋体" w:cs="宋体"/>
          <w:color w:val="auto"/>
          <w:sz w:val="24"/>
        </w:rPr>
      </w:pPr>
      <w:r>
        <w:rPr>
          <w:rFonts w:hint="eastAsia" w:ascii="宋体" w:hAnsi="宋体" w:cs="宋体"/>
          <w:color w:val="auto"/>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5"/>
        <w:ind w:right="0" w:firstLine="482" w:firstLineChars="200"/>
        <w:rPr>
          <w:rFonts w:cs="宋体"/>
          <w:bCs/>
          <w:color w:val="auto"/>
          <w:sz w:val="24"/>
          <w:szCs w:val="24"/>
        </w:rPr>
      </w:pPr>
      <w:r>
        <w:rPr>
          <w:rFonts w:hint="eastAsia" w:cs="宋体"/>
          <w:bCs/>
          <w:color w:val="auto"/>
          <w:sz w:val="24"/>
          <w:szCs w:val="24"/>
        </w:rPr>
        <w:t>三、获取招标文件</w:t>
      </w:r>
      <w:bookmarkEnd w:id="12"/>
      <w:bookmarkEnd w:id="13"/>
      <w:bookmarkEnd w:id="14"/>
      <w:bookmarkEnd w:id="15"/>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olor w:val="auto"/>
          <w:sz w:val="24"/>
          <w:szCs w:val="24"/>
        </w:rPr>
      </w:pPr>
      <w:r>
        <w:rPr>
          <w:rFonts w:hint="eastAsia" w:ascii="宋体" w:hAnsi="宋体" w:eastAsia="宋体"/>
          <w:color w:val="auto"/>
          <w:sz w:val="24"/>
          <w:szCs w:val="24"/>
        </w:rPr>
        <w:t>（二）方式：浙江政府采购网</w:t>
      </w:r>
      <w:r>
        <w:rPr>
          <w:rFonts w:hint="eastAsia" w:ascii="宋体" w:hAnsi="宋体" w:eastAsia="宋体"/>
          <w:color w:val="auto"/>
          <w:kern w:val="2"/>
          <w:sz w:val="24"/>
          <w:szCs w:val="24"/>
        </w:rPr>
        <w:t>（https：//zfcg.czt.zj.gov.cn）</w:t>
      </w:r>
      <w:r>
        <w:rPr>
          <w:rFonts w:hint="eastAsia" w:ascii="宋体" w:hAnsi="宋体" w:eastAsia="宋体"/>
          <w:color w:val="auto"/>
          <w:sz w:val="24"/>
          <w:szCs w:val="24"/>
        </w:rPr>
        <w:t>免费下载</w:t>
      </w:r>
    </w:p>
    <w:p>
      <w:pPr>
        <w:pStyle w:val="5"/>
        <w:ind w:right="0" w:firstLine="482" w:firstLineChars="200"/>
        <w:rPr>
          <w:rFonts w:cs="宋体"/>
          <w:bCs/>
          <w:color w:val="auto"/>
          <w:sz w:val="24"/>
          <w:szCs w:val="24"/>
        </w:rPr>
      </w:pPr>
      <w:bookmarkStart w:id="16" w:name="_Toc28359005"/>
      <w:bookmarkStart w:id="17" w:name="_Toc28359082"/>
      <w:bookmarkStart w:id="18" w:name="_Toc35393793"/>
      <w:bookmarkStart w:id="19" w:name="_Toc35393624"/>
      <w:r>
        <w:rPr>
          <w:rFonts w:hint="eastAsia" w:cs="宋体"/>
          <w:bCs/>
          <w:color w:val="auto"/>
          <w:sz w:val="24"/>
          <w:szCs w:val="24"/>
        </w:rPr>
        <w:t>四、提交投标文件</w:t>
      </w:r>
      <w:bookmarkEnd w:id="16"/>
      <w:bookmarkEnd w:id="17"/>
      <w:bookmarkEnd w:id="18"/>
      <w:bookmarkEnd w:id="19"/>
    </w:p>
    <w:p>
      <w:pPr>
        <w:spacing w:line="360" w:lineRule="auto"/>
        <w:ind w:firstLine="480" w:firstLineChars="200"/>
        <w:rPr>
          <w:rFonts w:ascii="宋体" w:hAnsi="宋体" w:cs="宋体"/>
          <w:iCs/>
          <w:color w:val="auto"/>
          <w:sz w:val="24"/>
          <w:u w:val="single"/>
        </w:rPr>
      </w:pPr>
      <w:bookmarkStart w:id="20" w:name="_Toc35393794"/>
      <w:bookmarkStart w:id="21" w:name="_Toc28359084"/>
      <w:bookmarkStart w:id="22" w:name="_Toc28359007"/>
      <w:bookmarkStart w:id="23" w:name="_Toc35393625"/>
      <w:r>
        <w:rPr>
          <w:rFonts w:hint="eastAsia" w:ascii="宋体" w:hAnsi="宋体" w:cs="宋体"/>
          <w:color w:val="auto"/>
          <w:sz w:val="24"/>
        </w:rPr>
        <w:t>（一）截止时间（开标时间）：</w:t>
      </w:r>
      <w:r>
        <w:rPr>
          <w:rFonts w:hint="eastAsia" w:ascii="宋体" w:hAnsi="宋体" w:cs="宋体"/>
          <w:bCs/>
          <w:color w:val="auto"/>
          <w:sz w:val="24"/>
          <w:u w:val="single"/>
        </w:rPr>
        <w:t>2022年</w:t>
      </w:r>
      <w:r>
        <w:rPr>
          <w:rFonts w:hint="eastAsia" w:ascii="宋体" w:hAnsi="宋体" w:cs="宋体"/>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color w:val="auto"/>
          <w:sz w:val="24"/>
          <w:u w:val="single"/>
          <w:lang w:val="en-US" w:eastAsia="zh-CN"/>
        </w:rPr>
        <w:t>28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cs="宋体"/>
          <w:bCs/>
          <w:color w:val="auto"/>
          <w:sz w:val="24"/>
          <w:u w:val="single"/>
        </w:rPr>
        <w:t>分</w:t>
      </w:r>
      <w:r>
        <w:rPr>
          <w:rFonts w:hint="eastAsia" w:ascii="宋体" w:hAnsi="宋体" w:cs="宋体"/>
          <w:bCs/>
          <w:color w:val="auto"/>
          <w:sz w:val="24"/>
        </w:rPr>
        <w:t>（北京时间）</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（二）投标网址：浙江政府采购云平台（http：//www.zcygov.cn）</w:t>
      </w:r>
    </w:p>
    <w:bookmarkEnd w:id="20"/>
    <w:bookmarkEnd w:id="21"/>
    <w:bookmarkEnd w:id="22"/>
    <w:bookmarkEnd w:id="23"/>
    <w:p>
      <w:pPr>
        <w:pStyle w:val="2"/>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），台州市公共资源交易网（https：//tzztb.zjtz.gov.cn）。</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pPr>
        <w:pStyle w:val="5"/>
        <w:ind w:right="0" w:firstLine="482" w:firstLineChars="200"/>
        <w:rPr>
          <w:rFonts w:cs="宋体"/>
          <w:bCs/>
          <w:color w:val="auto"/>
          <w:sz w:val="24"/>
          <w:szCs w:val="24"/>
        </w:rPr>
      </w:pPr>
      <w:bookmarkStart w:id="24" w:name="_Toc35393795"/>
      <w:bookmarkStart w:id="25" w:name="_Toc35393626"/>
      <w:r>
        <w:rPr>
          <w:rFonts w:hint="eastAsia" w:cs="宋体"/>
          <w:bCs/>
          <w:color w:val="auto"/>
          <w:sz w:val="24"/>
          <w:szCs w:val="24"/>
        </w:rPr>
        <w:t>六、</w:t>
      </w:r>
      <w:bookmarkEnd w:id="24"/>
      <w:bookmarkEnd w:id="25"/>
      <w:r>
        <w:rPr>
          <w:rFonts w:hint="eastAsia" w:cs="宋体"/>
          <w:bCs/>
          <w:color w:val="auto"/>
          <w:sz w:val="24"/>
          <w:szCs w:val="24"/>
        </w:rPr>
        <w:t>注册报名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投标人需登录浙江省政府采购网（https：//zfcg.czt.zj.gov.cn/）进行注册后报名。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七、相关注意事项：</w:t>
      </w:r>
    </w:p>
    <w:p>
      <w:pPr>
        <w:pStyle w:val="20"/>
        <w:widowControl w:val="0"/>
        <w:spacing w:before="0" w:beforeAutospacing="0" w:after="0" w:afterAutospacing="0" w:line="360" w:lineRule="auto"/>
        <w:ind w:firstLine="480" w:firstLineChars="200"/>
        <w:jc w:val="both"/>
        <w:rPr>
          <w:rFonts w:hint="default"/>
          <w:color w:val="auto"/>
        </w:rPr>
      </w:pPr>
      <w:r>
        <w:rPr>
          <w:color w:val="auto"/>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2"/>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 xml:space="preserve"> 八、其他补充事宜</w:t>
      </w:r>
    </w:p>
    <w:p>
      <w:pPr>
        <w:pStyle w:val="2"/>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（一）《浙江省财政厅关于进一步发挥政府采购政策功能全力推动经济稳进提质的通知》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ind w:right="0" w:firstLine="482" w:firstLineChars="200"/>
        <w:rPr>
          <w:rFonts w:cs="宋体"/>
          <w:bCs/>
          <w:color w:val="auto"/>
          <w:sz w:val="24"/>
          <w:szCs w:val="24"/>
        </w:rPr>
      </w:pPr>
      <w:bookmarkStart w:id="26" w:name="_Toc35393627"/>
      <w:bookmarkStart w:id="27" w:name="_Toc28359085"/>
      <w:bookmarkStart w:id="28" w:name="_Toc35393796"/>
      <w:bookmarkStart w:id="29" w:name="_Toc28359008"/>
      <w:r>
        <w:rPr>
          <w:rFonts w:hint="eastAsia" w:cs="宋体"/>
          <w:bCs/>
          <w:color w:val="auto"/>
          <w:sz w:val="24"/>
          <w:szCs w:val="24"/>
        </w:rPr>
        <w:t>八、联系</w:t>
      </w:r>
      <w:bookmarkEnd w:id="26"/>
      <w:bookmarkEnd w:id="27"/>
      <w:bookmarkEnd w:id="28"/>
      <w:bookmarkEnd w:id="29"/>
      <w:r>
        <w:rPr>
          <w:rFonts w:hint="eastAsia" w:cs="宋体"/>
          <w:bCs/>
          <w:color w:val="auto"/>
          <w:sz w:val="24"/>
          <w:szCs w:val="24"/>
        </w:rPr>
        <w:t>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（一）采购人（受理招标文件相关质疑及答复） </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台州市大数据发展中心</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浙江省台州市椒江区中心大道399号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询问联系人：</w:t>
      </w:r>
      <w:r>
        <w:rPr>
          <w:rFonts w:hint="eastAsia" w:ascii="宋体" w:hAnsi="宋体" w:cs="宋体"/>
          <w:color w:val="auto"/>
          <w:sz w:val="24"/>
          <w:u w:val="single"/>
        </w:rPr>
        <w:t>林老师</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询问联系电话：</w:t>
      </w:r>
      <w:r>
        <w:rPr>
          <w:rFonts w:hint="eastAsia" w:ascii="宋体" w:hAnsi="宋体" w:cs="宋体"/>
          <w:color w:val="auto"/>
          <w:sz w:val="24"/>
          <w:u w:val="single"/>
        </w:rPr>
        <w:t>0576-88512130</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质疑联系人：</w:t>
      </w:r>
      <w:bookmarkStart w:id="30" w:name="_Toc28359009"/>
      <w:bookmarkStart w:id="31" w:name="_Toc28359086"/>
      <w:r>
        <w:rPr>
          <w:rFonts w:hint="eastAsia" w:ascii="宋体" w:hAnsi="宋体" w:cs="宋体"/>
          <w:color w:val="auto"/>
          <w:sz w:val="24"/>
          <w:u w:val="single"/>
        </w:rPr>
        <w:t>陈老师</w:t>
      </w:r>
      <w:r>
        <w:rPr>
          <w:rFonts w:hint="eastAsia" w:ascii="宋体" w:hAnsi="宋体" w:cs="宋体"/>
          <w:color w:val="auto"/>
          <w:sz w:val="24"/>
        </w:rPr>
        <w:t xml:space="preserve">    联系电话：</w:t>
      </w:r>
      <w:r>
        <w:rPr>
          <w:rFonts w:hint="eastAsia" w:ascii="宋体" w:hAnsi="宋体" w:cs="宋体"/>
          <w:color w:val="auto"/>
          <w:sz w:val="24"/>
          <w:u w:val="single"/>
        </w:rPr>
        <w:t xml:space="preserve">0576-88512130  </w:t>
      </w:r>
    </w:p>
    <w:bookmarkEnd w:id="30"/>
    <w:bookmarkEnd w:id="31"/>
    <w:p>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（二）采购组织机构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台州天兴工程管理咨询有限公司</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浙江省台州市椒江区海门街道建设路105-16号</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项目联系人：</w:t>
      </w:r>
      <w:bookmarkStart w:id="32" w:name="_Toc28359087"/>
      <w:bookmarkStart w:id="33" w:name="_Toc28359010"/>
      <w:r>
        <w:rPr>
          <w:rFonts w:hint="eastAsia" w:ascii="宋体" w:hAnsi="宋体" w:cs="宋体"/>
          <w:color w:val="auto"/>
          <w:sz w:val="24"/>
          <w:u w:val="single"/>
        </w:rPr>
        <w:t>陈先生</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15057620383</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受理联系人：</w:t>
      </w:r>
      <w:r>
        <w:rPr>
          <w:rFonts w:hint="eastAsia" w:ascii="宋体" w:hAnsi="宋体" w:cs="宋体"/>
          <w:color w:val="auto"/>
          <w:sz w:val="24"/>
          <w:u w:val="single"/>
        </w:rPr>
        <w:t>洪先生（受理注册、中标结果相关质疑及答复）</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0576-88322665</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技术人员：</w:t>
      </w:r>
      <w:r>
        <w:rPr>
          <w:rFonts w:hint="eastAsia" w:ascii="宋体" w:hAnsi="宋体" w:cs="宋体"/>
          <w:color w:val="auto"/>
          <w:sz w:val="24"/>
          <w:u w:val="single"/>
        </w:rPr>
        <w:t>洪先生</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0576-88322665</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（三）同级政府采购监管机构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台州市财政局政府采购监管处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台州市纬一路66号</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陈工</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0576-88206705</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李工</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0576-88206731</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（四）政采云平台：联系电话：4008817190</w:t>
      </w:r>
    </w:p>
    <w:p>
      <w:pPr>
        <w:pStyle w:val="2"/>
        <w:ind w:firstLine="0"/>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color w:val="auto"/>
          <w:sz w:val="24"/>
          <w:shd w:val="clear" w:color="auto" w:fill="FFFFFF"/>
        </w:rPr>
        <w:t>台州天兴工程管理咨询有限公司</w:t>
      </w:r>
      <w:r>
        <w:rPr>
          <w:rFonts w:hint="eastAsia" w:ascii="宋体" w:hAnsi="宋体" w:cs="宋体"/>
          <w:color w:val="auto"/>
          <w:kern w:val="0"/>
          <w:sz w:val="24"/>
        </w:rPr>
        <w:t xml:space="preserve"> </w:t>
      </w:r>
    </w:p>
    <w:p>
      <w:pPr>
        <w:widowControl/>
        <w:spacing w:line="360" w:lineRule="auto"/>
        <w:jc w:val="right"/>
        <w:rPr>
          <w:rFonts w:ascii="宋体" w:hAnsi="宋体" w:cs="宋体"/>
          <w:color w:val="auto"/>
          <w:kern w:val="0"/>
          <w:sz w:val="24"/>
        </w:rPr>
      </w:pPr>
      <w:r>
        <w:rPr>
          <w:rFonts w:hint="eastAsia" w:ascii="宋体" w:hAnsi="宋体" w:cs="宋体"/>
          <w:color w:val="auto"/>
          <w:kern w:val="0"/>
          <w:sz w:val="24"/>
        </w:rPr>
        <w:t xml:space="preserve">   2022年</w:t>
      </w:r>
      <w:r>
        <w:rPr>
          <w:rFonts w:hint="eastAsia" w:ascii="宋体" w:hAnsi="宋体" w:cs="宋体"/>
          <w:color w:val="auto"/>
          <w:sz w:val="24"/>
        </w:rPr>
        <w:t>0</w:t>
      </w:r>
      <w:r>
        <w:rPr>
          <w:rFonts w:hint="eastAsia" w:ascii="宋体" w:hAnsi="宋体" w:cs="宋体"/>
          <w:color w:val="auto"/>
          <w:sz w:val="24"/>
          <w:lang w:val="en-US" w:eastAsia="zh-CN"/>
        </w:rPr>
        <w:t>7</w:t>
      </w:r>
      <w:r>
        <w:rPr>
          <w:rFonts w:hint="eastAsia" w:ascii="宋体" w:hAnsi="宋体" w:cs="宋体"/>
          <w:color w:val="auto"/>
          <w:kern w:val="0"/>
          <w:sz w:val="24"/>
        </w:rPr>
        <w:t>月</w:t>
      </w:r>
    </w:p>
    <w:p>
      <w:pPr>
        <w:pStyle w:val="2"/>
        <w:rPr>
          <w:color w:val="auto"/>
        </w:rPr>
      </w:pPr>
    </w:p>
    <w:p>
      <w:pPr>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bookmarkEnd w:id="32"/>
    <w:bookmarkEnd w:id="33"/>
    <w:p>
      <w:pPr>
        <w:numPr>
          <w:ilvl w:val="0"/>
          <w:numId w:val="5"/>
        </w:numPr>
        <w:spacing w:line="360" w:lineRule="auto"/>
        <w:jc w:val="center"/>
        <w:rPr>
          <w:rFonts w:ascii="宋体" w:hAnsi="宋体" w:cs="宋体"/>
          <w:b/>
          <w:color w:val="auto"/>
          <w:sz w:val="24"/>
        </w:rPr>
      </w:pPr>
      <w:bookmarkStart w:id="34" w:name="_Toc25017_WPSOffice_Level1"/>
      <w:r>
        <w:rPr>
          <w:rFonts w:hint="eastAsia" w:ascii="宋体" w:hAnsi="宋体" w:cs="宋体"/>
          <w:b/>
          <w:color w:val="auto"/>
          <w:sz w:val="24"/>
        </w:rPr>
        <w:t>投标人须知</w:t>
      </w:r>
      <w:bookmarkEnd w:id="34"/>
    </w:p>
    <w:p>
      <w:pPr>
        <w:spacing w:line="360" w:lineRule="auto"/>
        <w:rPr>
          <w:rFonts w:ascii="宋体" w:hAnsi="宋体" w:cs="宋体"/>
          <w:b/>
          <w:color w:val="auto"/>
          <w:sz w:val="24"/>
        </w:rPr>
      </w:pPr>
      <w:r>
        <w:rPr>
          <w:rFonts w:hint="eastAsia" w:ascii="宋体" w:hAnsi="宋体" w:cs="宋体"/>
          <w:b/>
          <w:color w:val="auto"/>
          <w:sz w:val="24"/>
        </w:rPr>
        <w:t>一、前附表</w:t>
      </w:r>
    </w:p>
    <w:tbl>
      <w:tblPr>
        <w:tblStyle w:val="25"/>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rPr>
            </w:pPr>
            <w:r>
              <w:rPr>
                <w:rFonts w:hint="eastAsia" w:ascii="宋体" w:hAnsi="宋体" w:cs="宋体"/>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rPr>
            </w:pPr>
            <w:r>
              <w:rPr>
                <w:rFonts w:hint="eastAsia" w:ascii="宋体" w:hAnsi="宋体" w:cs="宋体"/>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7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lang w:eastAsia="zh-CN"/>
              </w:rPr>
            </w:pPr>
            <w:r>
              <w:rPr>
                <w:rFonts w:hint="eastAsia" w:ascii="宋体" w:hAnsi="宋体" w:eastAsia="宋体" w:cs="宋体"/>
                <w:color w:val="auto"/>
                <w:kern w:val="0"/>
                <w:sz w:val="24"/>
              </w:rPr>
              <w:t>是否允许分包</w:t>
            </w:r>
            <w:r>
              <w:rPr>
                <w:rFonts w:hint="eastAsia" w:ascii="宋体" w:hAnsi="宋体" w:eastAsia="宋体" w:cs="宋体"/>
                <w:color w:val="auto"/>
                <w:kern w:val="0"/>
                <w:sz w:val="24"/>
                <w:lang w:eastAsia="zh-CN"/>
              </w:rPr>
              <w:t>或转包</w:t>
            </w:r>
          </w:p>
        </w:tc>
        <w:tc>
          <w:tcPr>
            <w:tcW w:w="65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lang w:val="en-US" w:eastAsia="zh-CN"/>
              </w:rPr>
            </w:pPr>
            <w:r>
              <w:rPr>
                <w:rFonts w:hint="eastAsia" w:ascii="宋体" w:hAnsi="宋体" w:cs="宋体"/>
                <w:color w:val="auto"/>
                <w:kern w:val="0"/>
                <w:sz w:val="24"/>
                <w:lang w:eastAsia="zh-CN"/>
              </w:rPr>
              <w:t>□</w:t>
            </w:r>
            <w:r>
              <w:rPr>
                <w:rFonts w:hint="eastAsia" w:ascii="宋体" w:hAnsi="宋体" w:eastAsia="宋体" w:cs="宋体"/>
                <w:color w:val="auto"/>
                <w:kern w:val="0"/>
                <w:sz w:val="24"/>
              </w:rPr>
              <w:t>不允许/□允许/</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 </w:t>
            </w:r>
            <w:r>
              <w:rPr>
                <w:rFonts w:hint="eastAsia" w:ascii="宋体" w:hAnsi="宋体" w:cs="宋体"/>
                <w:color w:val="auto"/>
                <w:kern w:val="0"/>
                <w:sz w:val="24"/>
                <w:lang w:val="en-US" w:eastAsia="zh-CN"/>
              </w:rPr>
              <w:t>其他 未经招标人允许不得转包或分包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7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 否/□ 是，具体清单见招标需求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答疑会或</w:t>
            </w:r>
          </w:p>
          <w:p>
            <w:pPr>
              <w:rPr>
                <w:rFonts w:ascii="宋体" w:hAnsi="宋体" w:cs="宋体"/>
                <w:color w:val="auto"/>
                <w:kern w:val="0"/>
                <w:sz w:val="24"/>
              </w:rPr>
            </w:pPr>
            <w:r>
              <w:rPr>
                <w:rFonts w:hint="eastAsia" w:ascii="宋体" w:hAnsi="宋体" w:cs="宋体"/>
                <w:color w:val="auto"/>
                <w:sz w:val="24"/>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供应商自行至相关设备场地进行踏勘。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sz w:val="24"/>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请投标人在投标前仔细阅读“政府采购项目电子交易操作指南”。</w:t>
            </w:r>
          </w:p>
          <w:p>
            <w:pPr>
              <w:wordWrap w:val="0"/>
              <w:autoSpaceDE w:val="0"/>
              <w:autoSpaceDN w:val="0"/>
              <w:rPr>
                <w:rFonts w:ascii="宋体" w:hAnsi="宋体" w:cs="宋体"/>
                <w:color w:val="auto"/>
                <w:sz w:val="24"/>
              </w:rPr>
            </w:pPr>
            <w:r>
              <w:rPr>
                <w:rFonts w:hint="eastAsia" w:ascii="宋体" w:hAnsi="宋体" w:cs="宋体"/>
                <w:color w:val="auto"/>
                <w:sz w:val="24"/>
              </w:rPr>
              <w:t>1.投标文件的制作：投标人按照本项目招标文件和政采云平台的要求,通过“政采云电子交易客户端”编制、加密并递交投标文件（下载网址：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ascii="宋体" w:hAnsi="宋体" w:cs="宋体"/>
                <w:color w:val="auto"/>
                <w:sz w:val="24"/>
              </w:rPr>
              <w:t>https：//zfcg.czt.zj.gov.cn/download/index.html）。</w:t>
            </w:r>
            <w:r>
              <w:rPr>
                <w:color w:val="auto"/>
              </w:rPr>
              <w:fldChar w:fldCharType="end"/>
            </w:r>
          </w:p>
          <w:p>
            <w:pPr>
              <w:rPr>
                <w:rFonts w:ascii="宋体" w:hAnsi="宋体" w:cs="宋体"/>
                <w:color w:val="auto"/>
                <w:sz w:val="24"/>
              </w:rPr>
            </w:pPr>
            <w:r>
              <w:rPr>
                <w:rFonts w:hint="eastAsia" w:ascii="宋体" w:hAnsi="宋体" w:cs="宋体"/>
                <w:color w:val="auto"/>
                <w:sz w:val="24"/>
              </w:rPr>
              <w:t>2.投标：投标人应当在投标截止时间前（开标当天北京时间</w:t>
            </w:r>
            <w:r>
              <w:rPr>
                <w:rFonts w:hint="eastAsia" w:ascii="宋体" w:hAnsi="宋体" w:cs="宋体"/>
                <w:color w:val="auto"/>
                <w:sz w:val="24"/>
                <w:u w:val="single"/>
                <w:lang w:val="en-US" w:eastAsia="zh-CN"/>
              </w:rPr>
              <w:t>14</w:t>
            </w:r>
            <w:r>
              <w:rPr>
                <w:rFonts w:hint="eastAsia" w:ascii="宋体" w:hAnsi="宋体" w:cs="宋体"/>
                <w:color w:val="auto"/>
                <w:sz w:val="24"/>
                <w:u w:val="single"/>
              </w:rPr>
              <w:t>：</w:t>
            </w:r>
            <w:r>
              <w:rPr>
                <w:rFonts w:hint="eastAsia" w:ascii="宋体" w:hAnsi="宋体" w:cs="宋体"/>
                <w:color w:val="auto"/>
                <w:sz w:val="24"/>
                <w:u w:val="single"/>
                <w:lang w:val="en-US" w:eastAsia="zh-CN"/>
              </w:rPr>
              <w:t>30</w:t>
            </w:r>
            <w:r>
              <w:rPr>
                <w:rFonts w:hint="eastAsia" w:ascii="宋体" w:hAnsi="宋体" w:cs="宋体"/>
                <w:color w:val="auto"/>
                <w:sz w:val="24"/>
              </w:rPr>
              <w:t>）完成投标文件的传输递交，逾期上传的投标文件恕不接受。补充或者修改投标文件的，应当先行撤回原文件，补充、修改后重新传输递交。投标截止时间前未完成上传的，视为撤回投标文件。</w:t>
            </w:r>
          </w:p>
          <w:p>
            <w:pPr>
              <w:ind w:left="240" w:hanging="240" w:hangingChars="100"/>
              <w:rPr>
                <w:rFonts w:ascii="宋体" w:hAnsi="宋体" w:cs="宋体"/>
                <w:color w:val="auto"/>
                <w:kern w:val="0"/>
                <w:sz w:val="24"/>
              </w:rPr>
            </w:pPr>
            <w:r>
              <w:rPr>
                <w:rFonts w:hint="eastAsia" w:ascii="宋体" w:hAnsi="宋体" w:cs="宋体"/>
                <w:color w:val="auto"/>
                <w:sz w:val="24"/>
              </w:rPr>
              <w:t>3.投标文件解密：投标人应在开标当天北京时间</w:t>
            </w:r>
            <w:r>
              <w:rPr>
                <w:rFonts w:hint="eastAsia" w:ascii="宋体" w:hAnsi="宋体" w:cs="宋体"/>
                <w:color w:val="auto"/>
                <w:sz w:val="24"/>
                <w:u w:val="single"/>
                <w:lang w:val="en-US" w:eastAsia="zh-CN"/>
              </w:rPr>
              <w:t>14</w:t>
            </w:r>
            <w:r>
              <w:rPr>
                <w:rFonts w:hint="eastAsia" w:ascii="宋体" w:hAnsi="宋体" w:cs="宋体"/>
                <w:color w:val="auto"/>
                <w:sz w:val="24"/>
                <w:u w:val="single"/>
              </w:rPr>
              <w:t>：</w:t>
            </w:r>
            <w:r>
              <w:rPr>
                <w:rFonts w:hint="eastAsia" w:ascii="宋体" w:hAnsi="宋体" w:cs="宋体"/>
                <w:color w:val="auto"/>
                <w:sz w:val="24"/>
                <w:u w:val="single"/>
                <w:lang w:val="en-US" w:eastAsia="zh-CN"/>
              </w:rPr>
              <w:t>30</w:t>
            </w:r>
            <w:r>
              <w:rPr>
                <w:rFonts w:hint="eastAsia" w:ascii="宋体" w:hAnsi="宋体" w:cs="宋体"/>
                <w:color w:val="auto"/>
                <w:sz w:val="24"/>
              </w:rPr>
              <w:t>至</w:t>
            </w:r>
            <w:r>
              <w:rPr>
                <w:rFonts w:hint="eastAsia" w:ascii="宋体" w:hAnsi="宋体" w:cs="宋体"/>
                <w:color w:val="auto"/>
                <w:sz w:val="24"/>
                <w:u w:val="single"/>
                <w:lang w:val="en-US" w:eastAsia="zh-CN"/>
              </w:rPr>
              <w:t>15</w:t>
            </w:r>
            <w:r>
              <w:rPr>
                <w:rFonts w:hint="eastAsia" w:ascii="宋体" w:hAnsi="宋体" w:cs="宋体"/>
                <w:color w:val="auto"/>
                <w:sz w:val="24"/>
                <w:u w:val="single"/>
              </w:rPr>
              <w:t>：</w:t>
            </w:r>
            <w:r>
              <w:rPr>
                <w:rFonts w:hint="eastAsia" w:ascii="宋体" w:hAnsi="宋体" w:cs="宋体"/>
                <w:color w:val="auto"/>
                <w:sz w:val="24"/>
                <w:u w:val="single"/>
                <w:lang w:val="en-US" w:eastAsia="zh-CN"/>
              </w:rPr>
              <w:t>00</w:t>
            </w:r>
            <w:r>
              <w:rPr>
                <w:rFonts w:hint="eastAsia" w:ascii="宋体" w:hAnsi="宋体" w:cs="宋体"/>
                <w:color w:val="auto"/>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color w:val="auto"/>
                <w:kern w:val="0"/>
                <w:sz w:val="24"/>
              </w:rPr>
            </w:pPr>
            <w:r>
              <w:rPr>
                <w:rFonts w:hint="eastAsia" w:ascii="宋体" w:hAnsi="宋体" w:cs="宋体"/>
                <w:color w:val="auto"/>
                <w:sz w:val="24"/>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color w:val="auto"/>
                <w:sz w:val="24"/>
              </w:rPr>
            </w:pPr>
            <w:r>
              <w:rPr>
                <w:rFonts w:hint="eastAsia" w:ascii="宋体" w:hAnsi="宋体" w:cs="宋体"/>
                <w:color w:val="auto"/>
                <w:sz w:val="24"/>
              </w:rPr>
              <w:t>备份投标文件是通过政采云电子交易客户端制作投标文件产生的备份文件，请投标人自行妥善保管。</w:t>
            </w:r>
          </w:p>
          <w:p>
            <w:pPr>
              <w:pStyle w:val="2"/>
              <w:spacing w:after="0"/>
              <w:ind w:left="0" w:leftChars="0" w:firstLine="0"/>
              <w:rPr>
                <w:rFonts w:ascii="宋体" w:hAnsi="宋体" w:cs="宋体"/>
                <w:color w:val="auto"/>
                <w:sz w:val="24"/>
              </w:rPr>
            </w:pPr>
            <w:r>
              <w:rPr>
                <w:rFonts w:hint="eastAsia" w:ascii="宋体" w:hAnsi="宋体" w:cs="宋体"/>
                <w:color w:val="auto"/>
                <w:sz w:val="24"/>
              </w:rPr>
              <w:t>1.使用前提：投标人自行在线解密操作失败无法按时寻求技术人员帮助解密，或者投标人寻求技术人员帮助仍无法按时完成解密。</w:t>
            </w:r>
          </w:p>
          <w:p>
            <w:pPr>
              <w:pStyle w:val="2"/>
              <w:spacing w:after="0"/>
              <w:ind w:left="0" w:leftChars="0" w:firstLine="0"/>
              <w:rPr>
                <w:rFonts w:ascii="宋体" w:hAnsi="宋体" w:cs="宋体"/>
                <w:color w:val="auto"/>
                <w:sz w:val="24"/>
              </w:rPr>
            </w:pPr>
            <w:r>
              <w:rPr>
                <w:rFonts w:hint="eastAsia" w:ascii="宋体" w:hAnsi="宋体" w:cs="宋体"/>
                <w:color w:val="auto"/>
                <w:sz w:val="24"/>
              </w:rPr>
              <w:t>2.递交截止时间：开标当天</w:t>
            </w:r>
            <w:r>
              <w:rPr>
                <w:rFonts w:hint="eastAsia" w:ascii="宋体" w:hAnsi="宋体" w:cs="宋体"/>
                <w:color w:val="auto"/>
                <w:sz w:val="24"/>
                <w:u w:val="single"/>
                <w:lang w:val="en-US" w:eastAsia="zh-CN"/>
              </w:rPr>
              <w:t>14</w:t>
            </w:r>
            <w:r>
              <w:rPr>
                <w:rFonts w:hint="eastAsia" w:ascii="宋体" w:hAnsi="宋体" w:cs="宋体"/>
                <w:color w:val="auto"/>
                <w:sz w:val="24"/>
                <w:u w:val="single"/>
              </w:rPr>
              <w:t>：</w:t>
            </w:r>
            <w:r>
              <w:rPr>
                <w:rFonts w:hint="eastAsia" w:ascii="宋体" w:hAnsi="宋体" w:cs="宋体"/>
                <w:color w:val="auto"/>
                <w:sz w:val="24"/>
                <w:u w:val="single"/>
                <w:lang w:val="en-US" w:eastAsia="zh-CN"/>
              </w:rPr>
              <w:t>30</w:t>
            </w:r>
            <w:r>
              <w:rPr>
                <w:rFonts w:hint="eastAsia" w:ascii="宋体" w:hAnsi="宋体" w:cs="宋体"/>
                <w:color w:val="auto"/>
                <w:sz w:val="24"/>
              </w:rPr>
              <w:t>（北京时间）</w:t>
            </w:r>
          </w:p>
          <w:p>
            <w:pPr>
              <w:pStyle w:val="2"/>
              <w:spacing w:after="0"/>
              <w:ind w:left="0" w:leftChars="0" w:firstLine="0"/>
              <w:rPr>
                <w:rFonts w:ascii="宋体" w:hAnsi="宋体" w:cs="宋体"/>
                <w:color w:val="auto"/>
                <w:sz w:val="24"/>
              </w:rPr>
            </w:pPr>
            <w:r>
              <w:rPr>
                <w:rFonts w:hint="eastAsia" w:ascii="宋体" w:hAnsi="宋体" w:cs="宋体"/>
                <w:color w:val="auto"/>
                <w:sz w:val="24"/>
              </w:rPr>
              <w:t>3.投递邮箱：解密异常后可发送备份投标文件至61698763@qq.com</w:t>
            </w:r>
          </w:p>
          <w:p>
            <w:pPr>
              <w:pStyle w:val="2"/>
              <w:spacing w:after="0"/>
              <w:ind w:left="0" w:leftChars="0" w:firstLine="0"/>
              <w:rPr>
                <w:rFonts w:ascii="宋体" w:hAnsi="宋体" w:cs="宋体"/>
                <w:color w:val="auto"/>
                <w:kern w:val="0"/>
                <w:sz w:val="24"/>
              </w:rPr>
            </w:pPr>
            <w:r>
              <w:rPr>
                <w:rFonts w:ascii="宋体" w:hAnsi="宋体" w:cs="宋体"/>
                <w:color w:val="auto"/>
                <w:sz w:val="24"/>
              </w:rPr>
              <w:t>4</w:t>
            </w:r>
            <w:r>
              <w:rPr>
                <w:rFonts w:hint="eastAsia" w:ascii="宋体" w:hAnsi="宋体" w:cs="宋体"/>
                <w:color w:val="auto"/>
                <w:sz w:val="24"/>
              </w:rPr>
              <w:t>.中标人纸质备份文件的归档：中标后需提供纸质投标文件给招标代理机构作为备案存档，纸质投标文件系电子投标文件纸质版，两者内容应一致；数量为：资格证明文件2份；商务与技术文件2份；报价文件2份。邮寄到浙江省台州市台州市海门街道建设路105-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ind w:firstLine="0"/>
              <w:rPr>
                <w:rFonts w:ascii="宋体" w:hAnsi="宋体" w:cs="宋体"/>
                <w:color w:val="auto"/>
                <w:kern w:val="0"/>
                <w:sz w:val="24"/>
                <w:szCs w:val="24"/>
              </w:rPr>
            </w:pPr>
            <w:r>
              <w:rPr>
                <w:rFonts w:hint="eastAsia" w:ascii="宋体" w:hAnsi="宋体" w:cs="宋体"/>
                <w:color w:val="auto"/>
                <w:sz w:val="24"/>
                <w:szCs w:val="24"/>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0"/>
              <w:spacing w:before="0" w:beforeAutospacing="0" w:after="0" w:afterAutospacing="0"/>
              <w:jc w:val="both"/>
              <w:rPr>
                <w:rFonts w:hint="default" w:cs="宋体"/>
                <w:color w:val="auto"/>
              </w:rPr>
            </w:pPr>
            <w:r>
              <w:rPr>
                <w:rFonts w:cs="宋体"/>
                <w:color w:val="auto"/>
              </w:rPr>
              <w:t>采购组织机构按照招标文件规定的时间通过“政采云平台”组织开标，所有投标人均应当准时在线参加。如未参加，</w:t>
            </w:r>
            <w:r>
              <w:rPr>
                <w:rFonts w:cs="宋体"/>
                <w:bCs/>
                <w:color w:val="auto"/>
              </w:rPr>
              <w:t>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sz w:val="24"/>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0"/>
              <w:jc w:val="both"/>
              <w:rPr>
                <w:rFonts w:ascii="宋体" w:hAnsi="宋体" w:cs="宋体"/>
                <w:color w:val="auto"/>
                <w:kern w:val="0"/>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sz w:val="24"/>
              </w:rPr>
              <w:t>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0"/>
              <w:jc w:val="both"/>
              <w:rPr>
                <w:rFonts w:ascii="宋体" w:hAnsi="宋体" w:cs="宋体"/>
                <w:color w:val="auto"/>
                <w:kern w:val="0"/>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节能产品要求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0"/>
              <w:jc w:val="both"/>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环保产品要求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0"/>
              <w:jc w:val="both"/>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rPr>
                <w:rFonts w:hAnsi="宋体"/>
                <w:bCs/>
                <w:color w:val="auto"/>
                <w:sz w:val="24"/>
              </w:rPr>
            </w:pPr>
            <w:r>
              <w:rPr>
                <w:rFonts w:hint="eastAsia" w:hAnsi="宋体"/>
                <w:bCs/>
                <w:color w:val="auto"/>
                <w:sz w:val="24"/>
              </w:rPr>
              <w:t>1.本项目实行电子投标，投标人自行承担投标一切费用。</w:t>
            </w:r>
          </w:p>
          <w:p>
            <w:pPr>
              <w:pStyle w:val="15"/>
              <w:adjustRightInd w:val="0"/>
              <w:snapToGrid w:val="0"/>
              <w:rPr>
                <w:rFonts w:hAnsi="宋体"/>
                <w:color w:val="auto"/>
                <w:sz w:val="24"/>
              </w:rPr>
            </w:pPr>
            <w:r>
              <w:rPr>
                <w:rFonts w:hint="eastAsia" w:hAnsi="宋体"/>
                <w:bCs/>
                <w:color w:val="auto"/>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color w:val="auto"/>
                <w:sz w:val="24"/>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4"/>
              </w:rPr>
              <w:t>http：//www.creditchina.gov.cn</w:t>
            </w:r>
            <w:r>
              <w:rPr>
                <w:color w:val="auto"/>
              </w:rPr>
              <w:fldChar w:fldCharType="end"/>
            </w:r>
            <w:r>
              <w:rPr>
                <w:rFonts w:hint="eastAsia" w:ascii="宋体" w:hAnsi="宋体" w:cs="宋体"/>
                <w:color w:val="auto"/>
                <w:sz w:val="24"/>
              </w:rPr>
              <w:t>）</w:t>
            </w:r>
          </w:p>
          <w:p>
            <w:pPr>
              <w:snapToGrid w:val="0"/>
              <w:rPr>
                <w:rFonts w:ascii="宋体" w:hAnsi="宋体" w:cs="宋体"/>
                <w:color w:val="auto"/>
                <w:sz w:val="24"/>
              </w:rPr>
            </w:pPr>
            <w:r>
              <w:rPr>
                <w:rFonts w:hint="eastAsia" w:ascii="宋体" w:hAnsi="宋体" w:cs="宋体"/>
                <w:color w:val="auto"/>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shd w:val="clear" w:color="auto" w:fill="FFFFFF"/>
              </w:rPr>
            </w:pPr>
            <w:r>
              <w:rPr>
                <w:rFonts w:hint="eastAsia" w:ascii="宋体" w:hAnsi="宋体" w:cs="宋体"/>
                <w:color w:val="auto"/>
                <w:sz w:val="24"/>
              </w:rPr>
              <w:t>根据《政府采购促进中小企业发展管理办法》财库〔2020〕46号文件的规定，本项目☑ 否/□ 是属于专门面向中小企业采购的项目。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1.项目属性（服务类）</w:t>
            </w:r>
          </w:p>
          <w:p>
            <w:pPr>
              <w:jc w:val="left"/>
              <w:rPr>
                <w:rFonts w:ascii="宋体" w:hAnsi="宋体" w:cs="宋体"/>
                <w:color w:val="auto"/>
                <w:sz w:val="24"/>
              </w:rPr>
            </w:pPr>
            <w:r>
              <w:rPr>
                <w:rFonts w:hint="eastAsia" w:ascii="宋体" w:hAnsi="宋体" w:cs="宋体"/>
                <w:color w:val="auto"/>
                <w:sz w:val="24"/>
              </w:rPr>
              <w:t>2.中小企业划分标准所属行业（具体根据《中小企业划型标准规定》执行）</w:t>
            </w:r>
          </w:p>
          <w:p>
            <w:pPr>
              <w:jc w:val="left"/>
              <w:rPr>
                <w:rFonts w:ascii="宋体" w:hAnsi="宋体" w:cs="宋体"/>
                <w:color w:val="auto"/>
                <w:sz w:val="24"/>
              </w:rPr>
            </w:pPr>
            <w:r>
              <w:rPr>
                <w:rFonts w:hint="eastAsia" w:ascii="宋体" w:hAnsi="宋体" w:cs="宋体"/>
                <w:color w:val="auto"/>
                <w:sz w:val="24"/>
              </w:rPr>
              <w:t>采购标的：</w:t>
            </w:r>
            <w:r>
              <w:rPr>
                <w:rFonts w:hint="eastAsia" w:ascii="宋体" w:hAnsi="宋体" w:cs="宋体"/>
                <w:bCs/>
                <w:color w:val="auto"/>
                <w:sz w:val="24"/>
              </w:rPr>
              <w:t>台州市一体化智能化公共数据平台（数据资源体系）</w:t>
            </w:r>
            <w:r>
              <w:rPr>
                <w:rFonts w:hint="eastAsia" w:ascii="宋体" w:hAnsi="宋体" w:cs="宋体"/>
                <w:color w:val="auto"/>
                <w:sz w:val="24"/>
              </w:rPr>
              <w:t>，所属行业：软件和信息技术服务业。</w:t>
            </w:r>
          </w:p>
          <w:p>
            <w:pPr>
              <w:jc w:val="left"/>
              <w:rPr>
                <w:rFonts w:ascii="宋体" w:hAnsi="宋体" w:cs="宋体"/>
                <w:color w:val="auto"/>
                <w:sz w:val="24"/>
              </w:rPr>
            </w:pPr>
            <w:r>
              <w:rPr>
                <w:rFonts w:hint="eastAsia" w:ascii="宋体" w:hAnsi="宋体" w:cs="宋体"/>
                <w:color w:val="auto"/>
                <w:sz w:val="24"/>
              </w:rPr>
              <w:t>划分标准如下：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jc w:val="left"/>
              <w:rPr>
                <w:rFonts w:ascii="宋体" w:hAnsi="宋体" w:cs="宋体"/>
                <w:color w:val="auto"/>
                <w:sz w:val="24"/>
              </w:rPr>
            </w:pPr>
            <w:r>
              <w:rPr>
                <w:rFonts w:hint="eastAsia" w:ascii="宋体" w:hAnsi="宋体" w:cs="宋体"/>
                <w:color w:val="auto"/>
                <w:sz w:val="24"/>
              </w:rPr>
              <w:t>3.根据财库</w:t>
            </w:r>
            <w:r>
              <w:rPr>
                <w:rFonts w:hint="eastAsia" w:cs="宋体"/>
                <w:bCs/>
                <w:color w:val="auto"/>
                <w:sz w:val="24"/>
              </w:rPr>
              <w:t>〔</w:t>
            </w:r>
            <w:r>
              <w:rPr>
                <w:rFonts w:hint="eastAsia" w:ascii="宋体" w:hAnsi="宋体" w:cs="宋体"/>
                <w:color w:val="auto"/>
                <w:sz w:val="24"/>
              </w:rPr>
              <w:t>2017〕141号的相关规定，在政府采购活动中，残疾人福利性单位视同小型、微型企业，享受评审中价格扣除政策。属于享受政府采购支持政策的残疾人福利性单位，应满足财库</w:t>
            </w:r>
            <w:r>
              <w:rPr>
                <w:rFonts w:hint="eastAsia" w:cs="宋体"/>
                <w:bCs/>
                <w:color w:val="auto"/>
                <w:sz w:val="24"/>
              </w:rPr>
              <w:t>〔</w:t>
            </w:r>
            <w:r>
              <w:rPr>
                <w:rFonts w:hint="eastAsia" w:ascii="宋体" w:hAnsi="宋体" w:cs="宋体"/>
                <w:color w:val="auto"/>
                <w:sz w:val="24"/>
              </w:rPr>
              <w:t>2017〕141号文件第一条的规定，并在投标文件中提供残疾人福利性单位声明函（见附件）。</w:t>
            </w:r>
          </w:p>
          <w:p>
            <w:pPr>
              <w:jc w:val="left"/>
              <w:rPr>
                <w:rFonts w:ascii="宋体" w:hAnsi="宋体" w:cs="宋体"/>
                <w:color w:val="auto"/>
                <w:sz w:val="24"/>
              </w:rPr>
            </w:pPr>
            <w:r>
              <w:rPr>
                <w:rFonts w:hint="eastAsia" w:ascii="宋体" w:hAnsi="宋体" w:cs="宋体"/>
                <w:color w:val="auto"/>
                <w:sz w:val="24"/>
              </w:rPr>
              <w:t>4.根据财库</w:t>
            </w:r>
            <w:r>
              <w:rPr>
                <w:rFonts w:hint="eastAsia" w:cs="宋体"/>
                <w:bCs/>
                <w:color w:val="auto"/>
                <w:sz w:val="24"/>
              </w:rPr>
              <w:t>〔</w:t>
            </w:r>
            <w:r>
              <w:rPr>
                <w:rFonts w:hint="eastAsia" w:ascii="宋体" w:hAnsi="宋体" w:cs="宋体"/>
                <w:color w:val="auto"/>
                <w:sz w:val="24"/>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jc w:val="left"/>
              <w:rPr>
                <w:rFonts w:ascii="宋体" w:hAnsi="宋体" w:cs="宋体"/>
                <w:color w:val="auto"/>
                <w:sz w:val="24"/>
              </w:rPr>
            </w:pPr>
            <w:r>
              <w:rPr>
                <w:rFonts w:hint="eastAsia" w:ascii="宋体" w:hAnsi="宋体" w:cs="宋体"/>
                <w:color w:val="auto"/>
                <w:sz w:val="24"/>
              </w:rPr>
              <w:t>(注：未提供以上材料或未填写必要内容的，均不给予价格扣除）。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rPr>
            </w:pPr>
            <w:r>
              <w:rPr>
                <w:rFonts w:hint="eastAsia" w:ascii="宋体" w:hAnsi="宋体" w:cs="宋体"/>
                <w:color w:val="auto"/>
                <w:sz w:val="24"/>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color w:val="auto"/>
                <w:sz w:val="24"/>
              </w:rPr>
              <w:t>根据国家发改委发改价格</w:t>
            </w:r>
            <w:r>
              <w:rPr>
                <w:rFonts w:hint="eastAsia" w:cs="宋体"/>
                <w:bCs/>
                <w:color w:val="auto"/>
                <w:sz w:val="24"/>
              </w:rPr>
              <w:t>〔</w:t>
            </w:r>
            <w:r>
              <w:rPr>
                <w:rFonts w:hint="eastAsia" w:ascii="宋体" w:hAnsi="宋体" w:cs="宋体"/>
                <w:color w:val="auto"/>
                <w:sz w:val="24"/>
              </w:rPr>
              <w:t>2015〕299号通知，本次采购项目招标代理服务费为人民币肆万肆仟伍佰玖拾伍元整（</w:t>
            </w:r>
            <w:r>
              <w:rPr>
                <w:rFonts w:hint="eastAsia" w:ascii="仿宋" w:hAnsi="仿宋" w:eastAsia="仿宋" w:cs="仿宋"/>
                <w:color w:val="auto"/>
                <w:sz w:val="24"/>
              </w:rPr>
              <w:t>￥</w:t>
            </w:r>
            <w:r>
              <w:rPr>
                <w:rFonts w:hint="eastAsia" w:ascii="宋体" w:hAnsi="宋体" w:eastAsia="仿宋" w:cs="宋体"/>
                <w:color w:val="auto"/>
                <w:sz w:val="24"/>
              </w:rPr>
              <w:t>44595.0</w:t>
            </w:r>
            <w:r>
              <w:rPr>
                <w:rFonts w:hint="eastAsia" w:ascii="宋体" w:hAnsi="宋体" w:cs="宋体"/>
                <w:color w:val="auto"/>
                <w:sz w:val="24"/>
              </w:rPr>
              <w:t>0元），由成交供应商在领取成交通知书之前支付给采购代理机构。</w:t>
            </w:r>
          </w:p>
          <w:p>
            <w:pPr>
              <w:snapToGrid w:val="0"/>
              <w:rPr>
                <w:rFonts w:ascii="宋体" w:hAnsi="宋体" w:cs="宋体"/>
                <w:color w:val="auto"/>
                <w:sz w:val="24"/>
              </w:rPr>
            </w:pPr>
            <w:r>
              <w:rPr>
                <w:rFonts w:hint="eastAsia" w:ascii="宋体" w:hAnsi="宋体" w:cs="宋体"/>
                <w:color w:val="auto"/>
                <w:sz w:val="24"/>
              </w:rPr>
              <w:t>服务费缴纳账户信息：</w:t>
            </w:r>
          </w:p>
          <w:p>
            <w:pPr>
              <w:snapToGrid w:val="0"/>
              <w:rPr>
                <w:rFonts w:ascii="宋体" w:hAnsi="宋体" w:cs="宋体"/>
                <w:color w:val="auto"/>
                <w:sz w:val="24"/>
              </w:rPr>
            </w:pPr>
            <w:r>
              <w:rPr>
                <w:rFonts w:hint="eastAsia" w:ascii="宋体" w:hAnsi="宋体" w:cs="宋体"/>
                <w:color w:val="auto"/>
                <w:sz w:val="24"/>
              </w:rPr>
              <w:t>开户行：台州银行椒江支行    账号：540017383000015</w:t>
            </w:r>
          </w:p>
          <w:p>
            <w:pPr>
              <w:snapToGrid w:val="0"/>
              <w:rPr>
                <w:rFonts w:ascii="宋体" w:hAnsi="宋体" w:cs="宋体"/>
                <w:color w:val="auto"/>
                <w:sz w:val="24"/>
              </w:rPr>
            </w:pPr>
            <w:r>
              <w:rPr>
                <w:rFonts w:hint="eastAsia" w:ascii="宋体" w:hAnsi="宋体" w:cs="宋体"/>
                <w:color w:val="auto"/>
                <w:sz w:val="24"/>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kern w:val="0"/>
                <w:sz w:val="24"/>
                <w:lang w:val="zh-CN"/>
              </w:rPr>
              <w:t>带“</w:t>
            </w:r>
            <w:r>
              <w:rPr>
                <w:rFonts w:hint="eastAsia" w:ascii="宋体" w:hAnsi="宋体" w:cs="宋体"/>
                <w:bCs/>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rPr>
            </w:pPr>
            <w:r>
              <w:rPr>
                <w:rFonts w:hint="eastAsia" w:ascii="宋体" w:hAnsi="宋体" w:cs="宋体"/>
                <w:color w:val="auto"/>
                <w:sz w:val="24"/>
              </w:rPr>
              <w:t>本招标文件解释权属于采购人和采购组织机构</w:t>
            </w:r>
          </w:p>
        </w:tc>
      </w:tr>
    </w:tbl>
    <w:p>
      <w:pPr>
        <w:pStyle w:val="15"/>
        <w:snapToGrid w:val="0"/>
        <w:spacing w:line="360" w:lineRule="auto"/>
        <w:ind w:firstLine="482" w:firstLineChars="200"/>
        <w:rPr>
          <w:rFonts w:hAnsi="宋体"/>
          <w:b/>
          <w:color w:val="auto"/>
          <w:sz w:val="24"/>
        </w:rPr>
      </w:pPr>
      <w:r>
        <w:rPr>
          <w:rFonts w:hint="eastAsia" w:hAnsi="宋体"/>
          <w:b/>
          <w:color w:val="auto"/>
          <w:sz w:val="24"/>
        </w:rPr>
        <w:t>二、说 明</w:t>
      </w:r>
    </w:p>
    <w:p>
      <w:pPr>
        <w:pStyle w:val="15"/>
        <w:snapToGrid w:val="0"/>
        <w:spacing w:line="360" w:lineRule="auto"/>
        <w:ind w:firstLine="482" w:firstLineChars="200"/>
        <w:rPr>
          <w:rFonts w:hAnsi="宋体"/>
          <w:b/>
          <w:color w:val="auto"/>
          <w:sz w:val="24"/>
        </w:rPr>
      </w:pPr>
      <w:r>
        <w:rPr>
          <w:rFonts w:hint="eastAsia" w:hAnsi="宋体"/>
          <w:b/>
          <w:color w:val="auto"/>
          <w:sz w:val="24"/>
        </w:rPr>
        <w:t>（一）总则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pPr>
        <w:tabs>
          <w:tab w:val="left" w:pos="7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pPr>
        <w:snapToGrid w:val="0"/>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（二）适用范围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本招标文件适用于</w:t>
      </w:r>
      <w:r>
        <w:rPr>
          <w:rFonts w:hint="eastAsia" w:ascii="宋体" w:hAnsi="宋体" w:cs="宋体"/>
          <w:bCs/>
          <w:color w:val="auto"/>
          <w:sz w:val="24"/>
        </w:rPr>
        <w:t>本次</w:t>
      </w:r>
      <w:r>
        <w:rPr>
          <w:rFonts w:hint="eastAsia" w:ascii="宋体" w:hAnsi="宋体" w:cs="宋体"/>
          <w:color w:val="auto"/>
          <w:sz w:val="24"/>
        </w:rPr>
        <w:t>项目的招标、投标、评标、定标、验收、合同履约、付款等行为（法律、法规另有规定的，从其规定）。</w:t>
      </w:r>
    </w:p>
    <w:p>
      <w:pPr>
        <w:pStyle w:val="12"/>
        <w:spacing w:line="360" w:lineRule="auto"/>
        <w:ind w:firstLine="480" w:firstLineChars="200"/>
        <w:rPr>
          <w:rFonts w:ascii="宋体" w:hAnsi="宋体" w:cs="宋体"/>
          <w:color w:val="auto"/>
        </w:rPr>
      </w:pPr>
      <w:r>
        <w:rPr>
          <w:rFonts w:hint="eastAsia" w:ascii="宋体" w:hAnsi="宋体" w:cs="宋体"/>
          <w:color w:val="auto"/>
        </w:rPr>
        <w:t>本招标文件仅适用于本次招标公告中所涉及的项目和内容。</w:t>
      </w:r>
    </w:p>
    <w:p>
      <w:pPr>
        <w:snapToGrid w:val="0"/>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（三）当事人</w:t>
      </w:r>
    </w:p>
    <w:p>
      <w:pPr>
        <w:pStyle w:val="6"/>
        <w:keepNext w:val="0"/>
        <w:keepLines w:val="0"/>
        <w:tabs>
          <w:tab w:val="left" w:pos="0"/>
          <w:tab w:val="left" w:pos="851"/>
        </w:tabs>
        <w:snapToGrid w:val="0"/>
        <w:spacing w:before="0" w:after="0" w:line="360" w:lineRule="auto"/>
        <w:ind w:firstLine="480" w:firstLineChars="200"/>
        <w:rPr>
          <w:rFonts w:ascii="宋体" w:hAnsi="宋体" w:cs="宋体"/>
          <w:bCs w:val="0"/>
          <w:color w:val="auto"/>
          <w:sz w:val="24"/>
          <w:szCs w:val="24"/>
        </w:rPr>
      </w:pPr>
      <w:r>
        <w:rPr>
          <w:rFonts w:hint="eastAsia" w:ascii="宋体" w:hAnsi="宋体" w:cs="宋体"/>
          <w:color w:val="auto"/>
          <w:sz w:val="24"/>
          <w:szCs w:val="24"/>
        </w:rPr>
        <w:t>1.</w:t>
      </w:r>
      <w:r>
        <w:rPr>
          <w:rFonts w:hint="eastAsia" w:ascii="宋体" w:hAnsi="宋体" w:cs="宋体"/>
          <w:bCs w:val="0"/>
          <w:color w:val="auto"/>
          <w:sz w:val="24"/>
          <w:szCs w:val="24"/>
          <w:lang w:val="zh-CN"/>
        </w:rPr>
        <w:t>采购组织机构：</w:t>
      </w:r>
      <w:r>
        <w:rPr>
          <w:rFonts w:hint="eastAsia" w:ascii="宋体" w:hAnsi="宋体" w:cs="宋体"/>
          <w:bCs w:val="0"/>
          <w:color w:val="auto"/>
          <w:sz w:val="24"/>
          <w:szCs w:val="24"/>
        </w:rPr>
        <w:t>是</w:t>
      </w:r>
      <w:r>
        <w:rPr>
          <w:rFonts w:hint="eastAsia" w:ascii="宋体" w:hAnsi="宋体" w:cs="宋体"/>
          <w:bCs w:val="0"/>
          <w:color w:val="auto"/>
          <w:sz w:val="24"/>
          <w:szCs w:val="24"/>
          <w:lang w:val="zh-CN"/>
        </w:rPr>
        <w:t>指采购人委托组织招标的集中采购机构</w:t>
      </w:r>
      <w:r>
        <w:rPr>
          <w:rFonts w:hint="eastAsia" w:ascii="宋体" w:hAnsi="宋体" w:cs="宋体"/>
          <w:bCs w:val="0"/>
          <w:color w:val="auto"/>
          <w:sz w:val="24"/>
          <w:szCs w:val="24"/>
        </w:rPr>
        <w:t>或</w:t>
      </w:r>
      <w:r>
        <w:rPr>
          <w:rFonts w:hint="eastAsia" w:ascii="宋体" w:hAnsi="宋体" w:cs="宋体"/>
          <w:bCs w:val="0"/>
          <w:color w:val="auto"/>
          <w:sz w:val="24"/>
          <w:szCs w:val="24"/>
          <w:lang w:val="zh-CN"/>
        </w:rPr>
        <w:t>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2.采购人：是指依法进行政府采购的国家机关、事业单位和团体组织。</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3.投标人：是指响应招标、参加投标竞争的法人、其他组织或者自然人。</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中标</w:t>
      </w:r>
      <w:r>
        <w:rPr>
          <w:rFonts w:hint="eastAsia" w:ascii="宋体" w:hAnsi="宋体" w:cs="宋体"/>
          <w:color w:val="auto"/>
          <w:sz w:val="24"/>
        </w:rPr>
        <w:t>人</w:t>
      </w:r>
      <w:r>
        <w:rPr>
          <w:rFonts w:hint="eastAsia" w:ascii="宋体" w:hAnsi="宋体" w:cs="宋体"/>
          <w:color w:val="auto"/>
          <w:sz w:val="24"/>
          <w:lang w:val="zh-CN"/>
        </w:rPr>
        <w:t>：是指经评</w:t>
      </w:r>
      <w:r>
        <w:rPr>
          <w:rFonts w:hint="eastAsia" w:ascii="宋体" w:hAnsi="宋体" w:cs="宋体"/>
          <w:color w:val="auto"/>
          <w:sz w:val="24"/>
        </w:rPr>
        <w:t>标</w:t>
      </w:r>
      <w:r>
        <w:rPr>
          <w:rFonts w:hint="eastAsia" w:ascii="宋体" w:hAnsi="宋体" w:cs="宋体"/>
          <w:color w:val="auto"/>
          <w:sz w:val="24"/>
          <w:lang w:val="zh-CN"/>
        </w:rPr>
        <w:t>委员会评审确定的对招标文件</w:t>
      </w:r>
      <w:r>
        <w:rPr>
          <w:rFonts w:hint="eastAsia" w:ascii="宋体" w:hAnsi="宋体" w:cs="宋体"/>
          <w:color w:val="auto"/>
          <w:sz w:val="24"/>
        </w:rPr>
        <w:t>作</w:t>
      </w:r>
      <w:r>
        <w:rPr>
          <w:rFonts w:hint="eastAsia" w:ascii="宋体" w:hAnsi="宋体" w:cs="宋体"/>
          <w:color w:val="auto"/>
          <w:sz w:val="24"/>
          <w:lang w:val="zh-CN"/>
        </w:rPr>
        <w:t>出实质性响应，经采购人按照规定在评</w:t>
      </w:r>
      <w:r>
        <w:rPr>
          <w:rFonts w:hint="eastAsia" w:ascii="宋体" w:hAnsi="宋体" w:cs="宋体"/>
          <w:color w:val="auto"/>
          <w:sz w:val="24"/>
        </w:rPr>
        <w:t>标</w:t>
      </w:r>
      <w:r>
        <w:rPr>
          <w:rFonts w:hint="eastAsia" w:ascii="宋体" w:hAnsi="宋体" w:cs="宋体"/>
          <w:color w:val="auto"/>
          <w:sz w:val="24"/>
          <w:lang w:val="zh-CN"/>
        </w:rPr>
        <w:t>委员会推荐的中标候选人中确定的或受采购人委托直接确认的，与采购人签订合同资格的投标</w:t>
      </w:r>
      <w:r>
        <w:rPr>
          <w:rFonts w:hint="eastAsia" w:ascii="宋体" w:hAnsi="宋体" w:cs="宋体"/>
          <w:color w:val="auto"/>
          <w:sz w:val="24"/>
        </w:rPr>
        <w:t>人</w:t>
      </w:r>
      <w:r>
        <w:rPr>
          <w:rFonts w:hint="eastAsia" w:ascii="宋体" w:hAnsi="宋体" w:cs="宋体"/>
          <w:color w:val="auto"/>
          <w:sz w:val="24"/>
          <w:lang w:val="zh-CN"/>
        </w:rPr>
        <w:t>。</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（四）语言文字以及度量衡单位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2.所有计量均采用中国法定的计量单位。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3.所有报价一律使用人民币，货币单位：元。</w:t>
      </w:r>
    </w:p>
    <w:p>
      <w:pPr>
        <w:pStyle w:val="28"/>
        <w:tabs>
          <w:tab w:val="left" w:pos="437"/>
        </w:tabs>
        <w:spacing w:line="360" w:lineRule="auto"/>
        <w:ind w:firstLine="482"/>
        <w:rPr>
          <w:rFonts w:ascii="宋体" w:hAnsi="宋体" w:cs="宋体"/>
          <w:b/>
          <w:bCs/>
          <w:color w:val="auto"/>
          <w:sz w:val="24"/>
          <w:szCs w:val="24"/>
        </w:rPr>
      </w:pPr>
      <w:r>
        <w:rPr>
          <w:rFonts w:hint="eastAsia" w:ascii="宋体" w:hAnsi="宋体" w:cs="宋体"/>
          <w:b/>
          <w:bCs/>
          <w:color w:val="auto"/>
          <w:sz w:val="24"/>
          <w:szCs w:val="24"/>
        </w:rPr>
        <w:t>（五）现场踏勘</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2.投标人自行承担踏勘现场发生的责任、风险和自身费用。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3.采购人在踏勘现场中介绍的资料和数据等，不构成对招标文件的修改或不作为投标人编制投标文件的依据。</w:t>
      </w:r>
    </w:p>
    <w:p>
      <w:pPr>
        <w:pStyle w:val="15"/>
        <w:snapToGrid w:val="0"/>
        <w:spacing w:line="360" w:lineRule="auto"/>
        <w:ind w:firstLine="482" w:firstLineChars="200"/>
        <w:rPr>
          <w:rFonts w:hAnsi="宋体"/>
          <w:b/>
          <w:color w:val="auto"/>
          <w:sz w:val="24"/>
        </w:rPr>
      </w:pPr>
      <w:r>
        <w:rPr>
          <w:rFonts w:hint="eastAsia" w:hAnsi="宋体"/>
          <w:b/>
          <w:color w:val="auto"/>
          <w:sz w:val="24"/>
        </w:rPr>
        <w:t>（六）特别说明</w:t>
      </w:r>
    </w:p>
    <w:p>
      <w:pPr>
        <w:pStyle w:val="15"/>
        <w:snapToGrid w:val="0"/>
        <w:spacing w:line="360" w:lineRule="auto"/>
        <w:ind w:firstLine="480" w:firstLineChars="200"/>
        <w:rPr>
          <w:rFonts w:hAnsi="宋体"/>
          <w:color w:val="auto"/>
          <w:sz w:val="24"/>
        </w:rPr>
      </w:pPr>
      <w:r>
        <w:rPr>
          <w:rFonts w:hint="eastAsia" w:hAnsi="宋体"/>
          <w:color w:val="auto"/>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三、招标文件</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（一）招标文件由招标文件总目录所列内容组成。</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（二）投标人在规定的时间内未对招标文件提出疑问、质疑或要求澄清的，将视其为无异议。</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三）对招标文件中描述有歧义或前后不一致的地方，评标委员会有权进行评判，但对同一条款的评判应适用于每个投标人。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pPr>
        <w:pStyle w:val="28"/>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四、投标文件</w:t>
      </w:r>
    </w:p>
    <w:p>
      <w:pPr>
        <w:pStyle w:val="14"/>
        <w:spacing w:line="360" w:lineRule="auto"/>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（一）投标文件的编制</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color w:val="auto"/>
          <w:kern w:val="0"/>
          <w:sz w:val="24"/>
          <w:szCs w:val="24"/>
        </w:rPr>
        <w:t xml:space="preserve"> 投标人接到招标文件后，按照采购组织机构的要求提供：资格证明文件、商务与技术文件和报价</w:t>
      </w:r>
      <w:r>
        <w:rPr>
          <w:rFonts w:hint="eastAsia" w:ascii="宋体" w:hAnsi="宋体" w:cs="宋体"/>
          <w:color w:val="auto"/>
          <w:kern w:val="0"/>
          <w:sz w:val="24"/>
          <w:szCs w:val="24"/>
          <w:lang w:val="zh-CN"/>
        </w:rPr>
        <w:t>文件。【特别提示：如在投标时有要求提供资料原件的，将原件扫描放入投标文件。】本招标文件中若有多标项的，若参与多标项投标的，则按每个标项分别独立编制投标文件。</w:t>
      </w:r>
    </w:p>
    <w:p>
      <w:pPr>
        <w:snapToGrid w:val="0"/>
        <w:spacing w:line="360" w:lineRule="auto"/>
        <w:ind w:firstLine="482" w:firstLineChars="200"/>
        <w:rPr>
          <w:rFonts w:ascii="宋体" w:hAnsi="宋体" w:cs="宋体"/>
          <w:color w:val="auto"/>
          <w:kern w:val="0"/>
          <w:sz w:val="24"/>
        </w:rPr>
      </w:pPr>
      <w:r>
        <w:rPr>
          <w:rFonts w:hint="eastAsia" w:ascii="宋体" w:hAnsi="宋体" w:cs="宋体"/>
          <w:b/>
          <w:color w:val="auto"/>
          <w:sz w:val="24"/>
        </w:rPr>
        <w:t>▲1、资格证明文件的组成：</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投标声明书；</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授权委托书（法定代表人亲自办理投标事宜的，则无需提交）；</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具备履行合同所必需的设备和专业技术能力的承诺函（根据项目性质提供）；</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提供采购公告中符合供应商特定条件的有效资质证书扫描件（投标供应商特定条件中有要求的必须提供），以及需要说明的其他资料；</w:t>
      </w:r>
    </w:p>
    <w:p>
      <w:pPr>
        <w:snapToGrid w:val="0"/>
        <w:spacing w:line="360" w:lineRule="auto"/>
        <w:ind w:firstLine="482" w:firstLineChars="200"/>
        <w:rPr>
          <w:rFonts w:ascii="宋体" w:hAnsi="宋体" w:cs="宋体"/>
          <w:color w:val="auto"/>
          <w:sz w:val="24"/>
          <w:u w:val="single"/>
        </w:rPr>
      </w:pPr>
      <w:r>
        <w:rPr>
          <w:rFonts w:hint="eastAsia" w:ascii="宋体" w:hAnsi="宋体" w:cs="宋体"/>
          <w:b/>
          <w:color w:val="auto"/>
          <w:sz w:val="24"/>
        </w:rPr>
        <w:t>2、商务与技术文件的组成：</w:t>
      </w:r>
    </w:p>
    <w:p>
      <w:pPr>
        <w:pStyle w:val="14"/>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（1）技术方案描述部分</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投标人情况介绍（人员与技术力量、企业规模、经营业绩等）。</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公共数据基础域方案。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公共数据共享</w:t>
      </w:r>
      <w:r>
        <w:rPr>
          <w:rFonts w:hint="eastAsia" w:ascii="宋体" w:hAnsi="宋体" w:cs="宋体"/>
          <w:color w:val="auto"/>
          <w:sz w:val="24"/>
          <w:szCs w:val="24"/>
        </w:rPr>
        <w:t>域方案。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公共数据开放域方案。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公共数据安全域方案。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数据N仓方案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项目实施方案（包括进度计划、人员配置、安装调试测试、验收方案、质量保障方案等）。</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项目实施人员一览表；</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项目负责人资格情况表；</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技术需求响应表。</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投标人需要说明的其他内容；（包括可能影响投标人技术性能评分项的各类证明材料）</w:t>
      </w:r>
    </w:p>
    <w:p>
      <w:pPr>
        <w:autoSpaceDE w:val="0"/>
        <w:autoSpaceDN w:val="0"/>
        <w:adjustRightInd w:val="0"/>
        <w:spacing w:line="360" w:lineRule="auto"/>
        <w:ind w:firstLine="424" w:firstLineChars="177"/>
        <w:rPr>
          <w:rFonts w:ascii="宋体" w:hAnsi="宋体"/>
          <w:color w:val="auto"/>
          <w:kern w:val="0"/>
          <w:sz w:val="24"/>
        </w:rPr>
      </w:pPr>
      <w:r>
        <w:rPr>
          <w:rFonts w:hint="eastAsia" w:ascii="宋体" w:hAnsi="宋体"/>
          <w:color w:val="auto"/>
          <w:kern w:val="0"/>
          <w:sz w:val="24"/>
        </w:rPr>
        <w:t>（2）商务及其他部分</w:t>
      </w:r>
    </w:p>
    <w:p>
      <w:pPr>
        <w:numPr>
          <w:ilvl w:val="0"/>
          <w:numId w:val="7"/>
        </w:numPr>
        <w:autoSpaceDE w:val="0"/>
        <w:autoSpaceDN w:val="0"/>
        <w:adjustRightInd w:val="0"/>
        <w:spacing w:line="360" w:lineRule="auto"/>
        <w:ind w:firstLine="480" w:firstLineChars="200"/>
        <w:rPr>
          <w:rFonts w:ascii="宋体" w:hAnsi="宋体" w:cs="宋体"/>
          <w:color w:val="auto"/>
          <w:sz w:val="24"/>
        </w:rPr>
      </w:pPr>
      <w:r>
        <w:rPr>
          <w:rFonts w:hint="eastAsia"/>
          <w:color w:val="auto"/>
          <w:sz w:val="24"/>
        </w:rPr>
        <w:t>证书一览表（</w:t>
      </w:r>
      <w:r>
        <w:rPr>
          <w:rFonts w:ascii="宋体" w:hAnsi="宋体"/>
          <w:color w:val="auto"/>
          <w:kern w:val="0"/>
          <w:sz w:val="24"/>
        </w:rPr>
        <w:t>投标人通过的</w:t>
      </w:r>
      <w:r>
        <w:rPr>
          <w:rFonts w:hint="eastAsia" w:ascii="宋体" w:hAnsi="宋体"/>
          <w:color w:val="auto"/>
          <w:kern w:val="0"/>
          <w:sz w:val="24"/>
        </w:rPr>
        <w:t>质量管理和</w:t>
      </w:r>
      <w:r>
        <w:rPr>
          <w:rFonts w:ascii="宋体" w:hAnsi="宋体"/>
          <w:color w:val="auto"/>
          <w:kern w:val="0"/>
          <w:sz w:val="24"/>
        </w:rPr>
        <w:t>质量</w:t>
      </w:r>
      <w:r>
        <w:rPr>
          <w:rFonts w:hint="eastAsia" w:ascii="宋体" w:hAnsi="宋体"/>
          <w:color w:val="auto"/>
          <w:kern w:val="0"/>
          <w:sz w:val="24"/>
        </w:rPr>
        <w:t>保证</w:t>
      </w:r>
      <w:r>
        <w:rPr>
          <w:rFonts w:ascii="宋体" w:hAnsi="宋体"/>
          <w:color w:val="auto"/>
          <w:kern w:val="0"/>
          <w:sz w:val="24"/>
        </w:rPr>
        <w:t>体系、环保体系、</w:t>
      </w:r>
      <w:r>
        <w:rPr>
          <w:rFonts w:hint="eastAsia" w:ascii="宋体" w:hAnsi="宋体"/>
          <w:color w:val="auto"/>
          <w:sz w:val="24"/>
        </w:rPr>
        <w:t>自主创新相关证书、软件著作权证等等与本项目相关</w:t>
      </w:r>
      <w:r>
        <w:rPr>
          <w:rFonts w:ascii="宋体" w:hAnsi="宋体"/>
          <w:color w:val="auto"/>
          <w:kern w:val="0"/>
          <w:sz w:val="24"/>
        </w:rPr>
        <w:t>的认证证书</w:t>
      </w:r>
      <w:r>
        <w:rPr>
          <w:rFonts w:hint="eastAsia" w:ascii="宋体" w:hAnsi="宋体"/>
          <w:color w:val="auto"/>
          <w:kern w:val="0"/>
          <w:sz w:val="24"/>
        </w:rPr>
        <w:t>或文件；</w:t>
      </w:r>
      <w:r>
        <w:rPr>
          <w:rFonts w:hint="eastAsia"/>
          <w:color w:val="auto"/>
          <w:sz w:val="24"/>
        </w:rPr>
        <w:t>）</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宋体" w:hAnsi="宋体"/>
          <w:color w:val="auto"/>
          <w:kern w:val="0"/>
          <w:sz w:val="24"/>
          <w:szCs w:val="24"/>
        </w:rPr>
        <w:t>近三年来类似项目的成功案例（投标人类似项目实施情况一览表、合同复印件及其相应的发票、用户验收报告等；</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color w:val="auto"/>
          <w:sz w:val="24"/>
          <w:szCs w:val="24"/>
        </w:rPr>
        <w:t>商务需求响应表。</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Calibri" w:hAnsi="Calibri" w:cs="Calibri"/>
          <w:color w:val="auto"/>
          <w:sz w:val="24"/>
          <w:szCs w:val="24"/>
        </w:rPr>
        <w:t>本地化服务方案。</w:t>
      </w:r>
    </w:p>
    <w:p>
      <w:pPr>
        <w:pStyle w:val="14"/>
        <w:widowControl/>
        <w:numPr>
          <w:ilvl w:val="0"/>
          <w:numId w:val="7"/>
        </w:numPr>
        <w:adjustRightInd w:val="0"/>
        <w:snapToGrid w:val="0"/>
        <w:spacing w:line="360" w:lineRule="auto"/>
        <w:ind w:firstLine="480" w:firstLineChars="200"/>
        <w:rPr>
          <w:rFonts w:ascii="宋体" w:hAnsi="宋体" w:cs="宋体"/>
          <w:color w:val="auto"/>
          <w:sz w:val="24"/>
          <w:szCs w:val="24"/>
        </w:rPr>
      </w:pPr>
      <w:r>
        <w:rPr>
          <w:rFonts w:hint="eastAsia" w:ascii="Calibri" w:hAnsi="Calibri" w:cs="Calibri"/>
          <w:color w:val="auto"/>
          <w:sz w:val="24"/>
          <w:szCs w:val="24"/>
        </w:rPr>
        <w:t>培训方案。</w:t>
      </w:r>
    </w:p>
    <w:p>
      <w:pPr>
        <w:autoSpaceDE w:val="0"/>
        <w:autoSpaceDN w:val="0"/>
        <w:adjustRightInd w:val="0"/>
        <w:spacing w:line="360" w:lineRule="auto"/>
        <w:ind w:left="426" w:firstLine="65" w:firstLineChars="27"/>
        <w:rPr>
          <w:rFonts w:ascii="宋体" w:hAnsi="宋体" w:cs="宋体"/>
          <w:b/>
          <w:color w:val="auto"/>
          <w:kern w:val="0"/>
          <w:sz w:val="24"/>
        </w:rPr>
      </w:pPr>
      <w:r>
        <w:rPr>
          <w:rFonts w:hint="eastAsia" w:ascii="宋体" w:hAnsi="宋体" w:cs="宋体"/>
          <w:b/>
          <w:color w:val="auto"/>
          <w:kern w:val="0"/>
          <w:sz w:val="24"/>
        </w:rPr>
        <w:t>3、报价文件的组成</w:t>
      </w:r>
    </w:p>
    <w:p>
      <w:pPr>
        <w:numPr>
          <w:ilvl w:val="0"/>
          <w:numId w:val="8"/>
        </w:num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开标一览表</w:t>
      </w:r>
    </w:p>
    <w:p>
      <w:pPr>
        <w:numPr>
          <w:ilvl w:val="0"/>
          <w:numId w:val="8"/>
        </w:numPr>
        <w:autoSpaceDE w:val="0"/>
        <w:autoSpaceDN w:val="0"/>
        <w:adjustRightInd w:val="0"/>
        <w:spacing w:line="360" w:lineRule="auto"/>
        <w:rPr>
          <w:rFonts w:ascii="宋体" w:hAnsi="宋体" w:cs="宋体"/>
          <w:color w:val="auto"/>
          <w:kern w:val="0"/>
          <w:sz w:val="24"/>
          <w:lang w:val="en-GB"/>
        </w:rPr>
      </w:pPr>
      <w:r>
        <w:rPr>
          <w:rFonts w:hint="eastAsia" w:ascii="宋体" w:hAnsi="宋体" w:cs="宋体"/>
          <w:color w:val="auto"/>
          <w:kern w:val="0"/>
          <w:sz w:val="24"/>
        </w:rPr>
        <w:t>报价明细表</w:t>
      </w:r>
    </w:p>
    <w:p>
      <w:pPr>
        <w:numPr>
          <w:ilvl w:val="0"/>
          <w:numId w:val="8"/>
        </w:num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中小企业等声明函、</w:t>
      </w:r>
      <w:r>
        <w:rPr>
          <w:rFonts w:hint="eastAsia" w:ascii="宋体" w:hAnsi="宋体" w:cs="宋体"/>
          <w:color w:val="auto"/>
          <w:kern w:val="0"/>
          <w:sz w:val="24"/>
          <w:lang w:val="en-GB"/>
        </w:rPr>
        <w:t>残疾人福利性单位声明函</w:t>
      </w:r>
    </w:p>
    <w:p>
      <w:pPr>
        <w:numPr>
          <w:ilvl w:val="0"/>
          <w:numId w:val="8"/>
        </w:num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针对报价投标人认为其他需要说明的</w:t>
      </w:r>
    </w:p>
    <w:p>
      <w:pPr>
        <w:pStyle w:val="14"/>
        <w:spacing w:line="360" w:lineRule="auto"/>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（二）投标报价</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2.投标报价包括本项目采购需求和投入使用的所有费用，包括但不限于开发、标准附件、备品备件、施工、服务、专用工具、安装、调试、检验、培训、运输、保险、税款等。</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3.投标报价不得为选择性报价和附有条件的报价。</w:t>
      </w:r>
    </w:p>
    <w:p>
      <w:pPr>
        <w:pStyle w:val="14"/>
        <w:spacing w:line="360" w:lineRule="auto"/>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（三）投标文件的有效期</w:t>
      </w:r>
    </w:p>
    <w:p>
      <w:pPr>
        <w:pStyle w:val="14"/>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rPr>
        <w:t>1.投标文件有效期为</w:t>
      </w:r>
      <w:r>
        <w:rPr>
          <w:rFonts w:hint="eastAsia" w:ascii="宋体" w:hAnsi="宋体" w:cs="宋体"/>
          <w:color w:val="auto"/>
          <w:sz w:val="24"/>
          <w:szCs w:val="24"/>
          <w:lang w:val="en-GB"/>
        </w:rPr>
        <w:t>投标截止日起90天。</w:t>
      </w:r>
    </w:p>
    <w:p>
      <w:pPr>
        <w:pStyle w:val="14"/>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rPr>
        <w:t>2.</w:t>
      </w:r>
      <w:r>
        <w:rPr>
          <w:rFonts w:hint="eastAsia" w:ascii="宋体" w:hAnsi="宋体" w:cs="宋体"/>
          <w:color w:val="auto"/>
          <w:sz w:val="24"/>
          <w:szCs w:val="24"/>
          <w:lang w:val="en-GB"/>
        </w:rPr>
        <w:t>在特殊情况下，采购人可与投标人协商延长投标文件的有效期，这种要求和答复均以书面形式进行。</w:t>
      </w:r>
    </w:p>
    <w:p>
      <w:pPr>
        <w:snapToGrid w:val="0"/>
        <w:spacing w:line="360" w:lineRule="auto"/>
        <w:ind w:firstLine="480" w:firstLineChars="200"/>
        <w:outlineLvl w:val="0"/>
        <w:rPr>
          <w:rFonts w:ascii="宋体" w:hAnsi="宋体" w:cs="宋体"/>
          <w:color w:val="auto"/>
          <w:sz w:val="24"/>
        </w:rPr>
      </w:pPr>
      <w:r>
        <w:rPr>
          <w:rFonts w:hint="eastAsia" w:ascii="宋体" w:hAnsi="宋体" w:cs="宋体"/>
          <w:color w:val="auto"/>
          <w:sz w:val="24"/>
        </w:rPr>
        <w:t>3.中标人的投标文件自开标之日起至合同履行完毕均应保持有效。</w:t>
      </w:r>
    </w:p>
    <w:p>
      <w:pPr>
        <w:snapToGrid w:val="0"/>
        <w:spacing w:line="360" w:lineRule="auto"/>
        <w:ind w:firstLine="482" w:firstLineChars="200"/>
        <w:outlineLvl w:val="0"/>
        <w:rPr>
          <w:rFonts w:ascii="宋体" w:hAnsi="宋体" w:cs="宋体"/>
          <w:b/>
          <w:color w:val="auto"/>
          <w:kern w:val="0"/>
          <w:sz w:val="24"/>
        </w:rPr>
      </w:pPr>
      <w:r>
        <w:rPr>
          <w:rFonts w:hint="eastAsia" w:ascii="宋体" w:hAnsi="宋体" w:cs="宋体"/>
          <w:b/>
          <w:color w:val="auto"/>
          <w:kern w:val="0"/>
          <w:sz w:val="24"/>
        </w:rPr>
        <w:t>（四）投标文件的签署</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1.投标文件需由法定代表人或授权委托代理人签字或盖章。授权委托代理人须出具书面授权证明，其《法定代表人授权书》应附在投标文件中。</w:t>
      </w:r>
    </w:p>
    <w:p>
      <w:pPr>
        <w:pStyle w:val="14"/>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2.投标文件中所有的插字、涂改和增删，必须由法定代表人或经其正式授权的代表在旁边签字或盖章才有效。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（五）投标文件的递交要求</w:t>
      </w:r>
    </w:p>
    <w:p>
      <w:pPr>
        <w:tabs>
          <w:tab w:val="left" w:pos="141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sz w:val="24"/>
        </w:rPr>
        <w:t>按照前附表要求提交，</w:t>
      </w:r>
      <w:r>
        <w:rPr>
          <w:rFonts w:hint="eastAsia" w:ascii="宋体" w:hAnsi="宋体" w:cs="宋体"/>
          <w:color w:val="auto"/>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五、开标</w:t>
      </w:r>
    </w:p>
    <w:p>
      <w:pPr>
        <w:autoSpaceDE w:val="0"/>
        <w:autoSpaceDN w:val="0"/>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（一）开标程序</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1.开标时间到后，主持人准时组织开标；</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2.宣布开标纪律；</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3.宣布采购组织机构工作人员；</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4.投标人登录政采云平台，用“项目采购-开标评标”功能对电子投标文件进行在线解密。在线解密时间为开标时间起半个小时内；</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5.采购组织机构工作人员当众宣布投标人名称、投标价格和招标文件规定的需要宣布的其他内容；（以开标一览表要求为准）</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6.公布开标结果。</w:t>
      </w:r>
    </w:p>
    <w:p>
      <w:pPr>
        <w:pStyle w:val="14"/>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（二）开标异议</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4"/>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（三）</w:t>
      </w:r>
      <w:r>
        <w:rPr>
          <w:rFonts w:hint="eastAsia" w:ascii="宋体" w:hAnsi="宋体" w:cs="宋体"/>
          <w:color w:val="auto"/>
          <w:sz w:val="24"/>
          <w:szCs w:val="24"/>
        </w:rPr>
        <w:t>投标人不足三家，不得开标。</w:t>
      </w:r>
    </w:p>
    <w:p>
      <w:pPr>
        <w:pStyle w:val="15"/>
        <w:snapToGrid w:val="0"/>
        <w:spacing w:line="360" w:lineRule="auto"/>
        <w:ind w:firstLine="482" w:firstLineChars="200"/>
        <w:outlineLvl w:val="1"/>
        <w:rPr>
          <w:rFonts w:hAnsi="宋体"/>
          <w:b/>
          <w:color w:val="auto"/>
          <w:sz w:val="24"/>
        </w:rPr>
      </w:pPr>
      <w:r>
        <w:rPr>
          <w:rFonts w:hint="eastAsia" w:hAnsi="宋体"/>
          <w:b/>
          <w:color w:val="auto"/>
          <w:sz w:val="24"/>
        </w:rPr>
        <w:t>六、评标（详见第四章）</w:t>
      </w:r>
    </w:p>
    <w:p>
      <w:pPr>
        <w:pStyle w:val="20"/>
        <w:spacing w:before="0" w:beforeAutospacing="0" w:after="0" w:afterAutospacing="0" w:line="360" w:lineRule="auto"/>
        <w:ind w:firstLine="482" w:firstLineChars="200"/>
        <w:jc w:val="both"/>
        <w:rPr>
          <w:rFonts w:hint="default" w:cs="宋体"/>
          <w:b/>
          <w:color w:val="auto"/>
        </w:rPr>
      </w:pPr>
      <w:r>
        <w:rPr>
          <w:rFonts w:cs="宋体"/>
          <w:b/>
          <w:color w:val="auto"/>
        </w:rPr>
        <w:t>七、定标</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cs="宋体"/>
          <w:color w:val="auto"/>
          <w:kern w:val="0"/>
          <w:sz w:val="24"/>
        </w:rPr>
      </w:pPr>
      <w:r>
        <w:rPr>
          <w:rFonts w:hint="eastAsia" w:ascii="宋体" w:hAnsi="宋体" w:cs="宋体"/>
          <w:color w:val="auto"/>
          <w:sz w:val="24"/>
        </w:rPr>
        <w:t>（二）</w:t>
      </w:r>
      <w:r>
        <w:rPr>
          <w:rFonts w:hint="eastAsia" w:ascii="宋体" w:hAnsi="宋体" w:cs="宋体"/>
          <w:color w:val="auto"/>
          <w:kern w:val="0"/>
          <w:sz w:val="24"/>
        </w:rPr>
        <w:t>发布</w:t>
      </w:r>
      <w:r>
        <w:rPr>
          <w:rFonts w:hint="eastAsia" w:ascii="宋体" w:hAnsi="宋体" w:cs="宋体"/>
          <w:color w:val="auto"/>
          <w:sz w:val="24"/>
        </w:rPr>
        <w:t>中标</w:t>
      </w:r>
      <w:r>
        <w:rPr>
          <w:rFonts w:hint="eastAsia" w:ascii="宋体" w:hAnsi="宋体" w:cs="宋体"/>
          <w:color w:val="auto"/>
          <w:kern w:val="0"/>
          <w:sz w:val="24"/>
        </w:rPr>
        <w:t>结果公告。采购组织机构自中标人确定之日起2个工作日内，在浙江省政府采购网和台州市公共资源交易网上公告中标结果，</w:t>
      </w:r>
      <w:r>
        <w:rPr>
          <w:rFonts w:hint="eastAsia" w:ascii="宋体" w:hAnsi="宋体" w:cs="宋体"/>
          <w:color w:val="auto"/>
          <w:sz w:val="24"/>
        </w:rPr>
        <w:t>中标结果公告期为 1 个工作日</w:t>
      </w:r>
      <w:r>
        <w:rPr>
          <w:rFonts w:hint="eastAsia" w:ascii="宋体" w:hAnsi="宋体" w:cs="宋体"/>
          <w:color w:val="auto"/>
          <w:kern w:val="0"/>
          <w:sz w:val="24"/>
        </w:rPr>
        <w:t>。</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kern w:val="0"/>
          <w:sz w:val="24"/>
        </w:rPr>
        <w:t>（三）发放中标通知书。采购组织机构在发布中标结果公告的同时，</w:t>
      </w:r>
      <w:r>
        <w:rPr>
          <w:rFonts w:hint="eastAsia" w:ascii="宋体" w:hAnsi="宋体" w:cs="宋体"/>
          <w:color w:val="auto"/>
          <w:sz w:val="24"/>
        </w:rPr>
        <w:t>通过政采云平台</w:t>
      </w:r>
      <w:r>
        <w:rPr>
          <w:rFonts w:hint="eastAsia" w:ascii="宋体" w:hAnsi="宋体" w:cs="宋体"/>
          <w:color w:val="auto"/>
          <w:kern w:val="0"/>
          <w:sz w:val="24"/>
        </w:rPr>
        <w:t>向中标人</w:t>
      </w:r>
      <w:r>
        <w:rPr>
          <w:rFonts w:hint="eastAsia" w:ascii="宋体" w:hAnsi="宋体" w:cs="宋体"/>
          <w:color w:val="auto"/>
          <w:sz w:val="24"/>
        </w:rPr>
        <w:t>发放中标通知书</w:t>
      </w:r>
      <w:r>
        <w:rPr>
          <w:rFonts w:hint="eastAsia" w:ascii="宋体" w:hAnsi="宋体" w:cs="宋体"/>
          <w:color w:val="auto"/>
          <w:kern w:val="0"/>
          <w:sz w:val="24"/>
        </w:rPr>
        <w:t>。</w:t>
      </w:r>
    </w:p>
    <w:p>
      <w:pPr>
        <w:spacing w:line="360" w:lineRule="auto"/>
        <w:ind w:firstLine="482" w:firstLineChars="200"/>
        <w:rPr>
          <w:rFonts w:ascii="宋体" w:hAnsi="宋体" w:cs="宋体"/>
          <w:color w:val="auto"/>
          <w:kern w:val="0"/>
          <w:sz w:val="24"/>
        </w:rPr>
      </w:pPr>
      <w:r>
        <w:rPr>
          <w:rFonts w:hint="eastAsia" w:ascii="宋体" w:hAnsi="宋体" w:cs="宋体"/>
          <w:b/>
          <w:color w:val="auto"/>
          <w:sz w:val="24"/>
        </w:rPr>
        <w:t>八、</w:t>
      </w:r>
      <w:r>
        <w:rPr>
          <w:rFonts w:hint="eastAsia" w:ascii="宋体" w:hAnsi="宋体" w:cs="宋体"/>
          <w:b/>
          <w:color w:val="auto"/>
          <w:kern w:val="0"/>
          <w:sz w:val="24"/>
        </w:rPr>
        <w:t>合同签订及公告</w:t>
      </w:r>
    </w:p>
    <w:p>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（一）签订合同</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3.中标人无故拖延、拒签合同的,将取消中标资格。</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宋体"/>
          <w:b/>
          <w:color w:val="auto"/>
        </w:rPr>
      </w:pPr>
      <w:r>
        <w:rPr>
          <w:rFonts w:cs="宋体"/>
          <w:b/>
          <w:color w:val="auto"/>
        </w:rPr>
        <w:t>（二）合同公告及备案</w:t>
      </w:r>
    </w:p>
    <w:p>
      <w:pPr>
        <w:pStyle w:val="3"/>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1.采购人应当自合同签订之日起2个工作日内，</w:t>
      </w:r>
      <w:r>
        <w:rPr>
          <w:rFonts w:hint="eastAsia" w:ascii="宋体" w:hAnsi="宋体" w:cs="宋体"/>
          <w:color w:val="auto"/>
          <w:kern w:val="0"/>
          <w:sz w:val="24"/>
        </w:rPr>
        <w:t>在省级以上财政部门指定的政府采购信息发布媒体及相关网站上公告</w:t>
      </w:r>
      <w:r>
        <w:rPr>
          <w:rFonts w:hint="eastAsia" w:ascii="宋体" w:hAnsi="宋体" w:cs="宋体"/>
          <w:color w:val="auto"/>
          <w:sz w:val="24"/>
        </w:rPr>
        <w:t>。</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2.采购人应当自合同签订之日起7个工作日内，将合同通过政采云平台提交至同级人民政府财政部门备案存档。</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九、询问、质疑与投诉</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（一）询问</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（二）质疑</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1.报名本项目的投标人认为招标文件、采购过程和中标结果使自己的权益受到损害的，以书面形式或政采云平台的质疑系统一次性向采购人或采购组织机构提出质疑：</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（1）投标人认为招标文件的内容损害其权益的，对采购文件提出质疑的，应当在获取采购文件或者采购文件公告期限届满之日起7个工作日内提出；</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（三）投诉</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pStyle w:val="10"/>
        <w:spacing w:line="360" w:lineRule="auto"/>
        <w:ind w:firstLine="480" w:firstLineChars="200"/>
        <w:jc w:val="both"/>
        <w:rPr>
          <w:rFonts w:ascii="宋体" w:hAnsi="宋体" w:cs="宋体"/>
          <w:color w:val="auto"/>
          <w:sz w:val="24"/>
        </w:rPr>
      </w:pPr>
    </w:p>
    <w:p>
      <w:pPr>
        <w:numPr>
          <w:ilvl w:val="0"/>
          <w:numId w:val="5"/>
        </w:numPr>
        <w:spacing w:line="360" w:lineRule="auto"/>
        <w:jc w:val="center"/>
        <w:rPr>
          <w:rFonts w:ascii="宋体" w:hAnsi="宋体" w:cs="宋体"/>
          <w:b/>
          <w:color w:val="auto"/>
          <w:sz w:val="24"/>
        </w:rPr>
      </w:pPr>
      <w:bookmarkStart w:id="35" w:name="_Toc13072_WPSOffice_Level1"/>
      <w:r>
        <w:rPr>
          <w:rFonts w:hint="eastAsia" w:ascii="宋体" w:hAnsi="宋体" w:cs="宋体"/>
          <w:b/>
          <w:color w:val="auto"/>
          <w:sz w:val="24"/>
        </w:rPr>
        <w:t>招标需求</w:t>
      </w:r>
      <w:bookmarkEnd w:id="35"/>
    </w:p>
    <w:p>
      <w:pPr>
        <w:tabs>
          <w:tab w:val="left" w:pos="8280"/>
        </w:tabs>
        <w:autoSpaceDE w:val="0"/>
        <w:autoSpaceDN w:val="0"/>
        <w:adjustRightInd w:val="0"/>
        <w:spacing w:line="360" w:lineRule="auto"/>
        <w:ind w:firstLine="482" w:firstLineChars="200"/>
        <w:rPr>
          <w:rFonts w:ascii="宋体" w:hAnsi="宋体" w:cs="宋体"/>
          <w:color w:val="auto"/>
          <w:sz w:val="24"/>
        </w:rPr>
      </w:pPr>
      <w:r>
        <w:rPr>
          <w:rFonts w:hint="eastAsia" w:ascii="宋体" w:hAnsi="宋体" w:cs="宋体"/>
          <w:b/>
          <w:color w:val="auto"/>
          <w:sz w:val="24"/>
        </w:rPr>
        <w:t>一、招标项目一览表</w:t>
      </w:r>
    </w:p>
    <w:p>
      <w:pPr>
        <w:tabs>
          <w:tab w:val="left" w:pos="8280"/>
        </w:tabs>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本次招标共</w:t>
      </w:r>
      <w:r>
        <w:rPr>
          <w:rFonts w:hint="eastAsia" w:ascii="宋体" w:hAnsi="宋体" w:cs="宋体"/>
          <w:color w:val="auto"/>
          <w:sz w:val="24"/>
          <w:u w:val="single"/>
        </w:rPr>
        <w:t xml:space="preserve"> 1 </w:t>
      </w:r>
      <w:r>
        <w:rPr>
          <w:rFonts w:hint="eastAsia" w:ascii="宋体" w:hAnsi="宋体" w:cs="宋体"/>
          <w:color w:val="auto"/>
          <w:sz w:val="24"/>
        </w:rPr>
        <w:t>个标项，具体内容如下表：</w:t>
      </w:r>
    </w:p>
    <w:tbl>
      <w:tblPr>
        <w:tblStyle w:val="25"/>
        <w:tblW w:w="8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35"/>
        <w:gridCol w:w="785"/>
        <w:gridCol w:w="838"/>
        <w:gridCol w:w="1302"/>
        <w:gridCol w:w="132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172"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标项号</w:t>
            </w:r>
          </w:p>
        </w:tc>
        <w:tc>
          <w:tcPr>
            <w:tcW w:w="1835" w:type="dxa"/>
            <w:vAlign w:val="center"/>
          </w:tcPr>
          <w:p>
            <w:pPr>
              <w:tabs>
                <w:tab w:val="left" w:pos="8280"/>
              </w:tabs>
              <w:autoSpaceDE w:val="0"/>
              <w:autoSpaceDN w:val="0"/>
              <w:adjustRightInd w:val="0"/>
              <w:ind w:firstLine="120" w:firstLineChars="50"/>
              <w:jc w:val="center"/>
              <w:rPr>
                <w:rFonts w:ascii="宋体" w:hAnsi="宋体" w:cs="宋体"/>
                <w:b/>
                <w:color w:val="auto"/>
                <w:sz w:val="24"/>
              </w:rPr>
            </w:pPr>
            <w:r>
              <w:rPr>
                <w:rFonts w:hint="eastAsia" w:ascii="宋体" w:hAnsi="宋体" w:cs="宋体"/>
                <w:b/>
                <w:color w:val="auto"/>
                <w:sz w:val="24"/>
              </w:rPr>
              <w:t>标项名称</w:t>
            </w:r>
          </w:p>
        </w:tc>
        <w:tc>
          <w:tcPr>
            <w:tcW w:w="785"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kern w:val="0"/>
                <w:sz w:val="24"/>
              </w:rPr>
              <w:t>数量</w:t>
            </w:r>
          </w:p>
        </w:tc>
        <w:tc>
          <w:tcPr>
            <w:tcW w:w="838"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单位</w:t>
            </w:r>
          </w:p>
        </w:tc>
        <w:tc>
          <w:tcPr>
            <w:tcW w:w="1302"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预算</w:t>
            </w:r>
          </w:p>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（万元）</w:t>
            </w:r>
          </w:p>
        </w:tc>
        <w:tc>
          <w:tcPr>
            <w:tcW w:w="1324"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最高限价（万元）</w:t>
            </w:r>
          </w:p>
        </w:tc>
        <w:tc>
          <w:tcPr>
            <w:tcW w:w="1293" w:type="dxa"/>
            <w:vAlign w:val="center"/>
          </w:tcPr>
          <w:p>
            <w:pPr>
              <w:jc w:val="center"/>
              <w:rPr>
                <w:rFonts w:ascii="宋体" w:hAnsi="宋体" w:cs="宋体"/>
                <w:b/>
                <w:color w:val="auto"/>
                <w:sz w:val="24"/>
              </w:rPr>
            </w:pPr>
            <w:r>
              <w:rPr>
                <w:rFonts w:hint="eastAsia" w:ascii="宋体" w:hAnsi="宋体" w:cs="宋体"/>
                <w:b/>
                <w:color w:val="auto"/>
                <w:sz w:val="24"/>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172"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1</w:t>
            </w:r>
          </w:p>
        </w:tc>
        <w:tc>
          <w:tcPr>
            <w:tcW w:w="1835"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台州市一体化智能化公共数据平台（数据资源体系）项目</w:t>
            </w:r>
          </w:p>
        </w:tc>
        <w:tc>
          <w:tcPr>
            <w:tcW w:w="785"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1</w:t>
            </w:r>
          </w:p>
        </w:tc>
        <w:tc>
          <w:tcPr>
            <w:tcW w:w="838"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Cs/>
                <w:color w:val="auto"/>
                <w:sz w:val="24"/>
              </w:rPr>
              <w:t>项</w:t>
            </w:r>
          </w:p>
        </w:tc>
        <w:tc>
          <w:tcPr>
            <w:tcW w:w="1302" w:type="dxa"/>
            <w:vAlign w:val="center"/>
          </w:tcPr>
          <w:p>
            <w:pPr>
              <w:tabs>
                <w:tab w:val="left" w:pos="8280"/>
              </w:tabs>
              <w:autoSpaceDE w:val="0"/>
              <w:autoSpaceDN w:val="0"/>
              <w:adjustRightInd w:val="0"/>
              <w:ind w:right="25"/>
              <w:jc w:val="center"/>
              <w:rPr>
                <w:rFonts w:hint="eastAsia" w:ascii="宋体" w:hAnsi="宋体" w:eastAsia="宋体" w:cs="宋体"/>
                <w:bCs/>
                <w:color w:val="auto"/>
                <w:sz w:val="24"/>
                <w:lang w:val="en-US" w:eastAsia="zh-CN"/>
              </w:rPr>
            </w:pPr>
            <w:r>
              <w:rPr>
                <w:rFonts w:hint="eastAsia" w:asciiTheme="minorEastAsia" w:hAnsiTheme="minorEastAsia"/>
                <w:color w:val="auto"/>
                <w:sz w:val="24"/>
                <w:lang w:val="en-US" w:eastAsia="zh-CN"/>
              </w:rPr>
              <w:t>1300</w:t>
            </w:r>
          </w:p>
        </w:tc>
        <w:tc>
          <w:tcPr>
            <w:tcW w:w="1324" w:type="dxa"/>
            <w:vAlign w:val="center"/>
          </w:tcPr>
          <w:p>
            <w:pPr>
              <w:tabs>
                <w:tab w:val="left" w:pos="8280"/>
              </w:tabs>
              <w:autoSpaceDE w:val="0"/>
              <w:autoSpaceDN w:val="0"/>
              <w:adjustRightInd w:val="0"/>
              <w:ind w:right="25"/>
              <w:jc w:val="center"/>
              <w:rPr>
                <w:rFonts w:ascii="宋体" w:hAnsi="宋体" w:cs="宋体"/>
                <w:bCs/>
                <w:color w:val="auto"/>
                <w:sz w:val="24"/>
              </w:rPr>
            </w:pPr>
            <w:r>
              <w:rPr>
                <w:rFonts w:asciiTheme="minorEastAsia" w:hAnsiTheme="minorEastAsia"/>
                <w:color w:val="auto"/>
                <w:sz w:val="24"/>
              </w:rPr>
              <w:t>1229</w:t>
            </w:r>
          </w:p>
        </w:tc>
        <w:tc>
          <w:tcPr>
            <w:tcW w:w="1293"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bCs/>
                <w:color w:val="auto"/>
                <w:sz w:val="24"/>
              </w:rPr>
              <w:t>合同签订后</w:t>
            </w:r>
            <w:r>
              <w:rPr>
                <w:rFonts w:ascii="宋体" w:hAnsi="宋体"/>
                <w:bCs/>
                <w:color w:val="auto"/>
                <w:sz w:val="24"/>
              </w:rPr>
              <w:t>3</w:t>
            </w:r>
            <w:r>
              <w:rPr>
                <w:rFonts w:hint="eastAsia" w:ascii="宋体" w:hAnsi="宋体"/>
                <w:bCs/>
                <w:color w:val="auto"/>
                <w:sz w:val="24"/>
              </w:rPr>
              <w:t>个月内交付部署试运营</w:t>
            </w:r>
          </w:p>
        </w:tc>
      </w:tr>
    </w:tbl>
    <w:p>
      <w:pPr>
        <w:tabs>
          <w:tab w:val="left" w:pos="8280"/>
        </w:tabs>
        <w:autoSpaceDE w:val="0"/>
        <w:autoSpaceDN w:val="0"/>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二、技术需求</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（一）建设背景 </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 xml:space="preserve">通过台州市一体化智能化公共数据平台（数据资源体系）的建设，完善全市统一的数据资源目录，优化数据供需对接，提高数据归集的时效性、完整性和可靠性，提升数据共享保障能力和效率，进一步巩固台州市一体化智能化公共数据平台的数据安全防护能力。根据业务需求对数据仓不断进行迭代更新，全面保障专题库数据的完整性、准确性、及时性，长效支撑数字化改革应用。 </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（二）建设规模</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项目建设覆盖市本级和县（市）区。建设1套市县一体的公共数据平台。涉及县（市）区共享专区、开放专区建设，以及市县两级公共数据仓、数字化改革任务仓和专题库服务。</w:t>
      </w:r>
    </w:p>
    <w:p>
      <w:pPr>
        <w:pStyle w:val="10"/>
        <w:numPr>
          <w:ilvl w:val="0"/>
          <w:numId w:val="9"/>
        </w:numPr>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建设内容</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台州市一体化智能化公共数据平台（数据资源体系）具体建设内容主要为数据资源体系建设，具体包括公共数据基础域、公共数据共享域、公共数据开放域、公共数据安全域、数据N仓服务等内容。</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公共数据基础域包括数据资源目录升级、数据治理升级、统一用户体系升级和统计分析等内容。</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公共数据共享域包括对接IRS资源管理系统、区县专区建设及服务、日志分析系统等内容。</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公共数据开放域包括开放平台（企业侧）建设、开放平台（运营侧）建设、数据授权系统建设、数据沙箱系统建设、开放门户升级、开放门户管理端建设和区县开放专区建设。</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公共数据安全域包括公共数据入侵防御系统建设、数据安全态势感知系统升级、数据防泄漏系统建设、数据安全运营服务、数据分级分类服务等内容。</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数据N仓服务：一体化数据仓管理平台服务、数据仓服务、数据专题库建设服务、数据治理服务、数据归集服务、数据运维服务等内容。</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（四）项目采购清单 </w:t>
      </w:r>
    </w:p>
    <w:tbl>
      <w:tblPr>
        <w:tblStyle w:val="25"/>
        <w:tblW w:w="7223" w:type="dxa"/>
        <w:jc w:val="center"/>
        <w:tblInd w:w="0" w:type="dxa"/>
        <w:tblLayout w:type="fixed"/>
        <w:tblCellMar>
          <w:top w:w="0" w:type="dxa"/>
          <w:left w:w="108" w:type="dxa"/>
          <w:bottom w:w="0" w:type="dxa"/>
          <w:right w:w="108" w:type="dxa"/>
        </w:tblCellMar>
      </w:tblPr>
      <w:tblGrid>
        <w:gridCol w:w="924"/>
        <w:gridCol w:w="4235"/>
        <w:gridCol w:w="1029"/>
        <w:gridCol w:w="1035"/>
      </w:tblGrid>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序号</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建设内容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单位</w:t>
            </w:r>
          </w:p>
        </w:tc>
      </w:tr>
      <w:tr>
        <w:tblPrEx>
          <w:tblLayout w:type="fixed"/>
          <w:tblCellMar>
            <w:top w:w="0" w:type="dxa"/>
            <w:left w:w="108" w:type="dxa"/>
            <w:bottom w:w="0" w:type="dxa"/>
            <w:right w:w="108" w:type="dxa"/>
          </w:tblCellMar>
        </w:tblPrEx>
        <w:trPr>
          <w:trHeight w:val="280" w:hRule="atLeast"/>
          <w:jc w:val="center"/>
        </w:trPr>
        <w:tc>
          <w:tcPr>
            <w:tcW w:w="7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一、公共数据基础域</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数据资源目录升级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数据治理升级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统一用户体系升级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统计分析</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280" w:hRule="atLeast"/>
          <w:jc w:val="center"/>
        </w:trPr>
        <w:tc>
          <w:tcPr>
            <w:tcW w:w="7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二、公共数据共享域</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对接IRS资源管理系统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区县专区建设及服务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42"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日志分析系统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7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三、公共数据开放域</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开放平台（企业侧）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开放平台（运营侧）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数据授权系统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9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数据沙箱系统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开放门户升级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开放门户管理端建设</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区县开放专区建设</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7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四、公共数据安全域</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公共数据入侵防御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数据防泄漏系统建设</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数据安全态势感知升级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ascii="宋体" w:hAnsi="宋体" w:cs="宋体"/>
                <w:color w:val="auto"/>
                <w:kern w:val="0"/>
                <w:sz w:val="24"/>
                <w:lang w:bidi="ar"/>
              </w:rPr>
              <w:t>4</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数据分级分类服务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tblPrEx>
          <w:tblLayout w:type="fixed"/>
          <w:tblCellMar>
            <w:top w:w="0" w:type="dxa"/>
            <w:left w:w="108" w:type="dxa"/>
            <w:bottom w:w="0" w:type="dxa"/>
            <w:right w:w="108" w:type="dxa"/>
          </w:tblCellMar>
        </w:tblPrEx>
        <w:trPr>
          <w:trHeight w:val="280" w:hRule="atLeast"/>
          <w:jc w:val="center"/>
        </w:trPr>
        <w:tc>
          <w:tcPr>
            <w:tcW w:w="7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五、数据N仓</w:t>
            </w:r>
          </w:p>
        </w:tc>
      </w:tr>
      <w:tr>
        <w:tblPrEx>
          <w:tblLayout w:type="fixed"/>
          <w:tblCellMar>
            <w:top w:w="0" w:type="dxa"/>
            <w:left w:w="108" w:type="dxa"/>
            <w:bottom w:w="0" w:type="dxa"/>
            <w:right w:w="108" w:type="dxa"/>
          </w:tblCellMar>
        </w:tblPrEx>
        <w:trPr>
          <w:trHeight w:val="9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数据管理服务（提供一年的</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一体化数据仓管理服务。）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9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数据仓服务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3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数据运维服务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数据治理服务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专题库建设服务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tblPrEx>
          <w:tblLayout w:type="fixed"/>
          <w:tblCellMar>
            <w:top w:w="0" w:type="dxa"/>
            <w:left w:w="108" w:type="dxa"/>
            <w:bottom w:w="0" w:type="dxa"/>
            <w:right w:w="108" w:type="dxa"/>
          </w:tblCellMar>
        </w:tblPrEx>
        <w:trPr>
          <w:trHeight w:val="2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数据归集服务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bl>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（五）技术功能项</w:t>
      </w:r>
    </w:p>
    <w:tbl>
      <w:tblPr>
        <w:tblStyle w:val="2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28"/>
        <w:gridCol w:w="1340"/>
        <w:gridCol w:w="1262"/>
        <w:gridCol w:w="2903"/>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序号</w:t>
            </w:r>
          </w:p>
        </w:tc>
        <w:tc>
          <w:tcPr>
            <w:tcW w:w="728" w:type="dxa"/>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建设内容</w:t>
            </w:r>
          </w:p>
        </w:tc>
        <w:tc>
          <w:tcPr>
            <w:tcW w:w="1340" w:type="dxa"/>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模块</w:t>
            </w:r>
          </w:p>
        </w:tc>
        <w:tc>
          <w:tcPr>
            <w:tcW w:w="1262" w:type="dxa"/>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子模块</w:t>
            </w:r>
          </w:p>
        </w:tc>
        <w:tc>
          <w:tcPr>
            <w:tcW w:w="5458" w:type="dxa"/>
            <w:gridSpan w:val="2"/>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284" w:type="dxa"/>
            <w:gridSpan w:val="6"/>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1、公共数据基础域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96"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28"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数据资源目录升级</w:t>
            </w: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数据专区目录</w:t>
            </w:r>
          </w:p>
        </w:tc>
        <w:tc>
          <w:tcPr>
            <w:tcW w:w="1262"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开发县级公共数据目录逻辑门户</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开发县级公共数据目录逻辑门户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continue"/>
            <w:shd w:val="clear" w:color="auto" w:fill="auto"/>
            <w:vAlign w:val="center"/>
          </w:tcPr>
          <w:p>
            <w:pPr>
              <w:jc w:val="center"/>
              <w:rPr>
                <w:rFonts w:ascii="宋体" w:hAnsi="宋体" w:cs="宋体"/>
                <w:color w:val="auto"/>
                <w:sz w:val="24"/>
              </w:rPr>
            </w:pP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提供县级专区目录管理权限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引用上级信息系统</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提供区县单位引用省级、市级单位信息系统功能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引用上级数据目录</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提供区县单位引用省级、市级单位数据目录功能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县级专区展示、检索</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专区目录按照所属层级、主题分类展示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数据仓目录管理</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提供数据回流的标记功能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continue"/>
            <w:shd w:val="clear" w:color="auto" w:fill="auto"/>
            <w:vAlign w:val="center"/>
          </w:tcPr>
          <w:p>
            <w:pPr>
              <w:jc w:val="center"/>
              <w:rPr>
                <w:rFonts w:ascii="宋体" w:hAnsi="宋体" w:cs="宋体"/>
                <w:color w:val="auto"/>
                <w:sz w:val="24"/>
              </w:rPr>
            </w:pP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提供对应数据仓目录的展示与检索、展示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数据仓目录认领</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提供省级回流目录分发和市级目录下放分发功能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continue"/>
            <w:shd w:val="clear" w:color="auto" w:fill="auto"/>
            <w:vAlign w:val="center"/>
          </w:tcPr>
          <w:p>
            <w:pPr>
              <w:jc w:val="center"/>
              <w:rPr>
                <w:rFonts w:ascii="宋体" w:hAnsi="宋体" w:cs="宋体"/>
                <w:color w:val="auto"/>
                <w:sz w:val="24"/>
              </w:rPr>
            </w:pP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提供回流目录的认领功能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数据仓目录共享申请</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回流目录与数据对接。对接回流数据目录与归集平台归集数据的对接处理；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continue"/>
            <w:shd w:val="clear" w:color="auto" w:fill="auto"/>
            <w:vAlign w:val="center"/>
          </w:tcPr>
          <w:p>
            <w:pPr>
              <w:jc w:val="center"/>
              <w:rPr>
                <w:rFonts w:ascii="宋体" w:hAnsi="宋体" w:cs="宋体"/>
                <w:color w:val="auto"/>
                <w:sz w:val="24"/>
              </w:rPr>
            </w:pP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根据省市相关规定及实际需求，改造对回流数据的共享申请流程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一体化数字资源对接</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对接省一体化数字资源系统，实现数据资源开通、数据资源表单申请、数字资源编码等对接。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vMerge w:val="continue"/>
            <w:shd w:val="clear" w:color="auto" w:fill="auto"/>
            <w:vAlign w:val="center"/>
          </w:tcPr>
          <w:p>
            <w:pPr>
              <w:jc w:val="center"/>
              <w:rPr>
                <w:rFonts w:ascii="宋体" w:hAnsi="宋体" w:cs="宋体"/>
                <w:color w:val="auto"/>
                <w:sz w:val="24"/>
              </w:rPr>
            </w:pP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共享接口申请、批量数据授权、导出等表单对接。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数据标准管理系统</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标准数据元库</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提供基础库及各部门共性的公共数据元梳理，规范公共数据元的标准，明确数据元的名称、定义、数据类型、数据长度、数据字段，建立标准数据元库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数据分类编码管理</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提供数据分类编码基本信息管理、标准导入、导出管理等功能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数据元管理</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数据元管理模块提供数据元信息管理、数据元的导入导出等功能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数据元标注功能</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提供对指标库中数据项进行数据元标注功能，根据数据元可检索到对应关联过的指标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数据标准比对功能</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提供对已标注数据元的指标数据项进行标准比对，通过比对查看数据项的标准率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数据目录治理服务</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数据项标准化服务</w:t>
            </w:r>
          </w:p>
        </w:tc>
        <w:tc>
          <w:tcPr>
            <w:tcW w:w="2903"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针对台州市全市目录数据项，按照全省统一公共数据元规范，对历史数据项进行标准化处理</w:t>
            </w:r>
          </w:p>
        </w:tc>
        <w:tc>
          <w:tcPr>
            <w:tcW w:w="2555" w:type="dxa"/>
            <w:vMerge w:val="restart"/>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在提供上述两项的服务过程中，为方便工作对接，要求保证至少驻场1人，驻场时间为本项目开始至本项目验收。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数据质量检查服务</w:t>
            </w:r>
          </w:p>
        </w:tc>
        <w:tc>
          <w:tcPr>
            <w:tcW w:w="2903"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按照每月不少于5次的频率，根据省统一目录要求及考核要求对市县数据目录进行抽查，形成检查报告，包括存在问题、整改措施等。</w:t>
            </w:r>
          </w:p>
        </w:tc>
        <w:tc>
          <w:tcPr>
            <w:tcW w:w="2555" w:type="dxa"/>
            <w:vMerge w:val="continue"/>
            <w:shd w:val="clear" w:color="auto" w:fill="auto"/>
            <w:vAlign w:val="center"/>
          </w:tcPr>
          <w:p>
            <w:pPr>
              <w:widowControl/>
              <w:jc w:val="center"/>
              <w:textAlignment w:val="center"/>
              <w:rPr>
                <w:rFonts w:ascii="宋体" w:hAnsi="宋体" w:cs="宋体"/>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96"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728"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数据治理升级</w:t>
            </w:r>
          </w:p>
        </w:tc>
        <w:tc>
          <w:tcPr>
            <w:tcW w:w="1340" w:type="dxa"/>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省问题反馈系统对接</w:t>
            </w:r>
          </w:p>
        </w:tc>
        <w:tc>
          <w:tcPr>
            <w:tcW w:w="1262" w:type="dxa"/>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省问题反馈系统对接</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通过接口进行工单信息对接、文件上传等方式，完成省市数据问题反馈系统一体化对接，及时向省平台上报数据问题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数据可视化</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数据可视化</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通过对问题反馈数据的统计分析，以时间、应用、区域、部门等指标为维度，对目前发现问题数量、处理问题数量情况进行可视化展示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数据工单系统</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工单列表</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包含提交的工单、接收的工单、需分派的工单、需审核的工单等功能，实现从工单产生到工单分派、审核的全流程管理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工单总览</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工单总览通过列表的形式，对问题反馈系统中的所有问题数据整改工单进行了展示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工单统计</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工单统计功能按照数量、质量、异常、渠道四个维度，对登录人权限范围内的数据问题工单进行可视化展示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工单报告</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对本部门或多个部门的问题数据工单报告的类型、时间范围进行选择，生成并导出问题数据年报、月报、周报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联系人管理</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联系人管理</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对每个部门数据质量管理负责人及分管领导进行管理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问题管理中心</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流程管理</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数据处理的流程进行灵活配置、修改、启用、停用。制定数据质量评分模型，确保数据问题反馈闭环。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渠道管理</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查看已接入的应用系统及其网址、接入时间、接入状态应用系统负责人等详情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权限管理</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主要提供用户、角色管理功能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人员驻场</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人员驻场服务</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提供人员驻场服务，实现与省级及区县部门数据治理问题对接。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96"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728"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统一用户体系升级</w:t>
            </w:r>
          </w:p>
        </w:tc>
        <w:tc>
          <w:tcPr>
            <w:tcW w:w="1340" w:type="dxa"/>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组织架构及人员信息获取</w:t>
            </w:r>
          </w:p>
        </w:tc>
        <w:tc>
          <w:tcPr>
            <w:tcW w:w="1262" w:type="dxa"/>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组织架构及人员信息获取</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通过全量获取的方式拉取组织架构及人员信息，采用实时更新的方式推送用户信息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restart"/>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统一身份认证对接</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前端单点插件集成</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前端单点插件集成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后端单点用户信息解析</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后端单点用户信息解析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vMerge w:val="continue"/>
            <w:shd w:val="clear" w:color="auto" w:fill="auto"/>
            <w:vAlign w:val="center"/>
          </w:tcPr>
          <w:p>
            <w:pPr>
              <w:jc w:val="center"/>
              <w:rPr>
                <w:rFonts w:ascii="宋体" w:hAnsi="宋体" w:cs="宋体"/>
                <w:color w:val="auto"/>
                <w:sz w:val="24"/>
              </w:rPr>
            </w:pP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数据迁移</w:t>
            </w:r>
          </w:p>
        </w:tc>
        <w:tc>
          <w:tcPr>
            <w:tcW w:w="5458" w:type="dxa"/>
            <w:gridSpan w:val="2"/>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发用户权限部门功能，给个人用户设置部门用户目录管理权限。将目录从原有的易和部门用户对应到idaas的用户上。在用户权限部门功能中根据部门提供的人员，配置用户权限部门。将与易和部门绑定的目录，切换到idaas部门上。用户用idaas账号登录，检查目录，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496" w:type="dxa"/>
            <w:vMerge w:val="continue"/>
            <w:shd w:val="clear" w:color="auto" w:fill="auto"/>
            <w:vAlign w:val="center"/>
          </w:tcPr>
          <w:p>
            <w:pPr>
              <w:widowControl/>
              <w:jc w:val="center"/>
              <w:textAlignment w:val="center"/>
              <w:rPr>
                <w:rFonts w:ascii="宋体" w:hAnsi="宋体" w:cs="宋体"/>
                <w:color w:val="auto"/>
                <w:sz w:val="24"/>
              </w:rPr>
            </w:pPr>
          </w:p>
        </w:tc>
        <w:tc>
          <w:tcPr>
            <w:tcW w:w="728" w:type="dxa"/>
            <w:vMerge w:val="continue"/>
            <w:shd w:val="clear" w:color="auto" w:fill="auto"/>
            <w:vAlign w:val="center"/>
          </w:tcPr>
          <w:p>
            <w:pPr>
              <w:jc w:val="center"/>
              <w:rPr>
                <w:rFonts w:ascii="宋体" w:hAnsi="宋体" w:cs="宋体"/>
                <w:color w:val="auto"/>
                <w:sz w:val="24"/>
              </w:rPr>
            </w:pPr>
          </w:p>
        </w:tc>
        <w:tc>
          <w:tcPr>
            <w:tcW w:w="1340"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共享域与IDaaS统一用户中心的对接</w:t>
            </w:r>
          </w:p>
        </w:tc>
        <w:tc>
          <w:tcPr>
            <w:tcW w:w="1262" w:type="dxa"/>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与IDaaS统一用户中心的对接</w:t>
            </w:r>
          </w:p>
        </w:tc>
        <w:tc>
          <w:tcPr>
            <w:tcW w:w="5458" w:type="dxa"/>
            <w:gridSpan w:val="2"/>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共享域将完成与IDaaS统一用户中心的对接工作；获取易和与浙政钉用户关联关系，与部门确认更新关联关系。同时，针对历史用户数据，做好数据映射，本地数据存储易和ID、浙政钉ID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6"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728"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统计分析</w:t>
            </w:r>
          </w:p>
        </w:tc>
        <w:tc>
          <w:tcPr>
            <w:tcW w:w="1340"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统计分析</w:t>
            </w:r>
          </w:p>
        </w:tc>
        <w:tc>
          <w:tcPr>
            <w:tcW w:w="1262" w:type="dxa"/>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统计分析</w:t>
            </w:r>
          </w:p>
        </w:tc>
        <w:tc>
          <w:tcPr>
            <w:tcW w:w="5458" w:type="dxa"/>
            <w:gridSpan w:val="2"/>
            <w:shd w:val="clear" w:color="auto" w:fill="auto"/>
            <w:vAlign w:val="center"/>
          </w:tcPr>
          <w:p>
            <w:pPr>
              <w:widowControl/>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通过对省回流目录、本地目录、数据接口数据的统计分析，对目前台州市各县、市（区）目录数量情况进行可视化展示；以时间、部门、目录为维度，展现目录归集率、接口调用量、部门调用量、开放数据量、汇聚数据总数等情况；通过对数据归集过程的监控，对目前台州市一体化智能化公共数据平台归集全流程进行可视化展示；以时间、地区、部门、目录为维度，展现目录归集率、日归集数据量、市本级部门数据量排名、汇聚数据总数、月归集数据量、区县归集数据量等情况；通过多维度的统计分析</w:t>
            </w:r>
          </w:p>
        </w:tc>
      </w:tr>
    </w:tbl>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2、公共数据共享域</w:t>
      </w:r>
    </w:p>
    <w:tbl>
      <w:tblPr>
        <w:tblStyle w:val="25"/>
        <w:tblW w:w="9284" w:type="dxa"/>
        <w:tblInd w:w="0" w:type="dxa"/>
        <w:tblLayout w:type="fixed"/>
        <w:tblCellMar>
          <w:top w:w="0" w:type="dxa"/>
          <w:left w:w="108" w:type="dxa"/>
          <w:bottom w:w="0" w:type="dxa"/>
          <w:right w:w="108" w:type="dxa"/>
        </w:tblCellMar>
      </w:tblPr>
      <w:tblGrid>
        <w:gridCol w:w="338"/>
        <w:gridCol w:w="954"/>
        <w:gridCol w:w="954"/>
        <w:gridCol w:w="954"/>
        <w:gridCol w:w="6084"/>
      </w:tblGrid>
      <w:tr>
        <w:tblPrEx>
          <w:tblLayout w:type="fixed"/>
          <w:tblCellMar>
            <w:top w:w="0" w:type="dxa"/>
            <w:left w:w="108" w:type="dxa"/>
            <w:bottom w:w="0" w:type="dxa"/>
            <w:right w:w="108" w:type="dxa"/>
          </w:tblCellMar>
        </w:tblPrEx>
        <w:trPr>
          <w:trHeight w:val="285" w:hRule="atLeast"/>
        </w:trPr>
        <w:tc>
          <w:tcPr>
            <w:tcW w:w="92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2、公共数据共享域</w:t>
            </w:r>
          </w:p>
        </w:tc>
      </w:tr>
      <w:tr>
        <w:tblPrEx>
          <w:tblLayout w:type="fixed"/>
          <w:tblCellMar>
            <w:top w:w="0" w:type="dxa"/>
            <w:left w:w="108" w:type="dxa"/>
            <w:bottom w:w="0" w:type="dxa"/>
            <w:right w:w="108" w:type="dxa"/>
          </w:tblCellMar>
        </w:tblPrEx>
        <w:trPr>
          <w:trHeight w:val="937"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对接IRS资源管理系统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对接IRS资源管理系统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对接IRS资源管理系统</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由台州市级公共数据服务平台负责对接IRS【数据资源开通通知接口】，统一接收IRS完成数据审批后向对应的数据资源平台发送IRS流程单编码和应用ID</w:t>
            </w:r>
          </w:p>
        </w:tc>
      </w:tr>
      <w:tr>
        <w:tblPrEx>
          <w:tblLayout w:type="fixed"/>
          <w:tblCellMar>
            <w:top w:w="0" w:type="dxa"/>
            <w:left w:w="108" w:type="dxa"/>
            <w:bottom w:w="0" w:type="dxa"/>
            <w:right w:w="108" w:type="dxa"/>
          </w:tblCellMar>
        </w:tblPrEx>
        <w:trPr>
          <w:trHeight w:val="285"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区县专区建设及服务</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用户权限管理升级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可视化分区</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可视化分区增加区县权限</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共享市场分区</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共享市场分区增加区县权限</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应用管控权限</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应用管控权限增加区县权限</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接口服务审批权</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接口服务审批权增加区县权限</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安全检测权限</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安全检测权限增加区县权限</w:t>
            </w:r>
          </w:p>
        </w:tc>
      </w:tr>
      <w:tr>
        <w:tblPrEx>
          <w:tblLayout w:type="fixed"/>
          <w:tblCellMar>
            <w:top w:w="0" w:type="dxa"/>
            <w:left w:w="108" w:type="dxa"/>
            <w:bottom w:w="0" w:type="dxa"/>
            <w:right w:w="108" w:type="dxa"/>
          </w:tblCellMar>
        </w:tblPrEx>
        <w:trPr>
          <w:trHeight w:val="872"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区县共享技术实施服务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接口开发</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接口开发服务是基于区县业务部门提出的明确且具体的接口需求，将数据治理后产生的优质数据及专题库内的专题数据开发成接口，注册到台州市数据共享平台上。</w:t>
            </w:r>
          </w:p>
        </w:tc>
      </w:tr>
      <w:tr>
        <w:tblPrEx>
          <w:tblLayout w:type="fixed"/>
          <w:tblCellMar>
            <w:top w:w="0" w:type="dxa"/>
            <w:left w:w="108" w:type="dxa"/>
            <w:bottom w:w="0" w:type="dxa"/>
            <w:right w:w="108" w:type="dxa"/>
          </w:tblCellMar>
        </w:tblPrEx>
        <w:trPr>
          <w:trHeight w:val="942"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接口注册</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将已开发的接口注册到台州市数据共享平台区县专区上。由台州市数据共享平台作为区县公共数据的统一出口，实现数据在部门间、应用内的安全流转。</w:t>
            </w:r>
          </w:p>
        </w:tc>
      </w:tr>
      <w:tr>
        <w:tblPrEx>
          <w:tblLayout w:type="fixed"/>
          <w:tblCellMar>
            <w:top w:w="0" w:type="dxa"/>
            <w:left w:w="108" w:type="dxa"/>
            <w:bottom w:w="0" w:type="dxa"/>
            <w:right w:w="108" w:type="dxa"/>
          </w:tblCellMar>
        </w:tblPrEx>
        <w:trPr>
          <w:trHeight w:val="1181"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接口申请</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根据区县各级业务部门数据使用需求，协助各部门进行接口使用材料的准备，主要包括接口使用申请填写讲解、初步判断接口使用申请是否合规，接口使用申请通过后的接口封装、接口配置等</w:t>
            </w:r>
          </w:p>
        </w:tc>
      </w:tr>
      <w:tr>
        <w:tblPrEx>
          <w:tblLayout w:type="fixed"/>
          <w:tblCellMar>
            <w:top w:w="0" w:type="dxa"/>
            <w:left w:w="108" w:type="dxa"/>
            <w:bottom w:w="0" w:type="dxa"/>
            <w:right w:w="108" w:type="dxa"/>
          </w:tblCellMar>
        </w:tblPrEx>
        <w:trPr>
          <w:trHeight w:val="85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接口审批</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在区县专区建设规划中提供接口审批服务，根据受限接口和非受限接口申请情况分别建立相应审批流程</w:t>
            </w:r>
          </w:p>
        </w:tc>
      </w:tr>
      <w:tr>
        <w:tblPrEx>
          <w:tblLayout w:type="fixed"/>
          <w:tblCellMar>
            <w:top w:w="0" w:type="dxa"/>
            <w:left w:w="108" w:type="dxa"/>
            <w:bottom w:w="0" w:type="dxa"/>
            <w:right w:w="108" w:type="dxa"/>
          </w:tblCellMar>
        </w:tblPrEx>
        <w:trPr>
          <w:trHeight w:val="838"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接口应用统计</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提供接口应用统计服务，对区县专区接口共享服务情况进行统计，包括接口调用量、接口申请审批办理实效性、接口应用服务场景等进行统计</w:t>
            </w:r>
          </w:p>
        </w:tc>
      </w:tr>
      <w:tr>
        <w:tblPrEx>
          <w:tblLayout w:type="fixed"/>
          <w:tblCellMar>
            <w:top w:w="0" w:type="dxa"/>
            <w:left w:w="108" w:type="dxa"/>
            <w:bottom w:w="0" w:type="dxa"/>
            <w:right w:w="108" w:type="dxa"/>
          </w:tblCellMar>
        </w:tblPrEx>
        <w:trPr>
          <w:trHeight w:val="1258"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日志分析系统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分析规则梳理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分析规则梳理</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分析规则梳理.异常调用分析以被调用的接口为主线，主要从日调用量、非工作时间调用、瞬时调用三个时间维度对应用对应接口的异常调用进行分析；敏感调用分析。主要从接口的敏感等级以及从接口出参中的敏感数据两个角度进行分析。</w:t>
            </w:r>
          </w:p>
        </w:tc>
      </w:tr>
      <w:tr>
        <w:tblPrEx>
          <w:tblLayout w:type="fixed"/>
          <w:tblCellMar>
            <w:top w:w="0" w:type="dxa"/>
            <w:left w:w="108" w:type="dxa"/>
            <w:bottom w:w="0" w:type="dxa"/>
            <w:right w:w="108" w:type="dxa"/>
          </w:tblCellMar>
        </w:tblPrEx>
        <w:trPr>
          <w:trHeight w:val="1139"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模型搭建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模型搭建</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针对异常分析规则进行模型搭建，包含异常调用分析模型、敏感调用分析模型两大类。异常调用分析模型的底层异常指标主要分为异常调用量、非工作时间调用、敏感调用分析三大类。敏感调用分析模型主要针对个人信息进行安全分级评估，并对接口进行敏感等级标注。</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规则管理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规则管理</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规则列表进行检索、规则配置和对不适用规则的应用进行增删改查操</w:t>
            </w:r>
          </w:p>
        </w:tc>
      </w:tr>
      <w:tr>
        <w:tblPrEx>
          <w:tblLayout w:type="fixed"/>
          <w:tblCellMar>
            <w:top w:w="0" w:type="dxa"/>
            <w:left w:w="108" w:type="dxa"/>
            <w:bottom w:w="0" w:type="dxa"/>
            <w:right w:w="108" w:type="dxa"/>
          </w:tblCellMar>
        </w:tblPrEx>
        <w:trPr>
          <w:trHeight w:val="672"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异常总览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异常总览</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包含调用异常统计总量、报警情况统计、部门报警情况列表、报警应用明细</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异常分析</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异常分析</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由条件筛选、异常应用列表、查看详情等模块组成</w:t>
            </w:r>
          </w:p>
        </w:tc>
      </w:tr>
      <w:tr>
        <w:tblPrEx>
          <w:tblLayout w:type="fixed"/>
          <w:tblCellMar>
            <w:top w:w="0" w:type="dxa"/>
            <w:left w:w="108" w:type="dxa"/>
            <w:bottom w:w="0" w:type="dxa"/>
            <w:right w:w="108" w:type="dxa"/>
          </w:tblCellMar>
        </w:tblPrEx>
        <w:trPr>
          <w:trHeight w:val="522"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异常查询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异常查询</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异常查询以调用时间异常、日调用量异常、瞬时调用异常、敏感信息调用</w:t>
            </w:r>
            <w:r>
              <w:rPr>
                <w:rFonts w:hint="eastAsia" w:ascii="宋体" w:hAnsi="宋体" w:cs="宋体"/>
                <w:color w:val="auto"/>
                <w:sz w:val="24"/>
              </w:rPr>
              <w:t>、调用阀域（IP）异常</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报警处理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报警处理</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报警处理模块包括未处理列表功能和已处理列表功能</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日志查询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日志查询</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系统将以列表的形式展示接口名称、调用应用、部门、appkey等信息</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日志服务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日志服务</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提供日志分析人工服务，包括分析、跟踪、整改督促等</w:t>
            </w:r>
          </w:p>
        </w:tc>
      </w:tr>
    </w:tbl>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kern w:val="0"/>
          <w:sz w:val="24"/>
          <w:lang w:bidi="ar"/>
        </w:rPr>
        <w:t>3、公共数据开放域</w:t>
      </w:r>
    </w:p>
    <w:tbl>
      <w:tblPr>
        <w:tblStyle w:val="25"/>
        <w:tblW w:w="9285" w:type="dxa"/>
        <w:tblInd w:w="0" w:type="dxa"/>
        <w:tblLayout w:type="fixed"/>
        <w:tblCellMar>
          <w:top w:w="0" w:type="dxa"/>
          <w:left w:w="108" w:type="dxa"/>
          <w:bottom w:w="0" w:type="dxa"/>
          <w:right w:w="108" w:type="dxa"/>
        </w:tblCellMar>
      </w:tblPr>
      <w:tblGrid>
        <w:gridCol w:w="338"/>
        <w:gridCol w:w="1037"/>
        <w:gridCol w:w="1315"/>
        <w:gridCol w:w="1315"/>
        <w:gridCol w:w="5280"/>
      </w:tblGrid>
      <w:tr>
        <w:tblPrEx>
          <w:tblLayout w:type="fixed"/>
          <w:tblCellMar>
            <w:top w:w="0" w:type="dxa"/>
            <w:left w:w="108" w:type="dxa"/>
            <w:bottom w:w="0" w:type="dxa"/>
            <w:right w:w="108" w:type="dxa"/>
          </w:tblCellMar>
        </w:tblPrEx>
        <w:trPr>
          <w:trHeight w:val="285" w:hRule="atLeast"/>
        </w:trPr>
        <w:tc>
          <w:tcPr>
            <w:tcW w:w="9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3、公共数据开放域</w:t>
            </w:r>
          </w:p>
        </w:tc>
      </w:tr>
      <w:tr>
        <w:tblPrEx>
          <w:tblLayout w:type="fixed"/>
          <w:tblCellMar>
            <w:top w:w="0" w:type="dxa"/>
            <w:left w:w="108" w:type="dxa"/>
            <w:bottom w:w="0" w:type="dxa"/>
            <w:right w:w="108" w:type="dxa"/>
          </w:tblCellMar>
        </w:tblPrEx>
        <w:trPr>
          <w:trHeight w:val="285"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开放平台（企业侧）建设</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数据开放实验室门户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sz w:val="24"/>
              </w:rPr>
              <w:t>数据开放实验室门户</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sz w:val="24"/>
              </w:rPr>
              <w:t>数据开放实验室入口，展示数据开放平台简介、工作流程</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kern w:val="0"/>
                <w:sz w:val="24"/>
                <w:lang w:bidi="ar"/>
              </w:rPr>
              <w:t>注册登陆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用户注册、登陆、认证</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支持合作方注册、登陆和密码找回及密码修改。</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浙里办账号体系打通</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支持与浙里办合作方账号体系打通，支持浙里办的合作方账号登录</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实名认证</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支持合作方实名认证（浙里办）</w:t>
            </w:r>
          </w:p>
        </w:tc>
      </w:tr>
      <w:tr>
        <w:tblPrEx>
          <w:tblLayout w:type="fixed"/>
          <w:tblCellMar>
            <w:top w:w="0" w:type="dxa"/>
            <w:left w:w="108" w:type="dxa"/>
            <w:bottom w:w="0" w:type="dxa"/>
            <w:right w:w="108" w:type="dxa"/>
          </w:tblCellMar>
        </w:tblPrEx>
        <w:trPr>
          <w:trHeight w:val="499"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数据资源申请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数据资源申请</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支持合作方提交申请材料（“四个一”流程）、查看申请进度，反馈等</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数据资源目录</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支持合作方查看数据资源目录</w:t>
            </w:r>
          </w:p>
        </w:tc>
      </w:tr>
      <w:tr>
        <w:tblPrEx>
          <w:tblLayout w:type="fixed"/>
          <w:tblCellMar>
            <w:top w:w="0" w:type="dxa"/>
            <w:left w:w="108" w:type="dxa"/>
            <w:bottom w:w="0" w:type="dxa"/>
            <w:right w:w="108" w:type="dxa"/>
          </w:tblCellMar>
        </w:tblPrEx>
        <w:trPr>
          <w:trHeight w:val="22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支持合作方查看当前所有数据服务的基本信息、当前状态</w:t>
            </w:r>
          </w:p>
        </w:tc>
      </w:tr>
      <w:tr>
        <w:tblPrEx>
          <w:tblLayout w:type="fixed"/>
          <w:tblCellMar>
            <w:top w:w="0" w:type="dxa"/>
            <w:left w:w="108" w:type="dxa"/>
            <w:bottom w:w="0" w:type="dxa"/>
            <w:right w:w="108" w:type="dxa"/>
          </w:tblCellMar>
        </w:tblPrEx>
        <w:trPr>
          <w:trHeight w:val="499"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数据服务发布</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在数据服务开发完成后，提交发布数据服务申请，审批通过后完成数据服务的发布</w:t>
            </w:r>
          </w:p>
        </w:tc>
      </w:tr>
      <w:tr>
        <w:tblPrEx>
          <w:tblLayout w:type="fixed"/>
          <w:tblCellMar>
            <w:top w:w="0" w:type="dxa"/>
            <w:left w:w="108" w:type="dxa"/>
            <w:bottom w:w="0" w:type="dxa"/>
            <w:right w:w="108" w:type="dxa"/>
          </w:tblCellMar>
        </w:tblPrEx>
        <w:trPr>
          <w:trHeight w:val="19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平台用户管理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子账号创建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支持合作方管理员创建平台的子账号</w:t>
            </w:r>
          </w:p>
        </w:tc>
      </w:tr>
      <w:tr>
        <w:tblPrEx>
          <w:tblLayout w:type="fixed"/>
          <w:tblCellMar>
            <w:top w:w="0" w:type="dxa"/>
            <w:left w:w="108" w:type="dxa"/>
            <w:bottom w:w="0" w:type="dxa"/>
            <w:right w:w="108" w:type="dxa"/>
          </w:tblCellMar>
        </w:tblPrEx>
        <w:trPr>
          <w:trHeight w:val="341"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子账号管理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支持合作方管理员管理平台的子账号</w:t>
            </w:r>
          </w:p>
        </w:tc>
      </w:tr>
      <w:tr>
        <w:tblPrEx>
          <w:tblLayout w:type="fixed"/>
          <w:tblCellMar>
            <w:top w:w="0" w:type="dxa"/>
            <w:left w:w="108" w:type="dxa"/>
            <w:bottom w:w="0" w:type="dxa"/>
            <w:right w:w="108" w:type="dxa"/>
          </w:tblCellMar>
        </w:tblPrEx>
        <w:trPr>
          <w:trHeight w:val="704"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开放平台（运营侧）建设</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合作方管理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待审核合作方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支持运营人员新增合作方、审核合作方的基本信息、通过合作方名称或联系人的相关信息查询待审核合作方的基本信息。</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合作方信息查询</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支持运营人员通过合作方名称、联系人信息查询合作方的基本信息</w:t>
            </w:r>
          </w:p>
        </w:tc>
      </w:tr>
      <w:tr>
        <w:tblPrEx>
          <w:tblLayout w:type="fixed"/>
          <w:tblCellMar>
            <w:top w:w="0" w:type="dxa"/>
            <w:left w:w="108" w:type="dxa"/>
            <w:bottom w:w="0" w:type="dxa"/>
            <w:right w:w="108" w:type="dxa"/>
          </w:tblCellMar>
        </w:tblPrEx>
        <w:trPr>
          <w:trHeight w:val="418"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合作方申请管理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提供合作方信息审核、管理、“四个一”申请材料审核、管理等功能。</w:t>
            </w:r>
          </w:p>
        </w:tc>
      </w:tr>
      <w:tr>
        <w:tblPrEx>
          <w:tblLayout w:type="fixed"/>
          <w:tblCellMar>
            <w:top w:w="0" w:type="dxa"/>
            <w:left w:w="108" w:type="dxa"/>
            <w:bottom w:w="0" w:type="dxa"/>
            <w:right w:w="108" w:type="dxa"/>
          </w:tblCellMar>
        </w:tblPrEx>
        <w:trPr>
          <w:trHeight w:val="461"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云资源账号维护</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支持运营人员在合作方数据资源申请审核通过后，维护ODPS相关云账号的信息，并与ODLAB的合作方做关联。</w:t>
            </w:r>
          </w:p>
        </w:tc>
      </w:tr>
      <w:tr>
        <w:tblPrEx>
          <w:tblLayout w:type="fixed"/>
          <w:tblCellMar>
            <w:top w:w="0" w:type="dxa"/>
            <w:left w:w="108" w:type="dxa"/>
            <w:bottom w:w="0" w:type="dxa"/>
            <w:right w:w="108" w:type="dxa"/>
          </w:tblCellMar>
        </w:tblPrEx>
        <w:trPr>
          <w:trHeight w:val="976"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服务上架管理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数据服务创建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在合作方完成数据服务开发，提交数据服务发布申请时使用。支持运营人员填写数据服务名称、类型、地址等信息，并由运营人员后台同步脚本至ODPS环境。</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数据服务展示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在合作方完成数据开发，提交数据服务发布申请，经审批后，提供数据服务结果查看功能</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数据服务配置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为运营人员提供数据服务生成API配置的工作流。</w:t>
            </w:r>
          </w:p>
        </w:tc>
      </w:tr>
      <w:tr>
        <w:tblPrEx>
          <w:tblLayout w:type="fixed"/>
          <w:tblCellMar>
            <w:top w:w="0" w:type="dxa"/>
            <w:left w:w="108" w:type="dxa"/>
            <w:bottom w:w="0" w:type="dxa"/>
            <w:right w:w="108" w:type="dxa"/>
          </w:tblCellMar>
        </w:tblPrEx>
        <w:trPr>
          <w:trHeight w:val="896"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数据服务发布</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选配，支持运营人员进行导出表的申请和实际导出表至RDS的操作。（如需以API形式发布至网关，则进行相应的数据服务上架网关的发布操作）</w:t>
            </w:r>
          </w:p>
        </w:tc>
      </w:tr>
      <w:tr>
        <w:tblPrEx>
          <w:tblLayout w:type="fixed"/>
          <w:tblCellMar>
            <w:top w:w="0" w:type="dxa"/>
            <w:left w:w="108" w:type="dxa"/>
            <w:bottom w:w="0" w:type="dxa"/>
            <w:right w:w="108" w:type="dxa"/>
          </w:tblCellMar>
        </w:tblPrEx>
        <w:trPr>
          <w:trHeight w:val="623"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资源管理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数据资源对接</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1、公开数据、受限数据的目录快捷对接，并能经由运营人员确认是否纳入数据资源管理。经确认后，自动完成数据资源对接。2、开放域系统承接用户自有数据开放目录平台的对接。</w:t>
            </w:r>
          </w:p>
        </w:tc>
      </w:tr>
      <w:tr>
        <w:tblPrEx>
          <w:tblLayout w:type="fixed"/>
          <w:tblCellMar>
            <w:top w:w="0" w:type="dxa"/>
            <w:left w:w="108" w:type="dxa"/>
            <w:bottom w:w="0" w:type="dxa"/>
            <w:right w:w="108" w:type="dxa"/>
          </w:tblCellMar>
        </w:tblPrEx>
        <w:trPr>
          <w:trHeight w:val="714"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数据资源管理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使用图表、列表展示经由运营人员确认后的数据资源情况，包含且不限于基本信息、来源信息、数据更新状态、关联应用数量。</w:t>
            </w:r>
          </w:p>
        </w:tc>
      </w:tr>
      <w:tr>
        <w:tblPrEx>
          <w:tblLayout w:type="fixed"/>
          <w:tblCellMar>
            <w:top w:w="0" w:type="dxa"/>
            <w:left w:w="108" w:type="dxa"/>
            <w:bottom w:w="0" w:type="dxa"/>
            <w:right w:w="108" w:type="dxa"/>
          </w:tblCellMar>
        </w:tblPrEx>
        <w:trPr>
          <w:trHeight w:val="476"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网关管理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应用关系维护</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提供应用及各类API关系维护功能，包含是否校验、是否限流、限流次数等</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应用日志</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各类应用API调用次数等应用日志查看，包括：调用次数等，并提供基础日志查询功能</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来源API</w:t>
            </w:r>
          </w:p>
        </w:tc>
        <w:tc>
          <w:tcPr>
            <w:tcW w:w="5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第三方来源支持多平台的鉴权逻辑维护，来源API将多平台的接口注册在网关上，出口API可以对来源API设置出口规则，包括映射关系，脱敏规则，限流规则等。网关提供基础的日志查询功能</w:t>
            </w: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出口API</w:t>
            </w:r>
          </w:p>
        </w:tc>
        <w:tc>
          <w:tcPr>
            <w:tcW w:w="5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第三方来源</w:t>
            </w:r>
          </w:p>
        </w:tc>
        <w:tc>
          <w:tcPr>
            <w:tcW w:w="5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Layout w:type="fixed"/>
          <w:tblCellMar>
            <w:top w:w="0" w:type="dxa"/>
            <w:left w:w="108" w:type="dxa"/>
            <w:bottom w:w="0" w:type="dxa"/>
            <w:right w:w="108" w:type="dxa"/>
          </w:tblCellMar>
        </w:tblPrEx>
        <w:trPr>
          <w:trHeight w:val="28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API管理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数据源管理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提供对多来源的数据源进行管理。</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API创建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提供API数据服务生成功能，将多数据源的数据快速定义成API接口。</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脱敏管理</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脱敏函数管理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定义脱敏函数的相关设置，针对不同的对象设置不同脱敏规则。</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定义脱敏函数，对存储的数据进行静态脱敏处理。</w:t>
            </w:r>
          </w:p>
        </w:tc>
      </w:tr>
      <w:tr>
        <w:tblPrEx>
          <w:tblLayout w:type="fixed"/>
          <w:tblCellMar>
            <w:top w:w="0" w:type="dxa"/>
            <w:left w:w="108" w:type="dxa"/>
            <w:bottom w:w="0" w:type="dxa"/>
            <w:right w:w="108" w:type="dxa"/>
          </w:tblCellMar>
        </w:tblPrEx>
        <w:trPr>
          <w:trHeight w:val="533"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用户权限管理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用户管理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管理后台创建账号、分配角色，实现运营管理账号创建以及管理</w:t>
            </w:r>
          </w:p>
        </w:tc>
      </w:tr>
      <w:tr>
        <w:tblPrEx>
          <w:tblLayout w:type="fixed"/>
          <w:tblCellMar>
            <w:top w:w="0" w:type="dxa"/>
            <w:left w:w="108" w:type="dxa"/>
            <w:bottom w:w="0" w:type="dxa"/>
            <w:right w:w="108" w:type="dxa"/>
          </w:tblCellMar>
        </w:tblPrEx>
        <w:trPr>
          <w:trHeight w:val="772"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权限管理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管理后台创建角色，分配页面访问权限、功能使用权限，支持对角色的编辑</w:t>
            </w:r>
          </w:p>
        </w:tc>
      </w:tr>
      <w:tr>
        <w:tblPrEx>
          <w:tblLayout w:type="fixed"/>
          <w:tblCellMar>
            <w:top w:w="0" w:type="dxa"/>
            <w:left w:w="108" w:type="dxa"/>
            <w:bottom w:w="0" w:type="dxa"/>
            <w:right w:w="108" w:type="dxa"/>
          </w:tblCellMar>
        </w:tblPrEx>
        <w:trPr>
          <w:trHeight w:val="657"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数据授权系统建设</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个人数据授权系统（端）</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个人数据宝（端）</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提供数据宝授权端，可在浙里办/微信等多端上架应用。提供对接认证登陆、授权列表、档案中心（个人）等功能。实现受限开放数据的可用不可见。</w:t>
            </w:r>
          </w:p>
        </w:tc>
      </w:tr>
      <w:tr>
        <w:tblPrEx>
          <w:tblLayout w:type="fixed"/>
          <w:tblCellMar>
            <w:top w:w="0" w:type="dxa"/>
            <w:left w:w="108" w:type="dxa"/>
            <w:bottom w:w="0" w:type="dxa"/>
            <w:right w:w="108" w:type="dxa"/>
          </w:tblCellMar>
        </w:tblPrEx>
        <w:trPr>
          <w:trHeight w:val="564"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企业数据授权系统（端）</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企业数据宝（端）</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提供数据宝授权端，可在浙里办/微信等多端上架应用。提供对接认证登陆、授权列表、档案中心（企业）等功能。实现受限开放数据的可用不可见。</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数据授权管理模块</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授权场景配置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配置授权场景，定义数据合作类型、授权模式、API数据包及管理授权场景下的合作方应用。</w:t>
            </w:r>
          </w:p>
        </w:tc>
      </w:tr>
      <w:tr>
        <w:tblPrEx>
          <w:tblLayout w:type="fixed"/>
          <w:tblCellMar>
            <w:top w:w="0" w:type="dxa"/>
            <w:left w:w="108" w:type="dxa"/>
            <w:bottom w:w="0" w:type="dxa"/>
            <w:right w:w="108" w:type="dxa"/>
          </w:tblCellMar>
        </w:tblPrEx>
        <w:trPr>
          <w:trHeight w:val="302"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授权模式配置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配置授权的有效期或计次模式相关类型和参数。</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个档数据服务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个档数据服务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提供个档标准数据服务（以省开放域为准）</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企档数据服务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企档数据服务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提供企档标准数据服务（以省开放域为准）</w:t>
            </w:r>
          </w:p>
        </w:tc>
      </w:tr>
      <w:tr>
        <w:tblPrEx>
          <w:tblLayout w:type="fixed"/>
          <w:tblCellMar>
            <w:top w:w="0" w:type="dxa"/>
            <w:left w:w="108" w:type="dxa"/>
            <w:bottom w:w="0" w:type="dxa"/>
            <w:right w:w="108" w:type="dxa"/>
          </w:tblCellMar>
        </w:tblPrEx>
        <w:trPr>
          <w:trHeight w:val="570"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数据沙箱系统建设</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脱敏核心服务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脱敏中间件</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结合网关，在出口API处调用脱敏服务，完成对接口参数的脱敏处理。</w:t>
            </w:r>
          </w:p>
        </w:tc>
      </w:tr>
      <w:tr>
        <w:tblPrEx>
          <w:tblLayout w:type="fixed"/>
          <w:tblCellMar>
            <w:top w:w="0" w:type="dxa"/>
            <w:left w:w="108" w:type="dxa"/>
            <w:bottom w:w="0" w:type="dxa"/>
            <w:right w:w="108" w:type="dxa"/>
          </w:tblCellMar>
        </w:tblPrEx>
        <w:trPr>
          <w:trHeight w:val="557"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脱敏工具箱</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在ODPS中，根据业务需求提供遮挡类、假名类、信息转换类等漂白函数。</w:t>
            </w:r>
          </w:p>
        </w:tc>
      </w:tr>
      <w:tr>
        <w:tblPrEx>
          <w:tblLayout w:type="fixed"/>
          <w:tblCellMar>
            <w:top w:w="0" w:type="dxa"/>
            <w:left w:w="108" w:type="dxa"/>
            <w:bottom w:w="0" w:type="dxa"/>
            <w:right w:w="108" w:type="dxa"/>
          </w:tblCellMar>
        </w:tblPrEx>
        <w:trPr>
          <w:trHeight w:val="533"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开发生产环境分离方案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开发生产环境分离方案</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提供2套-4套环境标准分离方案可供选择。</w:t>
            </w:r>
          </w:p>
        </w:tc>
      </w:tr>
      <w:tr>
        <w:tblPrEx>
          <w:tblLayout w:type="fixed"/>
          <w:tblCellMar>
            <w:top w:w="0" w:type="dxa"/>
            <w:left w:w="108" w:type="dxa"/>
            <w:bottom w:w="0" w:type="dxa"/>
            <w:right w:w="108" w:type="dxa"/>
          </w:tblCellMar>
        </w:tblPrEx>
        <w:trPr>
          <w:trHeight w:val="381"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基础网关服务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API接口及网关搭建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搭建满足数据开放场景需求的API接口平台及对应的网关环境，</w:t>
            </w:r>
          </w:p>
        </w:tc>
      </w:tr>
      <w:tr>
        <w:tblPrEx>
          <w:tblLayout w:type="fixed"/>
          <w:tblCellMar>
            <w:top w:w="0" w:type="dxa"/>
            <w:left w:w="108" w:type="dxa"/>
            <w:bottom w:w="0" w:type="dxa"/>
            <w:right w:w="108" w:type="dxa"/>
          </w:tblCellMar>
        </w:tblPrEx>
        <w:trPr>
          <w:trHeight w:val="611"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数据接口打通发布</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数据沙箱的模型结果可以申请同步到RDS关系型数据库中，运维人员使用工具，将RDS的数据生成接口并注册到数据网关上</w:t>
            </w:r>
          </w:p>
        </w:tc>
      </w:tr>
      <w:tr>
        <w:tblPrEx>
          <w:tblLayout w:type="fixed"/>
          <w:tblCellMar>
            <w:top w:w="0" w:type="dxa"/>
            <w:left w:w="108" w:type="dxa"/>
            <w:bottom w:w="0" w:type="dxa"/>
            <w:right w:w="108" w:type="dxa"/>
          </w:tblCellMar>
        </w:tblPrEx>
        <w:trPr>
          <w:trHeight w:val="204"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数据合规性校验</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合规性校验是对数据出口内容的最后一道关卡，是数据安全的最后保障，可分为两部分：一是数据校验，对开放出口数据进行合规性校验，保障数据明细不透出，个体信息不泄露；二是代码校验，对企业操作代码执行日志进行记录对代码进行检测，防止敏感操作。</w:t>
            </w:r>
          </w:p>
        </w:tc>
      </w:tr>
      <w:tr>
        <w:tblPrEx>
          <w:tblLayout w:type="fixed"/>
          <w:tblCellMar>
            <w:top w:w="0" w:type="dxa"/>
            <w:left w:w="108" w:type="dxa"/>
            <w:bottom w:w="0" w:type="dxa"/>
            <w:right w:w="108" w:type="dxa"/>
          </w:tblCellMar>
        </w:tblPrEx>
        <w:trPr>
          <w:trHeight w:val="669"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开放门户升级</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开放门户升级</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开放门户升级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对接数林指数评价结果，对开放门户进行功能升级，提升指数排名提供在线问题解答、受限数据集申请、可视化分析</w:t>
            </w:r>
          </w:p>
        </w:tc>
      </w:tr>
      <w:tr>
        <w:tblPrEx>
          <w:tblLayout w:type="fixed"/>
          <w:tblCellMar>
            <w:top w:w="0" w:type="dxa"/>
            <w:left w:w="108" w:type="dxa"/>
            <w:bottom w:w="0" w:type="dxa"/>
            <w:right w:w="108" w:type="dxa"/>
          </w:tblCellMar>
        </w:tblPrEx>
        <w:trPr>
          <w:trHeight w:val="612"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开放门户管理端建设</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开放门户管理端设计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开放门户管理端设计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管理端，从目录管理、资源管理、网站审核、开放统计、政策管理、问卷管理、系统管理</w:t>
            </w:r>
          </w:p>
        </w:tc>
      </w:tr>
      <w:tr>
        <w:tblPrEx>
          <w:tblLayout w:type="fixed"/>
          <w:tblCellMar>
            <w:top w:w="0" w:type="dxa"/>
            <w:left w:w="108" w:type="dxa"/>
            <w:bottom w:w="0" w:type="dxa"/>
            <w:right w:w="108" w:type="dxa"/>
          </w:tblCellMar>
        </w:tblPrEx>
        <w:trPr>
          <w:trHeight w:val="876" w:hRule="atLeast"/>
        </w:trPr>
        <w:tc>
          <w:tcPr>
            <w:tcW w:w="3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区县开放专区建设</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区县特色开放目录</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区县特色开放目录</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区县特色开放目录可对信息资源名称、信息资源代码、信息资源摘要、信息资源格式、标签、数据领域、行业分类进行管理</w:t>
            </w:r>
          </w:p>
        </w:tc>
      </w:tr>
      <w:tr>
        <w:tblPrEx>
          <w:tblLayout w:type="fixed"/>
          <w:tblCellMar>
            <w:top w:w="0" w:type="dxa"/>
            <w:left w:w="108" w:type="dxa"/>
            <w:bottom w:w="0" w:type="dxa"/>
            <w:right w:w="108" w:type="dxa"/>
          </w:tblCellMar>
        </w:tblPrEx>
        <w:trPr>
          <w:trHeight w:val="1123"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开放数据集发布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开放数据集发布</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梳理出台州市各区县开放数据集，并在台州市开放平台区县专区进行展示。用户可进行数据集的查询、查看、预览、下载等操作，还可对数据集进行订阅、收藏、纠错及评论</w:t>
            </w:r>
          </w:p>
        </w:tc>
      </w:tr>
      <w:tr>
        <w:tblPrEx>
          <w:tblLayout w:type="fixed"/>
          <w:tblCellMar>
            <w:top w:w="0" w:type="dxa"/>
            <w:left w:w="108" w:type="dxa"/>
            <w:bottom w:w="0" w:type="dxa"/>
            <w:right w:w="108" w:type="dxa"/>
          </w:tblCellMar>
        </w:tblPrEx>
        <w:trPr>
          <w:trHeight w:val="855"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开放数据接口</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开放数据接口</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梳理出台州市各区县开放数据接口，并在台州市开放平台区县专区进行展示。</w:t>
            </w:r>
          </w:p>
        </w:tc>
      </w:tr>
      <w:tr>
        <w:tblPrEx>
          <w:tblLayout w:type="fixed"/>
          <w:tblCellMar>
            <w:top w:w="0" w:type="dxa"/>
            <w:left w:w="108" w:type="dxa"/>
            <w:bottom w:w="0" w:type="dxa"/>
            <w:right w:w="108" w:type="dxa"/>
          </w:tblCellMar>
        </w:tblPrEx>
        <w:trPr>
          <w:trHeight w:val="691"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开放平台区县管理端用户权限</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开放平台区县管理端用户权限</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对台州市开放平台的用户权限体系进行升级，与浙江省统一用户进行对接。接入区县级用户，在开放后台新增区县级管理员角色。</w:t>
            </w:r>
          </w:p>
        </w:tc>
      </w:tr>
      <w:tr>
        <w:tblPrEx>
          <w:tblLayout w:type="fixed"/>
          <w:tblCellMar>
            <w:top w:w="0" w:type="dxa"/>
            <w:left w:w="108" w:type="dxa"/>
            <w:bottom w:w="0" w:type="dxa"/>
            <w:right w:w="108" w:type="dxa"/>
          </w:tblCellMar>
        </w:tblPrEx>
        <w:trPr>
          <w:trHeight w:val="85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区县目录管理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区县目录管理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区县管理员可通过领域、场景、时间等维度的筛选对平台内数据开放资源目录进行精准定位，并对区县所属的开放目录进行审核、发布、查看、删除等操作。</w:t>
            </w:r>
          </w:p>
        </w:tc>
      </w:tr>
      <w:tr>
        <w:tblPrEx>
          <w:tblLayout w:type="fixed"/>
          <w:tblCellMar>
            <w:top w:w="0" w:type="dxa"/>
            <w:left w:w="108" w:type="dxa"/>
            <w:bottom w:w="0" w:type="dxa"/>
            <w:right w:w="108" w:type="dxa"/>
          </w:tblCellMar>
        </w:tblPrEx>
        <w:trPr>
          <w:trHeight w:val="784"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区县开放资源管理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区县开放资源管理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要包括数据集管理、接口管理，为区县管理员提供开放数据集的发布、撤回和开放接口的发布、撤回的能力</w:t>
            </w:r>
          </w:p>
        </w:tc>
      </w:tr>
      <w:tr>
        <w:tblPrEx>
          <w:tblLayout w:type="fixed"/>
          <w:tblCellMar>
            <w:top w:w="0" w:type="dxa"/>
            <w:left w:w="108" w:type="dxa"/>
            <w:bottom w:w="0" w:type="dxa"/>
            <w:right w:w="108" w:type="dxa"/>
          </w:tblCellMar>
        </w:tblPrEx>
        <w:trPr>
          <w:trHeight w:val="570" w:hRule="atLeast"/>
        </w:trPr>
        <w:tc>
          <w:tcPr>
            <w:tcW w:w="3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区县审核管理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区县审核管理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主要包括数据集下载审核、接口注册审核、接口申请审核</w:t>
            </w:r>
          </w:p>
        </w:tc>
      </w:tr>
      <w:tr>
        <w:tblPrEx>
          <w:tblLayout w:type="fixed"/>
          <w:tblCellMar>
            <w:top w:w="0" w:type="dxa"/>
            <w:left w:w="108" w:type="dxa"/>
            <w:bottom w:w="0" w:type="dxa"/>
            <w:right w:w="108" w:type="dxa"/>
          </w:tblCellMar>
        </w:tblPrEx>
        <w:trPr>
          <w:trHeight w:val="1008" w:hRule="atLeast"/>
        </w:trPr>
        <w:tc>
          <w:tcPr>
            <w:tcW w:w="3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区县开放统计看板</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区县开放统计看板</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管理端中新增区县开放统计的看板，对各区县的数据开放与其使用情况进行统计并做可视化展示，展示内容包括目录审核统计、数据集下载统计、接口申请统计、开放领域统计、开放数据统计等板块</w:t>
            </w:r>
          </w:p>
        </w:tc>
      </w:tr>
    </w:tbl>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kern w:val="0"/>
          <w:sz w:val="24"/>
          <w:lang w:bidi="ar"/>
        </w:rPr>
        <w:t>4、公共数据安全域</w:t>
      </w:r>
    </w:p>
    <w:tbl>
      <w:tblPr>
        <w:tblStyle w:val="25"/>
        <w:tblW w:w="9344" w:type="dxa"/>
        <w:tblInd w:w="-28" w:type="dxa"/>
        <w:tblLayout w:type="fixed"/>
        <w:tblCellMar>
          <w:top w:w="0" w:type="dxa"/>
          <w:left w:w="108" w:type="dxa"/>
          <w:bottom w:w="0" w:type="dxa"/>
          <w:right w:w="108" w:type="dxa"/>
        </w:tblCellMar>
      </w:tblPr>
      <w:tblGrid>
        <w:gridCol w:w="456"/>
        <w:gridCol w:w="456"/>
        <w:gridCol w:w="2045"/>
        <w:gridCol w:w="6387"/>
      </w:tblGrid>
      <w:tr>
        <w:tblPrEx>
          <w:tblLayout w:type="fixed"/>
          <w:tblCellMar>
            <w:top w:w="0" w:type="dxa"/>
            <w:left w:w="108" w:type="dxa"/>
            <w:bottom w:w="0" w:type="dxa"/>
            <w:right w:w="108" w:type="dxa"/>
          </w:tblCellMar>
        </w:tblPrEx>
        <w:trPr>
          <w:trHeight w:val="23" w:hRule="atLeast"/>
        </w:trPr>
        <w:tc>
          <w:tcPr>
            <w:tcW w:w="93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b/>
                <w:bCs/>
                <w:color w:val="auto"/>
                <w:kern w:val="0"/>
                <w:sz w:val="24"/>
                <w:lang w:bidi="ar"/>
              </w:rPr>
              <w:t>4、公共数据安全域</w:t>
            </w:r>
          </w:p>
        </w:tc>
      </w:tr>
      <w:tr>
        <w:tblPrEx>
          <w:tblLayout w:type="fixed"/>
          <w:tblCellMar>
            <w:top w:w="0" w:type="dxa"/>
            <w:left w:w="108" w:type="dxa"/>
            <w:bottom w:w="0" w:type="dxa"/>
            <w:right w:w="108" w:type="dxa"/>
          </w:tblCellMar>
        </w:tblPrEx>
        <w:trPr>
          <w:trHeight w:val="2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序号</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内容</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指标项</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详细要求</w:t>
            </w:r>
          </w:p>
        </w:tc>
      </w:tr>
      <w:tr>
        <w:tblPrEx>
          <w:tblLayout w:type="fixed"/>
          <w:tblCellMar>
            <w:top w:w="0" w:type="dxa"/>
            <w:left w:w="108" w:type="dxa"/>
            <w:bottom w:w="0" w:type="dxa"/>
            <w:right w:w="108" w:type="dxa"/>
          </w:tblCellMar>
        </w:tblPrEx>
        <w:trPr>
          <w:trHeight w:val="23" w:hRule="atLeast"/>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公共数据入侵防御系统建设</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入侵防御防护目标</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公共数据平台上部署的公共数据库提供入侵防御服务同时要求能够支持ORACLE（含12C、18C、19C）、MYSQL、SQLSERVER、DB2、GBASE、HIVE、达梦、PG、优炫、人大金仓、神舟通用、MongoDB、SYBASE、巨杉、上海热璞、HANA、informix、cache、OceanBase、RDS-Mysql、RDS-PG、TIDB、Mariadb、Greenplum、PostgreSQL、EnterpriseDB、GaussDB、K-DB、HBase、redis、TDSQL、teledb、Vertica等主流数据库、国产数据库、大数据平台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部署方式</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在政务云平台上采用反向代理方式接入数据库。</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SQL语句学习能力</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 xml:space="preserve">能够自主学习业务和数据库的交互SQL语句，识别安全SQL；内置机器模型，通过学习的SQL语句形成应用SQL白名单，设置自动激活模式，在学习到一定时间后，SQL白名单自动执行生效。 </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SQL注入防护</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可以检测SQL访问语句是否含有SQL注入特征，能够对正常SQL特征及SQL注入特征双重防护，防止SQL注入工具。</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虚拟补丁防护</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根据CVE漏洞提供的数据库漏洞形成数据库漏洞虚拟补丁，同时服务团队需要具备CVE漏洞挖掘能力，能够提供数据库漏洞挖掘服务，要求在本次项目中提供不少于1600个数据库漏洞虚拟补丁。</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入侵防护策略定制服务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能够针对已建设的数据安全监管平台对公共数据资产梳理形成的敏感数据集合进行访问管理，提供访问授权服务，业务访问前先通过入侵防御服务配置合适的访问权限，通过授权才可以访问，不具备访问权限的操作，明确阻断拒绝并提供错误信号。</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在入侵防御过程中设置敏感标签身份，使之具备合法访问指定敏感数据的权限。未明确注册的身份，默认表示为不合法身份，不能访问任何敏感表格。</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对数据行数(阀值)进行精细管控，超出阀值的行为进行阻断或拦截，避免数据大量泄漏。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支持访问频次控制，避免一定时间内的高频次访问。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识别真实应用程序，防止假冒应用访问数据库。</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入侵防御防护能力</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对数据库访问流量的峰值SQL吞吐不低于50000条语句/秒，峰值QPS吞吐量70000,响应延时小于1毫秒，在线SQL存储160亿条。本次服务要求针对60个数据库实例提供入侵防御服务。</w:t>
            </w:r>
          </w:p>
        </w:tc>
      </w:tr>
      <w:tr>
        <w:tblPrEx>
          <w:tblLayout w:type="fixed"/>
          <w:tblCellMar>
            <w:top w:w="0" w:type="dxa"/>
            <w:left w:w="108" w:type="dxa"/>
            <w:bottom w:w="0" w:type="dxa"/>
            <w:right w:w="108" w:type="dxa"/>
          </w:tblCellMar>
        </w:tblPrEx>
        <w:trPr>
          <w:trHeight w:val="23" w:hRule="atLeast"/>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2</w:t>
            </w:r>
          </w:p>
        </w:tc>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bookmarkStart w:id="36" w:name="_Toc104234425"/>
            <w:r>
              <w:rPr>
                <w:rFonts w:hint="eastAsia" w:ascii="宋体" w:hAnsi="宋体" w:cs="宋体"/>
                <w:color w:val="auto"/>
                <w:sz w:val="24"/>
              </w:rPr>
              <w:t>数据防泄漏系统</w:t>
            </w:r>
            <w:bookmarkEnd w:id="36"/>
            <w:r>
              <w:rPr>
                <w:rFonts w:hint="eastAsia" w:ascii="宋体" w:hAnsi="宋体" w:cs="宋体"/>
                <w:color w:val="auto"/>
                <w:sz w:val="24"/>
              </w:rPr>
              <w:t>建设</w:t>
            </w:r>
          </w:p>
        </w:tc>
        <w:tc>
          <w:tcPr>
            <w:tcW w:w="2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r>
              <w:rPr>
                <w:rFonts w:hint="eastAsia" w:ascii="宋体" w:hAnsi="宋体" w:cs="宋体"/>
                <w:color w:val="auto"/>
                <w:sz w:val="24"/>
              </w:rPr>
              <w:t>数据识别</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系统内置多种数据内容识别规则，支持内置规则根据行业特性自主添加。</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支持多种文件编码格式。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内置图片内容识别。</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支持识别多层压缩文件、嵌套文件的内容，嵌套层数可自定义。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支持关键字对规则识别，能够设置关键字间距。</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关键字匹配支持次数匹配，支持去重匹配</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支持识别故意打乱的关键字</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支持英文识别忽略大小写</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支持全字匹配</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支持简体繁体自适应</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支持词典规则识别</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★支持正则表达式规则识别，支持次数匹配，支持去重匹配。</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★支持通过数据标识符对数据本身的规则和校验功能进行判断，支持二次校验进行更精确识别。</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支持通过后处理脚本对发现的敏感数据进行进一步校验，提高准确率</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支持结构化数据指纹，结构化数据指纹可指定具体敏感的数据列</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支持非结构化数据指纹，非结构化数据指纹识别依据指纹匹配的百分比（相似度）进行响应，匹配百分比可设置</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支持图章</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★支持基于自然语义的机器学习结果进行内容识别。</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支持位置识别，须包含但不限于以下位置识别方式：</w:t>
            </w:r>
          </w:p>
          <w:p>
            <w:pPr>
              <w:numPr>
                <w:ilvl w:val="0"/>
                <w:numId w:val="10"/>
              </w:numPr>
              <w:spacing w:line="276" w:lineRule="auto"/>
              <w:rPr>
                <w:rFonts w:ascii="宋体" w:hAnsi="宋体" w:cs="宋体"/>
                <w:color w:val="auto"/>
                <w:sz w:val="24"/>
              </w:rPr>
            </w:pPr>
            <w:r>
              <w:rPr>
                <w:rFonts w:hint="eastAsia" w:ascii="宋体" w:hAnsi="宋体" w:cs="宋体"/>
                <w:color w:val="auto"/>
                <w:sz w:val="24"/>
              </w:rPr>
              <w:t>识别文档正文、页眉页脚、文本框、office宏等各种不同位置中的敏感内容</w:t>
            </w:r>
          </w:p>
          <w:p>
            <w:pPr>
              <w:numPr>
                <w:ilvl w:val="0"/>
                <w:numId w:val="10"/>
              </w:numPr>
              <w:spacing w:line="276" w:lineRule="auto"/>
              <w:rPr>
                <w:rFonts w:ascii="宋体" w:hAnsi="宋体" w:cs="宋体"/>
                <w:color w:val="auto"/>
                <w:sz w:val="24"/>
              </w:rPr>
            </w:pPr>
            <w:r>
              <w:rPr>
                <w:rFonts w:hint="eastAsia" w:ascii="宋体" w:hAnsi="宋体" w:cs="宋体"/>
                <w:color w:val="auto"/>
                <w:sz w:val="24"/>
              </w:rPr>
              <w:t>识别office正文、批注、模板等位置的敏感内容</w:t>
            </w:r>
          </w:p>
          <w:p>
            <w:pPr>
              <w:numPr>
                <w:ilvl w:val="0"/>
                <w:numId w:val="10"/>
              </w:numPr>
              <w:spacing w:line="276" w:lineRule="auto"/>
              <w:rPr>
                <w:rFonts w:ascii="宋体" w:hAnsi="宋体" w:cs="宋体"/>
                <w:color w:val="auto"/>
                <w:sz w:val="24"/>
              </w:rPr>
            </w:pPr>
            <w:r>
              <w:rPr>
                <w:rFonts w:hint="eastAsia" w:ascii="宋体" w:hAnsi="宋体" w:cs="宋体"/>
                <w:color w:val="auto"/>
                <w:sz w:val="24"/>
              </w:rPr>
              <w:t xml:space="preserve">对于office、pdf类嵌套文件，支持按组件粒度或文件粒度进行敏感内容识别 </w:t>
            </w:r>
          </w:p>
          <w:p>
            <w:pPr>
              <w:numPr>
                <w:ilvl w:val="0"/>
                <w:numId w:val="10"/>
              </w:numPr>
              <w:spacing w:line="276" w:lineRule="auto"/>
              <w:rPr>
                <w:rFonts w:ascii="宋体" w:hAnsi="宋体" w:cs="宋体"/>
                <w:color w:val="auto"/>
                <w:sz w:val="24"/>
              </w:rPr>
            </w:pPr>
            <w:r>
              <w:rPr>
                <w:rFonts w:hint="eastAsia" w:ascii="宋体" w:hAnsi="宋体" w:cs="宋体"/>
                <w:color w:val="auto"/>
                <w:sz w:val="24"/>
              </w:rPr>
              <w:t xml:space="preserve">对于excel文件，支持按工作表或工作薄进行内容识别 </w:t>
            </w:r>
          </w:p>
          <w:p>
            <w:pPr>
              <w:numPr>
                <w:ilvl w:val="0"/>
                <w:numId w:val="10"/>
              </w:numPr>
              <w:spacing w:line="276" w:lineRule="auto"/>
              <w:rPr>
                <w:rFonts w:ascii="宋体" w:hAnsi="宋体" w:cs="宋体"/>
                <w:color w:val="auto"/>
                <w:sz w:val="24"/>
              </w:rPr>
            </w:pPr>
            <w:r>
              <w:rPr>
                <w:rFonts w:hint="eastAsia" w:ascii="宋体" w:hAnsi="宋体" w:cs="宋体"/>
                <w:color w:val="auto"/>
                <w:sz w:val="24"/>
              </w:rPr>
              <w:t>支持识别邮件标题、正文、附件等位置的敏感内容</w:t>
            </w:r>
          </w:p>
          <w:p>
            <w:pPr>
              <w:numPr>
                <w:ilvl w:val="0"/>
                <w:numId w:val="10"/>
              </w:numPr>
              <w:spacing w:line="276" w:lineRule="auto"/>
              <w:rPr>
                <w:rFonts w:ascii="宋体" w:hAnsi="宋体" w:cs="宋体"/>
                <w:color w:val="auto"/>
                <w:sz w:val="24"/>
              </w:rPr>
            </w:pPr>
            <w:r>
              <w:rPr>
                <w:rFonts w:hint="eastAsia" w:ascii="宋体" w:hAnsi="宋体" w:cs="宋体"/>
                <w:color w:val="auto"/>
                <w:sz w:val="24"/>
              </w:rPr>
              <w:t>支持人员、组织、设备、IP、URL、电子邮件地址进行识别</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sz w:val="24"/>
              </w:rPr>
            </w:pPr>
            <w:r>
              <w:rPr>
                <w:rFonts w:hint="eastAsia" w:ascii="宋体" w:hAnsi="宋体" w:cs="宋体"/>
                <w:color w:val="auto"/>
                <w:sz w:val="24"/>
              </w:rPr>
              <w:t>支持数据属性识别，须包含但不限于以下数据属性识别方式：</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常见的文件类型，包括office办公软件（doc、docx、xls、xlsx、ppt、pptx、wps、visio）、pdf、网络文件、压缩文件（zip、rar、rar5、7z）、txt、mpp、vsd等。对于不带扩展名或修改扩展名的文件，能根据其文件特征识别其文件类型；</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支持识别加密的Office类文档、RAR、ZIP、ARJ压缩包、PDF文档，以及通过指定加密软件加密的文档；</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支持识别图片、影音、多媒体文件，以及多种绘图文件；</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支持识别office、pdf、wps、iwork类加密文件；</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支持识别zip、rar、rar5等加密压缩文件；</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支持用户自定义文件格式、未知文件格式识别；</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支持Unicode、GB18030、GBK编码格式；</w:t>
            </w:r>
          </w:p>
          <w:p>
            <w:pPr>
              <w:numPr>
                <w:ilvl w:val="0"/>
                <w:numId w:val="11"/>
              </w:numPr>
              <w:spacing w:line="276" w:lineRule="auto"/>
              <w:rPr>
                <w:rFonts w:ascii="宋体" w:hAnsi="宋体" w:cs="宋体"/>
                <w:color w:val="auto"/>
                <w:sz w:val="24"/>
              </w:rPr>
            </w:pPr>
            <w:r>
              <w:rPr>
                <w:rFonts w:hint="eastAsia" w:ascii="宋体" w:hAnsi="宋体" w:cs="宋体"/>
                <w:color w:val="auto"/>
                <w:sz w:val="24"/>
              </w:rPr>
              <w:t>支持识别文件名、文件大小、文件修改时间等属性，文件名支持通配符匹配。</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sz w:val="24"/>
              </w:rPr>
            </w:pPr>
            <w:r>
              <w:rPr>
                <w:rFonts w:hint="eastAsia" w:ascii="宋体" w:hAnsi="宋体" w:cs="宋体"/>
                <w:color w:val="auto"/>
                <w:sz w:val="24"/>
              </w:rPr>
              <w:t>支持组合识别，须包含但不限于以下组合识别方式：</w:t>
            </w:r>
          </w:p>
          <w:p>
            <w:pPr>
              <w:numPr>
                <w:ilvl w:val="0"/>
                <w:numId w:val="12"/>
              </w:numPr>
              <w:spacing w:line="276" w:lineRule="auto"/>
              <w:rPr>
                <w:rFonts w:ascii="宋体" w:hAnsi="宋体" w:cs="宋体"/>
                <w:color w:val="auto"/>
                <w:sz w:val="24"/>
              </w:rPr>
            </w:pPr>
            <w:r>
              <w:rPr>
                <w:rFonts w:hint="eastAsia" w:ascii="宋体" w:hAnsi="宋体" w:cs="宋体"/>
                <w:color w:val="auto"/>
                <w:sz w:val="24"/>
              </w:rPr>
              <w:t>支持各种识别技术通过与、或运算进行任意组合；</w:t>
            </w:r>
          </w:p>
          <w:p>
            <w:pPr>
              <w:numPr>
                <w:ilvl w:val="0"/>
                <w:numId w:val="12"/>
              </w:numPr>
              <w:spacing w:line="276" w:lineRule="auto"/>
              <w:rPr>
                <w:rFonts w:ascii="宋体" w:hAnsi="宋体" w:cs="宋体"/>
                <w:color w:val="auto"/>
                <w:sz w:val="24"/>
              </w:rPr>
            </w:pPr>
            <w:r>
              <w:rPr>
                <w:rFonts w:hint="eastAsia" w:ascii="宋体" w:hAnsi="宋体" w:cs="宋体"/>
                <w:color w:val="auto"/>
                <w:sz w:val="24"/>
              </w:rPr>
              <w:t>支持检测算法例外，例外可以支持全局例外或局部例外。</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r>
              <w:rPr>
                <w:rFonts w:hint="eastAsia" w:ascii="宋体" w:hAnsi="宋体" w:cs="宋体"/>
                <w:color w:val="auto"/>
                <w:sz w:val="24"/>
              </w:rPr>
              <w:t>网络防泄漏</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sz w:val="24"/>
              </w:rPr>
            </w:pPr>
            <w:r>
              <w:rPr>
                <w:rFonts w:hint="eastAsia" w:ascii="宋体" w:hAnsi="宋体" w:cs="宋体"/>
                <w:color w:val="auto"/>
                <w:sz w:val="24"/>
              </w:rPr>
              <w:t>支持旁路镜像、多路镜像、透明网桥、路由模式、正向代理、反向代理  等部署方式。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sz w:val="24"/>
              </w:rPr>
            </w:pPr>
            <w:r>
              <w:rPr>
                <w:rFonts w:hint="eastAsia" w:ascii="宋体" w:hAnsi="宋体" w:cs="宋体"/>
                <w:color w:val="auto"/>
                <w:sz w:val="24"/>
              </w:rPr>
              <w:t>支持bypass模式、主备模式。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支持HTTP、HTTPS、SMTP、POP3、IMAP、samba、NFS、IM等协议识别、内容恢复和扫描。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扫描维度须支持但不限于以下方式：</w:t>
            </w:r>
          </w:p>
          <w:p>
            <w:pPr>
              <w:widowControl/>
              <w:numPr>
                <w:ilvl w:val="0"/>
                <w:numId w:val="13"/>
              </w:numPr>
              <w:spacing w:line="276" w:lineRule="auto"/>
              <w:textAlignment w:val="center"/>
              <w:rPr>
                <w:rFonts w:ascii="宋体" w:hAnsi="宋体" w:cs="宋体"/>
                <w:color w:val="auto"/>
                <w:sz w:val="24"/>
              </w:rPr>
            </w:pPr>
            <w:r>
              <w:rPr>
                <w:rFonts w:hint="eastAsia" w:ascii="宋体" w:hAnsi="宋体" w:cs="宋体"/>
                <w:color w:val="auto"/>
                <w:sz w:val="24"/>
              </w:rPr>
              <w:t>支持按触发者定义不同外发权限；</w:t>
            </w:r>
          </w:p>
          <w:p>
            <w:pPr>
              <w:widowControl/>
              <w:numPr>
                <w:ilvl w:val="0"/>
                <w:numId w:val="13"/>
              </w:numPr>
              <w:spacing w:line="276" w:lineRule="auto"/>
              <w:textAlignment w:val="center"/>
              <w:rPr>
                <w:rFonts w:ascii="宋体" w:hAnsi="宋体" w:cs="宋体"/>
                <w:color w:val="auto"/>
                <w:sz w:val="24"/>
              </w:rPr>
            </w:pPr>
            <w:r>
              <w:rPr>
                <w:rFonts w:hint="eastAsia" w:ascii="宋体" w:hAnsi="宋体" w:cs="宋体"/>
                <w:color w:val="auto"/>
                <w:sz w:val="24"/>
              </w:rPr>
              <w:t>支持按目的地址定义不同上传权限；</w:t>
            </w:r>
          </w:p>
          <w:p>
            <w:pPr>
              <w:widowControl/>
              <w:numPr>
                <w:ilvl w:val="0"/>
                <w:numId w:val="13"/>
              </w:numPr>
              <w:spacing w:line="276" w:lineRule="auto"/>
              <w:textAlignment w:val="center"/>
              <w:rPr>
                <w:rFonts w:ascii="宋体" w:hAnsi="宋体" w:cs="宋体"/>
                <w:color w:val="auto"/>
                <w:sz w:val="24"/>
              </w:rPr>
            </w:pPr>
            <w:r>
              <w:rPr>
                <w:rFonts w:hint="eastAsia" w:ascii="宋体" w:hAnsi="宋体" w:cs="宋体"/>
                <w:color w:val="auto"/>
                <w:sz w:val="24"/>
              </w:rPr>
              <w:t>支持按外发内容等级进行不同处理；</w:t>
            </w:r>
          </w:p>
          <w:p>
            <w:pPr>
              <w:widowControl/>
              <w:numPr>
                <w:ilvl w:val="0"/>
                <w:numId w:val="13"/>
              </w:numPr>
              <w:spacing w:line="276" w:lineRule="auto"/>
              <w:textAlignment w:val="center"/>
              <w:rPr>
                <w:rFonts w:ascii="宋体" w:hAnsi="宋体" w:cs="宋体"/>
                <w:color w:val="auto"/>
                <w:sz w:val="24"/>
              </w:rPr>
            </w:pPr>
            <w:r>
              <w:rPr>
                <w:rFonts w:hint="eastAsia" w:ascii="宋体" w:hAnsi="宋体" w:cs="宋体"/>
                <w:color w:val="auto"/>
                <w:sz w:val="24"/>
              </w:rPr>
              <w:t>支持根据IP地址、URL配置黑白名单；</w:t>
            </w:r>
          </w:p>
          <w:p>
            <w:pPr>
              <w:widowControl/>
              <w:numPr>
                <w:ilvl w:val="0"/>
                <w:numId w:val="13"/>
              </w:numPr>
              <w:spacing w:line="276" w:lineRule="auto"/>
              <w:textAlignment w:val="center"/>
              <w:rPr>
                <w:rFonts w:ascii="宋体" w:hAnsi="宋体" w:cs="宋体"/>
                <w:color w:val="auto"/>
                <w:sz w:val="24"/>
              </w:rPr>
            </w:pPr>
            <w:r>
              <w:rPr>
                <w:rFonts w:hint="eastAsia" w:ascii="宋体" w:hAnsi="宋体" w:cs="宋体"/>
                <w:color w:val="auto"/>
                <w:sz w:val="24"/>
              </w:rPr>
              <w:t>对于外发的邮件，可配置收件人、发件人黑白名单。</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支持审计、告警、阻断、证据留存、邮件通知等系统响应方式。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支持按触发的不同条件触发不同动作，条件包括但不限于事件严重程度、内容扫描结果、终端信息等。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宋体" w:hAnsi="宋体" w:cs="宋体"/>
                <w:color w:val="auto"/>
                <w:sz w:val="24"/>
              </w:rPr>
            </w:pPr>
            <w:r>
              <w:rPr>
                <w:rFonts w:hint="eastAsia" w:ascii="宋体" w:hAnsi="宋体" w:cs="宋体"/>
                <w:color w:val="auto"/>
                <w:sz w:val="24"/>
              </w:rPr>
              <w:t>程序管理须支持但不限于以下功能：</w:t>
            </w:r>
          </w:p>
          <w:p>
            <w:pPr>
              <w:numPr>
                <w:ilvl w:val="0"/>
                <w:numId w:val="14"/>
              </w:numPr>
              <w:spacing w:line="276" w:lineRule="auto"/>
              <w:ind w:firstLine="0"/>
              <w:rPr>
                <w:rFonts w:ascii="宋体" w:hAnsi="宋体" w:cs="宋体"/>
                <w:color w:val="auto"/>
                <w:sz w:val="24"/>
              </w:rPr>
            </w:pPr>
            <w:r>
              <w:rPr>
                <w:rFonts w:hint="eastAsia" w:ascii="宋体" w:hAnsi="宋体" w:cs="宋体"/>
                <w:color w:val="auto"/>
                <w:sz w:val="24"/>
              </w:rPr>
              <w:t>支持客户端软件一键安装，一键卸载；</w:t>
            </w:r>
          </w:p>
          <w:p>
            <w:pPr>
              <w:numPr>
                <w:ilvl w:val="0"/>
                <w:numId w:val="14"/>
              </w:numPr>
              <w:spacing w:line="276" w:lineRule="auto"/>
              <w:ind w:firstLine="0"/>
              <w:rPr>
                <w:rFonts w:ascii="宋体" w:hAnsi="宋体" w:cs="宋体"/>
                <w:color w:val="auto"/>
                <w:sz w:val="24"/>
              </w:rPr>
            </w:pPr>
            <w:r>
              <w:rPr>
                <w:rFonts w:hint="eastAsia" w:ascii="宋体" w:hAnsi="宋体" w:cs="宋体"/>
                <w:color w:val="auto"/>
                <w:sz w:val="24"/>
              </w:rPr>
              <w:t>支持平滑升级；</w:t>
            </w:r>
          </w:p>
          <w:p>
            <w:pPr>
              <w:numPr>
                <w:ilvl w:val="0"/>
                <w:numId w:val="14"/>
              </w:numPr>
              <w:spacing w:line="276" w:lineRule="auto"/>
              <w:ind w:firstLine="0"/>
              <w:rPr>
                <w:rFonts w:ascii="宋体" w:hAnsi="宋体" w:cs="宋体"/>
                <w:color w:val="auto"/>
                <w:sz w:val="24"/>
              </w:rPr>
            </w:pPr>
            <w:r>
              <w:rPr>
                <w:rFonts w:hint="eastAsia" w:ascii="宋体" w:hAnsi="宋体" w:cs="宋体"/>
                <w:color w:val="auto"/>
                <w:sz w:val="24"/>
              </w:rPr>
              <w:t>支持对相关程序运行状态进行监控；</w:t>
            </w:r>
          </w:p>
          <w:p>
            <w:pPr>
              <w:numPr>
                <w:ilvl w:val="0"/>
                <w:numId w:val="14"/>
              </w:numPr>
              <w:spacing w:line="276" w:lineRule="auto"/>
              <w:ind w:firstLine="0"/>
              <w:rPr>
                <w:rFonts w:ascii="宋体" w:hAnsi="宋体" w:cs="宋体"/>
                <w:color w:val="auto"/>
                <w:kern w:val="0"/>
                <w:sz w:val="24"/>
                <w:lang w:bidi="ar"/>
              </w:rPr>
            </w:pPr>
            <w:r>
              <w:rPr>
                <w:rFonts w:hint="eastAsia" w:ascii="宋体" w:hAnsi="宋体" w:cs="宋体"/>
                <w:color w:val="auto"/>
                <w:sz w:val="24"/>
              </w:rPr>
              <w:t>定时与管理平台同步状态，同步周期可自定义。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r>
              <w:rPr>
                <w:rFonts w:hint="eastAsia" w:ascii="宋体" w:hAnsi="宋体" w:cs="宋体"/>
                <w:color w:val="auto"/>
                <w:kern w:val="0"/>
                <w:sz w:val="24"/>
              </w:rPr>
              <w:t>终端防泄漏</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kern w:val="0"/>
                <w:sz w:val="24"/>
                <w:lang w:bidi="ar"/>
              </w:rPr>
            </w:pPr>
            <w:r>
              <w:rPr>
                <w:rFonts w:hint="eastAsia" w:ascii="宋体" w:hAnsi="宋体" w:cs="宋体"/>
                <w:color w:val="auto"/>
                <w:kern w:val="0"/>
                <w:sz w:val="24"/>
              </w:rPr>
              <w:t>支持终端节点数：100</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kern w:val="0"/>
                <w:sz w:val="24"/>
                <w:lang w:bidi="ar"/>
              </w:rPr>
            </w:pPr>
            <w:r>
              <w:rPr>
                <w:rFonts w:hint="eastAsia" w:ascii="宋体" w:hAnsi="宋体" w:cs="宋体"/>
                <w:color w:val="auto"/>
                <w:kern w:val="0"/>
                <w:sz w:val="24"/>
              </w:rPr>
              <w:t>支持Windows、Windows Server、macOS、Linux系统，可实现外设管控、应用程序管控，可实现审计、阻断等操作；</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kern w:val="0"/>
                <w:sz w:val="24"/>
              </w:rPr>
            </w:pPr>
            <w:r>
              <w:rPr>
                <w:rFonts w:hint="eastAsia" w:ascii="宋体" w:hAnsi="宋体" w:cs="宋体"/>
                <w:color w:val="auto"/>
                <w:kern w:val="0"/>
                <w:sz w:val="24"/>
              </w:rPr>
              <w:t>★支持对移动存储设备进行使用管控，须包含但不限于下列管控手段：</w:t>
            </w:r>
          </w:p>
          <w:p>
            <w:pPr>
              <w:numPr>
                <w:ilvl w:val="0"/>
                <w:numId w:val="15"/>
              </w:numPr>
              <w:spacing w:line="276" w:lineRule="auto"/>
              <w:rPr>
                <w:rFonts w:ascii="宋体" w:hAnsi="宋体" w:cs="宋体"/>
                <w:color w:val="auto"/>
                <w:kern w:val="0"/>
                <w:sz w:val="24"/>
              </w:rPr>
            </w:pPr>
            <w:r>
              <w:rPr>
                <w:rFonts w:hint="eastAsia" w:ascii="宋体" w:hAnsi="宋体" w:cs="宋体"/>
                <w:color w:val="auto"/>
                <w:kern w:val="0"/>
                <w:sz w:val="24"/>
              </w:rPr>
              <w:t>禁用不允许的外接设备</w:t>
            </w:r>
          </w:p>
          <w:p>
            <w:pPr>
              <w:numPr>
                <w:ilvl w:val="0"/>
                <w:numId w:val="15"/>
              </w:numPr>
              <w:spacing w:line="276" w:lineRule="auto"/>
              <w:rPr>
                <w:rFonts w:ascii="宋体" w:hAnsi="宋体" w:cs="宋体"/>
                <w:color w:val="auto"/>
                <w:kern w:val="0"/>
                <w:sz w:val="24"/>
              </w:rPr>
            </w:pPr>
            <w:r>
              <w:rPr>
                <w:rFonts w:hint="eastAsia" w:ascii="宋体" w:hAnsi="宋体" w:cs="宋体"/>
                <w:color w:val="auto"/>
                <w:kern w:val="0"/>
                <w:sz w:val="24"/>
              </w:rPr>
              <w:t>支持通过对内容的识别，可阻止敏感文件拷贝、压缩、解压、另存到外接设备</w:t>
            </w:r>
          </w:p>
          <w:p>
            <w:pPr>
              <w:numPr>
                <w:ilvl w:val="0"/>
                <w:numId w:val="15"/>
              </w:numPr>
              <w:spacing w:line="276" w:lineRule="auto"/>
              <w:rPr>
                <w:rFonts w:ascii="宋体" w:hAnsi="宋体" w:cs="宋体"/>
                <w:color w:val="auto"/>
                <w:kern w:val="0"/>
                <w:sz w:val="24"/>
              </w:rPr>
            </w:pPr>
            <w:r>
              <w:rPr>
                <w:rFonts w:hint="eastAsia" w:ascii="宋体" w:hAnsi="宋体" w:cs="宋体"/>
                <w:color w:val="auto"/>
                <w:kern w:val="0"/>
                <w:sz w:val="24"/>
              </w:rPr>
              <w:t xml:space="preserve">支持移动存储白名单，白名单设备可以拷贝敏感内容，非白名单设备无法拷贝敏感内容 </w:t>
            </w:r>
          </w:p>
          <w:p>
            <w:pPr>
              <w:numPr>
                <w:ilvl w:val="0"/>
                <w:numId w:val="15"/>
              </w:numPr>
              <w:spacing w:line="276" w:lineRule="auto"/>
              <w:rPr>
                <w:rFonts w:ascii="宋体" w:hAnsi="宋体" w:cs="宋体"/>
                <w:color w:val="auto"/>
                <w:kern w:val="0"/>
                <w:sz w:val="24"/>
                <w:lang w:bidi="ar"/>
              </w:rPr>
            </w:pPr>
            <w:r>
              <w:rPr>
                <w:rFonts w:hint="eastAsia" w:ascii="宋体" w:hAnsi="宋体" w:cs="宋体"/>
                <w:color w:val="auto"/>
                <w:kern w:val="0"/>
                <w:sz w:val="24"/>
              </w:rPr>
              <w:t xml:space="preserve">支持禁止运行移动设备上的应用程序，避免危险程序对本机造成危害 </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cs="宋体"/>
                <w:color w:val="auto"/>
                <w:kern w:val="0"/>
                <w:sz w:val="24"/>
              </w:rPr>
            </w:pPr>
            <w:r>
              <w:rPr>
                <w:rFonts w:hint="eastAsia" w:ascii="宋体" w:hAnsi="宋体" w:cs="宋体"/>
                <w:color w:val="auto"/>
                <w:kern w:val="0"/>
                <w:sz w:val="24"/>
              </w:rPr>
              <w:t>支持应用管控，须包含但不限于下列功能：</w:t>
            </w:r>
          </w:p>
          <w:p>
            <w:pPr>
              <w:numPr>
                <w:ilvl w:val="0"/>
                <w:numId w:val="16"/>
              </w:numPr>
              <w:spacing w:line="276" w:lineRule="auto"/>
              <w:rPr>
                <w:rFonts w:ascii="宋体" w:hAnsi="宋体" w:cs="宋体"/>
                <w:color w:val="auto"/>
                <w:kern w:val="0"/>
                <w:sz w:val="24"/>
              </w:rPr>
            </w:pPr>
            <w:r>
              <w:rPr>
                <w:rFonts w:hint="eastAsia" w:ascii="宋体" w:hAnsi="宋体" w:cs="宋体"/>
                <w:color w:val="auto"/>
                <w:kern w:val="0"/>
                <w:sz w:val="24"/>
              </w:rPr>
              <w:t>自动收集所有安装的应用程序；</w:t>
            </w:r>
          </w:p>
          <w:p>
            <w:pPr>
              <w:numPr>
                <w:ilvl w:val="0"/>
                <w:numId w:val="16"/>
              </w:numPr>
              <w:spacing w:line="276" w:lineRule="auto"/>
              <w:rPr>
                <w:rFonts w:ascii="宋体" w:hAnsi="宋体" w:cs="宋体"/>
                <w:color w:val="auto"/>
                <w:kern w:val="0"/>
                <w:sz w:val="24"/>
              </w:rPr>
            </w:pPr>
            <w:r>
              <w:rPr>
                <w:rFonts w:hint="eastAsia" w:ascii="宋体" w:hAnsi="宋体" w:cs="宋体"/>
                <w:color w:val="auto"/>
                <w:kern w:val="0"/>
                <w:sz w:val="24"/>
              </w:rPr>
              <w:t>支持黑白名单定义不同应用程序运行级别；</w:t>
            </w:r>
          </w:p>
          <w:p>
            <w:pPr>
              <w:numPr>
                <w:ilvl w:val="0"/>
                <w:numId w:val="16"/>
              </w:numPr>
              <w:spacing w:line="276" w:lineRule="auto"/>
              <w:rPr>
                <w:rFonts w:ascii="宋体" w:hAnsi="宋体" w:cs="宋体"/>
                <w:color w:val="auto"/>
                <w:kern w:val="0"/>
                <w:sz w:val="24"/>
              </w:rPr>
            </w:pPr>
            <w:r>
              <w:rPr>
                <w:rFonts w:hint="eastAsia" w:ascii="宋体" w:hAnsi="宋体" w:cs="宋体"/>
                <w:color w:val="auto"/>
                <w:kern w:val="0"/>
                <w:sz w:val="24"/>
              </w:rPr>
              <w:t>支持对应用程序伪装、改名后的文件访问行为进行监控；</w:t>
            </w:r>
          </w:p>
          <w:p>
            <w:pPr>
              <w:numPr>
                <w:ilvl w:val="0"/>
                <w:numId w:val="16"/>
              </w:numPr>
              <w:spacing w:line="276" w:lineRule="auto"/>
              <w:rPr>
                <w:rFonts w:ascii="宋体" w:hAnsi="宋体" w:cs="宋体"/>
                <w:color w:val="auto"/>
                <w:kern w:val="0"/>
                <w:sz w:val="24"/>
                <w:lang w:bidi="ar"/>
              </w:rPr>
            </w:pPr>
            <w:r>
              <w:rPr>
                <w:rFonts w:hint="eastAsia" w:ascii="宋体" w:hAnsi="宋体" w:cs="宋体"/>
                <w:color w:val="auto"/>
                <w:kern w:val="0"/>
                <w:sz w:val="24"/>
              </w:rPr>
              <w:t>支持对应用程序访问敏感文件的行为进行监控。</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支持共享管控，须包含但不限于下列功能：</w:t>
            </w:r>
          </w:p>
          <w:p>
            <w:pPr>
              <w:widowControl/>
              <w:numPr>
                <w:ilvl w:val="0"/>
                <w:numId w:val="17"/>
              </w:numPr>
              <w:spacing w:line="276" w:lineRule="auto"/>
              <w:textAlignment w:val="center"/>
              <w:rPr>
                <w:rFonts w:ascii="宋体" w:hAnsi="宋体" w:cs="宋体"/>
                <w:color w:val="auto"/>
                <w:kern w:val="0"/>
                <w:sz w:val="24"/>
              </w:rPr>
            </w:pPr>
            <w:r>
              <w:rPr>
                <w:rFonts w:hint="eastAsia" w:ascii="宋体" w:hAnsi="宋体" w:cs="宋体"/>
                <w:color w:val="auto"/>
                <w:kern w:val="0"/>
                <w:sz w:val="24"/>
              </w:rPr>
              <w:t>对上传到共享目录的文件进行监控，可阻止上传敏感文件；</w:t>
            </w:r>
          </w:p>
          <w:p>
            <w:pPr>
              <w:widowControl/>
              <w:numPr>
                <w:ilvl w:val="0"/>
                <w:numId w:val="17"/>
              </w:numPr>
              <w:spacing w:line="276" w:lineRule="auto"/>
              <w:textAlignment w:val="center"/>
              <w:rPr>
                <w:rFonts w:ascii="宋体" w:hAnsi="宋体" w:cs="宋体"/>
                <w:color w:val="auto"/>
                <w:kern w:val="0"/>
                <w:sz w:val="24"/>
              </w:rPr>
            </w:pPr>
            <w:r>
              <w:rPr>
                <w:rFonts w:hint="eastAsia" w:ascii="宋体" w:hAnsi="宋体" w:cs="宋体"/>
                <w:color w:val="auto"/>
                <w:kern w:val="0"/>
                <w:sz w:val="24"/>
              </w:rPr>
              <w:t>对本地共享的文件进行监控，可阻止共享敏感文件；</w:t>
            </w:r>
          </w:p>
          <w:p>
            <w:pPr>
              <w:widowControl/>
              <w:numPr>
                <w:ilvl w:val="0"/>
                <w:numId w:val="17"/>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支持远程共享目录例外，对上传到例外目录的文件不进行拦截。</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支持打印管控，须包含但不限于下列功能：</w:t>
            </w:r>
          </w:p>
          <w:p>
            <w:pPr>
              <w:widowControl/>
              <w:numPr>
                <w:ilvl w:val="0"/>
                <w:numId w:val="18"/>
              </w:numPr>
              <w:spacing w:line="276" w:lineRule="auto"/>
              <w:textAlignment w:val="center"/>
              <w:rPr>
                <w:rFonts w:ascii="宋体" w:hAnsi="宋体" w:cs="宋体"/>
                <w:color w:val="auto"/>
                <w:kern w:val="0"/>
                <w:sz w:val="24"/>
              </w:rPr>
            </w:pPr>
            <w:r>
              <w:rPr>
                <w:rFonts w:hint="eastAsia" w:ascii="宋体" w:hAnsi="宋体" w:cs="宋体"/>
                <w:color w:val="auto"/>
                <w:kern w:val="0"/>
                <w:sz w:val="24"/>
              </w:rPr>
              <w:t>对本地打印机、远程打印机进行监控，对打印的敏感文件进行控制；</w:t>
            </w:r>
          </w:p>
          <w:p>
            <w:pPr>
              <w:widowControl/>
              <w:numPr>
                <w:ilvl w:val="0"/>
                <w:numId w:val="18"/>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支持添加打印水印，水印内容可自定义。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支持IM消息管控，须包含但不限于下列功能：</w:t>
            </w:r>
          </w:p>
          <w:p>
            <w:pPr>
              <w:widowControl/>
              <w:numPr>
                <w:ilvl w:val="0"/>
                <w:numId w:val="19"/>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支持对QQ外发的敏感消息进行监控；</w:t>
            </w:r>
          </w:p>
          <w:p>
            <w:pPr>
              <w:widowControl/>
              <w:numPr>
                <w:ilvl w:val="0"/>
                <w:numId w:val="19"/>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支持对TIM外发的敏感消息进行监控。</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支持屏幕管控，须包含但不限于下列功能：</w:t>
            </w:r>
          </w:p>
          <w:p>
            <w:pPr>
              <w:widowControl/>
              <w:numPr>
                <w:ilvl w:val="0"/>
                <w:numId w:val="20"/>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支持敏感文件打开时禁止截屏，可不区分截屏软件，敏感文件最小化或关闭后可以正常截屏；</w:t>
            </w:r>
          </w:p>
          <w:p>
            <w:pPr>
              <w:widowControl/>
              <w:numPr>
                <w:ilvl w:val="0"/>
                <w:numId w:val="20"/>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支持禁止对敏感内容进行远程屏幕分享、无线投屏、远程协助；</w:t>
            </w:r>
          </w:p>
          <w:p>
            <w:pPr>
              <w:widowControl/>
              <w:numPr>
                <w:ilvl w:val="0"/>
                <w:numId w:val="20"/>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支持屏幕水印，支持文字、二维码、图片，水印大小、颜色、内容、透明度可自定义。</w:t>
            </w:r>
          </w:p>
          <w:p>
            <w:pPr>
              <w:widowControl/>
              <w:numPr>
                <w:ilvl w:val="0"/>
                <w:numId w:val="20"/>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支持窗口水印，水印可随程序窗口移动。</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支持离线模式，须包含但不限于下列功能：</w:t>
            </w:r>
          </w:p>
          <w:p>
            <w:pPr>
              <w:widowControl/>
              <w:numPr>
                <w:ilvl w:val="0"/>
                <w:numId w:val="21"/>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支持安全策略由各终端本地离线缓存及处理；</w:t>
            </w:r>
          </w:p>
          <w:p>
            <w:pPr>
              <w:widowControl/>
              <w:numPr>
                <w:ilvl w:val="0"/>
                <w:numId w:val="21"/>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支持离线状态下事件、日志的保存；重新连接后事件、日志上传；</w:t>
            </w:r>
          </w:p>
          <w:p>
            <w:pPr>
              <w:widowControl/>
              <w:numPr>
                <w:ilvl w:val="0"/>
                <w:numId w:val="21"/>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支持终端在接入公司内网后自动对本地的安全策略进行更新；</w:t>
            </w:r>
          </w:p>
          <w:p>
            <w:pPr>
              <w:widowControl/>
              <w:numPr>
                <w:ilvl w:val="0"/>
                <w:numId w:val="21"/>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支持客户端在离线情况下根据本地策略正常工作。</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支持审计、提醒告警、阻断、申述放行、审批、加密、证据留存、邮件通知等系统响应方式；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支持自定义审批流，审批节点、审核人员自定义，支持同节点审核人间关系自定义（或、与），支持移交审批等处理方式；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文档加密外发下，对有权限的设备可以无密钥解密文件；</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支持按触发的不同条件触发不同动作，条件包括但不限于事件严重程度、内容扫描结果、终端信息等；</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程序管理须支持但不限于下列功能：</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支持一键安装，一键卸载；</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支持通过第三方工具进行推送安装、远程卸载；</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支持在线升级；</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支持设备与用户的关联，可按用户权限进行设备管理，未登陆时无法访问安全区中的文件；</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支持对相关程序运行状态进行监控（自我保护）；</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定时与管理平台同步状态，同步周期可自定义；</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支持通过管理平台进行远程卸载；</w:t>
            </w:r>
          </w:p>
          <w:p>
            <w:pPr>
              <w:widowControl/>
              <w:numPr>
                <w:ilvl w:val="0"/>
                <w:numId w:val="22"/>
              </w:numPr>
              <w:spacing w:line="276" w:lineRule="auto"/>
              <w:textAlignment w:val="center"/>
              <w:rPr>
                <w:rFonts w:ascii="宋体" w:hAnsi="宋体" w:cs="宋体"/>
                <w:color w:val="auto"/>
                <w:kern w:val="0"/>
                <w:sz w:val="24"/>
              </w:rPr>
            </w:pPr>
            <w:r>
              <w:rPr>
                <w:rFonts w:hint="eastAsia" w:ascii="宋体" w:hAnsi="宋体" w:cs="宋体"/>
                <w:color w:val="auto"/>
                <w:kern w:val="0"/>
                <w:sz w:val="24"/>
              </w:rPr>
              <w:t>在自我保护下，支持通过密码卸载。</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支持以图表方式按文件密级、文件类别展示整体、部门、设备上各文件密级及对应数量；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支持以图表方式按文件泄漏严重性展示整体、部门、设备上各严重性及对应数量；</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支持设置终端安全区，安全区内文件可正常使用，文件脱离安全区（拷贝至其他路径）则无法打开；</w:t>
            </w:r>
          </w:p>
        </w:tc>
      </w:tr>
      <w:tr>
        <w:tblPrEx>
          <w:tblLayout w:type="fixed"/>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bidi="ar"/>
              </w:rPr>
            </w:pPr>
            <w:r>
              <w:rPr>
                <w:rFonts w:hint="eastAsia" w:ascii="宋体" w:hAnsi="宋体" w:cs="宋体"/>
                <w:color w:val="auto"/>
                <w:kern w:val="0"/>
                <w:sz w:val="24"/>
                <w:lang w:eastAsia="zh-Hans"/>
              </w:rPr>
              <w:t>资质证书</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textAlignment w:val="center"/>
              <w:rPr>
                <w:rFonts w:ascii="宋体" w:hAnsi="宋体" w:cs="宋体"/>
                <w:color w:val="auto"/>
                <w:kern w:val="0"/>
                <w:sz w:val="24"/>
              </w:rPr>
            </w:pPr>
            <w:r>
              <w:rPr>
                <w:rFonts w:hint="eastAsia" w:ascii="宋体" w:hAnsi="宋体" w:cs="宋体"/>
                <w:color w:val="auto"/>
                <w:kern w:val="0"/>
                <w:sz w:val="24"/>
              </w:rPr>
              <w:t>★非OEM产品。产品具有自主知识产权。</w:t>
            </w:r>
          </w:p>
        </w:tc>
      </w:tr>
      <w:tr>
        <w:tblPrEx>
          <w:tblLayout w:type="fixed"/>
          <w:tblCellMar>
            <w:top w:w="0" w:type="dxa"/>
            <w:left w:w="108" w:type="dxa"/>
            <w:bottom w:w="0" w:type="dxa"/>
            <w:right w:w="108" w:type="dxa"/>
          </w:tblCellMar>
        </w:tblPrEx>
        <w:trPr>
          <w:trHeight w:val="23" w:hRule="atLeast"/>
        </w:trPr>
        <w:tc>
          <w:tcPr>
            <w:tcW w:w="456"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3</w:t>
            </w:r>
          </w:p>
        </w:tc>
        <w:tc>
          <w:tcPr>
            <w:tcW w:w="456"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4"/>
              </w:rPr>
            </w:pPr>
            <w:bookmarkStart w:id="37" w:name="_Toc104234426"/>
            <w:r>
              <w:rPr>
                <w:rFonts w:hint="eastAsia" w:ascii="宋体" w:hAnsi="宋体" w:cs="宋体"/>
                <w:color w:val="auto"/>
                <w:sz w:val="24"/>
              </w:rPr>
              <w:t>数据安全态势感知系统</w:t>
            </w:r>
            <w:bookmarkEnd w:id="37"/>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auto"/>
                <w:kern w:val="0"/>
                <w:sz w:val="24"/>
                <w:lang w:eastAsia="zh-Hans"/>
              </w:rPr>
            </w:pPr>
            <w:r>
              <w:rPr>
                <w:rFonts w:hint="eastAsia" w:ascii="宋体" w:hAnsi="宋体" w:cs="宋体"/>
                <w:color w:val="auto"/>
                <w:kern w:val="0"/>
                <w:sz w:val="24"/>
                <w:lang w:eastAsia="zh-Hans"/>
              </w:rPr>
              <w:t>服务内容</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cs="宋体"/>
                <w:color w:val="auto"/>
                <w:kern w:val="0"/>
                <w:sz w:val="24"/>
              </w:rPr>
            </w:pPr>
            <w:r>
              <w:rPr>
                <w:rFonts w:hint="eastAsia" w:ascii="宋体" w:hAnsi="宋体" w:cs="宋体"/>
                <w:color w:val="auto"/>
                <w:kern w:val="0"/>
                <w:sz w:val="24"/>
              </w:rPr>
              <w:t>1、支持安全日志采集处理分析、网络安全监管、数据安全监管、风险预警通报、工单管理及指标上传</w:t>
            </w:r>
          </w:p>
          <w:p>
            <w:pPr>
              <w:widowControl/>
              <w:spacing w:line="276" w:lineRule="auto"/>
              <w:rPr>
                <w:rFonts w:ascii="宋体" w:hAnsi="宋体" w:cs="宋体"/>
                <w:color w:val="auto"/>
                <w:kern w:val="0"/>
                <w:sz w:val="24"/>
                <w:lang w:eastAsia="zh-Hans"/>
              </w:rPr>
            </w:pPr>
            <w:r>
              <w:rPr>
                <w:rFonts w:hint="eastAsia" w:ascii="宋体" w:hAnsi="宋体" w:cs="宋体"/>
                <w:color w:val="auto"/>
                <w:kern w:val="0"/>
                <w:sz w:val="24"/>
                <w:lang w:eastAsia="zh-Hans"/>
              </w:rPr>
              <w:t>2、针对监管的业务应用场景，定制化数据安全监管大屏。</w:t>
            </w:r>
          </w:p>
          <w:p>
            <w:pPr>
              <w:widowControl/>
              <w:spacing w:line="276" w:lineRule="auto"/>
              <w:rPr>
                <w:rFonts w:ascii="宋体" w:hAnsi="宋体" w:cs="宋体"/>
                <w:color w:val="auto"/>
                <w:kern w:val="0"/>
                <w:sz w:val="24"/>
                <w:lang w:eastAsia="zh-Hans"/>
              </w:rPr>
            </w:pPr>
            <w:r>
              <w:rPr>
                <w:rFonts w:hint="eastAsia" w:ascii="宋体" w:hAnsi="宋体" w:cs="宋体"/>
                <w:color w:val="auto"/>
                <w:kern w:val="0"/>
                <w:sz w:val="24"/>
                <w:lang w:eastAsia="zh-Hans"/>
              </w:rPr>
              <w:t>3、提供重点应用场景的流程梳理服务，结合业务逻辑制定安全监测规则策略，实现基于业务规则的数据流动安全监管。</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auto"/>
                <w:kern w:val="0"/>
                <w:sz w:val="24"/>
                <w:lang w:eastAsia="zh-Hans"/>
              </w:rPr>
            </w:pPr>
            <w:r>
              <w:rPr>
                <w:rFonts w:hint="eastAsia" w:ascii="宋体" w:hAnsi="宋体" w:cs="宋体"/>
                <w:color w:val="auto"/>
                <w:kern w:val="0"/>
                <w:sz w:val="24"/>
                <w:lang w:eastAsia="zh-Hans"/>
              </w:rPr>
              <w:t>服务交付物</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cs="宋体"/>
                <w:color w:val="auto"/>
                <w:kern w:val="0"/>
                <w:sz w:val="24"/>
                <w:lang w:eastAsia="zh-Hans"/>
              </w:rPr>
            </w:pPr>
            <w:r>
              <w:rPr>
                <w:rFonts w:hint="eastAsia" w:ascii="宋体" w:hAnsi="宋体" w:cs="宋体"/>
                <w:color w:val="auto"/>
                <w:kern w:val="0"/>
                <w:sz w:val="24"/>
                <w:lang w:eastAsia="zh-Hans"/>
              </w:rPr>
              <w:t>1、数据资产态势：数据资产态势作为数据资产的全景视图，包括数据资产视图、敏感数据资产视图、数据分级分类视图</w:t>
            </w:r>
          </w:p>
          <w:p>
            <w:pPr>
              <w:widowControl/>
              <w:spacing w:line="276" w:lineRule="auto"/>
              <w:rPr>
                <w:rFonts w:ascii="宋体" w:hAnsi="宋体" w:cs="宋体"/>
                <w:color w:val="auto"/>
                <w:kern w:val="0"/>
                <w:sz w:val="24"/>
              </w:rPr>
            </w:pPr>
            <w:r>
              <w:rPr>
                <w:rFonts w:hint="eastAsia" w:ascii="宋体" w:hAnsi="宋体" w:cs="宋体"/>
                <w:color w:val="auto"/>
                <w:kern w:val="0"/>
                <w:sz w:val="24"/>
                <w:lang w:eastAsia="zh-Hans"/>
              </w:rPr>
              <w:t>2、数据风险态势：数据风险态势作为数据风险的全景视图，包括数据安全事件概述视图、数据安全事件量视图、数据安全风险趋势视图、数据资产流向视图、应用行为视图等</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auto"/>
                <w:kern w:val="0"/>
                <w:sz w:val="24"/>
                <w:lang w:eastAsia="zh-Hans"/>
              </w:rPr>
            </w:pPr>
            <w:r>
              <w:rPr>
                <w:rFonts w:hint="eastAsia" w:ascii="宋体" w:hAnsi="宋体" w:cs="宋体"/>
                <w:color w:val="auto"/>
                <w:kern w:val="0"/>
                <w:sz w:val="24"/>
                <w:lang w:eastAsia="zh-Hans"/>
              </w:rPr>
              <w:t>态势感知大屏</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cs="宋体"/>
                <w:color w:val="auto"/>
                <w:kern w:val="0"/>
                <w:sz w:val="24"/>
                <w:lang w:eastAsia="zh-Hans"/>
              </w:rPr>
            </w:pPr>
            <w:r>
              <w:rPr>
                <w:rFonts w:hint="eastAsia" w:ascii="宋体" w:hAnsi="宋体" w:cs="宋体"/>
                <w:color w:val="auto"/>
                <w:kern w:val="0"/>
                <w:sz w:val="24"/>
              </w:rPr>
              <w:t>★</w:t>
            </w:r>
            <w:r>
              <w:rPr>
                <w:rFonts w:hint="eastAsia" w:ascii="宋体" w:hAnsi="宋体" w:cs="宋体"/>
                <w:color w:val="auto"/>
                <w:sz w:val="24"/>
              </w:rPr>
              <w:t>支持数据资产安全大屏，可为用户提供全网的数据资产分布情况、数据资产安全水位、敏感数据流转态势等信息。</w:t>
            </w:r>
          </w:p>
        </w:tc>
      </w:tr>
      <w:tr>
        <w:tblPrEx>
          <w:tblLayout w:type="fixed"/>
          <w:tblCellMar>
            <w:top w:w="0" w:type="dxa"/>
            <w:left w:w="108" w:type="dxa"/>
            <w:bottom w:w="0" w:type="dxa"/>
            <w:right w:w="108" w:type="dxa"/>
          </w:tblCellMar>
        </w:tblPrEx>
        <w:trPr>
          <w:trHeight w:val="23" w:hRule="atLeast"/>
        </w:trPr>
        <w:tc>
          <w:tcPr>
            <w:tcW w:w="456"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4</w:t>
            </w:r>
          </w:p>
        </w:tc>
        <w:tc>
          <w:tcPr>
            <w:tcW w:w="456"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数据分类分级服务</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kern w:val="0"/>
                <w:sz w:val="24"/>
                <w:lang w:eastAsia="zh-Hans"/>
              </w:rPr>
            </w:pPr>
            <w:r>
              <w:rPr>
                <w:rFonts w:hint="eastAsia" w:ascii="宋体" w:hAnsi="宋体" w:cs="宋体"/>
                <w:color w:val="auto"/>
                <w:sz w:val="24"/>
              </w:rPr>
              <w:t>数据分类分级咨询服务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根据台州市公共数据平台情况进行数据分类分级咨询调研服务，调研内容包括但不限于以下内容：</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数据基础信息调研：资源提供方、所属目录资源分类、信息资源摘要、所属系统名称、信息资源格式、数据保存位置、数据量大小、主题分类、重点领域分类、更新周期、共享方式、英文表名、数据类型、中文名称、字段描述等20余项信息。</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数据安全等级：数据级别、级别标识、影响范围、影响程度以及判断标准等。</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信息资源格式：电子文件、电子表格、数据库、图形图像、流媒体、其他等。</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kern w:val="0"/>
                <w:sz w:val="24"/>
              </w:rPr>
            </w:pPr>
            <w:r>
              <w:rPr>
                <w:rFonts w:hint="eastAsia" w:ascii="宋体" w:hAnsi="宋体" w:cs="宋体"/>
                <w:color w:val="auto"/>
                <w:sz w:val="24"/>
              </w:rPr>
              <w:t>在对以上信息收集完成、字段含义识别完成之后，形成数据资源列表，并且按照《数字化改革公共数据分类分级指南》制定适合台州公共数据平台的分类分级标准。</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sz w:val="24"/>
                <w:lang w:eastAsia="zh-Hans"/>
              </w:rPr>
            </w:pPr>
            <w:r>
              <w:rPr>
                <w:rFonts w:hint="eastAsia" w:ascii="宋体" w:hAnsi="宋体" w:cs="宋体"/>
                <w:color w:val="auto"/>
                <w:sz w:val="24"/>
              </w:rPr>
              <w:t>数据分类分级建模服务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根据数据分类分级的咨询标准结果，生成数据分类分级模型，能够将数据分类分级模型定制到数据分类分级平台，通过数据分类分级平台能够直观的查看分类分级模型指标。</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sz w:val="24"/>
                <w:lang w:eastAsia="zh-Hans"/>
              </w:rPr>
            </w:pPr>
            <w:r>
              <w:rPr>
                <w:rFonts w:hint="eastAsia" w:ascii="宋体" w:hAnsi="宋体" w:cs="宋体"/>
                <w:color w:val="auto"/>
                <w:sz w:val="24"/>
              </w:rPr>
              <w:t>分类模型及策略制定及分类实施</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确定数据分级分类原则;数据分类分级基于前期梳理完成的数据资源，按照业务属性和数据重要程度等多方面因素进行细分。数据分类分级可参考对应模型，数据分类分级模型具有数据分类、数据分级和行业实践三个维度。数据分类一般分为重要数据、个人信息数据和其他业务数据的大类，数据分级一般分为合规性等级、敏感性等级和风险控制等级的大类;然后按照数据性质、重要程度、管理需求或使用需求等进行数据分类进而得到数据一级分类，形成数据表、数据项、数据文件等不同的组合。分类和分级后，需要结合国家政策、行业及自身特点，确定数据分类分级策略，将分类和分级进行对应，形成数据分类分级策略，通常是表单的方式提供，根据组织的实际需求，制定数据分类分级管理规范，为组织分类分级管理提供依据，为后续的业务应用奠定基础分级分类实施数据分类分级按照分类分级咨询建立数据分类分级模型后，会将数据分类分级模型算法内置到数据分类分级平台，然后通过数据分类分级平台对数据项进行数据扫描，扫描后的结果通过数据分类分级平台进行数据类别和安全级别进行匹配，数据分类分级平台扫描的结果需要进行人工复核，复核过程涉及大量的人工操作，需要专业的具备数据治理能力的人员进行数据复核，同时还需要和各业务部门进行数据沟通，确定分类分级结果的准确性和可用性。</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sz w:val="24"/>
                <w:lang w:eastAsia="zh-Hans"/>
              </w:rPr>
            </w:pPr>
            <w:r>
              <w:rPr>
                <w:rFonts w:hint="eastAsia" w:ascii="宋体" w:hAnsi="宋体" w:cs="宋体"/>
                <w:color w:val="auto"/>
                <w:sz w:val="24"/>
              </w:rPr>
              <w:t>数据分类分级工具服务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分类分级服务提供分类分级工具服务，该工具能够适配多种数据源，支持主流关系型数据库（Oracle，Mysql，sqlServer，DB2，PostgreSQL，浪潮K-DB、大数据平台（hive）、云数据库（阿里云RDS for mysql）等。</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能够对不同行业的数据标准和分类分级标准进行灵活适配，内置专业行业模版至少包括公共（通用）、医疗、金融、证券等行业模版，保障准确率，页面支持用户自定义业务类型及规则配置，同时支持按照模版导入数据标准、数据字典等信息。</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提供完整的对接接口方案以及标准接口文档，能与其他系统进行交互；支持横向拓展，根据业务需要可以动态扩展。</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能够手工新增、批量导入、数据源发现三种方式添加数据源，可根据业务部门划分归属，页面支持查看数据源的关联用户、角色、权限。</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支持根据网段范围自动探测网络中的数据库，可扫描发现不限于Oracle、MySQL、SQL sever、DB2、postgresql、Sybase、 redis 、hbase、mongodb、informix等类型的数据库IP、端口、数据库类型等信息，支持仅对数据库常见的端口进行扫描以缩短扫描所用时间。</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支持定时执行数据源发现任务，可自定义定时周期和启动时间，启动时间可精确到小时、分、秒。</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支持对任务进行跟踪，展示发现作业名称、扫描IP范围、开始时间、扫描用时、发现数据库数量、任务执行状态等信息。</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支持用户选择两个不同的作业发现结果进行对比，包括数据库类型分布、数据库IP分布、数据库新增或者信息变化情况，支持导出对比报告。</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支持用户上传数据库台账文件，和扫描结果进行对比，并生成对比分析报告。</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支持用户创建资产发现作业，支持按照schema或者表选择需要发现的数据范围。</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支持选择发现模板自定义发现内容。</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支持自定义抽样行数范围、抽样行数（最小为10行）、输出命中率。</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支持查看发现作业分析进度，并可以对每一步的结果进行修改和确认。</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支持通过列内容匹配、列注释匹配、列名称匹配、函数分析等方式对数据语义内容进行自动识别，识别字段代表的业务类型。</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支持自动分析字段数据内容是否为空数据和脏数据。</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支持对存在数据特征比较明显的字段，自动分析并整理为规则，包括可整理为数据字典、可整理为规则，辅助用户快速确认结果。</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字段业务类型分析完成后，会分组展示分析结果，包括已识别、自动配置和人工配置三部分，支持用户分别查看、确认和修改识别结果。</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支持在业务类型识别的基础上，根据分类分级标准自动化完成数据的分类分级。分类结果确认</w:t>
            </w:r>
            <w:r>
              <w:rPr>
                <w:rFonts w:hint="eastAsia" w:ascii="宋体" w:hAnsi="宋体" w:cs="宋体"/>
                <w:color w:val="auto"/>
                <w:sz w:val="24"/>
              </w:rPr>
              <w:tab/>
            </w:r>
            <w:r>
              <w:rPr>
                <w:rFonts w:hint="eastAsia" w:ascii="宋体" w:hAnsi="宋体" w:cs="宋体"/>
                <w:color w:val="auto"/>
                <w:sz w:val="24"/>
              </w:rPr>
              <w:t>在自动完成数据分类分级时，支持用户对业务类型未分类的、字段对应业务类型存在多个分类的字段进行确认，确认完成后输出最终分类分级结果。</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支持通过业务含义识别对多种敏感数据类型进行自动识别；支持用户自定义需要发现的敏感类型，并对识别结果进行确认。</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按照数据表内包含的敏感字段数量和敏感等级，提供敏感指数帮助用户快速确认表格敏感程度，支持查看表格包含的敏感字段信息支持对敏感表格发现结果进行导出，格式为excel。</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支持以清单的形式资产发现的结果，包括字段业务类型、分类、分级、是否敏感等信息。</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支持导出资产发现清单，格式为Excel、XML。</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支持提供完整、直观、内容丰富的发现结果报告，包括数据统计信息，敏感数据统计、数据分类统计等；支持用户进行导出，格式为pdf。</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支持以分类分级目录形式查看数据资产的自动发现的结果和分类分级情况。</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支持按照分组-数据源-schema-表的维度，展示不同对象下的数据分类分级和敏感数据信息。</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支持用户导出资产发现总览和敏感数据统计报告，格式为Excel。</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支持通过手动新增和批量导入的方式添加规则配置中需要的数据字典。配置完成后可在“业务类型管理-规则配置”中进行选择。</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支持用户维护和定义数据资产的业务标准，支持用户自定义业务类型。</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支持用户自定义发现规则，包括列内容匹配、列注释匹配、字段名匹配等方式</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支持自定义业务类型的导入和导出。</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支持用户按照资产发现的需求，选择需要发现的业务类型，并以模板的形式进行管理</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支持用户对字段业务类型的分类和分级信息进行编辑</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对于发现流程中可配置的参数，提供前端页面进行配置，从而提高识别的效果。</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sz w:val="24"/>
                <w:lang w:eastAsia="zh-Hans"/>
              </w:rPr>
            </w:pPr>
            <w:r>
              <w:rPr>
                <w:rFonts w:hint="eastAsia" w:ascii="宋体" w:hAnsi="宋体" w:cs="宋体"/>
                <w:color w:val="auto"/>
                <w:sz w:val="24"/>
              </w:rPr>
              <w:t>分类分级梳理服务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4"/>
              </w:rPr>
            </w:pPr>
            <w:r>
              <w:rPr>
                <w:rFonts w:hint="eastAsia" w:ascii="宋体" w:hAnsi="宋体" w:cs="宋体"/>
                <w:color w:val="auto"/>
                <w:sz w:val="24"/>
              </w:rPr>
              <w:t>提供数据分类分级梳理服务，要求分类分级平台服务商具备较强的数据治理能力，能够通过前期的数据分类分级咨询产生的分类分级标准，分类分级执行过程中通过分类分级平台定的分类分级模型对公共数据进行分类分级扫描，扫描后提供人工梳理服务，对台州市全部已归集、已回流公共数据分类分级进行校对和修订，服务厂商提供至少3名DAMA数据治理服务工程师。</w:t>
            </w:r>
          </w:p>
        </w:tc>
      </w:tr>
      <w:tr>
        <w:tblPrEx>
          <w:tblLayout w:type="fixed"/>
          <w:tblCellMar>
            <w:top w:w="0" w:type="dxa"/>
            <w:left w:w="108" w:type="dxa"/>
            <w:bottom w:w="0" w:type="dxa"/>
            <w:right w:w="108" w:type="dxa"/>
          </w:tblCellMar>
        </w:tblPrEx>
        <w:trPr>
          <w:trHeight w:val="23" w:hRule="atLeast"/>
        </w:trPr>
        <w:tc>
          <w:tcPr>
            <w:tcW w:w="45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45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auto"/>
                <w:kern w:val="0"/>
                <w:sz w:val="24"/>
                <w:lang w:eastAsia="zh-Hans"/>
              </w:rPr>
            </w:pPr>
            <w:r>
              <w:rPr>
                <w:rFonts w:hint="eastAsia" w:ascii="宋体" w:hAnsi="宋体" w:cs="宋体"/>
                <w:color w:val="auto"/>
                <w:sz w:val="24"/>
              </w:rPr>
              <w:t>数据安全运营服务</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提供一名数据安全驻场工程师，负责公共数据平台日常运营服务，主要服务内容包括：</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1)数据分级分类结果应用</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对数据分类分级结果进行对接到数据安全监管平台，通过数据安全监管平台将分类分级后的结果数据推动给各数据安全模块，进行数据安全管理，需要推送的模块包括已建设的数据库访问控制模块、数据脱敏模块、数据库审计模块以及本次建设的数据库入侵防御、数据库防泄漏模块。</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2)数据权限管理</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梳理公共数据访问权限，通过数据库访问控制模块对数据访问权限进行管理。</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3)敏感接口审查和确认</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梳理公共数据敏感接口，对敏感接口进行定期审查服务，排除数据接口中的非法接口，对接口进行安全管理。</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4)自定义风控规则制定</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根据公共数据平台实际情况梳理风险控制规则，通过防护模块对风险规则进行防御配置。</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5)日常监控巡检服务</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定时对数据安全防护各模块进行巡检服务。</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6)风险预警处理</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通过数据安全监管平台进行风险预警发现和处置，对风险监管平台发现的风险进行处置，处置后形成处置过程文档，留档并定期汇总给公共数据平台管理员。</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7)访问行为分析和审计</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通过数据安全监管平台对数据方位行为进行分析和审计，对风险访问行为进行记录，追溯具体的访问行为原因和目标，审核是否具有安全违规行为。</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8)数据泄漏事件溯源</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对于数据泄露事件进行溯源审查，追溯到具体的泄露源和泄露点，并进行通报处置。</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9)高危人员数据行为审查</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对访问行文分析出的高危人员进行分析归类，对高危人员对数据的访问行为进行审查追溯，确认其访问行为风险等级，并配置对应的处置条件和行为。</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10)定期运营服务总结</w:t>
            </w:r>
          </w:p>
          <w:p>
            <w:pPr>
              <w:pStyle w:val="14"/>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szCs w:val="24"/>
              </w:rPr>
            </w:pPr>
            <w:r>
              <w:rPr>
                <w:rFonts w:hint="eastAsia" w:ascii="宋体" w:hAnsi="宋体" w:cs="宋体"/>
                <w:color w:val="auto"/>
                <w:sz w:val="24"/>
                <w:szCs w:val="24"/>
              </w:rPr>
              <w:t>定期对运行服务进行总结报告，提叫总结报告归档。</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cs="宋体"/>
                <w:color w:val="auto"/>
                <w:sz w:val="24"/>
              </w:rPr>
            </w:pPr>
            <w:r>
              <w:rPr>
                <w:rFonts w:hint="eastAsia" w:ascii="宋体" w:hAnsi="宋体" w:cs="宋体"/>
                <w:color w:val="auto"/>
                <w:sz w:val="24"/>
              </w:rPr>
              <w:t>11)数据安全应急服务</w:t>
            </w:r>
          </w:p>
          <w:p>
            <w:pPr>
              <w:keepNext w:val="0"/>
              <w:keepLines w:val="0"/>
              <w:pageBreakBefore w:val="0"/>
              <w:widowControl/>
              <w:kinsoku/>
              <w:wordWrap/>
              <w:overflowPunct/>
              <w:topLinePunct w:val="0"/>
              <w:autoSpaceDE/>
              <w:autoSpaceDN/>
              <w:bidi w:val="0"/>
              <w:adjustRightInd/>
              <w:snapToGrid/>
              <w:spacing w:line="240" w:lineRule="auto"/>
              <w:textAlignment w:val="center"/>
              <w:outlineLvl w:val="9"/>
              <w:rPr>
                <w:rFonts w:ascii="宋体" w:hAnsi="宋体" w:cs="宋体"/>
                <w:color w:val="auto"/>
                <w:kern w:val="0"/>
                <w:sz w:val="24"/>
              </w:rPr>
            </w:pPr>
            <w:r>
              <w:rPr>
                <w:rFonts w:hint="eastAsia" w:ascii="宋体" w:hAnsi="宋体" w:cs="宋体"/>
                <w:color w:val="auto"/>
                <w:sz w:val="24"/>
              </w:rPr>
              <w:t>在发生数据安全事件后，能够提供数据安全应急服务，能够调动服务团队进行应急服务支撑，服务结束提供应急服务报告，并进行原因分析，同步对防护弱点进行补足。</w:t>
            </w:r>
          </w:p>
        </w:tc>
      </w:tr>
    </w:tbl>
    <w:p>
      <w:pPr>
        <w:pStyle w:val="14"/>
        <w:ind w:firstLine="0"/>
        <w:rPr>
          <w:color w:val="auto"/>
        </w:rPr>
      </w:pPr>
    </w:p>
    <w:p>
      <w:pPr>
        <w:wordWrap w:val="0"/>
        <w:spacing w:line="360" w:lineRule="auto"/>
        <w:ind w:firstLine="482" w:firstLineChars="200"/>
        <w:rPr>
          <w:rFonts w:ascii="宋体" w:hAnsi="宋体" w:cs="宋体"/>
          <w:b/>
          <w:bCs/>
          <w:color w:val="auto"/>
          <w:sz w:val="24"/>
        </w:rPr>
      </w:pPr>
      <w:r>
        <w:rPr>
          <w:rFonts w:hint="eastAsia" w:ascii="宋体" w:hAnsi="宋体" w:cs="宋体"/>
          <w:b/>
          <w:bCs/>
          <w:color w:val="auto"/>
          <w:sz w:val="24"/>
        </w:rPr>
        <w:t>5、数据N仓</w:t>
      </w:r>
    </w:p>
    <w:tbl>
      <w:tblPr>
        <w:tblStyle w:val="25"/>
        <w:tblW w:w="9288" w:type="dxa"/>
        <w:tblInd w:w="0" w:type="dxa"/>
        <w:tblLayout w:type="fixed"/>
        <w:tblCellMar>
          <w:top w:w="0" w:type="dxa"/>
          <w:left w:w="108" w:type="dxa"/>
          <w:bottom w:w="0" w:type="dxa"/>
          <w:right w:w="108" w:type="dxa"/>
        </w:tblCellMar>
      </w:tblPr>
      <w:tblGrid>
        <w:gridCol w:w="385"/>
        <w:gridCol w:w="690"/>
        <w:gridCol w:w="1595"/>
        <w:gridCol w:w="1145"/>
        <w:gridCol w:w="5473"/>
      </w:tblGrid>
      <w:tr>
        <w:tblPrEx>
          <w:tblLayout w:type="fixed"/>
          <w:tblCellMar>
            <w:top w:w="0" w:type="dxa"/>
            <w:left w:w="108" w:type="dxa"/>
            <w:bottom w:w="0" w:type="dxa"/>
            <w:right w:w="108" w:type="dxa"/>
          </w:tblCellMar>
        </w:tblPrEx>
        <w:trPr>
          <w:trHeight w:val="285" w:hRule="atLeast"/>
        </w:trPr>
        <w:tc>
          <w:tcPr>
            <w:tcW w:w="92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5、数据N仓</w:t>
            </w:r>
          </w:p>
        </w:tc>
      </w:tr>
      <w:tr>
        <w:tblPrEx>
          <w:tblLayout w:type="fixed"/>
          <w:tblCellMar>
            <w:top w:w="0" w:type="dxa"/>
            <w:left w:w="108" w:type="dxa"/>
            <w:bottom w:w="0" w:type="dxa"/>
            <w:right w:w="108" w:type="dxa"/>
          </w:tblCellMar>
        </w:tblPrEx>
        <w:trPr>
          <w:trHeight w:val="57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数据管理服务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一体化数据仓管理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提供一年的一体化数据仓管理服务。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一体化数据仓平台管理规范主要包括平台的授权管理</w:t>
            </w:r>
          </w:p>
        </w:tc>
      </w:tr>
      <w:tr>
        <w:tblPrEx>
          <w:tblLayout w:type="fixed"/>
          <w:tblCellMar>
            <w:top w:w="0" w:type="dxa"/>
            <w:left w:w="108" w:type="dxa"/>
            <w:bottom w:w="0" w:type="dxa"/>
            <w:right w:w="108" w:type="dxa"/>
          </w:tblCellMar>
        </w:tblPrEx>
        <w:trPr>
          <w:trHeight w:val="1204" w:hRule="atLeast"/>
        </w:trPr>
        <w:tc>
          <w:tcPr>
            <w:tcW w:w="3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数据仓服务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台州市级数据仓管理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台州市级数据仓管理</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建设台州市级数据仓，用于承接省级下发的台州地域数据、整理归集台州市本级数据，做好台州市数据仓的管理和服务工作，并可在确保安全可控的前提下，按需将省市两级数据进行融合分析。</w:t>
            </w:r>
          </w:p>
        </w:tc>
      </w:tr>
      <w:tr>
        <w:tblPrEx>
          <w:tblLayout w:type="fixed"/>
          <w:tblCellMar>
            <w:top w:w="0" w:type="dxa"/>
            <w:left w:w="108" w:type="dxa"/>
            <w:bottom w:w="0" w:type="dxa"/>
            <w:right w:w="108" w:type="dxa"/>
          </w:tblCellMar>
        </w:tblPrEx>
        <w:trPr>
          <w:trHeight w:val="570" w:hRule="atLeast"/>
        </w:trPr>
        <w:tc>
          <w:tcPr>
            <w:tcW w:w="3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县市区数据仓服务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县市区数据仓服务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提供各县市区数据仓平台的软件远程运维支撑和数据申请需求响应。</w:t>
            </w:r>
          </w:p>
        </w:tc>
      </w:tr>
      <w:tr>
        <w:tblPrEx>
          <w:tblLayout w:type="fixed"/>
          <w:tblCellMar>
            <w:top w:w="0" w:type="dxa"/>
            <w:left w:w="108" w:type="dxa"/>
            <w:bottom w:w="0" w:type="dxa"/>
            <w:right w:w="108" w:type="dxa"/>
          </w:tblCellMar>
        </w:tblPrEx>
        <w:trPr>
          <w:trHeight w:val="1193" w:hRule="atLeast"/>
        </w:trPr>
        <w:tc>
          <w:tcPr>
            <w:tcW w:w="38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数字化改革任务数据仓服务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数字化改革任务数据仓服务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对接省大数据平台-台州空间中的台州市数字化改革任务数据仓，将数据仓同步至台州市本级任务数据仓中，并按照特定的拆分规则，对市任务数据仓数据进行拆分，并同步至区县数据仓中</w:t>
            </w:r>
          </w:p>
        </w:tc>
      </w:tr>
      <w:tr>
        <w:tblPrEx>
          <w:tblLayout w:type="fixed"/>
          <w:tblCellMar>
            <w:top w:w="0" w:type="dxa"/>
            <w:left w:w="108" w:type="dxa"/>
            <w:bottom w:w="0" w:type="dxa"/>
            <w:right w:w="108" w:type="dxa"/>
          </w:tblCellMar>
        </w:tblPrEx>
        <w:trPr>
          <w:trHeight w:val="114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数据运维服务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数据运维服务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数据运维服务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提供一年的公共数据平台驻场服务。提供涵盖事件管理、问题管理、配置管理、变更管理、发布管理等全方位的运维服务。服务过程中提供不少于8人工程师驻场运维及远程专家运维服务。</w:t>
            </w:r>
          </w:p>
        </w:tc>
      </w:tr>
      <w:tr>
        <w:tblPrEx>
          <w:tblLayout w:type="fixed"/>
          <w:tblCellMar>
            <w:top w:w="0" w:type="dxa"/>
            <w:left w:w="108" w:type="dxa"/>
            <w:bottom w:w="0" w:type="dxa"/>
            <w:right w:w="108" w:type="dxa"/>
          </w:tblCellMar>
        </w:tblPrEx>
        <w:trPr>
          <w:trHeight w:val="220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数据治理服务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数据治理服务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提供一年的一体化数据仓数据治理服务。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依托台州市县乡一体化数据仓平台-数据治理工具，在充分遵循国家、省、市的相关数据标准和治理规则的前提下，开展本地数据数据的清洗治理工作，逐步形成标准统一、质量可靠、纬度全面的本地数据，同时，将本地归集的个性数据制定成本地特色标准发布，作为后续该个性数据的治理标准规范，相关标准可依托市一体化数据仓-数据标准模块进行市标准的查询、关联、治理等，本地个性标准的录入、关联、治理等。</w:t>
            </w:r>
          </w:p>
        </w:tc>
      </w:tr>
      <w:tr>
        <w:tblPrEx>
          <w:tblLayout w:type="fixed"/>
          <w:tblCellMar>
            <w:top w:w="0" w:type="dxa"/>
            <w:left w:w="108" w:type="dxa"/>
            <w:bottom w:w="0" w:type="dxa"/>
            <w:right w:w="108" w:type="dxa"/>
          </w:tblCellMar>
        </w:tblPrEx>
        <w:trPr>
          <w:trHeight w:val="1069" w:hRule="atLeast"/>
        </w:trPr>
        <w:tc>
          <w:tcPr>
            <w:tcW w:w="3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专题仓建设服务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专题仓建设服务</w:t>
            </w:r>
          </w:p>
        </w:tc>
        <w:tc>
          <w:tcPr>
            <w:tcW w:w="6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依托公共数据平台梳理各部门专题数据仓，并根据用户要求提供数据标签体系服务。</w:t>
            </w:r>
          </w:p>
        </w:tc>
      </w:tr>
      <w:tr>
        <w:tblPrEx>
          <w:tblLayout w:type="fixed"/>
          <w:tblCellMar>
            <w:top w:w="0" w:type="dxa"/>
            <w:left w:w="108" w:type="dxa"/>
            <w:bottom w:w="0" w:type="dxa"/>
            <w:right w:w="108" w:type="dxa"/>
          </w:tblCellMar>
        </w:tblPrEx>
        <w:trPr>
          <w:trHeight w:val="192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数据归集服务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数据归集服务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lang w:bidi="ar"/>
              </w:rPr>
              <w:t>提供一年的数据归集服务</w:t>
            </w:r>
          </w:p>
        </w:tc>
        <w:tc>
          <w:tcPr>
            <w:tcW w:w="5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协助各部门归集数据，其中包含根据用户网络环境，帮助用户选择合适的归集方式；并协助用户打通归集网络；根据目录系统及用户提供的相关信息，进行数据交换配置，完成数据的归集传输；协助部门进入归集平台使用excel导入数据的方式实现数据的归集；对数据实时性高的数据通过数据高铁开展公共数据归集。加强逾期数据监控，对部门逾期数据通知部门负责人按时归集</w:t>
            </w:r>
          </w:p>
        </w:tc>
      </w:tr>
    </w:tbl>
    <w:p>
      <w:pPr>
        <w:numPr>
          <w:ilvl w:val="0"/>
          <w:numId w:val="23"/>
        </w:numPr>
        <w:wordWrap w:val="0"/>
        <w:spacing w:line="360" w:lineRule="auto"/>
        <w:ind w:firstLine="482" w:firstLineChars="200"/>
        <w:rPr>
          <w:rFonts w:ascii="宋体" w:hAnsi="宋体" w:cs="宋体"/>
          <w:b/>
          <w:bCs/>
          <w:color w:val="auto"/>
          <w:sz w:val="24"/>
        </w:rPr>
      </w:pPr>
      <w:r>
        <w:rPr>
          <w:rFonts w:hint="eastAsia" w:ascii="宋体" w:hAnsi="宋体" w:cs="宋体"/>
          <w:b/>
          <w:bCs/>
          <w:color w:val="auto"/>
          <w:sz w:val="24"/>
        </w:rPr>
        <w:t>项目建设管理需求</w:t>
      </w:r>
    </w:p>
    <w:p>
      <w:pPr>
        <w:wordWrap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1、进度要求</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本项目要求合同签订后</w:t>
      </w:r>
      <w:r>
        <w:rPr>
          <w:rFonts w:ascii="宋体" w:hAnsi="宋体" w:cs="宋体"/>
          <w:color w:val="auto"/>
          <w:sz w:val="24"/>
        </w:rPr>
        <w:t>3</w:t>
      </w:r>
      <w:r>
        <w:rPr>
          <w:rFonts w:hint="eastAsia" w:ascii="宋体" w:hAnsi="宋体" w:cs="宋体"/>
          <w:color w:val="auto"/>
          <w:sz w:val="24"/>
        </w:rPr>
        <w:t>个月内为项目实施期，软件部署并进行初验。</w:t>
      </w:r>
    </w:p>
    <w:p>
      <w:pPr>
        <w:wordWrap w:val="0"/>
        <w:spacing w:line="360" w:lineRule="auto"/>
        <w:ind w:firstLine="480" w:firstLineChars="200"/>
        <w:rPr>
          <w:rFonts w:ascii="宋体" w:hAnsi="宋体" w:cs="宋体"/>
          <w:b/>
          <w:bCs/>
          <w:color w:val="auto"/>
          <w:sz w:val="24"/>
        </w:rPr>
      </w:pPr>
      <w:r>
        <w:rPr>
          <w:rFonts w:hint="eastAsia" w:ascii="宋体" w:hAnsi="宋体" w:cs="宋体"/>
          <w:color w:val="auto"/>
          <w:sz w:val="24"/>
        </w:rPr>
        <w:t>系统试运行期为3个月，试运行结束组织验收，验收通过后进入项目2年质保期。</w:t>
      </w:r>
      <w:r>
        <w:rPr>
          <w:rFonts w:hint="eastAsia" w:ascii="宋体" w:hAnsi="宋体" w:cs="宋体"/>
          <w:color w:val="auto"/>
          <w:sz w:val="24"/>
          <w:lang w:val="zh-CN"/>
        </w:rPr>
        <w:t xml:space="preserve"> </w:t>
      </w:r>
      <w:r>
        <w:rPr>
          <w:rFonts w:hint="eastAsia" w:ascii="宋体" w:hAnsi="宋体" w:cs="宋体"/>
          <w:b/>
          <w:bCs/>
          <w:color w:val="auto"/>
          <w:sz w:val="24"/>
        </w:rPr>
        <w:t xml:space="preserve">（1）项目组织及实施要求 </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投标方应保证投标项目在招标方条件成熟时应立即开展实施；</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在项目实施过程中应服从招标方的统一领导和协调，招标方有权裁决投标方的责任范围，投标方必须执行，在招标方限定的时间内解决问题。如果投标方不能按时完成评估内容，招标方有权中止项目、索赔或拒付款项；</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投标方需根据自己的工程实施经验结合招标方的实际需求进一步细化和完善工作任务书，作为工程实施的指导性文件；</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应根据招标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投标方应负责配合招标方制定相关验收标准，并完成工程实施等验收工作。</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▲本项目投标方必须提供：</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1.数据目录治理服务提供驻场人员1人；</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2.数据治理升级提供驻场人员1人；</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3.数据安全运营服务提供数据安全驻场服务工程师1人；</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4.数据运维服务提供不少于8人工程师驻场运维及远程专家运维。</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以上人员自项目终验通过后提供一年驻场运维服务。</w:t>
      </w:r>
    </w:p>
    <w:p>
      <w:pPr>
        <w:wordWrap w:val="0"/>
        <w:spacing w:line="360" w:lineRule="auto"/>
        <w:ind w:firstLine="482" w:firstLineChars="200"/>
        <w:rPr>
          <w:rFonts w:ascii="宋体" w:hAnsi="宋体" w:cs="宋体"/>
          <w:b/>
          <w:bCs/>
          <w:color w:val="auto"/>
          <w:sz w:val="24"/>
        </w:rPr>
      </w:pPr>
      <w:r>
        <w:rPr>
          <w:rFonts w:hint="eastAsia" w:ascii="宋体" w:hAnsi="宋体" w:cs="宋体"/>
          <w:b/>
          <w:bCs/>
          <w:color w:val="auto"/>
          <w:sz w:val="24"/>
        </w:rPr>
        <w:t>（2）等保测评</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项目建成后第一年的等级保护测评由业主方组织第三方等保测评单位实施，系统定级为等保三级。相关费用不含在本次投标报价内，投标人需要配合完成等保测评和整改工作，直至通过第三方安全等保测评。</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（3）项目质量保证</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投标方须保证所提供的所有产品、中间件、数据库符合国家有关规定。投标方须保证所提供产品具有合法的版权或使用权，本项目采购的产品，如在本项目范围内使用过程中出现版权或使用权纠纷，应由投标方负责，采购方不承担责任，并且不得影响采购人对产品软件的使用。</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2.投标方必须保证解决项目所涉及的技术问题，如因技术原因无法满足采购人需求，由此产生的风险由投标人承担。</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3.投标方在质保期内，如遇软件产品升级、改版，应免费提供更新、升级服务；在质保期内如市政府有新系统上线，经业主方确认需要是否对接后，中标商应针对该新系统按照业主要求进行免费数据对接。</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4.质保期限结束后，本项目建设内容的所有软件产权、数据产权需移交给采购人，具体时间由采购人提出。 </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（4）培训要求 </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1.现场培训</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在所有产品部署现场，投标方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2.课程培训</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投标方应提供专门的课程培训，包括理论教授，问题讨论和上机操作，以便采购人能够迅速掌握相应的培训内容，同时为采购人自主组织开展培训推广提供支持。</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应提供详细的培训计划，包括课程的内容、资料讲义、授课方式、课程目标。 </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（5）售后要求 </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1.投标方需对所提交的系统提供自终验合格之日起2年的免费质保期服务。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质保期内须提供（7*24）上门维护、升级服务，对故障即时响应，2小时以内到现场，4小时以内提出问题解决方案并实施。逾期未作出响应，投标方应承担由于故障所造成的全部损失。质保期内产生的维护费用均由投标人承担。</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3.技术服务特别提示</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采购人需求在开发期和试运行期内，仍有可能不断完善，投标人须承诺在采购需求或政策法规范围内，随着采购人需求的变动随时作出响应，修改应用软件。正式验收通过后，若有需求变动，在免费维护期内，投标人须承诺在采购需求和政策法规范围内，仍应免费按采购人需求对整个系统做出相应修改，以满足采购人的需求。</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（6）项目验收要求 </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系统通过试运行后，中标方向采购人提出终验申请，采购人组织相关单位进行系统的终验。系统终验合格的条件必须至少满足以下三个要求：已提供了合同要求的全部软件系统、应用软件的所有开发源代码、开发环境和可执行文件，涉及到加密的要提供解密算法；提供完整的系统配套的产品资料，包括系统安装配置手册、系统功能设计说明书、用户使用手册等；试运行时性能满足合同要求；测试和试运行时出现的问题已被解决。 </w:t>
      </w:r>
    </w:p>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 xml:space="preserve">（7）其他要求 </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1.针对本项目开发的软件著作权归双方共同所有。</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2.需向采购单位开放本项目的源代码、数据结构、涉及到加密的要提供解密算法。</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3.开放涉及本系统所有的相关接口。</w:t>
      </w:r>
    </w:p>
    <w:p>
      <w:pPr>
        <w:tabs>
          <w:tab w:val="left" w:pos="8280"/>
        </w:tabs>
        <w:autoSpaceDE w:val="0"/>
        <w:autoSpaceDN w:val="0"/>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三、商务需求</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（一）</w:t>
      </w:r>
      <w:r>
        <w:rPr>
          <w:rFonts w:hint="eastAsia" w:asciiTheme="minorEastAsia" w:hAnsiTheme="minorEastAsia" w:eastAsiaTheme="minorEastAsia"/>
          <w:b/>
          <w:color w:val="auto"/>
          <w:sz w:val="24"/>
        </w:rPr>
        <w:t>服务期：</w:t>
      </w:r>
      <w:r>
        <w:rPr>
          <w:rFonts w:hint="eastAsia" w:ascii="宋体" w:hAnsi="宋体"/>
          <w:color w:val="auto"/>
          <w:sz w:val="24"/>
        </w:rPr>
        <w:t>验收合格后</w:t>
      </w:r>
      <w:r>
        <w:rPr>
          <w:rFonts w:hint="eastAsia" w:asciiTheme="minorEastAsia" w:hAnsiTheme="minorEastAsia" w:eastAsiaTheme="minorEastAsia"/>
          <w:color w:val="auto"/>
          <w:sz w:val="24"/>
        </w:rPr>
        <w:t>免费</w:t>
      </w:r>
      <w:r>
        <w:rPr>
          <w:rFonts w:hint="eastAsia" w:ascii="宋体" w:hAnsi="宋体" w:cs="宋体"/>
          <w:color w:val="auto"/>
          <w:sz w:val="24"/>
        </w:rPr>
        <w:t>质保</w:t>
      </w:r>
      <w:r>
        <w:rPr>
          <w:rFonts w:hAnsi="宋体" w:cs="宋体"/>
          <w:color w:val="auto"/>
          <w:sz w:val="24"/>
        </w:rPr>
        <w:t>2</w:t>
      </w:r>
      <w:r>
        <w:rPr>
          <w:rFonts w:hint="eastAsia" w:ascii="宋体" w:hAnsi="宋体" w:cs="宋体"/>
          <w:color w:val="auto"/>
          <w:sz w:val="24"/>
        </w:rPr>
        <w:t>年。</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Theme="minorEastAsia" w:hAnsiTheme="minorEastAsia" w:eastAsiaTheme="minorEastAsia"/>
          <w:b/>
          <w:color w:val="auto"/>
          <w:kern w:val="0"/>
          <w:sz w:val="24"/>
        </w:rPr>
        <w:t>交付时间及地点：</w:t>
      </w:r>
      <w:r>
        <w:rPr>
          <w:rFonts w:hint="eastAsia" w:asciiTheme="minorEastAsia" w:hAnsiTheme="minorEastAsia" w:eastAsiaTheme="minorEastAsia"/>
          <w:color w:val="auto"/>
          <w:kern w:val="0"/>
          <w:sz w:val="24"/>
        </w:rPr>
        <w:t>合同签订后</w:t>
      </w:r>
      <w:r>
        <w:rPr>
          <w:rFonts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rPr>
        <w:t>个月内交付至采购人指定地点并部署软件进行试运营。</w:t>
      </w:r>
    </w:p>
    <w:p>
      <w:pPr>
        <w:wordWrap w:val="0"/>
        <w:spacing w:line="360" w:lineRule="auto"/>
        <w:ind w:firstLine="480" w:firstLineChars="200"/>
        <w:rPr>
          <w:rFonts w:ascii="宋体" w:hAnsi="宋体" w:cs="宋体"/>
          <w:color w:val="auto"/>
          <w:sz w:val="24"/>
          <w:lang w:val="zh-CN"/>
        </w:rPr>
      </w:pPr>
      <w:r>
        <w:rPr>
          <w:rFonts w:hint="eastAsia" w:ascii="宋体" w:hAnsi="宋体" w:cs="宋体"/>
          <w:color w:val="auto"/>
          <w:sz w:val="24"/>
        </w:rPr>
        <w:t>（三）</w:t>
      </w:r>
      <w:r>
        <w:rPr>
          <w:rFonts w:hint="eastAsia" w:asciiTheme="minorEastAsia" w:hAnsiTheme="minorEastAsia" w:eastAsiaTheme="minorEastAsia"/>
          <w:b/>
          <w:color w:val="auto"/>
          <w:sz w:val="24"/>
        </w:rPr>
        <w:t>付款条件：</w:t>
      </w:r>
      <w:r>
        <w:rPr>
          <w:rFonts w:hint="eastAsia" w:asciiTheme="minorEastAsia" w:hAnsiTheme="minorEastAsia" w:cstheme="minorEastAsia"/>
          <w:color w:val="auto"/>
          <w:sz w:val="24"/>
        </w:rPr>
        <w:t>待合同生效后且在财政资金到位的前提下</w:t>
      </w:r>
      <w:r>
        <w:rPr>
          <w:rFonts w:asciiTheme="minorEastAsia" w:hAnsiTheme="minorEastAsia" w:cstheme="minorEastAsia"/>
          <w:color w:val="auto"/>
          <w:sz w:val="24"/>
        </w:rPr>
        <w:t>7</w:t>
      </w:r>
      <w:r>
        <w:rPr>
          <w:rFonts w:hint="eastAsia" w:asciiTheme="minorEastAsia" w:hAnsiTheme="minorEastAsia" w:eastAsiaTheme="minorEastAsia" w:cstheme="minorEastAsia"/>
          <w:color w:val="auto"/>
          <w:sz w:val="24"/>
        </w:rPr>
        <w:t>个工作日内支付合同金额的</w:t>
      </w:r>
      <w:r>
        <w:rPr>
          <w:rFonts w:hint="eastAsia" w:asciiTheme="minorEastAsia" w:hAnsiTheme="minorEastAsia" w:cstheme="minorEastAsia"/>
          <w:color w:val="auto"/>
          <w:sz w:val="24"/>
        </w:rPr>
        <w:t>4</w:t>
      </w:r>
      <w:r>
        <w:rPr>
          <w:rFonts w:hint="eastAsia" w:asciiTheme="minorEastAsia" w:hAnsiTheme="minorEastAsia" w:eastAsiaTheme="minorEastAsia" w:cstheme="minorEastAsia"/>
          <w:color w:val="auto"/>
          <w:sz w:val="24"/>
        </w:rPr>
        <w:t>0%，初验通过后</w:t>
      </w:r>
      <w:r>
        <w:rPr>
          <w:rFonts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rPr>
        <w:t>个工作日内支付合同金额的30%，终验通过后</w:t>
      </w:r>
      <w:r>
        <w:rPr>
          <w:rFonts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rPr>
        <w:t>个工作日内支付合同金额的</w:t>
      </w:r>
      <w:r>
        <w:rPr>
          <w:rFonts w:hint="eastAsia" w:asciiTheme="minorEastAsia" w:hAnsiTheme="minorEastAsia" w:cstheme="minorEastAsia"/>
          <w:color w:val="auto"/>
          <w:sz w:val="24"/>
        </w:rPr>
        <w:t>3</w:t>
      </w:r>
      <w:r>
        <w:rPr>
          <w:rFonts w:hint="eastAsia" w:asciiTheme="minorEastAsia" w:hAnsiTheme="minorEastAsia" w:eastAsiaTheme="minorEastAsia" w:cstheme="minorEastAsia"/>
          <w:color w:val="auto"/>
          <w:sz w:val="24"/>
        </w:rPr>
        <w:t>0%。</w:t>
      </w:r>
    </w:p>
    <w:p>
      <w:pPr>
        <w:wordWrap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（四）</w:t>
      </w:r>
      <w:r>
        <w:rPr>
          <w:rFonts w:hint="eastAsia" w:ascii="宋体" w:hAnsi="宋体" w:cs="宋体"/>
          <w:b/>
          <w:bCs/>
          <w:color w:val="auto"/>
          <w:sz w:val="24"/>
          <w:lang w:val="zh-CN"/>
        </w:rPr>
        <w:t>履约保证金：</w:t>
      </w:r>
      <w:r>
        <w:rPr>
          <w:rFonts w:hint="eastAsia" w:ascii="宋体" w:hAnsi="宋体" w:cs="宋体"/>
          <w:color w:val="auto"/>
          <w:sz w:val="24"/>
          <w:lang w:val="zh-CN"/>
        </w:rPr>
        <w:t>本项目履约保证金为合同金额的_</w:t>
      </w:r>
      <w:r>
        <w:rPr>
          <w:rFonts w:hint="eastAsia" w:ascii="宋体" w:hAnsi="宋体" w:cs="宋体"/>
          <w:color w:val="auto"/>
          <w:sz w:val="24"/>
          <w:lang w:val="en-US" w:eastAsia="zh-CN"/>
        </w:rPr>
        <w:t>1</w:t>
      </w:r>
      <w:r>
        <w:rPr>
          <w:rFonts w:hint="eastAsia" w:ascii="宋体" w:hAnsi="宋体" w:cs="宋体"/>
          <w:color w:val="auto"/>
          <w:sz w:val="24"/>
          <w:lang w:val="zh-CN"/>
        </w:rPr>
        <w:t>_% 。[履约保证金交至</w:t>
      </w:r>
      <w:r>
        <w:rPr>
          <w:rFonts w:hint="eastAsia" w:ascii="宋体" w:hAnsi="宋体" w:cs="宋体"/>
          <w:color w:val="auto"/>
          <w:sz w:val="24"/>
          <w:lang w:val="en-US" w:eastAsia="zh-CN"/>
        </w:rPr>
        <w:t>招标</w:t>
      </w:r>
      <w:r>
        <w:rPr>
          <w:rFonts w:hint="eastAsia" w:ascii="宋体" w:hAnsi="宋体" w:cs="宋体"/>
          <w:color w:val="auto"/>
          <w:sz w:val="24"/>
          <w:lang w:val="zh-CN"/>
        </w:rPr>
        <w:t>人处，在终验合格后</w:t>
      </w:r>
      <w:r>
        <w:rPr>
          <w:rFonts w:hint="eastAsia" w:ascii="宋体" w:hAnsi="宋体" w:cs="宋体"/>
          <w:color w:val="auto"/>
          <w:sz w:val="24"/>
          <w:lang w:val="en-US" w:eastAsia="zh-CN"/>
        </w:rPr>
        <w:t>7</w:t>
      </w:r>
      <w:r>
        <w:rPr>
          <w:rFonts w:hint="eastAsia" w:ascii="宋体" w:hAnsi="宋体" w:cs="宋体"/>
          <w:color w:val="auto"/>
          <w:sz w:val="24"/>
          <w:lang w:val="zh-CN"/>
        </w:rPr>
        <w:t>个工作日内无息退还，履约保证金支持履约保函（银行保函或保险保函）形式]。</w:t>
      </w:r>
    </w:p>
    <w:p>
      <w:pPr>
        <w:tabs>
          <w:tab w:val="left" w:pos="8280"/>
        </w:tabs>
        <w:autoSpaceDE w:val="0"/>
        <w:autoSpaceDN w:val="0"/>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四、其他需求：</w:t>
      </w:r>
    </w:p>
    <w:p>
      <w:pPr>
        <w:wordWrap w:val="0"/>
        <w:spacing w:line="360" w:lineRule="auto"/>
        <w:ind w:firstLine="480" w:firstLineChars="200"/>
        <w:rPr>
          <w:rFonts w:hAnsi="宋体" w:cs="宋体"/>
          <w:b/>
          <w:color w:val="auto"/>
          <w:sz w:val="24"/>
        </w:rPr>
      </w:pPr>
      <w:r>
        <w:rPr>
          <w:rFonts w:hint="eastAsia" w:ascii="宋体" w:hAnsi="宋体" w:cs="宋体"/>
          <w:color w:val="auto"/>
          <w:sz w:val="24"/>
        </w:rPr>
        <w:t>（一）本项目中标（成交）供应商应在浙江省政府采购网（http：//www.zjzfcg.gov.cn/new/）上注册成为”政府采购供应商”，如不按要求注册的，采购人有权延期发布中标（成交）通知书和中标（成交）公告，后果由供应商自行承担。</w:t>
      </w:r>
      <w:bookmarkStart w:id="38" w:name="_Toc31173_WPSOffice_Level1"/>
    </w:p>
    <w:p>
      <w:pPr>
        <w:pStyle w:val="16"/>
        <w:ind w:left="5250"/>
        <w:rPr>
          <w:rFonts w:hAnsi="宋体"/>
          <w:b/>
          <w:color w:val="auto"/>
          <w:sz w:val="24"/>
        </w:rPr>
      </w:pPr>
    </w:p>
    <w:p>
      <w:pPr>
        <w:rPr>
          <w:rFonts w:hAnsi="宋体" w:cs="宋体"/>
          <w:b/>
          <w:color w:val="auto"/>
          <w:sz w:val="24"/>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5"/>
        <w:tabs>
          <w:tab w:val="left" w:pos="630"/>
        </w:tabs>
        <w:snapToGrid w:val="0"/>
        <w:spacing w:line="360" w:lineRule="auto"/>
        <w:jc w:val="center"/>
        <w:rPr>
          <w:rFonts w:hint="eastAsia" w:hAnsi="宋体"/>
          <w:b/>
          <w:color w:val="auto"/>
          <w:sz w:val="24"/>
        </w:rPr>
      </w:pPr>
    </w:p>
    <w:p>
      <w:pPr>
        <w:pStyle w:val="15"/>
        <w:tabs>
          <w:tab w:val="left" w:pos="630"/>
        </w:tabs>
        <w:snapToGrid w:val="0"/>
        <w:spacing w:line="360" w:lineRule="auto"/>
        <w:jc w:val="center"/>
        <w:rPr>
          <w:rFonts w:hAnsi="宋体"/>
          <w:b/>
          <w:color w:val="auto"/>
          <w:sz w:val="24"/>
        </w:rPr>
      </w:pPr>
      <w:r>
        <w:rPr>
          <w:rFonts w:hint="eastAsia" w:hAnsi="宋体"/>
          <w:b/>
          <w:color w:val="auto"/>
          <w:sz w:val="24"/>
        </w:rPr>
        <w:t>第四章  评标</w:t>
      </w:r>
      <w:bookmarkEnd w:id="38"/>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一、评标方法</w:t>
      </w:r>
    </w:p>
    <w:p>
      <w:pPr>
        <w:spacing w:line="360" w:lineRule="auto"/>
        <w:ind w:firstLine="480" w:firstLineChars="200"/>
        <w:rPr>
          <w:rFonts w:ascii="宋体" w:hAnsi="宋体" w:cs="宋体"/>
          <w:color w:val="auto"/>
          <w:sz w:val="24"/>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二、评标原则</w:t>
      </w:r>
    </w:p>
    <w:p>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pPr>
        <w:pStyle w:val="2"/>
        <w:spacing w:after="0" w:line="360" w:lineRule="auto"/>
        <w:ind w:left="0" w:leftChars="0" w:firstLine="482" w:firstLineChars="200"/>
        <w:rPr>
          <w:rFonts w:ascii="宋体" w:hAnsi="宋体" w:cs="宋体"/>
          <w:b/>
          <w:color w:val="auto"/>
          <w:sz w:val="24"/>
        </w:rPr>
      </w:pPr>
      <w:r>
        <w:rPr>
          <w:rFonts w:hint="eastAsia" w:ascii="宋体" w:hAnsi="宋体" w:cs="宋体"/>
          <w:b/>
          <w:color w:val="auto"/>
          <w:sz w:val="24"/>
        </w:rPr>
        <w:t>三、评标委员会</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（一）本项目评标委员会由采购人代表和评审专家组成，成员人数为5人，其中评审专家不得少于成员总数的三分之二。</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1.参加采购活动前3年内与供应商存在劳动关系；</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2.参加采购活动前3年内担任供应商的董事、监事；</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3.参加采购活动前3年内是供应商的控股股东或者实际控制人；</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4.与供应商的法定代表人或者负责人有夫妻、直系血亲、三代以内旁系血亲或者近姻亲关系；</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5.与供应商有其他可能影响政府采购活动公平、公正进行的关系。</w:t>
      </w:r>
    </w:p>
    <w:p>
      <w:pPr>
        <w:pStyle w:val="14"/>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（三）评标委员会负责具体评标事务，并独立履行下列职责：</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1.审查、评价投标文件是否符合招标文件的商务、技术等实质性要求；</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2.要求投标人对投标文件有关事项作出澄清或者说明；</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3.对投标文件进行比较和评价；</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4.确定中标候选人名单，以及根据采购人委托直接确定中标人；</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5.向采购人、采购组织机构或者有关部门报告评标中发现的违法行为；</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6.法律法规规定的其他职责。</w:t>
      </w:r>
    </w:p>
    <w:p>
      <w:pPr>
        <w:pStyle w:val="20"/>
        <w:spacing w:before="0" w:beforeAutospacing="0" w:after="0" w:afterAutospacing="0" w:line="360" w:lineRule="auto"/>
        <w:ind w:firstLine="482" w:firstLineChars="200"/>
        <w:jc w:val="both"/>
        <w:rPr>
          <w:rFonts w:hint="default" w:cs="宋体"/>
          <w:b/>
          <w:color w:val="auto"/>
        </w:rPr>
      </w:pPr>
      <w:r>
        <w:rPr>
          <w:rFonts w:cs="宋体"/>
          <w:b/>
          <w:color w:val="auto"/>
        </w:rPr>
        <w:t>四、无效标情形</w:t>
      </w:r>
    </w:p>
    <w:p>
      <w:pPr>
        <w:adjustRightInd w:val="0"/>
        <w:snapToGrid w:val="0"/>
        <w:spacing w:line="360" w:lineRule="auto"/>
        <w:ind w:firstLine="480" w:firstLineChars="200"/>
        <w:rPr>
          <w:rFonts w:ascii="宋体" w:hAnsi="宋体" w:cs="宋体"/>
          <w:b/>
          <w:bCs/>
          <w:color w:val="auto"/>
          <w:sz w:val="24"/>
        </w:rPr>
      </w:pPr>
      <w:r>
        <w:rPr>
          <w:rFonts w:hint="eastAsia" w:ascii="宋体" w:hAnsi="宋体" w:cs="宋体"/>
          <w:color w:val="auto"/>
          <w:kern w:val="0"/>
          <w:sz w:val="24"/>
        </w:rPr>
        <w:t>（一）在资格证明文件或商务与技术文件中出现投标报价的，或者报价文件中报价的货物跟商务与技术文件中的投标货物出现重大偏差的；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cs="宋体"/>
          <w:color w:val="auto"/>
        </w:rPr>
      </w:pPr>
      <w:r>
        <w:rPr>
          <w:rFonts w:cs="宋体"/>
          <w:color w:val="auto"/>
        </w:rPr>
        <w:t>（二）不具备招标文件中规定的资格要求的；</w:t>
      </w:r>
      <w:r>
        <w:rPr>
          <w:rFonts w:cs="宋体"/>
          <w:color w:val="auto"/>
        </w:rPr>
        <w:tab/>
      </w:r>
    </w:p>
    <w:p>
      <w:pPr>
        <w:pStyle w:val="20"/>
        <w:adjustRightInd w:val="0"/>
        <w:snapToGrid w:val="0"/>
        <w:spacing w:before="0" w:beforeAutospacing="0" w:after="0" w:afterAutospacing="0" w:line="360" w:lineRule="auto"/>
        <w:ind w:firstLine="480" w:firstLineChars="200"/>
        <w:jc w:val="both"/>
        <w:rPr>
          <w:rFonts w:hint="default" w:cs="宋体"/>
          <w:color w:val="auto"/>
        </w:rPr>
      </w:pPr>
      <w:r>
        <w:rPr>
          <w:rFonts w:cs="宋体"/>
          <w:color w:val="auto"/>
        </w:rPr>
        <w:t>（三）投标文件含有采购人不能接受的附加条件的；</w:t>
      </w:r>
    </w:p>
    <w:p>
      <w:pPr>
        <w:pStyle w:val="10"/>
        <w:spacing w:line="360" w:lineRule="auto"/>
        <w:ind w:firstLine="480" w:firstLineChars="200"/>
        <w:jc w:val="both"/>
        <w:rPr>
          <w:rFonts w:ascii="宋体" w:hAnsi="宋体" w:cs="宋体"/>
          <w:bCs/>
          <w:color w:val="auto"/>
          <w:kern w:val="0"/>
          <w:sz w:val="24"/>
        </w:rPr>
      </w:pPr>
      <w:r>
        <w:rPr>
          <w:rFonts w:hint="eastAsia" w:ascii="宋体" w:hAnsi="宋体" w:cs="宋体"/>
          <w:color w:val="auto"/>
          <w:kern w:val="0"/>
          <w:sz w:val="24"/>
        </w:rPr>
        <w:t>（四）</w:t>
      </w:r>
      <w:r>
        <w:rPr>
          <w:rFonts w:hint="eastAsia" w:ascii="宋体" w:hAnsi="宋体" w:cs="宋体"/>
          <w:color w:val="auto"/>
          <w:sz w:val="24"/>
          <w:shd w:val="clear" w:color="auto" w:fill="FFFFFF"/>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（六）投标文件存在虚假材料的； </w:t>
      </w:r>
    </w:p>
    <w:p>
      <w:pPr>
        <w:tabs>
          <w:tab w:val="left" w:pos="1898"/>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（七）有中华人民共和国财政部令第87号《政府采购货物和服务招标投标管理办法》第三十七条情形之一的，视为投标人串通投标，其投标无效，并移送采购监管部门：</w:t>
      </w:r>
    </w:p>
    <w:p>
      <w:pPr>
        <w:tabs>
          <w:tab w:val="left" w:pos="1898"/>
        </w:tabs>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1、不同投标人的投标文件由同一单位或者个人编制；</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2、不同投标人委托同一单位或者个人办理投标事宜；</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cs="宋体"/>
          <w:color w:val="auto"/>
        </w:rPr>
      </w:pPr>
      <w:r>
        <w:rPr>
          <w:rFonts w:cs="宋体"/>
          <w:color w:val="auto"/>
          <w:shd w:val="clear" w:color="auto" w:fill="FFFFFF"/>
        </w:rPr>
        <w:t>5、不同投标人的投标文件相互混装；</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（八）实质性要求（招标文件中打“▲”内容）不响应的；</w:t>
      </w:r>
    </w:p>
    <w:p>
      <w:pPr>
        <w:pStyle w:val="14"/>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（九）商务条款不响应的；</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（十）投标文件有效期不足的；</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（十一）逾期或未按要求提交投标文件的；</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（十二）其他不符合法律法规相关规定的。</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（一）出现影响采购公正的违法、违规行为的；</w:t>
      </w:r>
    </w:p>
    <w:p>
      <w:pPr>
        <w:pStyle w:val="20"/>
        <w:spacing w:before="0" w:beforeAutospacing="0" w:after="0" w:afterAutospacing="0" w:line="360" w:lineRule="auto"/>
        <w:ind w:firstLine="480" w:firstLineChars="200"/>
        <w:jc w:val="both"/>
        <w:rPr>
          <w:rFonts w:hint="default" w:cs="宋体"/>
          <w:b/>
          <w:bCs/>
          <w:color w:val="auto"/>
        </w:rPr>
      </w:pPr>
      <w:r>
        <w:rPr>
          <w:rFonts w:cs="宋体"/>
          <w:color w:val="auto"/>
        </w:rPr>
        <w:t>（二）评标委员会发现招标文件存在歧义、重大缺陷导致评标工作无法进行，或者招标文件内容违反国家有关强制性规定的；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（三）因重大变故，采购任务取消的；</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（四）法律、法规和招标文件规定的其他导致评标结果无效的。</w:t>
      </w:r>
    </w:p>
    <w:p>
      <w:pPr>
        <w:pStyle w:val="15"/>
        <w:snapToGrid w:val="0"/>
        <w:spacing w:line="360" w:lineRule="auto"/>
        <w:ind w:firstLine="482" w:firstLineChars="200"/>
        <w:rPr>
          <w:rFonts w:hAnsi="宋体"/>
          <w:b/>
          <w:color w:val="auto"/>
          <w:sz w:val="24"/>
        </w:rPr>
      </w:pPr>
      <w:r>
        <w:rPr>
          <w:rFonts w:hint="eastAsia" w:hAnsi="宋体"/>
          <w:b/>
          <w:color w:val="auto"/>
          <w:sz w:val="24"/>
        </w:rPr>
        <w:t>六、评标过程的监控</w:t>
      </w:r>
    </w:p>
    <w:p>
      <w:pPr>
        <w:pStyle w:val="20"/>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pPr>
        <w:pStyle w:val="15"/>
        <w:snapToGrid w:val="0"/>
        <w:spacing w:line="360" w:lineRule="auto"/>
        <w:ind w:firstLine="482" w:firstLineChars="200"/>
        <w:rPr>
          <w:rFonts w:hAnsi="宋体"/>
          <w:b/>
          <w:bCs/>
          <w:color w:val="auto"/>
          <w:sz w:val="24"/>
        </w:rPr>
      </w:pPr>
      <w:r>
        <w:rPr>
          <w:rFonts w:hint="eastAsia" w:hAnsi="宋体"/>
          <w:b/>
          <w:bCs/>
          <w:color w:val="auto"/>
          <w:sz w:val="24"/>
        </w:rPr>
        <w:t>七、政府采购政策落实</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（一）</w:t>
      </w:r>
      <w:r>
        <w:rPr>
          <w:rFonts w:hint="eastAsia" w:ascii="宋体"/>
          <w:color w:val="auto"/>
          <w:sz w:val="24"/>
          <w:lang w:val="zh-CN"/>
        </w:rPr>
        <w:t>政府采购政策及优惠：</w:t>
      </w:r>
    </w:p>
    <w:p>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产品适用政府采购政策情况表》（见附件</w:t>
      </w:r>
      <w:r>
        <w:rPr>
          <w:rFonts w:hint="eastAsia" w:ascii="宋体"/>
          <w:color w:val="auto"/>
          <w:sz w:val="24"/>
        </w:rPr>
        <w:t>19</w:t>
      </w:r>
      <w:r>
        <w:rPr>
          <w:rFonts w:hint="eastAsia" w:ascii="宋体"/>
          <w:color w:val="auto"/>
          <w:sz w:val="24"/>
          <w:lang w:val="zh-CN"/>
        </w:rPr>
        <w:t>）、《</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见附件18</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残疾人福利性单位在参加政府采购活动时，应提供《残疾人福利性单位声明函》和《产品适用政府采购政策情况表》，视同小型、微型企业，享受小微企业政府采购优惠政策。</w:t>
      </w:r>
    </w:p>
    <w:p>
      <w:pPr>
        <w:pStyle w:val="10"/>
        <w:spacing w:line="360" w:lineRule="auto"/>
        <w:ind w:firstLine="480" w:firstLineChars="200"/>
        <w:jc w:val="both"/>
        <w:rPr>
          <w:rFonts w:ascii="宋体" w:hAnsi="宋体" w:cs="宋体"/>
          <w:color w:val="auto"/>
          <w:sz w:val="24"/>
        </w:rPr>
      </w:pPr>
      <w:r>
        <w:rPr>
          <w:rFonts w:hint="eastAsia" w:ascii="宋体"/>
          <w:color w:val="auto"/>
          <w:sz w:val="24"/>
        </w:rPr>
        <w:t>4.</w:t>
      </w:r>
      <w:r>
        <w:rPr>
          <w:rFonts w:hint="eastAsia" w:ascii="宋体" w:hAnsi="宋体" w:cs="宋体"/>
          <w:color w:val="auto"/>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0" w:firstLineChars="200"/>
        <w:rPr>
          <w:color w:val="auto"/>
          <w:lang w:val="zh-CN"/>
        </w:rPr>
      </w:pPr>
      <w:r>
        <w:rPr>
          <w:rFonts w:hint="eastAsia" w:ascii="宋体"/>
          <w:color w:val="auto"/>
          <w:sz w:val="24"/>
        </w:rPr>
        <w:t>（二）价格扣除相关要求：</w:t>
      </w:r>
    </w:p>
    <w:p>
      <w:pPr>
        <w:pStyle w:val="10"/>
        <w:spacing w:line="360" w:lineRule="auto"/>
        <w:ind w:firstLine="480" w:firstLineChars="200"/>
        <w:jc w:val="both"/>
        <w:rPr>
          <w:rFonts w:ascii="宋体" w:hAnsi="宋体" w:cs="宋体"/>
          <w:color w:val="auto"/>
          <w:sz w:val="24"/>
          <w:lang w:val="zh-CN"/>
        </w:rPr>
      </w:pPr>
      <w:r>
        <w:rPr>
          <w:rFonts w:hint="eastAsia" w:ascii="宋体"/>
          <w:color w:val="auto"/>
          <w:sz w:val="24"/>
          <w:lang w:val="zh-CN"/>
        </w:rPr>
        <w:t>参照浙财采监〔2022〕</w:t>
      </w:r>
      <w:r>
        <w:rPr>
          <w:rFonts w:hint="eastAsia" w:ascii="宋体"/>
          <w:color w:val="auto"/>
          <w:sz w:val="24"/>
          <w:lang w:val="en-US" w:eastAsia="zh-CN"/>
        </w:rPr>
        <w:t>8</w:t>
      </w:r>
      <w:r>
        <w:rPr>
          <w:rFonts w:hint="eastAsia" w:ascii="宋体"/>
          <w:color w:val="auto"/>
          <w:sz w:val="24"/>
          <w:lang w:val="zh-CN"/>
        </w:rPr>
        <w:t>号文件，对于小型微型企业产品的价格给予</w:t>
      </w:r>
      <w:r>
        <w:rPr>
          <w:rFonts w:hint="eastAsia" w:ascii="宋体"/>
          <w:color w:val="auto"/>
          <w:sz w:val="24"/>
          <w:lang w:val="en-US" w:eastAsia="zh-CN"/>
        </w:rPr>
        <w:t>2</w:t>
      </w:r>
      <w:r>
        <w:rPr>
          <w:rFonts w:hint="eastAsia" w:ascii="宋体"/>
          <w:color w:val="auto"/>
          <w:sz w:val="24"/>
          <w:lang w:val="zh-CN"/>
        </w:rPr>
        <w:t>0%的扣除，用扣除后的价格计算评标基准价和投标报价。同一投标人，小微企业、监狱企业、残疾人福利性单位价格扣除优惠只享受一次，不得重复享受。</w:t>
      </w:r>
    </w:p>
    <w:p>
      <w:pPr>
        <w:pStyle w:val="15"/>
        <w:snapToGrid w:val="0"/>
        <w:spacing w:line="360" w:lineRule="auto"/>
        <w:ind w:firstLine="482" w:firstLineChars="200"/>
        <w:rPr>
          <w:rFonts w:hAnsi="宋体"/>
          <w:b/>
          <w:bCs/>
          <w:color w:val="auto"/>
          <w:sz w:val="24"/>
        </w:rPr>
      </w:pPr>
      <w:r>
        <w:rPr>
          <w:rFonts w:hint="eastAsia" w:hAnsi="宋体"/>
          <w:b/>
          <w:bCs/>
          <w:color w:val="auto"/>
          <w:sz w:val="24"/>
        </w:rPr>
        <w:t>八、评标程序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（一）资格性审查</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投标文件解密后，采购人或采购组织机构依法对投标人的资格进行审查，对审查发现无效的进行必要的询标，在政采云平台公布无效投标的投标人名单、投标无效的原因。</w:t>
      </w:r>
    </w:p>
    <w:tbl>
      <w:tblPr>
        <w:tblStyle w:val="25"/>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具有独立承担民事责任的能力</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有依法缴纳税收和社会保障资金的良好记录</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具有良好的商业信誉和健全的财务会计制度</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提供财务状况报告。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履行合同所必需的设备和专业技术能力</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参加采购活动前3年内，在经营活动中没有重大违法记录</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1"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信用记录</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1.截止时点：开标后评标前。</w:t>
            </w:r>
          </w:p>
          <w:p>
            <w:pPr>
              <w:jc w:val="left"/>
              <w:rPr>
                <w:rFonts w:ascii="宋体" w:hAnsi="宋体" w:cs="宋体"/>
                <w:color w:val="auto"/>
                <w:sz w:val="24"/>
              </w:rPr>
            </w:pPr>
            <w:r>
              <w:rPr>
                <w:rFonts w:hint="eastAsia" w:ascii="宋体" w:hAnsi="宋体" w:cs="宋体"/>
                <w:color w:val="auto"/>
                <w:sz w:val="24"/>
              </w:rPr>
              <w:t>2.信用信息查询记录和证据留存的具体方式：由采购组织机构在规定查询时间内打印信用信息查询记录并归入项目档案。</w:t>
            </w:r>
            <w:r>
              <w:rPr>
                <w:rFonts w:hint="eastAsia" w:ascii="宋体" w:hAnsi="宋体" w:cs="宋体"/>
                <w:color w:val="auto"/>
                <w:sz w:val="24"/>
              </w:rPr>
              <w:br w:type="textWrapping"/>
            </w:r>
            <w:r>
              <w:rPr>
                <w:rFonts w:hint="eastAsia" w:ascii="宋体" w:hAnsi="宋体" w:cs="宋体"/>
                <w:color w:val="auto"/>
                <w:sz w:val="24"/>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5"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必须符合法律、行政法规规定的其他条件</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1.单位负责人为同一人或者存在直接控股、管理关系的不同供应商，不得同时参加本项目投标。</w:t>
            </w:r>
          </w:p>
          <w:p>
            <w:pPr>
              <w:jc w:val="left"/>
              <w:rPr>
                <w:rFonts w:ascii="宋体" w:hAnsi="宋体" w:cs="宋体"/>
                <w:color w:val="auto"/>
                <w:sz w:val="24"/>
              </w:rPr>
            </w:pPr>
            <w:r>
              <w:rPr>
                <w:rFonts w:hint="eastAsia" w:ascii="宋体" w:hAnsi="宋体" w:cs="宋体"/>
                <w:color w:val="auto"/>
                <w:sz w:val="24"/>
              </w:rPr>
              <w:t>2.为本项目提供整体设计、规范编制或者项目管理、监理、检测等服务的供应商，不得再参与本项目投标。</w:t>
            </w:r>
          </w:p>
          <w:p>
            <w:pPr>
              <w:jc w:val="left"/>
              <w:rPr>
                <w:rFonts w:ascii="宋体" w:hAnsi="宋体" w:cs="宋体"/>
                <w:color w:val="auto"/>
                <w:sz w:val="24"/>
              </w:rPr>
            </w:pPr>
            <w:r>
              <w:rPr>
                <w:rFonts w:hint="eastAsia" w:ascii="宋体" w:hAnsi="宋体" w:cs="宋体"/>
                <w:color w:val="auto"/>
                <w:sz w:val="24"/>
              </w:rPr>
              <w:t>3.投标（报价）函相关承诺要求内容。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联合体投标</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1694" w:type="dxa"/>
            <w:shd w:val="clear" w:color="auto" w:fill="auto"/>
            <w:vAlign w:val="center"/>
          </w:tcPr>
          <w:p>
            <w:pPr>
              <w:jc w:val="left"/>
              <w:rPr>
                <w:rFonts w:ascii="宋体" w:hAnsi="宋体" w:cs="宋体"/>
                <w:color w:val="auto"/>
                <w:sz w:val="24"/>
              </w:rPr>
            </w:pPr>
            <w:r>
              <w:rPr>
                <w:rFonts w:hint="eastAsia" w:ascii="宋体" w:hAnsi="宋体" w:cs="宋体"/>
                <w:color w:val="auto"/>
                <w:sz w:val="24"/>
              </w:rPr>
              <w:t>资质</w:t>
            </w:r>
          </w:p>
        </w:tc>
        <w:tc>
          <w:tcPr>
            <w:tcW w:w="7495" w:type="dxa"/>
            <w:shd w:val="clear" w:color="auto" w:fill="auto"/>
            <w:vAlign w:val="center"/>
          </w:tcPr>
          <w:p>
            <w:pPr>
              <w:jc w:val="left"/>
              <w:rPr>
                <w:rFonts w:ascii="宋体" w:hAnsi="宋体" w:cs="宋体"/>
                <w:color w:val="auto"/>
                <w:sz w:val="24"/>
              </w:rPr>
            </w:pPr>
            <w:r>
              <w:rPr>
                <w:rFonts w:hint="eastAsia" w:ascii="宋体" w:hAnsi="宋体" w:cs="宋体"/>
                <w:color w:val="auto"/>
                <w:sz w:val="24"/>
              </w:rPr>
              <w:t>无。</w:t>
            </w:r>
          </w:p>
        </w:tc>
      </w:tr>
    </w:tbl>
    <w:p>
      <w:pPr>
        <w:pStyle w:val="10"/>
        <w:spacing w:line="360" w:lineRule="auto"/>
        <w:ind w:firstLine="482" w:firstLineChars="200"/>
        <w:jc w:val="both"/>
        <w:rPr>
          <w:rFonts w:ascii="宋体" w:hAnsi="宋体" w:cs="宋体"/>
          <w:b/>
          <w:bCs/>
          <w:color w:val="auto"/>
          <w:sz w:val="24"/>
        </w:rPr>
      </w:pPr>
      <w:r>
        <w:rPr>
          <w:rFonts w:hint="eastAsia" w:ascii="宋体" w:hAnsi="宋体" w:cs="宋体"/>
          <w:b/>
          <w:bCs/>
          <w:color w:val="auto"/>
          <w:sz w:val="24"/>
        </w:rPr>
        <w:t>（二）符合性审查</w:t>
      </w:r>
    </w:p>
    <w:p>
      <w:pPr>
        <w:pStyle w:val="10"/>
        <w:spacing w:line="360" w:lineRule="auto"/>
        <w:ind w:firstLine="480" w:firstLineChars="200"/>
        <w:jc w:val="both"/>
        <w:rPr>
          <w:rFonts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5"/>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jc w:val="center"/>
        </w:trPr>
        <w:tc>
          <w:tcPr>
            <w:tcW w:w="1702" w:type="dxa"/>
            <w:shd w:val="clear" w:color="auto" w:fill="auto"/>
            <w:vAlign w:val="center"/>
          </w:tcPr>
          <w:p>
            <w:pPr>
              <w:pStyle w:val="47"/>
              <w:ind w:right="146"/>
              <w:rPr>
                <w:color w:val="auto"/>
                <w:sz w:val="24"/>
              </w:rPr>
            </w:pPr>
            <w:r>
              <w:rPr>
                <w:rFonts w:hint="eastAsia"/>
                <w:color w:val="auto"/>
                <w:sz w:val="24"/>
              </w:rPr>
              <w:t>投标文件</w:t>
            </w:r>
          </w:p>
        </w:tc>
        <w:tc>
          <w:tcPr>
            <w:tcW w:w="7476" w:type="dxa"/>
            <w:shd w:val="clear" w:color="auto" w:fill="auto"/>
            <w:vAlign w:val="center"/>
          </w:tcPr>
          <w:p>
            <w:pPr>
              <w:pStyle w:val="47"/>
              <w:spacing w:before="48"/>
              <w:rPr>
                <w:color w:val="auto"/>
                <w:sz w:val="24"/>
              </w:rPr>
            </w:pPr>
            <w:r>
              <w:rPr>
                <w:rFonts w:hint="eastAsia"/>
                <w:color w:val="auto"/>
                <w:sz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1" w:hRule="atLeast"/>
          <w:jc w:val="center"/>
        </w:trPr>
        <w:tc>
          <w:tcPr>
            <w:tcW w:w="1702" w:type="dxa"/>
            <w:shd w:val="clear" w:color="auto" w:fill="auto"/>
            <w:vAlign w:val="center"/>
          </w:tcPr>
          <w:p>
            <w:pPr>
              <w:pStyle w:val="47"/>
              <w:ind w:right="146"/>
              <w:rPr>
                <w:color w:val="auto"/>
                <w:sz w:val="24"/>
              </w:rPr>
            </w:pPr>
            <w:r>
              <w:rPr>
                <w:rFonts w:hint="eastAsia"/>
                <w:color w:val="auto"/>
                <w:sz w:val="24"/>
              </w:rPr>
              <w:t>法定代表人/负责人资格证明书及授权委托书</w:t>
            </w:r>
          </w:p>
        </w:tc>
        <w:tc>
          <w:tcPr>
            <w:tcW w:w="7476" w:type="dxa"/>
            <w:shd w:val="clear" w:color="auto" w:fill="auto"/>
            <w:vAlign w:val="center"/>
          </w:tcPr>
          <w:p>
            <w:pPr>
              <w:pStyle w:val="47"/>
              <w:spacing w:before="48"/>
              <w:rPr>
                <w:color w:val="auto"/>
                <w:sz w:val="24"/>
              </w:rPr>
            </w:pPr>
            <w:r>
              <w:rPr>
                <w:rFonts w:hint="eastAsia"/>
                <w:color w:val="auto"/>
                <w:sz w:val="24"/>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shd w:val="clear" w:color="auto" w:fill="auto"/>
            <w:vAlign w:val="center"/>
          </w:tcPr>
          <w:p>
            <w:pPr>
              <w:pStyle w:val="47"/>
              <w:ind w:right="146"/>
              <w:rPr>
                <w:color w:val="auto"/>
                <w:sz w:val="24"/>
              </w:rPr>
            </w:pPr>
            <w:r>
              <w:rPr>
                <w:rFonts w:hint="eastAsia"/>
                <w:color w:val="auto"/>
                <w:sz w:val="24"/>
              </w:rPr>
              <w:t>“▲”实质性条款</w:t>
            </w:r>
          </w:p>
        </w:tc>
        <w:tc>
          <w:tcPr>
            <w:tcW w:w="7476" w:type="dxa"/>
            <w:shd w:val="clear" w:color="auto" w:fill="auto"/>
            <w:vAlign w:val="center"/>
          </w:tcPr>
          <w:p>
            <w:pPr>
              <w:pStyle w:val="47"/>
              <w:spacing w:before="48"/>
              <w:rPr>
                <w:color w:val="auto"/>
                <w:sz w:val="24"/>
              </w:rPr>
            </w:pPr>
            <w:r>
              <w:rPr>
                <w:rFonts w:hint="eastAsia"/>
                <w:color w:val="auto"/>
                <w:sz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shd w:val="clear" w:color="auto" w:fill="auto"/>
            <w:vAlign w:val="center"/>
          </w:tcPr>
          <w:p>
            <w:pPr>
              <w:pStyle w:val="47"/>
              <w:ind w:right="146"/>
              <w:rPr>
                <w:color w:val="auto"/>
                <w:sz w:val="24"/>
              </w:rPr>
            </w:pPr>
            <w:r>
              <w:rPr>
                <w:rFonts w:hint="eastAsia"/>
                <w:color w:val="auto"/>
                <w:sz w:val="24"/>
              </w:rPr>
              <w:t>串通投标</w:t>
            </w:r>
          </w:p>
        </w:tc>
        <w:tc>
          <w:tcPr>
            <w:tcW w:w="7476" w:type="dxa"/>
            <w:shd w:val="clear" w:color="auto" w:fill="auto"/>
            <w:vAlign w:val="center"/>
          </w:tcPr>
          <w:p>
            <w:pPr>
              <w:pStyle w:val="47"/>
              <w:spacing w:before="48"/>
              <w:rPr>
                <w:color w:val="auto"/>
                <w:sz w:val="24"/>
              </w:rPr>
            </w:pPr>
            <w:r>
              <w:rPr>
                <w:rFonts w:hint="eastAsia"/>
                <w:color w:val="auto"/>
                <w:sz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shd w:val="clear" w:color="auto" w:fill="auto"/>
            <w:vAlign w:val="center"/>
          </w:tcPr>
          <w:p>
            <w:pPr>
              <w:pStyle w:val="47"/>
              <w:ind w:right="146"/>
              <w:rPr>
                <w:color w:val="auto"/>
                <w:sz w:val="24"/>
              </w:rPr>
            </w:pPr>
            <w:r>
              <w:rPr>
                <w:rFonts w:hint="eastAsia"/>
                <w:color w:val="auto"/>
                <w:sz w:val="24"/>
              </w:rPr>
              <w:t>附加条件</w:t>
            </w:r>
          </w:p>
        </w:tc>
        <w:tc>
          <w:tcPr>
            <w:tcW w:w="7476" w:type="dxa"/>
            <w:shd w:val="clear" w:color="auto" w:fill="auto"/>
            <w:vAlign w:val="center"/>
          </w:tcPr>
          <w:p>
            <w:pPr>
              <w:pStyle w:val="47"/>
              <w:spacing w:before="48"/>
              <w:rPr>
                <w:color w:val="auto"/>
                <w:sz w:val="24"/>
              </w:rPr>
            </w:pPr>
            <w:r>
              <w:rPr>
                <w:rFonts w:hint="eastAsia"/>
                <w:color w:val="auto"/>
                <w:sz w:val="24"/>
              </w:rPr>
              <w:t>投标文件未含有采购人不可接受的附加条件。</w:t>
            </w:r>
          </w:p>
        </w:tc>
      </w:tr>
    </w:tbl>
    <w:p>
      <w:pPr>
        <w:pStyle w:val="20"/>
        <w:spacing w:before="0" w:beforeAutospacing="0" w:after="0" w:afterAutospacing="0" w:line="360" w:lineRule="auto"/>
        <w:ind w:firstLine="482" w:firstLineChars="200"/>
        <w:jc w:val="both"/>
        <w:rPr>
          <w:rFonts w:hint="default" w:cs="宋体"/>
          <w:b/>
          <w:bCs/>
          <w:color w:val="auto"/>
        </w:rPr>
      </w:pPr>
      <w:r>
        <w:rPr>
          <w:rFonts w:cs="宋体"/>
          <w:b/>
          <w:bCs/>
          <w:color w:val="auto"/>
        </w:rPr>
        <w:t>（三）商务技术及价格评审</w:t>
      </w:r>
    </w:p>
    <w:p>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kern w:val="0"/>
          <w:sz w:val="24"/>
        </w:rPr>
        <w:t>本项目评标方法为综合评分法，总计100分，评标按以下标准及要求进行：</w:t>
      </w:r>
    </w:p>
    <w:p>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1.评分标准</w:t>
      </w:r>
    </w:p>
    <w:tbl>
      <w:tblPr>
        <w:tblStyle w:val="25"/>
        <w:tblW w:w="9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716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4" w:type="dxa"/>
            <w:gridSpan w:val="3"/>
            <w:shd w:val="clear" w:color="auto" w:fill="BEBEBE"/>
            <w:vAlign w:val="center"/>
          </w:tcPr>
          <w:p>
            <w:pPr>
              <w:pStyle w:val="3"/>
              <w:spacing w:after="0"/>
              <w:ind w:left="0" w:leftChars="0"/>
              <w:rPr>
                <w:rFonts w:ascii="宋体" w:hAnsi="宋体" w:cs="宋体"/>
                <w:bCs/>
                <w:color w:val="auto"/>
                <w:sz w:val="24"/>
              </w:rPr>
            </w:pPr>
            <w:r>
              <w:rPr>
                <w:rFonts w:hint="eastAsia" w:ascii="宋体" w:hAnsi="宋体" w:cs="宋体"/>
                <w:b/>
                <w:bCs/>
                <w:color w:val="auto"/>
                <w:sz w:val="24"/>
              </w:rPr>
              <w:t>评分构成：技术部分60分；商务部分25分；价格部分15分。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shd w:val="clear" w:color="auto" w:fill="BEBEBE"/>
            <w:vAlign w:val="center"/>
          </w:tcPr>
          <w:p>
            <w:pPr>
              <w:pStyle w:val="3"/>
              <w:spacing w:after="0"/>
              <w:ind w:left="0" w:leftChars="0"/>
              <w:rPr>
                <w:rFonts w:ascii="宋体" w:hAnsi="宋体" w:cs="宋体"/>
                <w:bCs/>
                <w:color w:val="auto"/>
                <w:sz w:val="24"/>
              </w:rPr>
            </w:pPr>
            <w:r>
              <w:rPr>
                <w:rFonts w:hint="eastAsia" w:ascii="宋体" w:hAnsi="宋体" w:cs="宋体"/>
                <w:bCs/>
                <w:color w:val="auto"/>
                <w:sz w:val="24"/>
              </w:rPr>
              <w:t>评分项目</w:t>
            </w:r>
          </w:p>
        </w:tc>
        <w:tc>
          <w:tcPr>
            <w:tcW w:w="7166" w:type="dxa"/>
            <w:shd w:val="clear" w:color="auto" w:fill="BEBEBE"/>
            <w:vAlign w:val="center"/>
          </w:tcPr>
          <w:p>
            <w:pPr>
              <w:pStyle w:val="3"/>
              <w:spacing w:after="0"/>
              <w:ind w:left="0" w:leftChars="0"/>
              <w:rPr>
                <w:rFonts w:ascii="宋体" w:hAnsi="宋体" w:cs="宋体"/>
                <w:bCs/>
                <w:color w:val="auto"/>
                <w:sz w:val="24"/>
              </w:rPr>
            </w:pPr>
            <w:r>
              <w:rPr>
                <w:rFonts w:hint="eastAsia" w:ascii="宋体" w:hAnsi="宋体" w:cs="宋体"/>
                <w:bCs/>
                <w:color w:val="auto"/>
                <w:sz w:val="24"/>
              </w:rPr>
              <w:t>评分细则</w:t>
            </w:r>
          </w:p>
        </w:tc>
        <w:tc>
          <w:tcPr>
            <w:tcW w:w="847" w:type="dxa"/>
            <w:shd w:val="clear" w:color="auto" w:fill="BEBEBE"/>
            <w:vAlign w:val="center"/>
          </w:tcPr>
          <w:p>
            <w:pPr>
              <w:pStyle w:val="3"/>
              <w:spacing w:after="0"/>
              <w:ind w:left="0" w:leftChars="0"/>
              <w:rPr>
                <w:rFonts w:ascii="宋体" w:hAnsi="宋体" w:cs="宋体"/>
                <w:bCs/>
                <w:color w:val="auto"/>
                <w:sz w:val="24"/>
              </w:rPr>
            </w:pPr>
            <w:r>
              <w:rPr>
                <w:rFonts w:hint="eastAsia" w:ascii="宋体" w:hAnsi="宋体" w:cs="宋体"/>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技术部分</w:t>
            </w:r>
          </w:p>
          <w:p>
            <w:pPr>
              <w:pStyle w:val="3"/>
              <w:spacing w:after="0"/>
              <w:ind w:left="0" w:leftChars="0"/>
              <w:jc w:val="center"/>
              <w:rPr>
                <w:rFonts w:ascii="宋体" w:hAnsi="宋体" w:cs="宋体"/>
                <w:bCs/>
                <w:color w:val="auto"/>
                <w:sz w:val="24"/>
              </w:rPr>
            </w:pPr>
            <w:r>
              <w:rPr>
                <w:rFonts w:hint="eastAsia" w:ascii="宋体" w:hAnsi="宋体" w:cs="宋体"/>
                <w:bCs/>
                <w:color w:val="auto"/>
                <w:sz w:val="24"/>
              </w:rPr>
              <w:t>60分</w:t>
            </w:r>
          </w:p>
        </w:tc>
        <w:tc>
          <w:tcPr>
            <w:tcW w:w="7166" w:type="dxa"/>
            <w:vAlign w:val="center"/>
          </w:tcPr>
          <w:p>
            <w:pPr>
              <w:pStyle w:val="3"/>
              <w:spacing w:after="0"/>
              <w:ind w:left="0" w:leftChars="0"/>
              <w:jc w:val="left"/>
              <w:rPr>
                <w:rFonts w:ascii="宋体" w:hAnsi="宋体" w:cs="宋体"/>
                <w:b/>
                <w:color w:val="auto"/>
                <w:sz w:val="24"/>
                <w:lang w:val="zh-CN"/>
              </w:rPr>
            </w:pPr>
            <w:r>
              <w:rPr>
                <w:rFonts w:hint="eastAsia" w:ascii="宋体" w:hAnsi="宋体" w:cs="宋体"/>
                <w:b/>
                <w:color w:val="auto"/>
                <w:sz w:val="24"/>
                <w:lang w:val="zh-CN"/>
              </w:rPr>
              <w:t>项目需求理解情况：</w:t>
            </w:r>
          </w:p>
          <w:p>
            <w:pPr>
              <w:pStyle w:val="3"/>
              <w:numPr>
                <w:ilvl w:val="0"/>
                <w:numId w:val="24"/>
              </w:numPr>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对台州市公共数据资源目录管理平台架构功能、运行机制的深入理解情况。能深入准确阐述的得4-3分，能基本阐述的得2.5-1.5分，能简单阐述的得1-0分。</w:t>
            </w:r>
          </w:p>
          <w:p>
            <w:pPr>
              <w:pStyle w:val="3"/>
              <w:numPr>
                <w:ilvl w:val="0"/>
                <w:numId w:val="24"/>
              </w:numPr>
              <w:spacing w:after="0"/>
              <w:ind w:left="0" w:leftChars="0"/>
              <w:jc w:val="left"/>
              <w:rPr>
                <w:rFonts w:ascii="宋体" w:hAnsi="宋体" w:cs="宋体"/>
                <w:bCs/>
                <w:color w:val="auto"/>
                <w:sz w:val="24"/>
              </w:rPr>
            </w:pPr>
            <w:r>
              <w:rPr>
                <w:rFonts w:hint="eastAsia" w:ascii="宋体" w:hAnsi="宋体" w:cs="宋体"/>
                <w:bCs/>
                <w:color w:val="auto"/>
                <w:sz w:val="24"/>
                <w:lang w:val="zh-CN"/>
              </w:rPr>
              <w:t>对台州市公共数据治理平台、公共数据共享平台、公共数据开放架构功能、运行机制的深入理解情况。能深入准确阐述的得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分，能基本阐述的得</w:t>
            </w:r>
            <w:r>
              <w:rPr>
                <w:rFonts w:hint="eastAsia" w:ascii="宋体" w:hAnsi="宋体" w:cs="宋体"/>
                <w:bCs/>
                <w:color w:val="auto"/>
                <w:sz w:val="24"/>
              </w:rPr>
              <w:t>3</w:t>
            </w:r>
            <w:r>
              <w:rPr>
                <w:rFonts w:hint="eastAsia" w:ascii="宋体" w:hAnsi="宋体" w:cs="宋体"/>
                <w:bCs/>
                <w:color w:val="auto"/>
                <w:sz w:val="24"/>
                <w:lang w:val="zh-CN"/>
              </w:rPr>
              <w:t>-</w:t>
            </w:r>
            <w:r>
              <w:rPr>
                <w:rFonts w:hint="eastAsia" w:ascii="宋体" w:hAnsi="宋体" w:cs="宋体"/>
                <w:bCs/>
                <w:color w:val="auto"/>
                <w:sz w:val="24"/>
              </w:rPr>
              <w:t>2</w:t>
            </w:r>
            <w:r>
              <w:rPr>
                <w:rFonts w:hint="eastAsia" w:ascii="宋体" w:hAnsi="宋体" w:cs="宋体"/>
                <w:bCs/>
                <w:color w:val="auto"/>
                <w:sz w:val="24"/>
                <w:lang w:val="zh-CN"/>
              </w:rPr>
              <w:t>分，能简单阐述的得</w:t>
            </w:r>
            <w:r>
              <w:rPr>
                <w:rFonts w:hint="eastAsia" w:ascii="宋体" w:hAnsi="宋体" w:cs="宋体"/>
                <w:bCs/>
                <w:color w:val="auto"/>
                <w:sz w:val="24"/>
              </w:rPr>
              <w:t>1</w:t>
            </w:r>
            <w:r>
              <w:rPr>
                <w:rFonts w:hint="eastAsia" w:ascii="宋体" w:hAnsi="宋体" w:cs="宋体"/>
                <w:bCs/>
                <w:color w:val="auto"/>
                <w:sz w:val="24"/>
                <w:lang w:val="zh-CN"/>
              </w:rPr>
              <w:t>-0分。</w:t>
            </w:r>
          </w:p>
          <w:p>
            <w:pPr>
              <w:pStyle w:val="3"/>
              <w:numPr>
                <w:ilvl w:val="0"/>
                <w:numId w:val="24"/>
              </w:numPr>
              <w:spacing w:after="0"/>
              <w:ind w:left="0" w:leftChars="0"/>
              <w:jc w:val="left"/>
              <w:rPr>
                <w:rFonts w:ascii="宋体" w:hAnsi="宋体" w:cs="宋体"/>
                <w:bCs/>
                <w:color w:val="auto"/>
                <w:sz w:val="24"/>
              </w:rPr>
            </w:pPr>
            <w:r>
              <w:rPr>
                <w:rFonts w:hint="eastAsia" w:ascii="宋体" w:hAnsi="宋体" w:cs="宋体"/>
                <w:bCs/>
                <w:color w:val="auto"/>
                <w:sz w:val="24"/>
                <w:lang w:val="zh-CN"/>
              </w:rPr>
              <w:t>对台州市公共数据数据安全监管架构功能、运行机制的深入理解情况。能深入准确阐述的得4-3分，能基本阐述的得2.5-1.5分，能简单阐述的得1-0分。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13</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
                <w:color w:val="auto"/>
                <w:sz w:val="24"/>
                <w:lang w:val="zh-CN"/>
              </w:rPr>
            </w:pPr>
            <w:r>
              <w:rPr>
                <w:rFonts w:hint="eastAsia" w:ascii="宋体" w:hAnsi="宋体" w:cs="宋体"/>
                <w:b/>
                <w:color w:val="auto"/>
                <w:sz w:val="24"/>
                <w:lang w:val="zh-CN"/>
              </w:rPr>
              <w:t>项目重难点：</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1.对公共数据元标准规范的理解，如何实现公共数据“一数一源一标准”治理。提交方案且确实可行的得2-1分；方案过于空泛、可行性不强或思路不清晰的得0.9-0分。</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2.在数据授权系统建设过程中，如何实现受限开放数据的可用不可见。提交方案且确实可行的得2-1分；方案过于空泛、可行性不强或思路不清晰的得0.9-0分。</w:t>
            </w:r>
          </w:p>
          <w:p>
            <w:pPr>
              <w:pStyle w:val="3"/>
              <w:spacing w:after="0"/>
              <w:ind w:left="0" w:leftChars="0"/>
              <w:jc w:val="left"/>
              <w:rPr>
                <w:rFonts w:ascii="宋体" w:hAnsi="宋体" w:cs="宋体"/>
                <w:bCs/>
                <w:color w:val="auto"/>
                <w:sz w:val="24"/>
              </w:rPr>
            </w:pPr>
            <w:r>
              <w:rPr>
                <w:rFonts w:hint="eastAsia" w:ascii="宋体" w:hAnsi="宋体" w:cs="宋体"/>
                <w:bCs/>
                <w:color w:val="auto"/>
                <w:sz w:val="24"/>
              </w:rPr>
              <w:t>3.在公共数据平台与</w:t>
            </w:r>
            <w:r>
              <w:rPr>
                <w:rFonts w:ascii="宋体" w:hAnsi="宋体" w:cs="宋体"/>
                <w:bCs/>
                <w:color w:val="auto"/>
                <w:sz w:val="24"/>
              </w:rPr>
              <w:t>IRS</w:t>
            </w:r>
            <w:r>
              <w:rPr>
                <w:rFonts w:hint="eastAsia" w:ascii="宋体" w:hAnsi="宋体" w:cs="宋体"/>
                <w:bCs/>
                <w:color w:val="auto"/>
                <w:sz w:val="24"/>
              </w:rPr>
              <w:t>的对接过程中，如何实现批量数据、接口数据和数据导出的申请工单对接。提交方案且确实可行的得2-1分；方案过于空泛、可行性不强或思路不清晰的得0.9-0分。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6</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对照招标文件需求，详细阐述</w:t>
            </w:r>
            <w:r>
              <w:rPr>
                <w:rFonts w:hint="eastAsia" w:ascii="宋体" w:hAnsi="宋体" w:cs="宋体"/>
                <w:b/>
                <w:color w:val="auto"/>
                <w:sz w:val="24"/>
              </w:rPr>
              <w:t>公共数据基础域</w:t>
            </w:r>
            <w:r>
              <w:rPr>
                <w:rFonts w:hint="eastAsia" w:ascii="宋体" w:hAnsi="宋体" w:cs="宋体"/>
                <w:b/>
                <w:color w:val="auto"/>
                <w:sz w:val="24"/>
                <w:lang w:val="zh-CN"/>
              </w:rPr>
              <w:t>方案</w:t>
            </w:r>
            <w:r>
              <w:rPr>
                <w:rFonts w:hint="eastAsia" w:ascii="宋体" w:hAnsi="宋体" w:cs="宋体"/>
                <w:bCs/>
                <w:color w:val="auto"/>
                <w:sz w:val="24"/>
                <w:lang w:val="zh-CN"/>
              </w:rPr>
              <w:t>。方案描述清晰，针对性强，内容详细，且确实可行的得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对照招标文件需求，详细阐述</w:t>
            </w:r>
            <w:r>
              <w:rPr>
                <w:rFonts w:hint="eastAsia" w:ascii="宋体" w:hAnsi="宋体" w:cs="宋体"/>
                <w:b/>
                <w:color w:val="auto"/>
                <w:sz w:val="24"/>
              </w:rPr>
              <w:t>公共数据共享域</w:t>
            </w:r>
            <w:r>
              <w:rPr>
                <w:rFonts w:hint="eastAsia" w:ascii="宋体" w:hAnsi="宋体" w:cs="宋体"/>
                <w:b/>
                <w:color w:val="auto"/>
                <w:sz w:val="24"/>
                <w:lang w:val="zh-CN"/>
              </w:rPr>
              <w:t>方案</w:t>
            </w:r>
            <w:r>
              <w:rPr>
                <w:rFonts w:hint="eastAsia" w:ascii="宋体" w:hAnsi="宋体" w:cs="宋体"/>
                <w:bCs/>
                <w:color w:val="auto"/>
                <w:sz w:val="24"/>
                <w:lang w:val="zh-CN"/>
              </w:rPr>
              <w:t>，方案描述清晰，针对性强，内容详细，且确实可行的得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对照招标文件需求，详细阐述</w:t>
            </w:r>
            <w:r>
              <w:rPr>
                <w:rFonts w:hint="eastAsia" w:ascii="宋体" w:hAnsi="宋体" w:cs="宋体"/>
                <w:b/>
                <w:color w:val="auto"/>
                <w:sz w:val="24"/>
                <w:lang w:val="zh-CN"/>
              </w:rPr>
              <w:t>公共数据开放域方案</w:t>
            </w:r>
            <w:r>
              <w:rPr>
                <w:rFonts w:hint="eastAsia" w:ascii="宋体" w:hAnsi="宋体" w:cs="宋体"/>
                <w:bCs/>
                <w:color w:val="auto"/>
                <w:sz w:val="24"/>
                <w:lang w:val="zh-CN"/>
              </w:rPr>
              <w:t>，方案描述清晰，针对性强，内容详细，且确实可行的得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对照招标文件需求，详细阐述</w:t>
            </w:r>
            <w:r>
              <w:rPr>
                <w:rFonts w:hint="eastAsia" w:ascii="宋体" w:hAnsi="宋体" w:cs="宋体"/>
                <w:b/>
                <w:color w:val="auto"/>
                <w:sz w:val="24"/>
                <w:lang w:val="zh-CN"/>
              </w:rPr>
              <w:t>公共数据安全域方案</w:t>
            </w:r>
            <w:r>
              <w:rPr>
                <w:rFonts w:hint="eastAsia" w:ascii="宋体" w:hAnsi="宋体" w:cs="宋体"/>
                <w:bCs/>
                <w:color w:val="auto"/>
                <w:sz w:val="24"/>
                <w:lang w:val="zh-CN"/>
              </w:rPr>
              <w:t>，方案描述清晰，针对性强，内容详细，且确实可行的得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rPr>
            </w:pPr>
            <w:r>
              <w:rPr>
                <w:rFonts w:hint="eastAsia" w:ascii="宋体" w:hAnsi="宋体" w:cs="宋体"/>
                <w:bCs/>
                <w:color w:val="auto"/>
                <w:sz w:val="24"/>
                <w:lang w:val="zh-CN"/>
              </w:rPr>
              <w:t>对照招标文件需求，详细阐述</w:t>
            </w:r>
            <w:r>
              <w:rPr>
                <w:rFonts w:hint="eastAsia" w:ascii="宋体" w:hAnsi="宋体" w:cs="宋体"/>
                <w:b/>
                <w:color w:val="auto"/>
                <w:sz w:val="24"/>
                <w:lang w:val="zh-CN"/>
              </w:rPr>
              <w:t>数据N仓方案</w:t>
            </w:r>
            <w:r>
              <w:rPr>
                <w:rFonts w:hint="eastAsia" w:ascii="宋体" w:hAnsi="宋体" w:cs="宋体"/>
                <w:bCs/>
                <w:color w:val="auto"/>
                <w:sz w:val="24"/>
                <w:lang w:val="zh-CN"/>
              </w:rPr>
              <w:t>，方案描述清晰，针对性强，内容详细，且确实可行的得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lang w:val="zh-CN"/>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
                <w:color w:val="auto"/>
                <w:sz w:val="24"/>
                <w:lang w:val="zh-CN"/>
              </w:rPr>
            </w:pPr>
            <w:r>
              <w:rPr>
                <w:rFonts w:hint="eastAsia" w:ascii="宋体" w:hAnsi="宋体" w:cs="宋体"/>
                <w:b/>
                <w:color w:val="auto"/>
                <w:sz w:val="24"/>
                <w:lang w:val="zh-CN"/>
              </w:rPr>
              <w:t>项目实施方案：</w:t>
            </w:r>
          </w:p>
          <w:p>
            <w:pPr>
              <w:pStyle w:val="3"/>
              <w:spacing w:after="0"/>
              <w:ind w:left="0" w:leftChars="0"/>
              <w:jc w:val="left"/>
              <w:rPr>
                <w:rFonts w:ascii="宋体" w:hAnsi="宋体" w:cs="宋体"/>
                <w:bCs/>
                <w:color w:val="auto"/>
                <w:sz w:val="24"/>
              </w:rPr>
            </w:pPr>
            <w:r>
              <w:rPr>
                <w:rFonts w:hint="eastAsia" w:ascii="宋体" w:hAnsi="宋体" w:cs="宋体"/>
                <w:bCs/>
                <w:color w:val="auto"/>
                <w:sz w:val="24"/>
                <w:lang w:val="zh-CN"/>
              </w:rPr>
              <w:t>实施方案包括进度计划、人员配置、安装调试测试、验收方案、质量保障方案等内容综合评价。方案描述清晰，针对性强，内容详细，且确实可行的得</w:t>
            </w:r>
            <w:r>
              <w:rPr>
                <w:rFonts w:hint="eastAsia" w:ascii="宋体" w:hAnsi="宋体" w:cs="宋体"/>
                <w:bCs/>
                <w:color w:val="auto"/>
                <w:sz w:val="24"/>
              </w:rPr>
              <w:t>5</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ind w:left="0" w:leftChars="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
                <w:color w:val="auto"/>
                <w:sz w:val="24"/>
                <w:lang w:val="zh-CN"/>
              </w:rPr>
            </w:pPr>
            <w:r>
              <w:rPr>
                <w:rFonts w:hint="eastAsia" w:ascii="宋体" w:hAnsi="宋体" w:cs="宋体"/>
                <w:b/>
                <w:color w:val="auto"/>
                <w:sz w:val="24"/>
                <w:lang w:val="zh-CN"/>
              </w:rPr>
              <w:t>团队成员能力：</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1.投标单位拟派的项目负责人：具备信息系统项目管理师证书、国家注册信息安全工程师证书、高级云计算ACE认证证书、ITIL证书、智能化系统集成项目经理（高级）、PMP证书的，每个证书得1分，最高6分。</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2.项目团队成员具有高级工程师、数据隐私解决方案工程师认证证书、OCP数据库认证证书、系统集成管理工程师、国际信息系统审计师CISA，每具备上述要求的人员得1分，最多5分。（一人多证及多人同证均按一本计算）</w:t>
            </w:r>
          </w:p>
          <w:p>
            <w:pPr>
              <w:pStyle w:val="3"/>
              <w:spacing w:after="0"/>
              <w:ind w:left="0" w:leftChars="0"/>
              <w:jc w:val="left"/>
              <w:rPr>
                <w:color w:val="auto"/>
                <w:lang w:val="zh-CN"/>
              </w:rPr>
            </w:pPr>
            <w:r>
              <w:rPr>
                <w:rFonts w:hint="eastAsia" w:ascii="宋体" w:hAnsi="宋体" w:cs="宋体"/>
                <w:bCs/>
                <w:color w:val="auto"/>
                <w:sz w:val="24"/>
                <w:lang w:val="zh-CN"/>
              </w:rPr>
              <w:t>（需提供人员相关资质证书原件扫描件及3个月内的社保证明做入标书，加盖电子印章）</w:t>
            </w:r>
          </w:p>
        </w:tc>
        <w:tc>
          <w:tcPr>
            <w:tcW w:w="847" w:type="dxa"/>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shd w:val="clear" w:color="auto" w:fill="auto"/>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企业实力</w:t>
            </w:r>
          </w:p>
          <w:p>
            <w:pPr>
              <w:pStyle w:val="3"/>
              <w:spacing w:after="0"/>
              <w:ind w:left="0" w:leftChars="0"/>
              <w:jc w:val="center"/>
              <w:rPr>
                <w:rFonts w:ascii="宋体" w:hAnsi="宋体" w:cs="宋体"/>
                <w:bCs/>
                <w:color w:val="auto"/>
                <w:sz w:val="24"/>
              </w:rPr>
            </w:pPr>
            <w:r>
              <w:rPr>
                <w:rFonts w:hint="eastAsia" w:ascii="宋体" w:hAnsi="宋体" w:cs="宋体"/>
                <w:bCs/>
                <w:color w:val="auto"/>
                <w:sz w:val="24"/>
              </w:rPr>
              <w:t>及信誉</w:t>
            </w:r>
          </w:p>
          <w:p>
            <w:pPr>
              <w:pStyle w:val="3"/>
              <w:spacing w:after="0"/>
              <w:ind w:left="0" w:leftChars="0"/>
              <w:jc w:val="center"/>
              <w:rPr>
                <w:rFonts w:ascii="宋体" w:hAnsi="宋体" w:cs="宋体"/>
                <w:bCs/>
                <w:color w:val="auto"/>
                <w:sz w:val="24"/>
              </w:rPr>
            </w:pPr>
            <w:r>
              <w:rPr>
                <w:rFonts w:hint="eastAsia" w:ascii="宋体" w:hAnsi="宋体" w:cs="宋体"/>
                <w:bCs/>
                <w:color w:val="auto"/>
                <w:sz w:val="24"/>
              </w:rPr>
              <w:t>12分</w:t>
            </w:r>
          </w:p>
        </w:tc>
        <w:tc>
          <w:tcPr>
            <w:tcW w:w="7166" w:type="dxa"/>
            <w:shd w:val="clear" w:color="auto" w:fill="FFFFFF"/>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投标人具有有效的质量管理体系认证证书、职业健康安全管理体系认证证书、信息安全管理体系认证证书、信息技术服务管理体系认证证书的、环境管理体系认证证书，每个证书得1分，都具备的得满分5分。</w:t>
            </w:r>
          </w:p>
          <w:p>
            <w:pPr>
              <w:pStyle w:val="3"/>
              <w:spacing w:after="0"/>
              <w:ind w:left="0" w:leftChars="0"/>
              <w:jc w:val="left"/>
              <w:rPr>
                <w:rFonts w:ascii="宋体" w:hAnsi="宋体" w:cs="宋体"/>
                <w:bCs/>
                <w:color w:val="auto"/>
                <w:sz w:val="24"/>
              </w:rPr>
            </w:pPr>
            <w:r>
              <w:rPr>
                <w:rFonts w:hint="eastAsia" w:ascii="宋体" w:hAnsi="宋体" w:cs="宋体"/>
                <w:bCs/>
                <w:color w:val="auto"/>
                <w:sz w:val="24"/>
                <w:lang w:val="zh-CN"/>
              </w:rPr>
              <w:t>（证书复印件加盖投标人公章编入投标文件中）</w:t>
            </w:r>
          </w:p>
        </w:tc>
        <w:tc>
          <w:tcPr>
            <w:tcW w:w="847" w:type="dxa"/>
            <w:shd w:val="clear" w:color="auto" w:fill="FFFFFF"/>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shd w:val="clear" w:color="auto" w:fill="auto"/>
            <w:vAlign w:val="center"/>
          </w:tcPr>
          <w:p>
            <w:pPr>
              <w:pStyle w:val="3"/>
              <w:spacing w:after="0"/>
              <w:ind w:left="0" w:leftChars="0"/>
              <w:jc w:val="center"/>
              <w:rPr>
                <w:rFonts w:ascii="宋体" w:hAnsi="宋体" w:cs="宋体"/>
                <w:bCs/>
                <w:color w:val="auto"/>
                <w:sz w:val="24"/>
              </w:rPr>
            </w:pPr>
          </w:p>
        </w:tc>
        <w:tc>
          <w:tcPr>
            <w:tcW w:w="7166" w:type="dxa"/>
            <w:shd w:val="clear" w:color="auto" w:fill="FFFFFF"/>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投标人具备本地大数据计算服务供应能力的，提供相关证明材料的得2分；</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投标人具有有效的云平台等保三级备案证书的得2分；</w:t>
            </w:r>
          </w:p>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3.</w:t>
            </w:r>
            <w:r>
              <w:rPr>
                <w:rFonts w:hint="eastAsia" w:ascii="宋体" w:hAnsi="宋体" w:cs="宋体"/>
                <w:bCs/>
                <w:color w:val="auto"/>
                <w:sz w:val="24"/>
                <w:lang w:val="zh-CN"/>
              </w:rPr>
              <w:t>投标人具有数据管理能力成熟度4级及以上的得2分；</w:t>
            </w:r>
          </w:p>
          <w:p>
            <w:pPr>
              <w:pStyle w:val="3"/>
              <w:spacing w:after="0"/>
              <w:ind w:left="0" w:leftChars="0"/>
              <w:jc w:val="left"/>
              <w:rPr>
                <w:rFonts w:ascii="宋体" w:hAnsi="宋体" w:cs="宋体"/>
                <w:bCs/>
                <w:color w:val="auto"/>
                <w:sz w:val="24"/>
              </w:rPr>
            </w:pPr>
            <w:r>
              <w:rPr>
                <w:rFonts w:hint="eastAsia" w:ascii="宋体" w:hAnsi="宋体" w:cs="宋体"/>
                <w:bCs/>
                <w:color w:val="auto"/>
                <w:sz w:val="24"/>
                <w:lang w:val="zh-CN"/>
              </w:rPr>
              <w:t>提供以上证书复印件，未提供不得分。</w:t>
            </w:r>
          </w:p>
        </w:tc>
        <w:tc>
          <w:tcPr>
            <w:tcW w:w="847" w:type="dxa"/>
            <w:shd w:val="clear" w:color="auto" w:fill="FFFFFF"/>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6</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shd w:val="clear" w:color="auto" w:fill="auto"/>
            <w:vAlign w:val="center"/>
          </w:tcPr>
          <w:p>
            <w:pPr>
              <w:pStyle w:val="3"/>
              <w:spacing w:after="0"/>
              <w:ind w:left="0" w:leftChars="0"/>
              <w:jc w:val="center"/>
              <w:rPr>
                <w:rFonts w:ascii="宋体" w:hAnsi="宋体" w:cs="宋体"/>
                <w:bCs/>
                <w:color w:val="auto"/>
                <w:sz w:val="24"/>
              </w:rPr>
            </w:pPr>
          </w:p>
        </w:tc>
        <w:tc>
          <w:tcPr>
            <w:tcW w:w="7166" w:type="dxa"/>
            <w:shd w:val="clear" w:color="auto" w:fill="FFFFFF"/>
            <w:vAlign w:val="center"/>
          </w:tcPr>
          <w:p>
            <w:pPr>
              <w:pStyle w:val="3"/>
              <w:spacing w:after="0"/>
              <w:ind w:left="0" w:leftChars="0"/>
              <w:jc w:val="left"/>
              <w:rPr>
                <w:rFonts w:ascii="宋体" w:hAnsi="宋体" w:cs="宋体"/>
                <w:b/>
                <w:color w:val="auto"/>
                <w:sz w:val="24"/>
                <w:lang w:val="zh-CN"/>
              </w:rPr>
            </w:pPr>
            <w:r>
              <w:rPr>
                <w:rFonts w:hint="eastAsia" w:ascii="宋体" w:hAnsi="宋体" w:cs="宋体"/>
                <w:b/>
                <w:color w:val="auto"/>
                <w:sz w:val="24"/>
                <w:lang w:val="zh-CN"/>
              </w:rPr>
              <w:t>成功案例及业绩：</w:t>
            </w:r>
          </w:p>
          <w:p>
            <w:pPr>
              <w:pStyle w:val="3"/>
              <w:spacing w:after="0"/>
              <w:ind w:left="0" w:leftChars="0"/>
              <w:jc w:val="left"/>
              <w:rPr>
                <w:rFonts w:ascii="宋体" w:hAnsi="宋体" w:cs="宋体"/>
                <w:bCs/>
                <w:color w:val="auto"/>
                <w:sz w:val="24"/>
              </w:rPr>
            </w:pPr>
            <w:r>
              <w:rPr>
                <w:rFonts w:hint="eastAsia" w:ascii="宋体" w:hAnsi="宋体" w:cs="宋体"/>
                <w:bCs/>
                <w:color w:val="auto"/>
                <w:sz w:val="24"/>
                <w:lang w:val="zh-CN"/>
              </w:rPr>
              <w:t>投标人自201</w:t>
            </w:r>
            <w:r>
              <w:rPr>
                <w:rFonts w:hint="eastAsia" w:ascii="宋体" w:hAnsi="宋体" w:cs="宋体"/>
                <w:bCs/>
                <w:color w:val="auto"/>
                <w:sz w:val="24"/>
              </w:rPr>
              <w:t>9</w:t>
            </w:r>
            <w:r>
              <w:rPr>
                <w:rFonts w:hint="eastAsia" w:ascii="宋体" w:hAnsi="宋体" w:cs="宋体"/>
                <w:bCs/>
                <w:color w:val="auto"/>
                <w:sz w:val="24"/>
                <w:lang w:val="zh-CN"/>
              </w:rPr>
              <w:t>年</w:t>
            </w:r>
            <w:r>
              <w:rPr>
                <w:rFonts w:hint="eastAsia" w:ascii="宋体" w:hAnsi="宋体" w:cs="宋体"/>
                <w:bCs/>
                <w:color w:val="auto"/>
                <w:sz w:val="24"/>
                <w:lang w:val="en-US" w:eastAsia="zh-CN"/>
              </w:rPr>
              <w:t>7</w:t>
            </w:r>
            <w:r>
              <w:rPr>
                <w:rFonts w:hint="eastAsia" w:ascii="宋体" w:hAnsi="宋体" w:cs="宋体"/>
                <w:bCs/>
                <w:color w:val="auto"/>
                <w:sz w:val="24"/>
                <w:lang w:val="zh-CN"/>
              </w:rPr>
              <w:t>月</w:t>
            </w:r>
            <w:r>
              <w:rPr>
                <w:rFonts w:hint="eastAsia" w:ascii="宋体" w:hAnsi="宋体" w:cs="宋体"/>
                <w:bCs/>
                <w:color w:val="auto"/>
                <w:sz w:val="24"/>
              </w:rPr>
              <w:t>1日</w:t>
            </w:r>
            <w:r>
              <w:rPr>
                <w:rFonts w:hint="eastAsia" w:ascii="宋体" w:hAnsi="宋体" w:cs="宋体"/>
                <w:bCs/>
                <w:color w:val="auto"/>
                <w:sz w:val="24"/>
                <w:lang w:val="zh-CN"/>
              </w:rPr>
              <w:t>以来大数据平台开发类项目成功案例，每个得</w:t>
            </w:r>
            <w:r>
              <w:rPr>
                <w:rFonts w:hint="eastAsia" w:ascii="宋体" w:hAnsi="宋体" w:cs="宋体"/>
                <w:bCs/>
                <w:color w:val="auto"/>
                <w:sz w:val="24"/>
              </w:rPr>
              <w:t>0.5</w:t>
            </w:r>
            <w:r>
              <w:rPr>
                <w:rFonts w:hint="eastAsia" w:ascii="宋体" w:hAnsi="宋体" w:cs="宋体"/>
                <w:bCs/>
                <w:color w:val="auto"/>
                <w:sz w:val="24"/>
                <w:lang w:val="zh-CN"/>
              </w:rPr>
              <w:t>分，最高得</w:t>
            </w:r>
            <w:r>
              <w:rPr>
                <w:rFonts w:hint="eastAsia" w:ascii="宋体" w:hAnsi="宋体" w:cs="宋体"/>
                <w:bCs/>
                <w:color w:val="auto"/>
                <w:sz w:val="24"/>
              </w:rPr>
              <w:t>1</w:t>
            </w:r>
            <w:r>
              <w:rPr>
                <w:rFonts w:hint="eastAsia" w:ascii="宋体" w:hAnsi="宋体" w:cs="宋体"/>
                <w:bCs/>
                <w:color w:val="auto"/>
                <w:sz w:val="24"/>
                <w:lang w:val="zh-CN"/>
              </w:rPr>
              <w:t>分。（以签订时间为准，提供证书原件扫描件并加盖电子印章，未提供不得分。）</w:t>
            </w:r>
          </w:p>
        </w:tc>
        <w:tc>
          <w:tcPr>
            <w:tcW w:w="847" w:type="dxa"/>
            <w:shd w:val="clear" w:color="auto" w:fill="FFFFFF"/>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pStyle w:val="3"/>
              <w:spacing w:after="0"/>
              <w:ind w:left="0" w:leftChars="0"/>
              <w:jc w:val="center"/>
              <w:rPr>
                <w:rFonts w:ascii="宋体" w:hAnsi="宋体" w:cs="宋体"/>
                <w:bCs/>
                <w:color w:val="auto"/>
                <w:sz w:val="24"/>
              </w:rPr>
            </w:pPr>
            <w:r>
              <w:rPr>
                <w:rFonts w:hint="eastAsia" w:ascii="宋体" w:hAnsi="宋体" w:cs="宋体"/>
                <w:bCs/>
                <w:color w:val="auto"/>
                <w:sz w:val="24"/>
              </w:rPr>
              <w:t>售后服务</w:t>
            </w:r>
          </w:p>
          <w:p>
            <w:pPr>
              <w:pStyle w:val="3"/>
              <w:spacing w:after="0"/>
              <w:ind w:left="0" w:leftChars="0"/>
              <w:jc w:val="center"/>
              <w:rPr>
                <w:rFonts w:ascii="宋体" w:hAnsi="宋体" w:cs="宋体"/>
                <w:bCs/>
                <w:color w:val="auto"/>
                <w:sz w:val="24"/>
              </w:rPr>
            </w:pPr>
            <w:r>
              <w:rPr>
                <w:rFonts w:hint="eastAsia" w:ascii="宋体" w:hAnsi="宋体" w:cs="宋体"/>
                <w:bCs/>
                <w:color w:val="auto"/>
                <w:sz w:val="24"/>
              </w:rPr>
              <w:t>13分</w:t>
            </w: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据本地化服务方案、服务响应时间、服务网点数量、专业技术力量、</w:t>
            </w:r>
            <w:r>
              <w:rPr>
                <w:rFonts w:hint="eastAsia" w:ascii="宋体" w:hAnsi="宋体" w:cs="宋体"/>
                <w:bCs/>
                <w:color w:val="auto"/>
                <w:sz w:val="24"/>
              </w:rPr>
              <w:t>运营服务人员绩效考核响应</w:t>
            </w:r>
            <w:r>
              <w:rPr>
                <w:rFonts w:hint="eastAsia" w:ascii="宋体" w:hAnsi="宋体" w:cs="宋体"/>
                <w:bCs/>
                <w:color w:val="auto"/>
                <w:sz w:val="24"/>
                <w:lang w:val="zh-CN"/>
              </w:rPr>
              <w:t>等方面综合评价。方案描述清晰，针对性强，内容详细，且确实可行的得</w:t>
            </w:r>
            <w:r>
              <w:rPr>
                <w:rFonts w:hint="eastAsia" w:ascii="宋体" w:hAnsi="宋体" w:cs="宋体"/>
                <w:bCs/>
                <w:color w:val="auto"/>
                <w:sz w:val="24"/>
              </w:rPr>
              <w:t>6</w:t>
            </w:r>
            <w:r>
              <w:rPr>
                <w:rFonts w:hint="eastAsia" w:ascii="宋体" w:hAnsi="宋体" w:cs="宋体"/>
                <w:bCs/>
                <w:color w:val="auto"/>
                <w:sz w:val="24"/>
                <w:lang w:val="zh-CN"/>
              </w:rPr>
              <w:t>-</w:t>
            </w:r>
            <w:r>
              <w:rPr>
                <w:rFonts w:hint="eastAsia" w:ascii="宋体" w:hAnsi="宋体" w:cs="宋体"/>
                <w:bCs/>
                <w:color w:val="auto"/>
                <w:sz w:val="24"/>
              </w:rPr>
              <w:t>4</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3</w:t>
            </w:r>
            <w:r>
              <w:rPr>
                <w:rFonts w:hint="eastAsia" w:ascii="宋体" w:hAnsi="宋体" w:cs="宋体"/>
                <w:bCs/>
                <w:color w:val="auto"/>
                <w:sz w:val="24"/>
                <w:lang w:val="zh-CN"/>
              </w:rPr>
              <w:t>-2分；方案有缺失，内容简单，思路不清晰的得1-0分。不提供不得分。</w:t>
            </w:r>
          </w:p>
        </w:tc>
        <w:tc>
          <w:tcPr>
            <w:tcW w:w="847" w:type="dxa"/>
            <w:vAlign w:val="center"/>
          </w:tcPr>
          <w:p>
            <w:pPr>
              <w:pStyle w:val="3"/>
              <w:spacing w:after="0"/>
              <w:ind w:left="0" w:leftChars="0"/>
              <w:jc w:val="center"/>
              <w:rPr>
                <w:rFonts w:ascii="宋体" w:hAnsi="宋体" w:cs="宋体"/>
                <w:bCs/>
                <w:color w:val="auto"/>
                <w:sz w:val="24"/>
                <w:lang w:val="zh-CN"/>
              </w:rPr>
            </w:pPr>
            <w:r>
              <w:rPr>
                <w:rFonts w:hint="eastAsia" w:ascii="宋体" w:hAnsi="宋体" w:cs="宋体"/>
                <w:bCs/>
                <w:color w:val="auto"/>
                <w:sz w:val="24"/>
              </w:rPr>
              <w:t>6</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rPr>
              <w:t>所提供驻场运维人员要求具备大专及以上计算机专业毕业或具备类似项目经验的，提供4人得1分，每增加一人多1分，本项最高得5分（附相关毕业证书或者项目经历说明并加盖投标人公章，否则不得分）</w:t>
            </w:r>
          </w:p>
        </w:tc>
        <w:tc>
          <w:tcPr>
            <w:tcW w:w="847" w:type="dxa"/>
            <w:vAlign w:val="center"/>
          </w:tcPr>
          <w:p>
            <w:pPr>
              <w:pStyle w:val="3"/>
              <w:spacing w:after="0"/>
              <w:ind w:left="0" w:leftChars="0"/>
              <w:jc w:val="center"/>
              <w:rPr>
                <w:rFonts w:ascii="宋体" w:hAnsi="宋体" w:cs="宋体"/>
                <w:bCs/>
                <w:color w:val="auto"/>
                <w:sz w:val="24"/>
                <w:lang w:val="zh-CN"/>
              </w:rPr>
            </w:pPr>
            <w:r>
              <w:rPr>
                <w:rFonts w:hint="eastAsia" w:ascii="宋体" w:hAnsi="宋体" w:cs="宋体"/>
                <w:bCs/>
                <w:color w:val="auto"/>
                <w:sz w:val="24"/>
              </w:rPr>
              <w:t>5</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pStyle w:val="3"/>
              <w:spacing w:after="0"/>
              <w:jc w:val="center"/>
              <w:rPr>
                <w:rFonts w:ascii="宋体" w:hAnsi="宋体" w:cs="宋体"/>
                <w:bCs/>
                <w:color w:val="auto"/>
                <w:sz w:val="24"/>
              </w:rPr>
            </w:pPr>
          </w:p>
        </w:tc>
        <w:tc>
          <w:tcPr>
            <w:tcW w:w="7166" w:type="dxa"/>
            <w:vAlign w:val="center"/>
          </w:tcPr>
          <w:p>
            <w:pPr>
              <w:pStyle w:val="3"/>
              <w:spacing w:after="0"/>
              <w:ind w:left="0" w:leftChars="0"/>
              <w:jc w:val="left"/>
              <w:rPr>
                <w:rFonts w:ascii="宋体" w:hAnsi="宋体" w:cs="宋体"/>
                <w:bCs/>
                <w:color w:val="auto"/>
                <w:sz w:val="24"/>
                <w:lang w:val="zh-CN"/>
              </w:rPr>
            </w:pPr>
            <w:r>
              <w:rPr>
                <w:rFonts w:hint="eastAsia" w:ascii="宋体" w:hAnsi="宋体" w:cs="宋体"/>
                <w:bCs/>
                <w:color w:val="auto"/>
                <w:sz w:val="24"/>
                <w:lang w:val="zh-CN"/>
              </w:rPr>
              <w:t>提供合理可行的项目培训方案，提供多种培训方式和全要素培训课程、资料，并有一系列培训质量保证措施等。方案描述清晰，针对性强，内容详细，且确实可行的得</w:t>
            </w:r>
            <w:r>
              <w:rPr>
                <w:rFonts w:hint="eastAsia" w:ascii="宋体" w:hAnsi="宋体" w:cs="宋体"/>
                <w:bCs/>
                <w:color w:val="auto"/>
                <w:sz w:val="24"/>
              </w:rPr>
              <w:t>2</w:t>
            </w:r>
            <w:r>
              <w:rPr>
                <w:rFonts w:hint="eastAsia" w:ascii="宋体" w:hAnsi="宋体" w:cs="宋体"/>
                <w:bCs/>
                <w:color w:val="auto"/>
                <w:sz w:val="24"/>
                <w:lang w:val="zh-CN"/>
              </w:rPr>
              <w:t>分；方案描述基本清晰，内容比较齐全，但过于空泛，可行性不强的得</w:t>
            </w:r>
            <w:r>
              <w:rPr>
                <w:rFonts w:hint="eastAsia" w:ascii="宋体" w:hAnsi="宋体" w:cs="宋体"/>
                <w:bCs/>
                <w:color w:val="auto"/>
                <w:sz w:val="24"/>
              </w:rPr>
              <w:t>1.5</w:t>
            </w:r>
            <w:r>
              <w:rPr>
                <w:rFonts w:hint="eastAsia" w:ascii="宋体" w:hAnsi="宋体" w:cs="宋体"/>
                <w:bCs/>
                <w:color w:val="auto"/>
                <w:sz w:val="24"/>
                <w:lang w:val="zh-CN"/>
              </w:rPr>
              <w:t>-</w:t>
            </w:r>
            <w:r>
              <w:rPr>
                <w:rFonts w:hint="eastAsia" w:ascii="宋体" w:hAnsi="宋体" w:cs="宋体"/>
                <w:bCs/>
                <w:color w:val="auto"/>
                <w:sz w:val="24"/>
              </w:rPr>
              <w:t>0.6</w:t>
            </w:r>
            <w:r>
              <w:rPr>
                <w:rFonts w:hint="eastAsia" w:ascii="宋体" w:hAnsi="宋体" w:cs="宋体"/>
                <w:bCs/>
                <w:color w:val="auto"/>
                <w:sz w:val="24"/>
                <w:lang w:val="zh-CN"/>
              </w:rPr>
              <w:t>分；方案有缺失，内容简单，思路不清晰的得</w:t>
            </w:r>
            <w:r>
              <w:rPr>
                <w:rFonts w:hint="eastAsia" w:ascii="宋体" w:hAnsi="宋体" w:cs="宋体"/>
                <w:bCs/>
                <w:color w:val="auto"/>
                <w:sz w:val="24"/>
              </w:rPr>
              <w:t>0.5</w:t>
            </w:r>
            <w:r>
              <w:rPr>
                <w:rFonts w:hint="eastAsia" w:ascii="宋体" w:hAnsi="宋体" w:cs="宋体"/>
                <w:bCs/>
                <w:color w:val="auto"/>
                <w:sz w:val="24"/>
                <w:lang w:val="zh-CN"/>
              </w:rPr>
              <w:t>-0分。不提供不得分。</w:t>
            </w:r>
          </w:p>
        </w:tc>
        <w:tc>
          <w:tcPr>
            <w:tcW w:w="847" w:type="dxa"/>
            <w:vAlign w:val="center"/>
          </w:tcPr>
          <w:p>
            <w:pPr>
              <w:pStyle w:val="3"/>
              <w:spacing w:after="0"/>
              <w:ind w:left="0" w:leftChars="0"/>
              <w:jc w:val="center"/>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Align w:val="center"/>
          </w:tcPr>
          <w:p>
            <w:pPr>
              <w:jc w:val="center"/>
              <w:rPr>
                <w:rFonts w:ascii="宋体" w:hAnsi="宋体" w:cs="宋体"/>
                <w:color w:val="auto"/>
                <w:sz w:val="24"/>
              </w:rPr>
            </w:pPr>
            <w:r>
              <w:rPr>
                <w:rFonts w:hint="eastAsia" w:ascii="宋体" w:hAnsi="宋体" w:cs="宋体"/>
                <w:color w:val="auto"/>
                <w:sz w:val="24"/>
              </w:rPr>
              <w:t>价格</w:t>
            </w:r>
          </w:p>
          <w:p>
            <w:pPr>
              <w:jc w:val="center"/>
              <w:rPr>
                <w:rFonts w:ascii="宋体" w:hAnsi="宋体" w:cs="宋体"/>
                <w:bCs/>
                <w:color w:val="auto"/>
                <w:sz w:val="24"/>
              </w:rPr>
            </w:pPr>
            <w:r>
              <w:rPr>
                <w:rFonts w:hint="eastAsia" w:ascii="宋体" w:hAnsi="宋体" w:cs="宋体"/>
                <w:color w:val="auto"/>
                <w:sz w:val="24"/>
              </w:rPr>
              <w:t>15分</w:t>
            </w:r>
          </w:p>
        </w:tc>
        <w:tc>
          <w:tcPr>
            <w:tcW w:w="7166" w:type="dxa"/>
            <w:vAlign w:val="center"/>
          </w:tcPr>
          <w:p>
            <w:pPr>
              <w:rPr>
                <w:rFonts w:ascii="宋体" w:hAnsi="宋体" w:cs="宋体"/>
                <w:bCs/>
                <w:color w:val="auto"/>
                <w:sz w:val="24"/>
              </w:rPr>
            </w:pPr>
            <w:r>
              <w:rPr>
                <w:rFonts w:hint="eastAsia" w:ascii="宋体" w:hAnsi="宋体" w:cs="宋体"/>
                <w:color w:val="auto"/>
                <w:sz w:val="24"/>
              </w:rPr>
              <w:t>以合格投标人有效投标总报价中的最低价为基准价，基准价为15分。投标报价得分＝（评标基准价/最终投标报价）×</w:t>
            </w:r>
            <w:r>
              <w:rPr>
                <w:rFonts w:hint="eastAsia" w:ascii="宋体" w:hAnsi="宋体" w:cs="宋体"/>
                <w:color w:val="auto"/>
                <w:kern w:val="0"/>
                <w:sz w:val="24"/>
              </w:rPr>
              <w:t>15%</w:t>
            </w:r>
            <w:r>
              <w:rPr>
                <w:rFonts w:hint="eastAsia" w:ascii="宋体" w:hAnsi="宋体" w:cs="宋体"/>
                <w:color w:val="auto"/>
                <w:sz w:val="24"/>
              </w:rPr>
              <w:t>×</w:t>
            </w:r>
            <w:r>
              <w:rPr>
                <w:rFonts w:hint="eastAsia" w:ascii="宋体" w:hAnsi="宋体" w:cs="宋体"/>
                <w:color w:val="auto"/>
                <w:kern w:val="0"/>
                <w:sz w:val="24"/>
              </w:rPr>
              <w:t>100</w:t>
            </w:r>
            <w:r>
              <w:rPr>
                <w:rFonts w:hint="eastAsia" w:ascii="宋体" w:hAnsi="宋体" w:cs="宋体"/>
                <w:color w:val="auto"/>
                <w:sz w:val="24"/>
              </w:rPr>
              <w:t>（小数点后保留2位小数）。（注：对于小型和微型企业产品的价格给予</w:t>
            </w:r>
            <w:r>
              <w:rPr>
                <w:rFonts w:hint="eastAsia" w:ascii="宋体" w:hAnsi="宋体" w:cs="宋体"/>
                <w:color w:val="auto"/>
                <w:sz w:val="24"/>
                <w:lang w:val="en-US" w:eastAsia="zh-CN"/>
              </w:rPr>
              <w:t>2</w:t>
            </w:r>
            <w:r>
              <w:rPr>
                <w:rFonts w:hint="eastAsia" w:ascii="宋体" w:hAnsi="宋体" w:cs="宋体"/>
                <w:color w:val="auto"/>
                <w:sz w:val="24"/>
              </w:rPr>
              <w:t>0%的扣除，用扣除后的价格参与评审）</w:t>
            </w:r>
          </w:p>
        </w:tc>
        <w:tc>
          <w:tcPr>
            <w:tcW w:w="847" w:type="dxa"/>
            <w:vAlign w:val="center"/>
          </w:tcPr>
          <w:p>
            <w:pPr>
              <w:jc w:val="center"/>
              <w:rPr>
                <w:rFonts w:ascii="宋体" w:hAnsi="宋体" w:cs="宋体"/>
                <w:bCs/>
                <w:color w:val="auto"/>
                <w:sz w:val="24"/>
              </w:rPr>
            </w:pPr>
            <w:r>
              <w:rPr>
                <w:rFonts w:hint="eastAsia" w:ascii="宋体" w:hAnsi="宋体" w:cs="宋体"/>
                <w:color w:val="auto"/>
                <w:sz w:val="24"/>
              </w:rPr>
              <w:t>15分</w:t>
            </w:r>
          </w:p>
        </w:tc>
      </w:tr>
    </w:tbl>
    <w:p>
      <w:pPr>
        <w:rPr>
          <w:rFonts w:ascii="宋体" w:hAnsi="宋体" w:cs="宋体"/>
          <w:color w:val="auto"/>
          <w:sz w:val="24"/>
        </w:rPr>
      </w:pPr>
      <w:r>
        <w:rPr>
          <w:rFonts w:hint="eastAsia" w:ascii="宋体" w:hAnsi="宋体" w:cs="宋体"/>
          <w:color w:val="auto"/>
          <w:sz w:val="24"/>
        </w:rPr>
        <w:t>注：</w:t>
      </w:r>
    </w:p>
    <w:p>
      <w:pPr>
        <w:rPr>
          <w:rFonts w:ascii="宋体" w:hAnsi="宋体" w:cs="宋体"/>
          <w:color w:val="auto"/>
          <w:sz w:val="24"/>
        </w:rPr>
      </w:pPr>
      <w:r>
        <w:rPr>
          <w:rFonts w:hint="eastAsia" w:ascii="宋体" w:hAnsi="宋体" w:cs="宋体"/>
          <w:color w:val="auto"/>
          <w:sz w:val="24"/>
        </w:rPr>
        <w:t>①请扫描上传合同、证书、报告及其他相关证明材料的原件至投标文件，并加盖电子印章。</w:t>
      </w:r>
    </w:p>
    <w:p>
      <w:pPr>
        <w:pStyle w:val="15"/>
        <w:snapToGrid w:val="0"/>
        <w:spacing w:line="360" w:lineRule="auto"/>
        <w:ind w:firstLine="482" w:firstLineChars="200"/>
        <w:rPr>
          <w:rFonts w:hAnsi="宋体"/>
          <w:b/>
          <w:color w:val="auto"/>
          <w:sz w:val="24"/>
        </w:rPr>
      </w:pPr>
      <w:r>
        <w:rPr>
          <w:rFonts w:hint="eastAsia" w:hAnsi="宋体"/>
          <w:b/>
          <w:color w:val="auto"/>
          <w:sz w:val="24"/>
        </w:rPr>
        <w:t>2.评审要求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hAnsi="宋体" w:cs="宋体"/>
          <w:bCs/>
          <w:color w:val="auto"/>
          <w:sz w:val="24"/>
          <w:lang w:val="zh-CN"/>
        </w:rPr>
        <w:t>客观</w:t>
      </w:r>
      <w:r>
        <w:rPr>
          <w:rFonts w:hint="eastAsia" w:ascii="宋体" w:hAnsi="宋体" w:cs="宋体"/>
          <w:bCs/>
          <w:color w:val="auto"/>
          <w:sz w:val="24"/>
        </w:rPr>
        <w:t>评分项的分值</w:t>
      </w:r>
      <w:r>
        <w:rPr>
          <w:rFonts w:hint="eastAsia" w:ascii="宋体" w:hAnsi="宋体" w:cs="宋体"/>
          <w:bCs/>
          <w:color w:val="auto"/>
          <w:sz w:val="24"/>
          <w:lang w:val="zh-CN"/>
        </w:rPr>
        <w:t>应当一致。</w:t>
      </w:r>
    </w:p>
    <w:p>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rFonts w:hint="eastAsia"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同时出现两种以上不一致的，按照前款规定的顺序修正。修正应当采用电子询标的形式，并加盖公章（电子印章）。</w:t>
      </w:r>
    </w:p>
    <w:p>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（4）投标人的澄清、说明或者补正采用书面形式，并加盖公章（电子印章）或者由法定代表人或授权委托代理人签字，且不得超出投标文件的范围或者改变投标文件的实质性内容。</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（四）结果汇总及排序</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评标委员会各成员应当独立对每个投标人的投标文件进行评价，并汇总每个投标人的得分。</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提供相同品牌产品的，</w:t>
      </w:r>
      <w:r>
        <w:rPr>
          <w:rFonts w:hint="eastAsia" w:ascii="宋体" w:hAnsi="宋体" w:cs="宋体"/>
          <w:color w:val="auto"/>
          <w:sz w:val="24"/>
        </w:rPr>
        <w:t>参照《政府采购货物和服务招标投标管理办法》（第87号令）第三十一条有关规定执行</w:t>
      </w:r>
      <w:r>
        <w:rPr>
          <w:rFonts w:hint="eastAsia" w:ascii="宋体" w:hAnsi="宋体" w:cs="宋体"/>
          <w:color w:val="auto"/>
          <w:sz w:val="24"/>
          <w:lang w:val="zh-CN"/>
        </w:rPr>
        <w:t>。</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pStyle w:val="20"/>
        <w:spacing w:before="0" w:beforeAutospacing="0" w:after="0" w:afterAutospacing="0" w:line="360" w:lineRule="auto"/>
        <w:ind w:firstLine="482" w:firstLineChars="200"/>
        <w:jc w:val="both"/>
        <w:rPr>
          <w:rFonts w:hint="default" w:cs="宋体"/>
          <w:b/>
          <w:bCs/>
          <w:color w:val="auto"/>
        </w:rPr>
      </w:pPr>
    </w:p>
    <w:p>
      <w:pPr>
        <w:spacing w:line="360" w:lineRule="auto"/>
        <w:jc w:val="center"/>
        <w:rPr>
          <w:rFonts w:ascii="宋体" w:hAnsi="宋体" w:cs="宋体"/>
          <w:b/>
          <w:color w:val="auto"/>
          <w:sz w:val="24"/>
        </w:rPr>
      </w:pPr>
      <w:bookmarkStart w:id="39" w:name="_Toc27944_WPSOffice_Level1"/>
      <w:r>
        <w:rPr>
          <w:rFonts w:hint="eastAsia" w:ascii="宋体" w:hAnsi="宋体" w:cs="宋体"/>
          <w:b/>
          <w:color w:val="auto"/>
          <w:sz w:val="24"/>
        </w:rPr>
        <w:t xml:space="preserve">第五章 </w:t>
      </w:r>
      <w:bookmarkEnd w:id="39"/>
      <w:r>
        <w:rPr>
          <w:rFonts w:hint="eastAsia" w:ascii="宋体" w:hAnsi="宋体" w:cs="宋体"/>
          <w:b/>
          <w:color w:val="auto"/>
          <w:sz w:val="24"/>
        </w:rPr>
        <w:t>拟签订的合同文本</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以下为成交后签订本项目合同的通用条款，中标人不得提出实质性的修改，关于专用条款将由采购人与中标人结合本项目具体情况协商后签订。</w:t>
      </w:r>
    </w:p>
    <w:p>
      <w:pPr>
        <w:pStyle w:val="15"/>
        <w:snapToGrid w:val="0"/>
        <w:spacing w:line="360" w:lineRule="auto"/>
        <w:rPr>
          <w:rFonts w:hAnsi="宋体"/>
          <w:color w:val="auto"/>
          <w:sz w:val="24"/>
        </w:rPr>
      </w:pPr>
      <w:r>
        <w:rPr>
          <w:rFonts w:hint="eastAsia" w:hAnsi="宋体"/>
          <w:color w:val="auto"/>
          <w:sz w:val="24"/>
        </w:rPr>
        <w:t xml:space="preserve">项目名称：                                </w:t>
      </w:r>
    </w:p>
    <w:p>
      <w:pPr>
        <w:pStyle w:val="15"/>
        <w:snapToGrid w:val="0"/>
        <w:spacing w:line="360" w:lineRule="auto"/>
        <w:rPr>
          <w:rFonts w:hAnsi="宋体"/>
          <w:color w:val="auto"/>
          <w:sz w:val="24"/>
        </w:rPr>
      </w:pPr>
      <w:r>
        <w:rPr>
          <w:rFonts w:hint="eastAsia" w:hAnsi="宋体"/>
          <w:color w:val="auto"/>
          <w:sz w:val="24"/>
        </w:rPr>
        <w:t>项目编号：</w:t>
      </w:r>
    </w:p>
    <w:p>
      <w:pPr>
        <w:pStyle w:val="15"/>
        <w:snapToGrid w:val="0"/>
        <w:spacing w:line="360" w:lineRule="auto"/>
        <w:rPr>
          <w:rFonts w:hAnsi="宋体"/>
          <w:color w:val="auto"/>
          <w:sz w:val="24"/>
        </w:rPr>
      </w:pPr>
      <w:r>
        <w:rPr>
          <w:rFonts w:hint="eastAsia" w:hAnsi="宋体"/>
          <w:color w:val="auto"/>
          <w:sz w:val="24"/>
        </w:rPr>
        <w:t xml:space="preserve">甲方（采购单位）：                                  </w:t>
      </w:r>
    </w:p>
    <w:p>
      <w:pPr>
        <w:pStyle w:val="15"/>
        <w:snapToGrid w:val="0"/>
        <w:spacing w:line="360" w:lineRule="auto"/>
        <w:rPr>
          <w:rFonts w:hAnsi="宋体"/>
          <w:color w:val="auto"/>
          <w:sz w:val="24"/>
        </w:rPr>
      </w:pPr>
      <w:r>
        <w:rPr>
          <w:rFonts w:hint="eastAsia" w:hAnsi="宋体"/>
          <w:color w:val="auto"/>
          <w:sz w:val="24"/>
        </w:rPr>
        <w:t xml:space="preserve">乙方（中标人）：                          </w:t>
      </w:r>
    </w:p>
    <w:p>
      <w:pPr>
        <w:pStyle w:val="15"/>
        <w:snapToGrid w:val="0"/>
        <w:spacing w:line="360" w:lineRule="auto"/>
        <w:ind w:firstLine="480" w:firstLineChars="200"/>
        <w:rPr>
          <w:rFonts w:hAnsi="宋体"/>
          <w:b/>
          <w:color w:val="auto"/>
          <w:sz w:val="24"/>
        </w:rPr>
      </w:pPr>
      <w:r>
        <w:rPr>
          <w:rFonts w:hint="eastAsia" w:hAnsi="宋体"/>
          <w:color w:val="auto"/>
          <w:sz w:val="24"/>
        </w:rPr>
        <w:t>甲、乙双方根据××（采购组织机构名称）关于××单位××项目公开招标的结果，签署本合同。</w:t>
      </w:r>
    </w:p>
    <w:p>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 xml:space="preserve">一、合同文件：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一</w:t>
      </w:r>
      <w:r>
        <w:rPr>
          <w:rFonts w:hint="eastAsia" w:ascii="宋体" w:hAnsi="宋体" w:cs="宋体"/>
          <w:color w:val="auto"/>
          <w:sz w:val="24"/>
          <w:lang w:val="zh-CN"/>
        </w:rPr>
        <w:t>）合同条款。</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（二）</w:t>
      </w:r>
      <w:r>
        <w:rPr>
          <w:rFonts w:hint="eastAsia" w:ascii="宋体" w:hAnsi="宋体" w:cs="宋体"/>
          <w:color w:val="auto"/>
          <w:sz w:val="24"/>
          <w:lang w:val="zh-CN"/>
        </w:rPr>
        <w:t>中标通知书。</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（三）</w:t>
      </w:r>
      <w:r>
        <w:rPr>
          <w:rFonts w:hint="eastAsia" w:ascii="宋体" w:hAnsi="宋体" w:cs="宋体"/>
          <w:color w:val="auto"/>
          <w:sz w:val="24"/>
          <w:lang w:val="zh-CN"/>
        </w:rPr>
        <w:t>更正补充文件。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四</w:t>
      </w:r>
      <w:r>
        <w:rPr>
          <w:rFonts w:hint="eastAsia" w:ascii="宋体" w:hAnsi="宋体" w:cs="宋体"/>
          <w:color w:val="auto"/>
          <w:sz w:val="24"/>
          <w:lang w:val="zh-CN"/>
        </w:rPr>
        <w:t>）招标文件。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（五）</w:t>
      </w:r>
      <w:r>
        <w:rPr>
          <w:rFonts w:hint="eastAsia" w:ascii="宋体" w:hAnsi="宋体" w:cs="宋体"/>
          <w:color w:val="auto"/>
          <w:sz w:val="24"/>
          <w:lang w:val="zh-CN"/>
        </w:rPr>
        <w:t>中标</w:t>
      </w:r>
      <w:r>
        <w:rPr>
          <w:rFonts w:hint="eastAsia" w:ascii="宋体" w:hAnsi="宋体" w:cs="宋体"/>
          <w:color w:val="auto"/>
          <w:sz w:val="24"/>
        </w:rPr>
        <w:t>人</w:t>
      </w:r>
      <w:r>
        <w:rPr>
          <w:rFonts w:hint="eastAsia" w:ascii="宋体" w:hAnsi="宋体" w:cs="宋体"/>
          <w:color w:val="auto"/>
          <w:sz w:val="24"/>
          <w:lang w:val="zh-CN"/>
        </w:rPr>
        <w:t>投标文件。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六</w:t>
      </w:r>
      <w:r>
        <w:rPr>
          <w:rFonts w:hint="eastAsia" w:ascii="宋体" w:hAnsi="宋体" w:cs="宋体"/>
          <w:color w:val="auto"/>
          <w:sz w:val="24"/>
          <w:lang w:val="zh-CN"/>
        </w:rPr>
        <w:t>）其他。</w:t>
      </w:r>
    </w:p>
    <w:p>
      <w:pPr>
        <w:pStyle w:val="15"/>
        <w:snapToGrid w:val="0"/>
        <w:spacing w:line="360" w:lineRule="auto"/>
        <w:ind w:firstLine="480" w:firstLineChars="200"/>
        <w:rPr>
          <w:rFonts w:hAnsi="宋体"/>
          <w:color w:val="auto"/>
          <w:sz w:val="24"/>
          <w:lang w:val="zh-CN"/>
        </w:rPr>
      </w:pPr>
      <w:r>
        <w:rPr>
          <w:rFonts w:hint="eastAsia" w:hAnsi="宋体"/>
          <w:color w:val="auto"/>
          <w:sz w:val="24"/>
          <w:lang w:val="zh-CN"/>
        </w:rPr>
        <w:t>上述所指合同文件应认为是互相补充和解释的，但是有模棱两可或互相矛盾之处，以其所列内容顺序为准。</w:t>
      </w:r>
    </w:p>
    <w:p>
      <w:pPr>
        <w:pStyle w:val="15"/>
        <w:snapToGrid w:val="0"/>
        <w:spacing w:line="360" w:lineRule="auto"/>
        <w:ind w:firstLine="482" w:firstLineChars="200"/>
        <w:rPr>
          <w:rFonts w:hAnsi="宋体"/>
          <w:b/>
          <w:color w:val="auto"/>
          <w:sz w:val="24"/>
        </w:rPr>
      </w:pPr>
      <w:r>
        <w:rPr>
          <w:rFonts w:hint="eastAsia" w:hAnsi="宋体"/>
          <w:b/>
          <w:color w:val="auto"/>
          <w:sz w:val="24"/>
        </w:rPr>
        <w:t>二、合同内容及服务标准</w:t>
      </w:r>
    </w:p>
    <w:p>
      <w:pPr>
        <w:pStyle w:val="15"/>
        <w:snapToGrid w:val="0"/>
        <w:spacing w:line="360" w:lineRule="auto"/>
        <w:ind w:firstLine="480" w:firstLineChars="200"/>
        <w:rPr>
          <w:rFonts w:hAnsi="宋体"/>
          <w:color w:val="auto"/>
          <w:sz w:val="24"/>
        </w:rPr>
      </w:pPr>
      <w:r>
        <w:rPr>
          <w:rFonts w:hint="eastAsia" w:hAnsi="宋体"/>
          <w:color w:val="auto"/>
          <w:sz w:val="24"/>
        </w:rPr>
        <w:t>（具体见项目需求）</w:t>
      </w:r>
    </w:p>
    <w:p>
      <w:pPr>
        <w:pStyle w:val="15"/>
        <w:snapToGrid w:val="0"/>
        <w:spacing w:line="360" w:lineRule="auto"/>
        <w:ind w:firstLine="482" w:firstLineChars="200"/>
        <w:rPr>
          <w:rFonts w:hAnsi="宋体"/>
          <w:b/>
          <w:color w:val="auto"/>
          <w:sz w:val="24"/>
        </w:rPr>
      </w:pPr>
      <w:r>
        <w:rPr>
          <w:rFonts w:hint="eastAsia" w:hAnsi="宋体"/>
          <w:b/>
          <w:color w:val="auto"/>
          <w:sz w:val="24"/>
        </w:rPr>
        <w:t>三、合同金额</w:t>
      </w:r>
    </w:p>
    <w:p>
      <w:pPr>
        <w:pStyle w:val="15"/>
        <w:snapToGrid w:val="0"/>
        <w:spacing w:line="360" w:lineRule="auto"/>
        <w:ind w:firstLine="480" w:firstLineChars="200"/>
        <w:rPr>
          <w:rFonts w:hAnsi="宋体"/>
          <w:color w:val="auto"/>
          <w:sz w:val="24"/>
        </w:rPr>
      </w:pPr>
      <w:r>
        <w:rPr>
          <w:rFonts w:hint="eastAsia" w:hAnsi="宋体"/>
          <w:color w:val="auto"/>
          <w:sz w:val="24"/>
        </w:rPr>
        <w:t>本合同金额为（大写）：______________________元（￥__________元）人民币。</w:t>
      </w:r>
    </w:p>
    <w:p>
      <w:pPr>
        <w:pStyle w:val="15"/>
        <w:snapToGrid w:val="0"/>
        <w:spacing w:line="360" w:lineRule="auto"/>
        <w:ind w:firstLine="482" w:firstLineChars="200"/>
        <w:rPr>
          <w:rFonts w:hAnsi="宋体"/>
          <w:b/>
          <w:color w:val="auto"/>
          <w:sz w:val="24"/>
        </w:rPr>
      </w:pPr>
      <w:r>
        <w:rPr>
          <w:rFonts w:hint="eastAsia" w:hAnsi="宋体"/>
          <w:b/>
          <w:color w:val="auto"/>
          <w:sz w:val="24"/>
        </w:rPr>
        <w:t>四、甲乙双方责任</w:t>
      </w:r>
    </w:p>
    <w:p>
      <w:pPr>
        <w:pStyle w:val="15"/>
        <w:snapToGrid w:val="0"/>
        <w:spacing w:line="360" w:lineRule="auto"/>
        <w:ind w:firstLine="480" w:firstLineChars="200"/>
        <w:rPr>
          <w:rFonts w:hAnsi="宋体"/>
          <w:bCs/>
          <w:color w:val="auto"/>
          <w:sz w:val="24"/>
        </w:rPr>
      </w:pPr>
      <w:r>
        <w:rPr>
          <w:rFonts w:hint="eastAsia" w:hAnsi="宋体"/>
          <w:bCs/>
          <w:color w:val="auto"/>
          <w:sz w:val="24"/>
        </w:rPr>
        <w:t>（一）甲方责任</w:t>
      </w:r>
    </w:p>
    <w:p>
      <w:pPr>
        <w:pStyle w:val="15"/>
        <w:snapToGrid w:val="0"/>
        <w:spacing w:line="360" w:lineRule="auto"/>
        <w:ind w:firstLine="480" w:firstLineChars="200"/>
        <w:rPr>
          <w:rFonts w:hAnsi="宋体"/>
          <w:bCs/>
          <w:color w:val="auto"/>
          <w:sz w:val="24"/>
        </w:rPr>
      </w:pPr>
      <w:r>
        <w:rPr>
          <w:rFonts w:hint="eastAsia" w:hAnsi="宋体"/>
          <w:bCs/>
          <w:color w:val="auto"/>
          <w:sz w:val="24"/>
        </w:rPr>
        <w:t>（根据招标结果确定）</w:t>
      </w:r>
    </w:p>
    <w:p>
      <w:pPr>
        <w:pStyle w:val="15"/>
        <w:snapToGrid w:val="0"/>
        <w:spacing w:line="360" w:lineRule="auto"/>
        <w:ind w:firstLine="480" w:firstLineChars="200"/>
        <w:rPr>
          <w:rFonts w:hAnsi="宋体"/>
          <w:bCs/>
          <w:color w:val="auto"/>
          <w:sz w:val="24"/>
        </w:rPr>
      </w:pPr>
      <w:r>
        <w:rPr>
          <w:rFonts w:hint="eastAsia" w:hAnsi="宋体"/>
          <w:bCs/>
          <w:color w:val="auto"/>
          <w:sz w:val="24"/>
        </w:rPr>
        <w:t>（二）乙方责任</w:t>
      </w:r>
    </w:p>
    <w:p>
      <w:pPr>
        <w:pStyle w:val="15"/>
        <w:snapToGrid w:val="0"/>
        <w:spacing w:line="360" w:lineRule="auto"/>
        <w:ind w:firstLine="480" w:firstLineChars="200"/>
        <w:rPr>
          <w:rFonts w:hAnsi="宋体"/>
          <w:color w:val="auto"/>
          <w:sz w:val="24"/>
        </w:rPr>
      </w:pPr>
      <w:r>
        <w:rPr>
          <w:rFonts w:hint="eastAsia" w:hAnsi="宋体"/>
          <w:bCs/>
          <w:color w:val="auto"/>
          <w:sz w:val="24"/>
        </w:rPr>
        <w:t>（根据招标结果确定）</w:t>
      </w:r>
      <w:r>
        <w:rPr>
          <w:rFonts w:hint="eastAsia" w:hAnsi="宋体"/>
          <w:color w:val="auto"/>
          <w:sz w:val="24"/>
        </w:rPr>
        <w:t>。</w:t>
      </w:r>
    </w:p>
    <w:p>
      <w:pPr>
        <w:pStyle w:val="15"/>
        <w:snapToGrid w:val="0"/>
        <w:spacing w:line="360" w:lineRule="auto"/>
        <w:ind w:firstLine="482" w:firstLineChars="200"/>
        <w:rPr>
          <w:rFonts w:hAnsi="宋体"/>
          <w:b/>
          <w:color w:val="auto"/>
          <w:sz w:val="24"/>
        </w:rPr>
      </w:pPr>
      <w:r>
        <w:rPr>
          <w:rFonts w:hint="eastAsia" w:hAnsi="宋体"/>
          <w:b/>
          <w:color w:val="auto"/>
          <w:sz w:val="24"/>
        </w:rPr>
        <w:t>五、技术资料</w:t>
      </w:r>
    </w:p>
    <w:p>
      <w:pPr>
        <w:pStyle w:val="15"/>
        <w:snapToGrid w:val="0"/>
        <w:spacing w:line="360" w:lineRule="auto"/>
        <w:ind w:firstLine="480" w:firstLineChars="200"/>
        <w:rPr>
          <w:rFonts w:hAnsi="宋体"/>
          <w:bCs/>
          <w:color w:val="auto"/>
          <w:sz w:val="24"/>
        </w:rPr>
      </w:pPr>
      <w:r>
        <w:rPr>
          <w:rFonts w:hint="eastAsia" w:hAnsi="宋体"/>
          <w:bCs/>
          <w:color w:val="auto"/>
          <w:sz w:val="24"/>
        </w:rPr>
        <w:t>（一）乙方应按招标文件规定的时间向甲方提供有关技术资料。</w:t>
      </w:r>
    </w:p>
    <w:p>
      <w:pPr>
        <w:pStyle w:val="15"/>
        <w:snapToGrid w:val="0"/>
        <w:spacing w:line="360" w:lineRule="auto"/>
        <w:ind w:firstLine="480" w:firstLineChars="200"/>
        <w:rPr>
          <w:rFonts w:hAnsi="宋体"/>
          <w:bCs/>
          <w:color w:val="auto"/>
          <w:sz w:val="24"/>
        </w:rPr>
      </w:pPr>
      <w:r>
        <w:rPr>
          <w:rFonts w:hint="eastAsia" w:hAnsi="宋体"/>
          <w:bCs/>
          <w:color w:val="auto"/>
          <w:sz w:val="24"/>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360" w:lineRule="auto"/>
        <w:ind w:firstLine="482" w:firstLineChars="200"/>
        <w:rPr>
          <w:rFonts w:hAnsi="宋体"/>
          <w:b/>
          <w:color w:val="auto"/>
          <w:sz w:val="24"/>
        </w:rPr>
      </w:pPr>
      <w:r>
        <w:rPr>
          <w:rFonts w:hint="eastAsia" w:hAnsi="宋体"/>
          <w:b/>
          <w:color w:val="auto"/>
          <w:sz w:val="24"/>
        </w:rPr>
        <w:t>六、知识产权</w:t>
      </w:r>
    </w:p>
    <w:p>
      <w:pPr>
        <w:pStyle w:val="15"/>
        <w:snapToGrid w:val="0"/>
        <w:spacing w:line="360" w:lineRule="auto"/>
        <w:ind w:firstLine="480" w:firstLineChars="200"/>
        <w:rPr>
          <w:rFonts w:hAnsi="宋体"/>
          <w:bCs/>
          <w:color w:val="auto"/>
          <w:sz w:val="24"/>
        </w:rPr>
      </w:pPr>
      <w:r>
        <w:rPr>
          <w:rFonts w:hint="eastAsia" w:hAnsi="宋体"/>
          <w:bCs/>
          <w:color w:val="auto"/>
          <w:sz w:val="24"/>
        </w:rPr>
        <w:t>（一）乙方应保证提供服务过程中不会侵犯任何第三方的知识产权。</w:t>
      </w:r>
    </w:p>
    <w:p>
      <w:pPr>
        <w:pStyle w:val="15"/>
        <w:snapToGrid w:val="0"/>
        <w:spacing w:line="360" w:lineRule="auto"/>
        <w:ind w:firstLine="480" w:firstLineChars="200"/>
        <w:rPr>
          <w:rFonts w:hAnsi="宋体"/>
          <w:bCs/>
          <w:color w:val="auto"/>
          <w:sz w:val="24"/>
          <w:u w:val="single"/>
        </w:rPr>
      </w:pPr>
      <w:r>
        <w:rPr>
          <w:rFonts w:hint="eastAsia" w:hAnsi="宋体"/>
          <w:bCs/>
          <w:color w:val="auto"/>
          <w:sz w:val="24"/>
        </w:rPr>
        <w:t>（二）若侵犯,由乙方赔偿甲方因此遭受的损失（包括但不限于应对及追偿过程中所支付的律师费、差旅费、诉讼费、保全费、鉴定费、评估费等）。</w:t>
      </w:r>
    </w:p>
    <w:p>
      <w:pPr>
        <w:pStyle w:val="15"/>
        <w:snapToGrid w:val="0"/>
        <w:spacing w:line="360" w:lineRule="auto"/>
        <w:ind w:firstLine="482" w:firstLineChars="200"/>
        <w:rPr>
          <w:rFonts w:hAnsi="宋体"/>
          <w:b/>
          <w:color w:val="auto"/>
          <w:sz w:val="24"/>
        </w:rPr>
      </w:pPr>
      <w:r>
        <w:rPr>
          <w:rFonts w:hint="eastAsia" w:hAnsi="宋体"/>
          <w:b/>
          <w:color w:val="auto"/>
          <w:sz w:val="24"/>
        </w:rPr>
        <w:t>七、履约保证金</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本项目履约保证金为合同金额的_1_% 。[履约保证金交至</w:t>
      </w:r>
      <w:r>
        <w:rPr>
          <w:rFonts w:hint="eastAsia" w:ascii="宋体" w:hAnsi="宋体" w:cs="宋体"/>
          <w:color w:val="auto"/>
          <w:sz w:val="24"/>
          <w:lang w:val="en-US" w:eastAsia="zh-CN"/>
        </w:rPr>
        <w:t>甲方</w:t>
      </w:r>
      <w:r>
        <w:rPr>
          <w:rFonts w:hint="eastAsia" w:ascii="宋体" w:hAnsi="宋体" w:cs="宋体"/>
          <w:color w:val="auto"/>
          <w:sz w:val="24"/>
        </w:rPr>
        <w:t>处，在终验合格后7个工作日内无息退还，履约保证金支持履约保函（银行保函或保险保函）形式]。</w:t>
      </w:r>
    </w:p>
    <w:p>
      <w:pPr>
        <w:pStyle w:val="15"/>
        <w:snapToGrid w:val="0"/>
        <w:spacing w:line="360" w:lineRule="auto"/>
        <w:ind w:firstLine="482" w:firstLineChars="200"/>
        <w:rPr>
          <w:rFonts w:hAnsi="宋体"/>
          <w:color w:val="auto"/>
          <w:sz w:val="24"/>
        </w:rPr>
      </w:pPr>
      <w:r>
        <w:rPr>
          <w:rFonts w:hint="eastAsia" w:hAnsi="宋体"/>
          <w:b/>
          <w:color w:val="auto"/>
          <w:sz w:val="24"/>
        </w:rPr>
        <w:t>八、服务期限</w:t>
      </w:r>
    </w:p>
    <w:p>
      <w:pPr>
        <w:pStyle w:val="15"/>
        <w:snapToGrid w:val="0"/>
        <w:spacing w:line="360" w:lineRule="auto"/>
        <w:ind w:firstLine="480" w:firstLineChars="200"/>
        <w:rPr>
          <w:rFonts w:hAnsi="宋体"/>
          <w:color w:val="auto"/>
          <w:sz w:val="24"/>
        </w:rPr>
      </w:pPr>
      <w:r>
        <w:rPr>
          <w:rFonts w:hint="eastAsia" w:hAnsi="宋体"/>
          <w:color w:val="auto"/>
          <w:sz w:val="24"/>
        </w:rPr>
        <w:t>服务期限：验收合格后免费质保2年</w:t>
      </w:r>
    </w:p>
    <w:p>
      <w:pPr>
        <w:pStyle w:val="15"/>
        <w:snapToGrid w:val="0"/>
        <w:spacing w:line="360" w:lineRule="auto"/>
        <w:ind w:firstLine="482" w:firstLineChars="200"/>
        <w:rPr>
          <w:rFonts w:hAnsi="宋体"/>
          <w:b/>
          <w:color w:val="auto"/>
          <w:sz w:val="24"/>
        </w:rPr>
      </w:pPr>
      <w:r>
        <w:rPr>
          <w:rFonts w:hint="eastAsia" w:hAnsi="宋体"/>
          <w:b/>
          <w:color w:val="auto"/>
          <w:sz w:val="24"/>
        </w:rPr>
        <w:t>九、款项支付</w:t>
      </w:r>
    </w:p>
    <w:p>
      <w:pPr>
        <w:pStyle w:val="15"/>
        <w:snapToGrid w:val="0"/>
        <w:spacing w:line="360" w:lineRule="auto"/>
        <w:ind w:firstLine="480" w:firstLineChars="200"/>
        <w:rPr>
          <w:rFonts w:hAnsi="宋体"/>
          <w:bCs/>
          <w:color w:val="auto"/>
          <w:sz w:val="24"/>
        </w:rPr>
      </w:pPr>
      <w:r>
        <w:rPr>
          <w:rFonts w:hint="eastAsia" w:hAnsi="宋体"/>
          <w:bCs/>
          <w:color w:val="auto"/>
          <w:sz w:val="24"/>
        </w:rPr>
        <w:t>1.付款方式：待合同生效后且在财政资金到位的前提下</w:t>
      </w:r>
      <w:r>
        <w:rPr>
          <w:rFonts w:hAnsi="宋体"/>
          <w:bCs/>
          <w:color w:val="auto"/>
          <w:sz w:val="24"/>
        </w:rPr>
        <w:t>7</w:t>
      </w:r>
      <w:r>
        <w:rPr>
          <w:rFonts w:hint="eastAsia" w:hAnsi="宋体"/>
          <w:bCs/>
          <w:color w:val="auto"/>
          <w:sz w:val="24"/>
        </w:rPr>
        <w:t>个工作日内支付合同金额的40%，初验通过后</w:t>
      </w:r>
      <w:r>
        <w:rPr>
          <w:rFonts w:hAnsi="宋体"/>
          <w:bCs/>
          <w:color w:val="auto"/>
          <w:sz w:val="24"/>
        </w:rPr>
        <w:t>7</w:t>
      </w:r>
      <w:r>
        <w:rPr>
          <w:rFonts w:hint="eastAsia" w:hAnsi="宋体"/>
          <w:bCs/>
          <w:color w:val="auto"/>
          <w:sz w:val="24"/>
        </w:rPr>
        <w:t>个工作日内支付合同金额的30%，终验通过后</w:t>
      </w:r>
      <w:r>
        <w:rPr>
          <w:rFonts w:hAnsi="宋体"/>
          <w:bCs/>
          <w:color w:val="auto"/>
          <w:sz w:val="24"/>
        </w:rPr>
        <w:t>7</w:t>
      </w:r>
      <w:r>
        <w:rPr>
          <w:rFonts w:hint="eastAsia" w:hAnsi="宋体"/>
          <w:bCs/>
          <w:color w:val="auto"/>
          <w:sz w:val="24"/>
        </w:rPr>
        <w:t>个工作日内支付合同金额的30%。</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十、税费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本合同执行中相关的一切税费均由乙方负担。</w:t>
      </w:r>
    </w:p>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十一、</w:t>
      </w:r>
      <w:r>
        <w:rPr>
          <w:rFonts w:hint="eastAsia" w:ascii="宋体" w:hAnsi="宋体" w:eastAsia="宋体" w:cs="宋体"/>
          <w:b/>
          <w:color w:val="auto"/>
          <w:sz w:val="24"/>
        </w:rPr>
        <w:t>转包或分包</w:t>
      </w:r>
    </w:p>
    <w:p>
      <w:pPr>
        <w:snapToGrid w:val="0"/>
        <w:spacing w:line="360" w:lineRule="auto"/>
        <w:ind w:firstLine="480" w:firstLineChars="200"/>
        <w:rPr>
          <w:rFonts w:ascii="宋体" w:hAnsi="宋体"/>
          <w:color w:val="auto"/>
          <w:sz w:val="24"/>
        </w:rPr>
      </w:pPr>
      <w:r>
        <w:rPr>
          <w:rFonts w:hint="eastAsia" w:hAnsi="宋体"/>
          <w:color w:val="auto"/>
          <w:sz w:val="24"/>
        </w:rPr>
        <w:t>（一）</w:t>
      </w:r>
      <w:r>
        <w:rPr>
          <w:rFonts w:hint="eastAsia" w:ascii="宋体" w:hAnsi="宋体"/>
          <w:color w:val="auto"/>
          <w:sz w:val="24"/>
        </w:rPr>
        <w:t>本合同范围的</w:t>
      </w:r>
      <w:r>
        <w:rPr>
          <w:rFonts w:hint="eastAsia" w:ascii="宋体" w:hAnsi="宋体"/>
          <w:color w:val="auto"/>
          <w:sz w:val="24"/>
          <w:lang w:eastAsia="zh-CN"/>
        </w:rPr>
        <w:t>服务</w:t>
      </w:r>
      <w:r>
        <w:rPr>
          <w:rFonts w:hint="eastAsia" w:ascii="宋体" w:hAnsi="宋体"/>
          <w:color w:val="auto"/>
          <w:sz w:val="24"/>
        </w:rPr>
        <w:t>，应由</w:t>
      </w:r>
      <w:r>
        <w:rPr>
          <w:rFonts w:ascii="宋体" w:hAnsi="宋体"/>
          <w:color w:val="auto"/>
          <w:sz w:val="24"/>
        </w:rPr>
        <w:t>乙</w:t>
      </w:r>
      <w:r>
        <w:rPr>
          <w:rFonts w:hint="eastAsia" w:ascii="宋体" w:hAnsi="宋体"/>
          <w:color w:val="auto"/>
          <w:sz w:val="24"/>
        </w:rPr>
        <w:t>方直接供应，不得转让他人供应。</w:t>
      </w:r>
    </w:p>
    <w:p>
      <w:pPr>
        <w:snapToGrid w:val="0"/>
        <w:spacing w:line="360" w:lineRule="auto"/>
        <w:ind w:firstLine="480" w:firstLineChars="200"/>
        <w:rPr>
          <w:rFonts w:ascii="宋体" w:hAnsi="宋体"/>
          <w:color w:val="auto"/>
          <w:sz w:val="24"/>
        </w:rPr>
      </w:pPr>
      <w:r>
        <w:rPr>
          <w:rFonts w:hint="eastAsia" w:hAnsi="宋体"/>
          <w:color w:val="auto"/>
          <w:sz w:val="24"/>
        </w:rPr>
        <w:t>（二）</w:t>
      </w:r>
      <w:r>
        <w:rPr>
          <w:rFonts w:hint="eastAsia" w:hAnsi="宋体"/>
          <w:color w:val="auto"/>
          <w:sz w:val="24"/>
          <w:lang w:val="en-US" w:eastAsia="zh-CN"/>
        </w:rPr>
        <w:t>未经甲方同意，</w:t>
      </w:r>
      <w:r>
        <w:rPr>
          <w:rFonts w:ascii="宋体" w:hAnsi="宋体"/>
          <w:color w:val="auto"/>
          <w:sz w:val="24"/>
        </w:rPr>
        <w:t>乙</w:t>
      </w:r>
      <w:r>
        <w:rPr>
          <w:rFonts w:hint="eastAsia" w:ascii="宋体" w:hAnsi="宋体"/>
          <w:color w:val="auto"/>
          <w:sz w:val="24"/>
        </w:rPr>
        <w:t>方不得将本合同范围的</w:t>
      </w:r>
      <w:r>
        <w:rPr>
          <w:rFonts w:hint="eastAsia" w:ascii="宋体" w:hAnsi="宋体"/>
          <w:color w:val="auto"/>
          <w:sz w:val="24"/>
          <w:lang w:eastAsia="zh-CN"/>
        </w:rPr>
        <w:t>服务</w:t>
      </w:r>
      <w:r>
        <w:rPr>
          <w:rFonts w:hint="eastAsia" w:ascii="宋体" w:hAnsi="宋体"/>
          <w:color w:val="auto"/>
          <w:sz w:val="24"/>
        </w:rPr>
        <w:t>全部或部分分包给他人供应。</w:t>
      </w:r>
    </w:p>
    <w:p>
      <w:pPr>
        <w:snapToGrid w:val="0"/>
        <w:spacing w:line="360" w:lineRule="auto"/>
        <w:ind w:firstLine="480" w:firstLineChars="200"/>
        <w:rPr>
          <w:rFonts w:ascii="宋体" w:hAnsi="宋体"/>
          <w:color w:val="auto"/>
          <w:sz w:val="24"/>
        </w:rPr>
      </w:pPr>
      <w:r>
        <w:rPr>
          <w:rFonts w:hint="eastAsia" w:hAnsi="宋体"/>
          <w:color w:val="auto"/>
          <w:sz w:val="24"/>
        </w:rPr>
        <w:t>（三）</w:t>
      </w:r>
      <w:r>
        <w:rPr>
          <w:rFonts w:hint="eastAsia" w:ascii="宋体" w:hAnsi="宋体"/>
          <w:color w:val="auto"/>
          <w:sz w:val="24"/>
        </w:rPr>
        <w:t>如</w:t>
      </w:r>
      <w:r>
        <w:rPr>
          <w:rFonts w:hint="eastAsia" w:ascii="宋体" w:hAnsi="宋体"/>
          <w:color w:val="auto"/>
          <w:sz w:val="24"/>
          <w:lang w:val="en-US" w:eastAsia="zh-CN"/>
        </w:rPr>
        <w:t>未经甲方同意的</w:t>
      </w:r>
      <w:r>
        <w:rPr>
          <w:rFonts w:hint="eastAsia" w:ascii="宋体" w:hAnsi="宋体"/>
          <w:color w:val="auto"/>
          <w:sz w:val="24"/>
        </w:rPr>
        <w:t>有转</w:t>
      </w:r>
      <w:r>
        <w:rPr>
          <w:rFonts w:hint="eastAsia" w:ascii="宋体" w:hAnsi="宋体"/>
          <w:color w:val="auto"/>
          <w:sz w:val="24"/>
          <w:lang w:eastAsia="zh-CN"/>
        </w:rPr>
        <w:t>包</w:t>
      </w:r>
      <w:r>
        <w:rPr>
          <w:rFonts w:hint="eastAsia" w:ascii="宋体" w:hAnsi="宋体"/>
          <w:color w:val="auto"/>
          <w:sz w:val="24"/>
        </w:rPr>
        <w:t>和分包行为，甲方有权解除合同</w:t>
      </w:r>
      <w:r>
        <w:rPr>
          <w:rFonts w:hint="eastAsia" w:ascii="宋体" w:hAnsi="宋体"/>
          <w:color w:val="auto"/>
          <w:sz w:val="24"/>
          <w:lang w:eastAsia="zh-CN"/>
        </w:rPr>
        <w:t>、</w:t>
      </w:r>
      <w:r>
        <w:rPr>
          <w:rFonts w:hint="eastAsia" w:ascii="宋体" w:hAnsi="宋体"/>
          <w:color w:val="auto"/>
          <w:sz w:val="24"/>
          <w:lang w:val="en-US" w:eastAsia="zh-CN"/>
        </w:rPr>
        <w:t>没收履约保证金</w:t>
      </w:r>
      <w:r>
        <w:rPr>
          <w:rFonts w:hint="eastAsia" w:ascii="宋体" w:hAnsi="宋体"/>
          <w:color w:val="auto"/>
          <w:sz w:val="24"/>
        </w:rPr>
        <w:t>并追究乙方的违约责任。</w:t>
      </w:r>
    </w:p>
    <w:p>
      <w:pPr>
        <w:pStyle w:val="15"/>
        <w:snapToGrid w:val="0"/>
        <w:spacing w:line="360" w:lineRule="auto"/>
        <w:ind w:firstLine="482" w:firstLineChars="200"/>
        <w:rPr>
          <w:rFonts w:hAnsi="宋体"/>
          <w:color w:val="auto"/>
          <w:sz w:val="24"/>
        </w:rPr>
      </w:pPr>
      <w:r>
        <w:rPr>
          <w:rFonts w:hAnsi="宋体"/>
          <w:b/>
          <w:color w:val="auto"/>
          <w:sz w:val="24"/>
        </w:rPr>
        <w:t>十</w:t>
      </w:r>
      <w:r>
        <w:rPr>
          <w:rFonts w:hint="eastAsia" w:hAnsi="宋体"/>
          <w:b/>
          <w:color w:val="auto"/>
          <w:sz w:val="24"/>
          <w:lang w:eastAsia="zh-CN"/>
        </w:rPr>
        <w:t>二</w:t>
      </w:r>
      <w:r>
        <w:rPr>
          <w:rFonts w:hAnsi="宋体"/>
          <w:b/>
          <w:color w:val="auto"/>
          <w:sz w:val="24"/>
        </w:rPr>
        <w:t>、质量保证及后续服务</w:t>
      </w:r>
    </w:p>
    <w:p>
      <w:pPr>
        <w:pStyle w:val="15"/>
        <w:snapToGrid w:val="0"/>
        <w:spacing w:line="360" w:lineRule="auto"/>
        <w:ind w:firstLine="480" w:firstLineChars="200"/>
        <w:rPr>
          <w:rFonts w:hAnsi="宋体"/>
          <w:bCs/>
          <w:color w:val="auto"/>
          <w:sz w:val="24"/>
        </w:rPr>
      </w:pPr>
      <w:r>
        <w:rPr>
          <w:rFonts w:hint="eastAsia" w:hAnsi="宋体"/>
          <w:bCs/>
          <w:color w:val="auto"/>
          <w:sz w:val="24"/>
        </w:rPr>
        <w:t>（一）乙方应按招标文件规定向甲方提供服务。</w:t>
      </w:r>
    </w:p>
    <w:p>
      <w:pPr>
        <w:pStyle w:val="15"/>
        <w:snapToGrid w:val="0"/>
        <w:spacing w:line="360" w:lineRule="auto"/>
        <w:ind w:firstLine="480" w:firstLineChars="200"/>
        <w:rPr>
          <w:rFonts w:hAnsi="宋体"/>
          <w:bCs/>
          <w:color w:val="auto"/>
          <w:sz w:val="24"/>
        </w:rPr>
      </w:pPr>
      <w:r>
        <w:rPr>
          <w:rFonts w:hint="eastAsia" w:hAnsi="宋体"/>
          <w:bCs/>
          <w:color w:val="auto"/>
          <w:sz w:val="24"/>
        </w:rPr>
        <w:t>（二）乙方提供的服务成果在维保期内发生故障，乙方应负责免费提供后续服务。对达不到要求者，根据实际情况，经双方协商，可按以下办法处理：</w:t>
      </w:r>
    </w:p>
    <w:p>
      <w:pPr>
        <w:pStyle w:val="15"/>
        <w:snapToGrid w:val="0"/>
        <w:spacing w:line="360" w:lineRule="auto"/>
        <w:ind w:firstLine="480" w:firstLineChars="200"/>
        <w:rPr>
          <w:rFonts w:hAnsi="宋体"/>
          <w:bCs/>
          <w:color w:val="auto"/>
          <w:sz w:val="24"/>
        </w:rPr>
      </w:pPr>
      <w:r>
        <w:rPr>
          <w:rFonts w:hint="eastAsia" w:hAnsi="宋体"/>
          <w:bCs/>
          <w:color w:val="auto"/>
          <w:sz w:val="24"/>
        </w:rPr>
        <w:t>1.重做：由乙方承担所发生的全部费用。</w:t>
      </w:r>
    </w:p>
    <w:p>
      <w:pPr>
        <w:pStyle w:val="15"/>
        <w:snapToGrid w:val="0"/>
        <w:spacing w:line="360" w:lineRule="auto"/>
        <w:ind w:firstLine="480" w:firstLineChars="200"/>
        <w:rPr>
          <w:rFonts w:hAnsi="宋体"/>
          <w:bCs/>
          <w:color w:val="auto"/>
          <w:sz w:val="24"/>
        </w:rPr>
      </w:pPr>
      <w:r>
        <w:rPr>
          <w:rFonts w:hint="eastAsia" w:hAnsi="宋体"/>
          <w:bCs/>
          <w:color w:val="auto"/>
          <w:sz w:val="24"/>
        </w:rPr>
        <w:t>2.贬值处理：由甲乙双方合议定价。</w:t>
      </w:r>
    </w:p>
    <w:p>
      <w:pPr>
        <w:pStyle w:val="15"/>
        <w:snapToGrid w:val="0"/>
        <w:spacing w:line="360" w:lineRule="auto"/>
        <w:ind w:firstLine="480" w:firstLineChars="200"/>
        <w:rPr>
          <w:rFonts w:hAnsi="宋体"/>
          <w:bCs/>
          <w:color w:val="auto"/>
          <w:sz w:val="24"/>
        </w:rPr>
      </w:pPr>
      <w:r>
        <w:rPr>
          <w:rFonts w:hint="eastAsia" w:hAnsi="宋体"/>
          <w:bCs/>
          <w:color w:val="auto"/>
          <w:sz w:val="24"/>
        </w:rPr>
        <w:t>3.解除合同。</w:t>
      </w:r>
    </w:p>
    <w:p>
      <w:pPr>
        <w:pStyle w:val="15"/>
        <w:snapToGrid w:val="0"/>
        <w:spacing w:line="360" w:lineRule="auto"/>
        <w:ind w:firstLine="480" w:firstLineChars="200"/>
        <w:rPr>
          <w:rFonts w:hAnsi="宋体"/>
          <w:bCs/>
          <w:color w:val="auto"/>
          <w:sz w:val="24"/>
        </w:rPr>
      </w:pPr>
      <w:r>
        <w:rPr>
          <w:rFonts w:hint="eastAsia" w:hAnsi="宋体"/>
          <w:bCs/>
          <w:color w:val="auto"/>
          <w:sz w:val="24"/>
        </w:rPr>
        <w:t>（三）质保期内乙方须提供（7*24）上门维护、升级服务，对故障即时响应，2小时以内到现场，4小时以内提出问题解决方案并实施。</w:t>
      </w:r>
    </w:p>
    <w:p>
      <w:pPr>
        <w:pStyle w:val="15"/>
        <w:snapToGrid w:val="0"/>
        <w:spacing w:line="360" w:lineRule="auto"/>
        <w:ind w:firstLine="480" w:firstLineChars="200"/>
        <w:rPr>
          <w:rFonts w:hAnsi="宋体"/>
          <w:bCs/>
          <w:color w:val="auto"/>
          <w:sz w:val="24"/>
        </w:rPr>
      </w:pPr>
      <w:r>
        <w:rPr>
          <w:rFonts w:hint="eastAsia" w:hAnsi="宋体"/>
          <w:bCs/>
          <w:color w:val="auto"/>
          <w:sz w:val="24"/>
        </w:rPr>
        <w:t>（四）在服务质量保证期内，乙方应对出现的质量及安全问题负责处理解决并承担一切费用。</w:t>
      </w:r>
    </w:p>
    <w:p>
      <w:pPr>
        <w:pStyle w:val="15"/>
        <w:snapToGrid w:val="0"/>
        <w:spacing w:line="360" w:lineRule="auto"/>
        <w:ind w:firstLine="482" w:firstLineChars="200"/>
        <w:rPr>
          <w:rFonts w:hAnsi="宋体"/>
          <w:b/>
          <w:color w:val="auto"/>
          <w:sz w:val="24"/>
        </w:rPr>
      </w:pPr>
      <w:r>
        <w:rPr>
          <w:rFonts w:hint="eastAsia" w:hAnsi="宋体"/>
          <w:b/>
          <w:color w:val="auto"/>
          <w:sz w:val="24"/>
        </w:rPr>
        <w:t>十</w:t>
      </w:r>
      <w:r>
        <w:rPr>
          <w:rFonts w:hint="eastAsia" w:hAnsi="宋体"/>
          <w:b/>
          <w:color w:val="auto"/>
          <w:sz w:val="24"/>
          <w:lang w:eastAsia="zh-CN"/>
        </w:rPr>
        <w:t>三</w:t>
      </w:r>
      <w:r>
        <w:rPr>
          <w:rFonts w:hint="eastAsia" w:hAnsi="宋体"/>
          <w:b/>
          <w:color w:val="auto"/>
          <w:sz w:val="24"/>
        </w:rPr>
        <w:t>、违约责任</w:t>
      </w:r>
    </w:p>
    <w:p>
      <w:pPr>
        <w:pStyle w:val="15"/>
        <w:snapToGrid w:val="0"/>
        <w:spacing w:line="360" w:lineRule="auto"/>
        <w:ind w:firstLine="480" w:firstLineChars="200"/>
        <w:rPr>
          <w:rFonts w:hAnsi="宋体"/>
          <w:color w:val="auto"/>
          <w:sz w:val="24"/>
        </w:rPr>
      </w:pPr>
      <w:r>
        <w:rPr>
          <w:rFonts w:hint="eastAsia" w:hAnsi="宋体"/>
          <w:color w:val="auto"/>
          <w:sz w:val="24"/>
        </w:rPr>
        <w:t>（一）</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pPr>
        <w:pStyle w:val="15"/>
        <w:snapToGrid w:val="0"/>
        <w:spacing w:line="360" w:lineRule="auto"/>
        <w:ind w:firstLine="480" w:firstLineChars="200"/>
        <w:rPr>
          <w:rFonts w:hAnsi="宋体"/>
          <w:color w:val="auto"/>
          <w:sz w:val="24"/>
        </w:rPr>
      </w:pPr>
      <w:r>
        <w:rPr>
          <w:rFonts w:hint="eastAsia" w:hAnsi="宋体"/>
          <w:color w:val="auto"/>
          <w:sz w:val="24"/>
        </w:rPr>
        <w:t>（二）</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pPr>
        <w:pStyle w:val="15"/>
        <w:snapToGrid w:val="0"/>
        <w:spacing w:line="360" w:lineRule="auto"/>
        <w:ind w:firstLine="480" w:firstLineChars="200"/>
        <w:rPr>
          <w:rFonts w:hAnsi="宋体"/>
          <w:bCs/>
          <w:color w:val="auto"/>
          <w:sz w:val="24"/>
        </w:rPr>
      </w:pPr>
      <w:r>
        <w:rPr>
          <w:rFonts w:hint="eastAsia" w:hAnsi="宋体"/>
          <w:color w:val="auto"/>
          <w:sz w:val="24"/>
        </w:rPr>
        <w:t>（三）</w:t>
      </w:r>
      <w:r>
        <w:rPr>
          <w:rFonts w:hAnsi="宋体"/>
          <w:color w:val="auto"/>
          <w:sz w:val="24"/>
        </w:rPr>
        <w:t>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的违约金，如造成甲方损失超过违约金的，超出部分由乙方继续承担赔偿责任。</w:t>
      </w:r>
    </w:p>
    <w:p>
      <w:pPr>
        <w:pStyle w:val="15"/>
        <w:snapToGrid w:val="0"/>
        <w:spacing w:line="360" w:lineRule="auto"/>
        <w:ind w:firstLine="482" w:firstLineChars="200"/>
        <w:rPr>
          <w:rFonts w:hAnsi="宋体"/>
          <w:b/>
          <w:color w:val="auto"/>
          <w:sz w:val="24"/>
        </w:rPr>
      </w:pPr>
      <w:r>
        <w:rPr>
          <w:rFonts w:hint="eastAsia" w:hAnsi="宋体"/>
          <w:b/>
          <w:color w:val="auto"/>
          <w:sz w:val="24"/>
        </w:rPr>
        <w:t>十</w:t>
      </w:r>
      <w:r>
        <w:rPr>
          <w:rFonts w:hint="eastAsia" w:hAnsi="宋体"/>
          <w:b/>
          <w:color w:val="auto"/>
          <w:sz w:val="24"/>
          <w:lang w:eastAsia="zh-CN"/>
        </w:rPr>
        <w:t>四</w:t>
      </w:r>
      <w:r>
        <w:rPr>
          <w:rFonts w:hint="eastAsia" w:hAnsi="宋体"/>
          <w:b/>
          <w:color w:val="auto"/>
          <w:sz w:val="24"/>
        </w:rPr>
        <w:t>、不可抗力事件处理</w:t>
      </w:r>
    </w:p>
    <w:p>
      <w:pPr>
        <w:pStyle w:val="15"/>
        <w:snapToGrid w:val="0"/>
        <w:spacing w:line="360" w:lineRule="auto"/>
        <w:ind w:firstLine="480" w:firstLineChars="200"/>
        <w:rPr>
          <w:rFonts w:hAnsi="宋体"/>
          <w:bCs/>
          <w:color w:val="auto"/>
          <w:sz w:val="24"/>
        </w:rPr>
      </w:pPr>
      <w:r>
        <w:rPr>
          <w:rFonts w:hint="eastAsia" w:hAnsi="宋体"/>
          <w:bCs/>
          <w:color w:val="auto"/>
          <w:sz w:val="24"/>
        </w:rPr>
        <w:t>（一）在合同有效期内，任何一方因不可抗力事件导致不能履行合同，则合同履行期可延长，其延长期与不可抗力影响期相同。</w:t>
      </w:r>
    </w:p>
    <w:p>
      <w:pPr>
        <w:pStyle w:val="15"/>
        <w:snapToGrid w:val="0"/>
        <w:spacing w:line="360" w:lineRule="auto"/>
        <w:ind w:firstLine="480" w:firstLineChars="200"/>
        <w:rPr>
          <w:rFonts w:hAnsi="宋体"/>
          <w:bCs/>
          <w:color w:val="auto"/>
          <w:sz w:val="24"/>
        </w:rPr>
      </w:pPr>
      <w:r>
        <w:rPr>
          <w:rFonts w:hint="eastAsia" w:hAnsi="宋体"/>
          <w:bCs/>
          <w:color w:val="auto"/>
          <w:sz w:val="24"/>
        </w:rPr>
        <w:t>（二）不可抗力事件发生后，应立即通知对方，并寄送有关权威机构出具的证明。</w:t>
      </w:r>
    </w:p>
    <w:p>
      <w:pPr>
        <w:pStyle w:val="15"/>
        <w:snapToGrid w:val="0"/>
        <w:spacing w:line="360" w:lineRule="auto"/>
        <w:ind w:firstLine="480" w:firstLineChars="200"/>
        <w:rPr>
          <w:rFonts w:hAnsi="宋体"/>
          <w:bCs/>
          <w:color w:val="auto"/>
          <w:sz w:val="24"/>
        </w:rPr>
      </w:pPr>
      <w:r>
        <w:rPr>
          <w:rFonts w:hint="eastAsia" w:hAnsi="宋体"/>
          <w:bCs/>
          <w:color w:val="auto"/>
          <w:sz w:val="24"/>
        </w:rPr>
        <w:t>（三）不可抗力事件延续120天以上，双方应通过友好协商，确定是否继续履行合同。</w:t>
      </w:r>
    </w:p>
    <w:p>
      <w:pPr>
        <w:pStyle w:val="15"/>
        <w:snapToGrid w:val="0"/>
        <w:spacing w:line="360" w:lineRule="auto"/>
        <w:ind w:firstLine="482" w:firstLineChars="200"/>
        <w:rPr>
          <w:rFonts w:hAnsi="宋体"/>
          <w:b/>
          <w:color w:val="auto"/>
          <w:sz w:val="24"/>
        </w:rPr>
      </w:pPr>
      <w:r>
        <w:rPr>
          <w:rFonts w:hint="eastAsia" w:hAnsi="宋体"/>
          <w:b/>
          <w:color w:val="auto"/>
          <w:sz w:val="24"/>
        </w:rPr>
        <w:t>十</w:t>
      </w:r>
      <w:r>
        <w:rPr>
          <w:rFonts w:hint="eastAsia" w:hAnsi="宋体"/>
          <w:b/>
          <w:color w:val="auto"/>
          <w:sz w:val="24"/>
          <w:lang w:eastAsia="zh-CN"/>
        </w:rPr>
        <w:t>五</w:t>
      </w:r>
      <w:r>
        <w:rPr>
          <w:rFonts w:hint="eastAsia" w:hAnsi="宋体"/>
          <w:b/>
          <w:color w:val="auto"/>
          <w:sz w:val="24"/>
        </w:rPr>
        <w:t>、解决争议的方法</w:t>
      </w:r>
    </w:p>
    <w:p>
      <w:pPr>
        <w:pStyle w:val="15"/>
        <w:snapToGrid w:val="0"/>
        <w:spacing w:line="360" w:lineRule="auto"/>
        <w:ind w:firstLine="480" w:firstLineChars="200"/>
        <w:rPr>
          <w:rFonts w:hAnsi="宋体"/>
          <w:bCs/>
          <w:color w:val="auto"/>
          <w:sz w:val="24"/>
        </w:rPr>
      </w:pPr>
      <w:r>
        <w:rPr>
          <w:rFonts w:hint="eastAsia" w:hAnsi="宋体"/>
          <w:color w:val="auto"/>
          <w:sz w:val="24"/>
        </w:rPr>
        <w:t>如双方在履行合同时发生纠纷，应协商解决；协商不成时，可提请政府采购管理部</w:t>
      </w:r>
      <w:r>
        <w:rPr>
          <w:rFonts w:hint="eastAsia" w:hAnsi="宋体"/>
          <w:bCs/>
          <w:color w:val="auto"/>
          <w:sz w:val="24"/>
        </w:rPr>
        <w:t>门调解；调解不成的通过以下方式解决：</w:t>
      </w:r>
    </w:p>
    <w:p>
      <w:pPr>
        <w:pStyle w:val="15"/>
        <w:snapToGrid w:val="0"/>
        <w:spacing w:line="360" w:lineRule="auto"/>
        <w:ind w:firstLine="480" w:firstLineChars="200"/>
        <w:rPr>
          <w:rFonts w:hAnsi="宋体"/>
          <w:bCs/>
          <w:color w:val="auto"/>
          <w:sz w:val="24"/>
        </w:rPr>
      </w:pPr>
      <w:r>
        <w:rPr>
          <w:rFonts w:hint="eastAsia" w:hAnsi="宋体"/>
          <w:bCs/>
          <w:color w:val="auto"/>
          <w:sz w:val="24"/>
          <w:u w:val="single"/>
        </w:rPr>
        <w:t>提交台州仲裁委员会仲裁。</w:t>
      </w:r>
    </w:p>
    <w:p>
      <w:pPr>
        <w:pStyle w:val="15"/>
        <w:snapToGrid w:val="0"/>
        <w:spacing w:line="360" w:lineRule="auto"/>
        <w:ind w:firstLine="482" w:firstLineChars="200"/>
        <w:rPr>
          <w:rFonts w:hAnsi="宋体"/>
          <w:b/>
          <w:color w:val="auto"/>
          <w:sz w:val="24"/>
        </w:rPr>
      </w:pPr>
      <w:r>
        <w:rPr>
          <w:rFonts w:hint="eastAsia" w:hAnsi="宋体"/>
          <w:b/>
          <w:color w:val="auto"/>
          <w:sz w:val="24"/>
        </w:rPr>
        <w:t>十</w:t>
      </w:r>
      <w:r>
        <w:rPr>
          <w:rFonts w:hint="eastAsia" w:hAnsi="宋体"/>
          <w:b/>
          <w:color w:val="auto"/>
          <w:sz w:val="24"/>
          <w:lang w:eastAsia="zh-CN"/>
        </w:rPr>
        <w:t>六</w:t>
      </w:r>
      <w:r>
        <w:rPr>
          <w:rFonts w:hint="eastAsia" w:hAnsi="宋体"/>
          <w:b/>
          <w:color w:val="auto"/>
          <w:sz w:val="24"/>
        </w:rPr>
        <w:t>、合同生效及其它</w:t>
      </w:r>
      <w:r>
        <w:rPr>
          <w:rFonts w:hint="eastAsia" w:hAnsi="宋体"/>
          <w:b/>
          <w:color w:val="auto"/>
          <w:sz w:val="24"/>
        </w:rPr>
        <w:tab/>
      </w:r>
    </w:p>
    <w:p>
      <w:pPr>
        <w:pStyle w:val="12"/>
        <w:widowControl/>
        <w:spacing w:line="360" w:lineRule="auto"/>
        <w:ind w:firstLine="480" w:firstLineChars="200"/>
        <w:rPr>
          <w:rFonts w:ascii="宋体" w:hAnsi="宋体" w:cs="宋体"/>
          <w:color w:val="auto"/>
        </w:rPr>
      </w:pPr>
      <w:r>
        <w:rPr>
          <w:rFonts w:hint="eastAsia" w:ascii="宋体" w:hAnsi="宋体" w:cs="宋体"/>
          <w:color w:val="auto"/>
        </w:rPr>
        <w:t>（一）合同经双方法定代表人或授权委托代理人签字并加盖单位公章后生效。</w:t>
      </w:r>
    </w:p>
    <w:p>
      <w:pPr>
        <w:pStyle w:val="12"/>
        <w:widowControl/>
        <w:spacing w:line="360" w:lineRule="auto"/>
        <w:ind w:firstLine="480" w:firstLineChars="200"/>
        <w:rPr>
          <w:rFonts w:ascii="宋体" w:hAnsi="宋体" w:cs="宋体"/>
          <w:color w:val="auto"/>
        </w:rPr>
      </w:pPr>
      <w:r>
        <w:rPr>
          <w:rFonts w:hint="eastAsia" w:ascii="宋体" w:hAnsi="宋体" w:cs="宋体"/>
          <w:color w:val="auto"/>
        </w:rPr>
        <w:t>（二）本合同未尽事宜，遵照《</w:t>
      </w:r>
      <w:r>
        <w:rPr>
          <w:rFonts w:hint="eastAsia" w:ascii="宋体" w:hAnsi="宋体" w:cs="宋体"/>
          <w:color w:val="auto"/>
          <w:shd w:val="clear" w:color="auto" w:fill="FFFFFF"/>
        </w:rPr>
        <w:t>中华人民共和国民法典</w:t>
      </w:r>
      <w:r>
        <w:rPr>
          <w:rFonts w:hint="eastAsia" w:ascii="宋体" w:hAnsi="宋体" w:cs="宋体"/>
          <w:color w:val="auto"/>
        </w:rPr>
        <w:t>》有关条文执行。</w:t>
      </w:r>
    </w:p>
    <w:p>
      <w:pPr>
        <w:pStyle w:val="12"/>
        <w:widowControl/>
        <w:spacing w:line="360" w:lineRule="auto"/>
        <w:ind w:firstLine="480" w:firstLineChars="200"/>
        <w:rPr>
          <w:rFonts w:ascii="宋体" w:hAnsi="宋体" w:cs="宋体"/>
          <w:color w:val="auto"/>
        </w:rPr>
      </w:pPr>
      <w:r>
        <w:rPr>
          <w:rFonts w:hint="eastAsia" w:ascii="宋体" w:hAnsi="宋体" w:cs="宋体"/>
          <w:color w:val="auto"/>
        </w:rPr>
        <w:t>（三）本合同一式五份，甲、乙双方各执二份，采购代理机构执一份。本项目未尽事宜以招标文件、投标文件及澄清文件等为准。</w:t>
      </w:r>
    </w:p>
    <w:p>
      <w:pPr>
        <w:widowControl/>
        <w:spacing w:line="360" w:lineRule="auto"/>
        <w:ind w:firstLine="482" w:firstLineChars="200"/>
        <w:rPr>
          <w:rFonts w:ascii="宋体" w:hAnsi="宋体" w:cs="宋体"/>
          <w:b/>
          <w:color w:val="auto"/>
          <w:sz w:val="24"/>
        </w:rPr>
      </w:pPr>
    </w:p>
    <w:p>
      <w:pPr>
        <w:widowControl/>
        <w:spacing w:line="360" w:lineRule="auto"/>
        <w:ind w:firstLine="482" w:firstLineChars="200"/>
        <w:rPr>
          <w:rFonts w:ascii="宋体" w:hAnsi="宋体" w:cs="宋体"/>
          <w:b/>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甲方（公章）                                     乙方（公章）</w:t>
      </w:r>
    </w:p>
    <w:p>
      <w:pPr>
        <w:spacing w:line="360" w:lineRule="auto"/>
        <w:ind w:firstLine="480" w:firstLineChars="200"/>
        <w:rPr>
          <w:rFonts w:ascii="宋体" w:hAnsi="宋体" w:cs="宋体"/>
          <w:color w:val="auto"/>
          <w:sz w:val="24"/>
        </w:rPr>
      </w:pPr>
      <w:r>
        <w:rPr>
          <w:rFonts w:hint="eastAsia" w:ascii="宋体" w:hAnsi="宋体" w:cs="宋体"/>
          <w:color w:val="auto"/>
          <w:sz w:val="24"/>
        </w:rPr>
        <w:t>法定代表人：                                     法定代表人：</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pPr>
        <w:spacing w:line="360" w:lineRule="auto"/>
        <w:ind w:firstLine="480" w:firstLineChars="200"/>
        <w:rPr>
          <w:rFonts w:ascii="宋体" w:hAnsi="宋体" w:cs="宋体"/>
          <w:color w:val="auto"/>
          <w:sz w:val="24"/>
        </w:rPr>
      </w:pPr>
      <w:r>
        <w:rPr>
          <w:rFonts w:hint="eastAsia" w:ascii="宋体" w:hAnsi="宋体" w:cs="宋体"/>
          <w:color w:val="auto"/>
          <w:sz w:val="24"/>
        </w:rPr>
        <w:t>联系电话：                                       联系电话：</w:t>
      </w:r>
    </w:p>
    <w:p>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pPr>
        <w:spacing w:line="360" w:lineRule="auto"/>
        <w:ind w:firstLine="480" w:firstLineChars="200"/>
        <w:rPr>
          <w:rFonts w:ascii="宋体" w:hAnsi="宋体" w:cs="宋体"/>
          <w:color w:val="auto"/>
          <w:sz w:val="24"/>
        </w:rPr>
      </w:pPr>
      <w:r>
        <w:rPr>
          <w:rFonts w:hint="eastAsia" w:ascii="宋体" w:hAnsi="宋体" w:cs="宋体"/>
          <w:color w:val="auto"/>
          <w:sz w:val="24"/>
        </w:rPr>
        <w:t>账号：                                           账号：</w:t>
      </w:r>
    </w:p>
    <w:p>
      <w:pPr>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pPr>
        <w:pStyle w:val="14"/>
        <w:rPr>
          <w:color w:val="auto"/>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签订时间：    年   月    日</w:t>
      </w: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spacing w:line="360" w:lineRule="auto"/>
        <w:jc w:val="center"/>
        <w:rPr>
          <w:rFonts w:ascii="宋体" w:hAnsi="宋体" w:cs="宋体"/>
          <w:b/>
          <w:color w:val="auto"/>
          <w:sz w:val="24"/>
        </w:rPr>
      </w:pPr>
      <w:bookmarkStart w:id="40" w:name="_Toc5481_WPSOffice_Level1"/>
      <w:bookmarkStart w:id="96" w:name="_GoBack"/>
      <w:bookmarkEnd w:id="96"/>
      <w:r>
        <w:rPr>
          <w:rFonts w:hint="eastAsia" w:ascii="宋体" w:hAnsi="宋体" w:cs="宋体"/>
          <w:b/>
          <w:color w:val="auto"/>
          <w:sz w:val="24"/>
        </w:rPr>
        <w:t>第六章 投标文件格式</w:t>
      </w:r>
      <w:bookmarkEnd w:id="40"/>
    </w:p>
    <w:p>
      <w:pPr>
        <w:rPr>
          <w:rFonts w:ascii="宋体" w:hAnsi="宋体" w:cs="宋体"/>
          <w:b/>
          <w:color w:val="auto"/>
          <w:kern w:val="0"/>
          <w:sz w:val="24"/>
        </w:rPr>
      </w:pPr>
      <w:r>
        <w:rPr>
          <w:rFonts w:hint="eastAsia" w:ascii="宋体" w:hAnsi="宋体" w:cs="宋体"/>
          <w:b/>
          <w:color w:val="auto"/>
          <w:kern w:val="0"/>
          <w:sz w:val="24"/>
        </w:rPr>
        <w:t>附件1</w:t>
      </w:r>
      <w:r>
        <w:rPr>
          <w:rFonts w:hint="eastAsia" w:ascii="宋体" w:hAnsi="宋体" w:cs="宋体"/>
          <w:b/>
          <w:color w:val="auto"/>
          <w:sz w:val="24"/>
        </w:rPr>
        <w:t xml:space="preserve">                             </w:t>
      </w:r>
      <w:r>
        <w:rPr>
          <w:rFonts w:hint="eastAsia" w:ascii="宋体" w:hAnsi="宋体" w:cs="宋体"/>
          <w:color w:val="auto"/>
          <w:sz w:val="24"/>
        </w:rPr>
        <w:t xml:space="preserve"> 　　　</w:t>
      </w:r>
      <w:r>
        <w:rPr>
          <w:rFonts w:hint="eastAsia" w:ascii="宋体" w:hAnsi="宋体" w:cs="宋体"/>
          <w:b/>
          <w:color w:val="auto"/>
          <w:sz w:val="24"/>
        </w:rPr>
        <w:t xml:space="preserve">        </w:t>
      </w:r>
    </w:p>
    <w:p>
      <w:pPr>
        <w:rPr>
          <w:rStyle w:val="51"/>
          <w:rFonts w:ascii="宋体" w:hAnsi="宋体"/>
          <w:b/>
          <w:color w:val="auto"/>
          <w:kern w:val="0"/>
          <w:sz w:val="28"/>
          <w:szCs w:val="28"/>
        </w:rPr>
      </w:pPr>
      <w:r>
        <w:rPr>
          <w:rStyle w:val="51"/>
          <w:rFonts w:ascii="宋体" w:hAnsi="宋体"/>
          <w:color w:val="auto"/>
          <w:sz w:val="30"/>
          <w:szCs w:val="30"/>
        </w:rPr>
        <w:t>　　　</w:t>
      </w:r>
    </w:p>
    <w:p>
      <w:pPr>
        <w:spacing w:line="360" w:lineRule="auto"/>
        <w:jc w:val="center"/>
        <w:rPr>
          <w:rStyle w:val="51"/>
          <w:rFonts w:ascii="宋体" w:hAnsi="宋体"/>
          <w:color w:val="auto"/>
          <w:spacing w:val="40"/>
          <w:sz w:val="52"/>
          <w:szCs w:val="52"/>
        </w:rPr>
      </w:pPr>
      <w:r>
        <w:rPr>
          <w:rFonts w:hint="eastAsia" w:ascii="宋体" w:hAnsi="宋体"/>
          <w:color w:val="auto"/>
          <w:spacing w:val="40"/>
          <w:sz w:val="52"/>
          <w:szCs w:val="52"/>
          <w:lang w:eastAsia="zh-CN"/>
        </w:rPr>
        <w:t>台州市大数据发展中心</w:t>
      </w:r>
      <w:r>
        <w:rPr>
          <w:rFonts w:hint="eastAsia" w:ascii="宋体" w:hAnsi="宋体"/>
          <w:color w:val="auto"/>
          <w:spacing w:val="40"/>
          <w:sz w:val="52"/>
          <w:szCs w:val="52"/>
        </w:rPr>
        <w:t>台州市一体化智能化公共数据平台（数据资源体系）项目</w:t>
      </w:r>
    </w:p>
    <w:p>
      <w:pPr>
        <w:spacing w:before="312" w:line="360" w:lineRule="auto"/>
        <w:ind w:right="-108"/>
        <w:jc w:val="center"/>
        <w:rPr>
          <w:rStyle w:val="51"/>
          <w:rFonts w:ascii="宋体" w:hAnsi="宋体"/>
          <w:color w:val="auto"/>
          <w:sz w:val="36"/>
          <w:szCs w:val="36"/>
        </w:rPr>
      </w:pPr>
      <w:r>
        <w:rPr>
          <w:rStyle w:val="51"/>
          <w:rFonts w:ascii="宋体" w:hAnsi="宋体"/>
          <w:color w:val="auto"/>
          <w:sz w:val="36"/>
          <w:szCs w:val="36"/>
        </w:rPr>
        <w:t>项目编号：</w:t>
      </w:r>
      <w:r>
        <w:rPr>
          <w:rStyle w:val="51"/>
          <w:rFonts w:hint="eastAsia" w:ascii="宋体" w:hAnsi="宋体"/>
          <w:color w:val="auto"/>
          <w:sz w:val="36"/>
          <w:szCs w:val="36"/>
        </w:rPr>
        <w:t>TZTX-2022-GK007</w:t>
      </w:r>
    </w:p>
    <w:p>
      <w:pPr>
        <w:pStyle w:val="14"/>
        <w:rPr>
          <w:rStyle w:val="51"/>
          <w:rFonts w:ascii="宋体" w:hAnsi="宋体"/>
          <w:color w:val="auto"/>
          <w:sz w:val="36"/>
          <w:szCs w:val="36"/>
        </w:rPr>
      </w:pPr>
    </w:p>
    <w:p>
      <w:pPr>
        <w:pStyle w:val="14"/>
        <w:rPr>
          <w:rStyle w:val="51"/>
          <w:rFonts w:ascii="宋体" w:hAnsi="宋体"/>
          <w:color w:val="auto"/>
          <w:sz w:val="36"/>
          <w:szCs w:val="36"/>
        </w:rPr>
      </w:pP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投</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标</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文</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件</w:t>
      </w:r>
    </w:p>
    <w:p>
      <w:pPr>
        <w:spacing w:after="100" w:afterAutospacing="1" w:line="360" w:lineRule="auto"/>
        <w:ind w:right="-108"/>
        <w:jc w:val="center"/>
        <w:rPr>
          <w:rStyle w:val="51"/>
          <w:rFonts w:ascii="宋体" w:hAnsi="宋体"/>
          <w:b/>
          <w:color w:val="auto"/>
          <w:spacing w:val="40"/>
          <w:sz w:val="28"/>
          <w:szCs w:val="28"/>
        </w:rPr>
      </w:pPr>
      <w:r>
        <w:rPr>
          <w:rStyle w:val="51"/>
          <w:rFonts w:ascii="宋体" w:hAnsi="宋体"/>
          <w:color w:val="auto"/>
          <w:sz w:val="28"/>
          <w:szCs w:val="28"/>
          <w:lang w:val="zh-CN"/>
        </w:rPr>
        <w:t>（</w:t>
      </w:r>
      <w:r>
        <w:rPr>
          <w:rStyle w:val="51"/>
          <w:rFonts w:ascii="宋体" w:hAnsi="宋体"/>
          <w:b/>
          <w:color w:val="auto"/>
          <w:spacing w:val="40"/>
          <w:sz w:val="28"/>
          <w:szCs w:val="28"/>
        </w:rPr>
        <w:t>资格证明文件）</w:t>
      </w:r>
    </w:p>
    <w:p>
      <w:pPr>
        <w:spacing w:line="360" w:lineRule="auto"/>
        <w:ind w:right="532" w:firstLine="560" w:firstLineChars="200"/>
        <w:rPr>
          <w:rStyle w:val="51"/>
          <w:rFonts w:ascii="宋体" w:hAnsi="宋体"/>
          <w:color w:val="auto"/>
          <w:sz w:val="28"/>
          <w:szCs w:val="28"/>
        </w:rPr>
      </w:pPr>
      <w:r>
        <w:rPr>
          <w:rStyle w:val="51"/>
          <w:rFonts w:ascii="宋体" w:hAnsi="宋体"/>
          <w:color w:val="auto"/>
          <w:sz w:val="28"/>
          <w:szCs w:val="28"/>
        </w:rPr>
        <w:t>投标人全称（</w:t>
      </w:r>
      <w:r>
        <w:rPr>
          <w:rStyle w:val="51"/>
          <w:rFonts w:hint="eastAsia" w:ascii="宋体" w:hAnsi="宋体"/>
          <w:color w:val="auto"/>
          <w:sz w:val="28"/>
          <w:szCs w:val="28"/>
        </w:rPr>
        <w:t>电子印章</w:t>
      </w:r>
      <w:r>
        <w:rPr>
          <w:rStyle w:val="51"/>
          <w:rFonts w:ascii="宋体" w:hAnsi="宋体"/>
          <w:color w:val="auto"/>
          <w:sz w:val="28"/>
          <w:szCs w:val="28"/>
        </w:rPr>
        <w:t>）：</w:t>
      </w:r>
    </w:p>
    <w:p>
      <w:pPr>
        <w:spacing w:line="360" w:lineRule="auto"/>
        <w:ind w:right="532" w:firstLine="560" w:firstLineChars="200"/>
        <w:rPr>
          <w:rStyle w:val="51"/>
          <w:rFonts w:ascii="宋体" w:hAnsi="宋体"/>
          <w:color w:val="auto"/>
          <w:sz w:val="28"/>
          <w:szCs w:val="28"/>
        </w:rPr>
      </w:pPr>
      <w:r>
        <w:rPr>
          <w:rStyle w:val="51"/>
          <w:rFonts w:ascii="宋体" w:hAnsi="宋体"/>
          <w:color w:val="auto"/>
          <w:sz w:val="28"/>
          <w:szCs w:val="28"/>
        </w:rPr>
        <w:t>地    址：</w:t>
      </w:r>
    </w:p>
    <w:p>
      <w:pPr>
        <w:spacing w:line="360" w:lineRule="auto"/>
        <w:ind w:right="532" w:firstLine="560" w:firstLineChars="200"/>
        <w:rPr>
          <w:rStyle w:val="51"/>
          <w:rFonts w:ascii="宋体" w:hAnsi="宋体"/>
          <w:color w:val="auto"/>
          <w:sz w:val="28"/>
          <w:szCs w:val="28"/>
        </w:rPr>
      </w:pPr>
      <w:r>
        <w:rPr>
          <w:rStyle w:val="51"/>
          <w:rFonts w:ascii="宋体" w:hAnsi="宋体"/>
          <w:color w:val="auto"/>
          <w:sz w:val="28"/>
          <w:szCs w:val="28"/>
        </w:rPr>
        <w:t>时    间：</w:t>
      </w:r>
    </w:p>
    <w:p>
      <w:pPr>
        <w:pStyle w:val="52"/>
        <w:rPr>
          <w:color w:val="auto"/>
        </w:rPr>
      </w:pPr>
    </w:p>
    <w:p>
      <w:pPr>
        <w:pStyle w:val="52"/>
        <w:rPr>
          <w:color w:val="auto"/>
        </w:rPr>
      </w:pPr>
    </w:p>
    <w:p>
      <w:pPr>
        <w:rPr>
          <w:color w:val="auto"/>
        </w:rPr>
      </w:pPr>
    </w:p>
    <w:p>
      <w:pPr>
        <w:jc w:val="center"/>
        <w:rPr>
          <w:rFonts w:ascii="宋体" w:hAnsi="宋体" w:cs="宋体"/>
          <w:b/>
          <w:bCs/>
          <w:color w:val="auto"/>
          <w:sz w:val="24"/>
        </w:rPr>
      </w:pPr>
      <w:r>
        <w:rPr>
          <w:rFonts w:hint="eastAsia" w:ascii="宋体" w:hAnsi="宋体" w:cs="宋体"/>
          <w:b/>
          <w:bCs/>
          <w:color w:val="auto"/>
          <w:sz w:val="24"/>
        </w:rPr>
        <w:t>资格证明文件目录</w:t>
      </w:r>
    </w:p>
    <w:p>
      <w:pPr>
        <w:pStyle w:val="14"/>
        <w:rPr>
          <w:rFonts w:ascii="宋体" w:hAnsi="宋体" w:cs="宋体"/>
          <w:color w:val="auto"/>
          <w:sz w:val="24"/>
          <w:szCs w:val="24"/>
        </w:rPr>
      </w:pPr>
    </w:p>
    <w:p>
      <w:pPr>
        <w:rPr>
          <w:rFonts w:ascii="宋体" w:hAnsi="宋体" w:cs="宋体"/>
          <w:color w:val="auto"/>
          <w:sz w:val="24"/>
        </w:rPr>
      </w:pPr>
    </w:p>
    <w:p>
      <w:pPr>
        <w:spacing w:line="360" w:lineRule="auto"/>
        <w:ind w:firstLine="480" w:firstLineChars="200"/>
        <w:rPr>
          <w:rFonts w:ascii="宋体" w:hAnsi="宋体" w:cs="宋体"/>
          <w:color w:val="auto"/>
          <w:sz w:val="24"/>
        </w:rPr>
      </w:pPr>
      <w:bookmarkStart w:id="41" w:name="_Toc12587_WPSOffice_Level1"/>
      <w:bookmarkStart w:id="42" w:name="_Toc27049_WPSOffice_Level1"/>
      <w:r>
        <w:rPr>
          <w:rFonts w:hint="eastAsia" w:ascii="宋体" w:hAnsi="宋体" w:cs="宋体"/>
          <w:color w:val="auto"/>
          <w:sz w:val="24"/>
        </w:rPr>
        <w:t>1、投标声明书（附件2）</w:t>
      </w:r>
      <w:bookmarkEnd w:id="41"/>
      <w:bookmarkEnd w:id="42"/>
    </w:p>
    <w:p>
      <w:pPr>
        <w:spacing w:line="360" w:lineRule="auto"/>
        <w:ind w:firstLine="480" w:firstLineChars="200"/>
        <w:rPr>
          <w:rFonts w:ascii="宋体" w:hAnsi="宋体" w:cs="宋体"/>
          <w:color w:val="auto"/>
          <w:sz w:val="24"/>
        </w:rPr>
      </w:pPr>
      <w:bookmarkStart w:id="43" w:name="_Toc25574_WPSOffice_Level1"/>
      <w:bookmarkStart w:id="44" w:name="_Toc28306_WPSOffice_Level1"/>
      <w:r>
        <w:rPr>
          <w:rFonts w:hint="eastAsia" w:ascii="宋体" w:hAnsi="宋体" w:cs="宋体"/>
          <w:color w:val="auto"/>
          <w:sz w:val="24"/>
        </w:rPr>
        <w:t>2、授权委托书（法定代表人办理投标事宜的，则无需提交）（附件3）</w:t>
      </w:r>
      <w:bookmarkEnd w:id="43"/>
      <w:bookmarkEnd w:id="44"/>
    </w:p>
    <w:p>
      <w:pPr>
        <w:spacing w:line="360" w:lineRule="auto"/>
        <w:ind w:firstLine="480" w:firstLineChars="200"/>
        <w:rPr>
          <w:rFonts w:ascii="宋体" w:hAnsi="宋体" w:cs="宋体"/>
          <w:color w:val="auto"/>
          <w:sz w:val="24"/>
        </w:rPr>
      </w:pPr>
      <w:bookmarkStart w:id="45" w:name="_Toc32100_WPSOffice_Level1"/>
      <w:bookmarkStart w:id="46" w:name="_Toc29616_WPSOffice_Level1"/>
      <w:r>
        <w:rPr>
          <w:rFonts w:hint="eastAsia" w:ascii="宋体" w:hAnsi="宋体" w:cs="宋体"/>
          <w:color w:val="auto"/>
          <w:sz w:val="24"/>
        </w:rPr>
        <w:t>3、法人或者其他组织的营业执照等证明文件，自然人的身份证明</w:t>
      </w:r>
      <w:bookmarkEnd w:id="45"/>
      <w:bookmarkEnd w:id="46"/>
    </w:p>
    <w:p>
      <w:pPr>
        <w:spacing w:line="360" w:lineRule="auto"/>
        <w:ind w:firstLine="480" w:firstLineChars="200"/>
        <w:rPr>
          <w:rFonts w:ascii="宋体" w:hAnsi="宋体" w:cs="宋体"/>
          <w:color w:val="auto"/>
          <w:sz w:val="24"/>
        </w:rPr>
      </w:pPr>
      <w:bookmarkStart w:id="47" w:name="_Toc9981_WPSOffice_Level1"/>
      <w:bookmarkStart w:id="48" w:name="_Toc25807_WPSOffice_Level1"/>
      <w:r>
        <w:rPr>
          <w:rFonts w:hint="eastAsia" w:ascii="宋体" w:hAnsi="宋体" w:cs="宋体"/>
          <w:color w:val="auto"/>
          <w:sz w:val="24"/>
        </w:rPr>
        <w:t>4、财务状况报告，依法缴纳税收和社会保障资金的相关材料</w:t>
      </w:r>
      <w:bookmarkEnd w:id="47"/>
      <w:bookmarkEnd w:id="48"/>
    </w:p>
    <w:p>
      <w:pPr>
        <w:spacing w:line="360" w:lineRule="auto"/>
        <w:ind w:firstLine="480" w:firstLineChars="200"/>
        <w:rPr>
          <w:rFonts w:ascii="宋体" w:hAnsi="宋体" w:cs="宋体"/>
          <w:color w:val="auto"/>
          <w:sz w:val="24"/>
        </w:rPr>
      </w:pPr>
      <w:bookmarkStart w:id="49" w:name="_Toc30751_WPSOffice_Level1"/>
      <w:bookmarkStart w:id="50" w:name="_Toc2696_WPSOffice_Level1"/>
      <w:r>
        <w:rPr>
          <w:rFonts w:hint="eastAsia" w:ascii="宋体" w:hAnsi="宋体" w:cs="宋体"/>
          <w:color w:val="auto"/>
          <w:sz w:val="24"/>
        </w:rPr>
        <w:t>5、具备履行合同所必需的设备和专业技术能力的</w:t>
      </w:r>
      <w:bookmarkEnd w:id="49"/>
      <w:bookmarkEnd w:id="50"/>
      <w:r>
        <w:rPr>
          <w:rFonts w:hint="eastAsia" w:ascii="宋体" w:hAnsi="宋体" w:cs="宋体"/>
          <w:color w:val="auto"/>
          <w:sz w:val="24"/>
        </w:rPr>
        <w:t>承诺函</w:t>
      </w:r>
    </w:p>
    <w:p>
      <w:pPr>
        <w:spacing w:line="360" w:lineRule="auto"/>
        <w:ind w:firstLine="480" w:firstLineChars="200"/>
        <w:rPr>
          <w:rFonts w:ascii="宋体" w:hAnsi="宋体" w:cs="宋体"/>
          <w:color w:val="auto"/>
          <w:sz w:val="24"/>
        </w:rPr>
      </w:pPr>
      <w:bookmarkStart w:id="51" w:name="_Toc4587_WPSOffice_Level1"/>
      <w:bookmarkStart w:id="52" w:name="_Toc14150_WPSOffice_Level1"/>
      <w:r>
        <w:rPr>
          <w:rFonts w:hint="eastAsia" w:ascii="宋体" w:hAnsi="宋体" w:cs="宋体"/>
          <w:color w:val="auto"/>
          <w:sz w:val="24"/>
        </w:rPr>
        <w:t>6、本项目要求的特定资质</w:t>
      </w:r>
      <w:bookmarkEnd w:id="51"/>
      <w:bookmarkEnd w:id="52"/>
      <w:r>
        <w:rPr>
          <w:rFonts w:hint="eastAsia" w:ascii="宋体" w:hAnsi="宋体" w:cs="宋体"/>
          <w:color w:val="auto"/>
          <w:sz w:val="24"/>
        </w:rPr>
        <w:t>证明材料</w:t>
      </w:r>
    </w:p>
    <w:p>
      <w:pPr>
        <w:spacing w:line="360" w:lineRule="auto"/>
        <w:ind w:firstLine="482" w:firstLineChars="200"/>
        <w:rPr>
          <w:rFonts w:ascii="宋体" w:hAnsi="宋体" w:cs="宋体"/>
          <w:b/>
          <w:color w:val="auto"/>
          <w:sz w:val="24"/>
        </w:rPr>
      </w:pPr>
    </w:p>
    <w:p>
      <w:pPr>
        <w:spacing w:line="360" w:lineRule="auto"/>
        <w:ind w:left="420"/>
        <w:rPr>
          <w:rFonts w:ascii="宋体" w:hAnsi="宋体" w:cs="宋体"/>
          <w:b/>
          <w:color w:val="auto"/>
          <w:sz w:val="24"/>
        </w:rPr>
      </w:pPr>
    </w:p>
    <w:p>
      <w:pPr>
        <w:pStyle w:val="27"/>
        <w:rPr>
          <w:rFonts w:ascii="宋体" w:hAnsi="宋体" w:eastAsia="宋体"/>
          <w:b/>
          <w:color w:val="auto"/>
          <w:sz w:val="24"/>
          <w:szCs w:val="24"/>
        </w:rPr>
      </w:pPr>
    </w:p>
    <w:p>
      <w:pPr>
        <w:pStyle w:val="27"/>
        <w:rPr>
          <w:rFonts w:ascii="宋体" w:hAnsi="宋体" w:eastAsia="宋体"/>
          <w:b/>
          <w:color w:val="auto"/>
          <w:sz w:val="24"/>
          <w:szCs w:val="24"/>
        </w:rPr>
      </w:pPr>
    </w:p>
    <w:p>
      <w:pPr>
        <w:spacing w:line="360" w:lineRule="auto"/>
        <w:ind w:left="420"/>
        <w:rPr>
          <w:rFonts w:ascii="宋体" w:hAnsi="宋体" w:cs="宋体"/>
          <w:b/>
          <w:color w:val="auto"/>
          <w:sz w:val="24"/>
        </w:rPr>
      </w:pPr>
    </w:p>
    <w:p>
      <w:pPr>
        <w:spacing w:line="360" w:lineRule="auto"/>
        <w:ind w:left="420"/>
        <w:rPr>
          <w:rFonts w:ascii="宋体" w:hAnsi="宋体" w:cs="宋体"/>
          <w:b/>
          <w:color w:val="auto"/>
          <w:sz w:val="24"/>
        </w:rPr>
      </w:pPr>
    </w:p>
    <w:p>
      <w:pPr>
        <w:spacing w:line="360" w:lineRule="auto"/>
        <w:ind w:left="420"/>
        <w:rPr>
          <w:rFonts w:ascii="宋体" w:hAnsi="宋体" w:cs="宋体"/>
          <w:b/>
          <w:color w:val="auto"/>
          <w:sz w:val="24"/>
        </w:rPr>
      </w:pPr>
    </w:p>
    <w:p>
      <w:pPr>
        <w:spacing w:line="360" w:lineRule="auto"/>
        <w:ind w:left="420"/>
        <w:rPr>
          <w:rFonts w:ascii="宋体" w:hAnsi="宋体" w:cs="宋体"/>
          <w:b/>
          <w:color w:val="auto"/>
          <w:sz w:val="24"/>
        </w:rPr>
      </w:pPr>
    </w:p>
    <w:p>
      <w:pPr>
        <w:spacing w:line="360" w:lineRule="auto"/>
        <w:rPr>
          <w:rFonts w:ascii="宋体" w:hAnsi="宋体" w:cs="宋体"/>
          <w:b/>
          <w:color w:val="auto"/>
          <w:sz w:val="24"/>
        </w:rPr>
      </w:pPr>
    </w:p>
    <w:p>
      <w:pPr>
        <w:spacing w:line="360" w:lineRule="auto"/>
        <w:ind w:left="420"/>
        <w:rPr>
          <w:rFonts w:ascii="宋体" w:hAnsi="宋体" w:cs="宋体"/>
          <w:b/>
          <w:color w:val="auto"/>
          <w:sz w:val="24"/>
        </w:rPr>
      </w:pPr>
    </w:p>
    <w:p>
      <w:pPr>
        <w:spacing w:line="360" w:lineRule="auto"/>
        <w:ind w:left="420"/>
        <w:rPr>
          <w:rFonts w:ascii="宋体" w:hAnsi="宋体" w:cs="宋体"/>
          <w:b/>
          <w:color w:val="auto"/>
          <w:sz w:val="24"/>
        </w:rPr>
      </w:pPr>
    </w:p>
    <w:p>
      <w:pPr>
        <w:rPr>
          <w:rFonts w:ascii="宋体" w:hAnsi="宋体" w:cs="宋体"/>
          <w:b/>
          <w:color w:val="auto"/>
          <w:sz w:val="24"/>
        </w:rPr>
      </w:pPr>
      <w:r>
        <w:rPr>
          <w:rFonts w:hint="eastAsia" w:ascii="宋体" w:hAnsi="宋体" w:cs="宋体"/>
          <w:b/>
          <w:color w:val="auto"/>
          <w:sz w:val="24"/>
        </w:rPr>
        <w:br w:type="page"/>
      </w:r>
    </w:p>
    <w:p>
      <w:pPr>
        <w:spacing w:line="312" w:lineRule="auto"/>
        <w:rPr>
          <w:rFonts w:ascii="宋体" w:hAnsi="宋体" w:cs="宋体"/>
          <w:b/>
          <w:color w:val="auto"/>
          <w:sz w:val="24"/>
        </w:rPr>
      </w:pPr>
      <w:r>
        <w:rPr>
          <w:rFonts w:hint="eastAsia" w:ascii="宋体" w:hAnsi="宋体" w:cs="宋体"/>
          <w:b/>
          <w:color w:val="auto"/>
          <w:sz w:val="24"/>
        </w:rPr>
        <w:t>附件2</w:t>
      </w:r>
    </w:p>
    <w:p>
      <w:pPr>
        <w:adjustRightInd w:val="0"/>
        <w:snapToGrid w:val="0"/>
        <w:spacing w:line="312" w:lineRule="auto"/>
        <w:ind w:right="480"/>
        <w:jc w:val="center"/>
        <w:rPr>
          <w:rFonts w:ascii="宋体" w:hAnsi="宋体" w:cs="宋体"/>
          <w:b/>
          <w:color w:val="auto"/>
          <w:kern w:val="0"/>
          <w:sz w:val="24"/>
          <w:lang w:val="zh-CN"/>
        </w:rPr>
      </w:pPr>
      <w:bookmarkStart w:id="53" w:name="_Toc31708_WPSOffice_Level1"/>
      <w:bookmarkStart w:id="54" w:name="_Toc30723_WPSOffice_Level1"/>
      <w:r>
        <w:rPr>
          <w:rFonts w:hint="eastAsia" w:ascii="宋体" w:hAnsi="宋体" w:cs="宋体"/>
          <w:b/>
          <w:color w:val="auto"/>
          <w:kern w:val="0"/>
          <w:sz w:val="24"/>
          <w:lang w:val="zh-CN"/>
        </w:rPr>
        <w:t>投标声明书</w:t>
      </w:r>
      <w:bookmarkEnd w:id="53"/>
      <w:bookmarkEnd w:id="54"/>
    </w:p>
    <w:p>
      <w:pPr>
        <w:snapToGrid w:val="0"/>
        <w:spacing w:line="360" w:lineRule="auto"/>
        <w:rPr>
          <w:rStyle w:val="51"/>
          <w:rFonts w:ascii="宋体" w:hAnsi="宋体"/>
          <w:color w:val="auto"/>
          <w:szCs w:val="21"/>
        </w:rPr>
      </w:pPr>
      <w:r>
        <w:rPr>
          <w:rStyle w:val="51"/>
          <w:rFonts w:ascii="宋体" w:hAnsi="宋体"/>
          <w:color w:val="auto"/>
          <w:szCs w:val="21"/>
        </w:rPr>
        <w:t>台州天兴工程管理咨询有限公司：</w:t>
      </w:r>
    </w:p>
    <w:p>
      <w:pPr>
        <w:snapToGrid w:val="0"/>
        <w:spacing w:line="360" w:lineRule="auto"/>
        <w:ind w:firstLine="420" w:firstLineChars="200"/>
        <w:rPr>
          <w:rStyle w:val="51"/>
          <w:rFonts w:ascii="宋体" w:hAnsi="宋体"/>
          <w:color w:val="auto"/>
          <w:szCs w:val="21"/>
        </w:rPr>
      </w:pPr>
      <w:r>
        <w:rPr>
          <w:rStyle w:val="51"/>
          <w:rFonts w:ascii="宋体" w:hAnsi="宋体"/>
          <w:color w:val="auto"/>
          <w:szCs w:val="21"/>
        </w:rPr>
        <w:t>（投标人名称）系中华人民共和国合法企业，经营地址。</w:t>
      </w:r>
    </w:p>
    <w:p>
      <w:pPr>
        <w:snapToGrid w:val="0"/>
        <w:spacing w:line="360" w:lineRule="auto"/>
        <w:ind w:firstLine="420" w:firstLineChars="200"/>
        <w:rPr>
          <w:rStyle w:val="51"/>
          <w:rFonts w:ascii="宋体" w:hAnsi="宋体"/>
          <w:color w:val="auto"/>
          <w:kern w:val="0"/>
          <w:szCs w:val="21"/>
        </w:rPr>
      </w:pPr>
      <w:r>
        <w:rPr>
          <w:rStyle w:val="51"/>
          <w:rFonts w:ascii="宋体" w:hAnsi="宋体"/>
          <w:color w:val="auto"/>
          <w:kern w:val="0"/>
          <w:szCs w:val="21"/>
        </w:rPr>
        <w:t>我（</w:t>
      </w:r>
      <w:r>
        <w:rPr>
          <w:rStyle w:val="51"/>
          <w:rFonts w:ascii="宋体" w:hAnsi="宋体"/>
          <w:color w:val="auto"/>
          <w:kern w:val="0"/>
          <w:szCs w:val="21"/>
          <w:u w:val="single"/>
        </w:rPr>
        <w:t xml:space="preserve"> 姓名 </w:t>
      </w:r>
      <w:r>
        <w:rPr>
          <w:rStyle w:val="51"/>
          <w:rFonts w:ascii="宋体" w:hAnsi="宋体"/>
          <w:color w:val="auto"/>
          <w:kern w:val="0"/>
          <w:szCs w:val="21"/>
        </w:rPr>
        <w:t>）系（</w:t>
      </w:r>
      <w:r>
        <w:rPr>
          <w:rStyle w:val="51"/>
          <w:rFonts w:ascii="宋体" w:hAnsi="宋体"/>
          <w:color w:val="auto"/>
          <w:kern w:val="0"/>
          <w:szCs w:val="21"/>
          <w:u w:val="single"/>
        </w:rPr>
        <w:t xml:space="preserve"> 投标人名称 </w:t>
      </w:r>
      <w:r>
        <w:rPr>
          <w:rStyle w:val="51"/>
          <w:rFonts w:ascii="宋体" w:hAnsi="宋体"/>
          <w:color w:val="auto"/>
          <w:kern w:val="0"/>
          <w:szCs w:val="21"/>
        </w:rPr>
        <w:t>）的法定代表人，我公司自愿参加贵方组织的（</w:t>
      </w:r>
      <w:r>
        <w:rPr>
          <w:rStyle w:val="51"/>
          <w:rFonts w:ascii="宋体" w:hAnsi="宋体"/>
          <w:color w:val="auto"/>
          <w:kern w:val="0"/>
          <w:szCs w:val="21"/>
          <w:u w:val="single"/>
        </w:rPr>
        <w:t>招标项目名称</w:t>
      </w:r>
      <w:r>
        <w:rPr>
          <w:rStyle w:val="51"/>
          <w:rFonts w:ascii="宋体" w:hAnsi="宋体"/>
          <w:color w:val="auto"/>
          <w:kern w:val="0"/>
          <w:szCs w:val="21"/>
        </w:rPr>
        <w:t>）（编号为）的投标，为此，我公司就本次投标有关事项郑重声明如下：</w:t>
      </w:r>
    </w:p>
    <w:p>
      <w:pPr>
        <w:snapToGrid w:val="0"/>
        <w:spacing w:line="360" w:lineRule="auto"/>
        <w:ind w:firstLine="420" w:firstLineChars="200"/>
        <w:rPr>
          <w:rStyle w:val="51"/>
          <w:rFonts w:ascii="宋体" w:hAnsi="宋体"/>
          <w:b/>
          <w:color w:val="auto"/>
          <w:kern w:val="0"/>
          <w:szCs w:val="21"/>
        </w:rPr>
      </w:pPr>
      <w:r>
        <w:rPr>
          <w:rStyle w:val="51"/>
          <w:rFonts w:ascii="宋体" w:hAnsi="宋体"/>
          <w:color w:val="auto"/>
          <w:kern w:val="0"/>
          <w:szCs w:val="21"/>
        </w:rPr>
        <w:t>1、</w:t>
      </w:r>
      <w:r>
        <w:rPr>
          <w:rStyle w:val="51"/>
          <w:rFonts w:hint="eastAsia" w:ascii="宋体" w:hAnsi="宋体"/>
          <w:color w:val="auto"/>
          <w:szCs w:val="21"/>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snapToGrid w:val="0"/>
        <w:spacing w:line="360" w:lineRule="auto"/>
        <w:ind w:firstLine="420" w:firstLineChars="200"/>
        <w:rPr>
          <w:rStyle w:val="51"/>
          <w:rFonts w:ascii="宋体" w:hAnsi="宋体"/>
          <w:color w:val="auto"/>
          <w:kern w:val="0"/>
          <w:szCs w:val="21"/>
        </w:rPr>
      </w:pPr>
      <w:r>
        <w:rPr>
          <w:rStyle w:val="51"/>
          <w:rFonts w:ascii="宋体" w:hAnsi="宋体"/>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20" w:firstLineChars="200"/>
        <w:rPr>
          <w:rStyle w:val="51"/>
          <w:rFonts w:ascii="宋体" w:hAnsi="宋体"/>
          <w:color w:val="auto"/>
          <w:szCs w:val="21"/>
        </w:rPr>
      </w:pPr>
      <w:r>
        <w:rPr>
          <w:rStyle w:val="51"/>
          <w:rFonts w:ascii="宋体" w:hAnsi="宋体"/>
          <w:color w:val="auto"/>
          <w:szCs w:val="21"/>
        </w:rPr>
        <w:t>3、我</w:t>
      </w:r>
      <w:r>
        <w:rPr>
          <w:rStyle w:val="51"/>
          <w:rFonts w:ascii="宋体" w:hAnsi="宋体"/>
          <w:color w:val="auto"/>
          <w:kern w:val="0"/>
          <w:szCs w:val="21"/>
          <w:lang w:val="zh-CN"/>
        </w:rPr>
        <w:t>公司</w:t>
      </w:r>
      <w:r>
        <w:rPr>
          <w:rStyle w:val="51"/>
          <w:rFonts w:ascii="宋体" w:hAnsi="宋体"/>
          <w:color w:val="auto"/>
          <w:szCs w:val="21"/>
        </w:rPr>
        <w:t>不是采购人的附属机构；在获知本项目采购信息后，与采购人聘请的为此项目提供咨询服务的公司及其附属机构没有任何联系。</w:t>
      </w:r>
    </w:p>
    <w:p>
      <w:pPr>
        <w:snapToGrid w:val="0"/>
        <w:spacing w:line="360" w:lineRule="auto"/>
        <w:ind w:firstLine="420" w:firstLineChars="200"/>
        <w:rPr>
          <w:rStyle w:val="51"/>
          <w:rFonts w:ascii="宋体" w:hAnsi="宋体"/>
          <w:color w:val="auto"/>
          <w:kern w:val="0"/>
          <w:szCs w:val="21"/>
          <w:lang w:val="af-ZA"/>
        </w:rPr>
      </w:pPr>
      <w:r>
        <w:rPr>
          <w:rStyle w:val="51"/>
          <w:rFonts w:ascii="宋体" w:hAnsi="宋体"/>
          <w:color w:val="auto"/>
          <w:szCs w:val="21"/>
        </w:rPr>
        <w:t>4、</w:t>
      </w:r>
      <w:r>
        <w:rPr>
          <w:rStyle w:val="51"/>
          <w:rFonts w:ascii="宋体" w:hAnsi="宋体"/>
          <w:color w:val="auto"/>
          <w:kern w:val="0"/>
          <w:szCs w:val="21"/>
        </w:rPr>
        <w:t>我</w:t>
      </w:r>
      <w:r>
        <w:rPr>
          <w:rStyle w:val="51"/>
          <w:rFonts w:ascii="宋体" w:hAnsi="宋体"/>
          <w:color w:val="auto"/>
          <w:kern w:val="0"/>
          <w:szCs w:val="21"/>
          <w:lang w:val="zh-CN"/>
        </w:rPr>
        <w:t>公司</w:t>
      </w:r>
      <w:r>
        <w:rPr>
          <w:rStyle w:val="51"/>
          <w:rFonts w:ascii="宋体" w:hAnsi="宋体"/>
          <w:color w:val="auto"/>
          <w:kern w:val="0"/>
          <w:szCs w:val="21"/>
        </w:rPr>
        <w:t>保证，</w:t>
      </w:r>
      <w:r>
        <w:rPr>
          <w:rStyle w:val="51"/>
          <w:rFonts w:ascii="宋体" w:hAnsi="宋体"/>
          <w:color w:val="auto"/>
          <w:kern w:val="0"/>
          <w:szCs w:val="21"/>
          <w:lang w:val="af-ZA"/>
        </w:rPr>
        <w:t>采购人在中华人民共和国境内使用</w:t>
      </w:r>
      <w:r>
        <w:rPr>
          <w:rStyle w:val="51"/>
          <w:rFonts w:ascii="宋体" w:hAnsi="宋体"/>
          <w:color w:val="auto"/>
          <w:kern w:val="0"/>
          <w:szCs w:val="21"/>
        </w:rPr>
        <w:t>我</w:t>
      </w:r>
      <w:r>
        <w:rPr>
          <w:rStyle w:val="51"/>
          <w:rFonts w:ascii="宋体" w:hAnsi="宋体"/>
          <w:color w:val="auto"/>
          <w:kern w:val="0"/>
          <w:szCs w:val="21"/>
          <w:lang w:val="zh-CN"/>
        </w:rPr>
        <w:t>公司</w:t>
      </w:r>
      <w:r>
        <w:rPr>
          <w:rStyle w:val="51"/>
          <w:rFonts w:ascii="宋体" w:hAnsi="宋体"/>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20" w:firstLineChars="200"/>
        <w:rPr>
          <w:rStyle w:val="51"/>
          <w:rFonts w:ascii="宋体" w:hAnsi="宋体"/>
          <w:color w:val="auto"/>
          <w:kern w:val="0"/>
          <w:szCs w:val="21"/>
          <w:lang w:val="af-ZA"/>
        </w:rPr>
      </w:pPr>
      <w:r>
        <w:rPr>
          <w:rStyle w:val="51"/>
          <w:rFonts w:ascii="宋体" w:hAnsi="宋体"/>
          <w:color w:val="auto"/>
          <w:kern w:val="0"/>
          <w:szCs w:val="21"/>
          <w:lang w:val="af-ZA"/>
        </w:rPr>
        <w:t>5、我</w:t>
      </w:r>
      <w:r>
        <w:rPr>
          <w:rStyle w:val="51"/>
          <w:rFonts w:ascii="宋体" w:hAnsi="宋体"/>
          <w:color w:val="auto"/>
          <w:kern w:val="0"/>
          <w:szCs w:val="21"/>
          <w:lang w:val="zh-CN"/>
        </w:rPr>
        <w:t>公司</w:t>
      </w:r>
      <w:r>
        <w:rPr>
          <w:rStyle w:val="51"/>
          <w:rFonts w:ascii="宋体" w:hAnsi="宋体"/>
          <w:color w:val="auto"/>
          <w:kern w:val="0"/>
          <w:szCs w:val="21"/>
          <w:lang w:val="af-ZA"/>
        </w:rPr>
        <w:t>严格履行政府采购合同，不降低合同约定的产品质量和服务，不擅自变更、中止、终止合同，或拒绝履行合同义务；</w:t>
      </w:r>
    </w:p>
    <w:p>
      <w:pPr>
        <w:snapToGrid w:val="0"/>
        <w:spacing w:line="360" w:lineRule="auto"/>
        <w:ind w:firstLine="420" w:firstLineChars="200"/>
        <w:rPr>
          <w:color w:val="auto"/>
          <w:szCs w:val="21"/>
          <w:lang w:val="zh-CN"/>
        </w:rPr>
      </w:pPr>
      <w:r>
        <w:rPr>
          <w:rStyle w:val="51"/>
          <w:rFonts w:ascii="宋体" w:hAnsi="宋体"/>
          <w:color w:val="auto"/>
          <w:kern w:val="0"/>
          <w:szCs w:val="21"/>
        </w:rPr>
        <w:t>6、</w:t>
      </w:r>
      <w:r>
        <w:rPr>
          <w:rStyle w:val="51"/>
          <w:rFonts w:ascii="宋体" w:hAnsi="宋体"/>
          <w:color w:val="auto"/>
          <w:kern w:val="0"/>
          <w:szCs w:val="21"/>
          <w:lang w:val="af-ZA"/>
        </w:rPr>
        <w:t>我</w:t>
      </w:r>
      <w:r>
        <w:rPr>
          <w:rStyle w:val="51"/>
          <w:rFonts w:ascii="宋体" w:hAnsi="宋体"/>
          <w:color w:val="auto"/>
          <w:kern w:val="0"/>
          <w:szCs w:val="21"/>
          <w:lang w:val="zh-CN"/>
        </w:rPr>
        <w:t>公司如中标，保证在中标公示后五个工作日内缴纳招标服务费</w:t>
      </w:r>
      <w:r>
        <w:rPr>
          <w:rStyle w:val="51"/>
          <w:rFonts w:hint="eastAsia" w:ascii="宋体" w:hAnsi="宋体"/>
          <w:color w:val="auto"/>
          <w:kern w:val="0"/>
          <w:szCs w:val="21"/>
          <w:lang w:val="zh-CN"/>
        </w:rPr>
        <w:t>人民币肆万肆仟伍佰玖拾伍元整（￥</w:t>
      </w:r>
      <w:r>
        <w:rPr>
          <w:rStyle w:val="51"/>
          <w:rFonts w:hint="eastAsia" w:ascii="宋体" w:hAnsi="宋体"/>
          <w:color w:val="auto"/>
          <w:kern w:val="0"/>
          <w:szCs w:val="21"/>
        </w:rPr>
        <w:t>44595</w:t>
      </w:r>
      <w:r>
        <w:rPr>
          <w:rStyle w:val="51"/>
          <w:rFonts w:hint="eastAsia" w:ascii="宋体" w:hAnsi="宋体"/>
          <w:color w:val="auto"/>
          <w:kern w:val="0"/>
          <w:szCs w:val="21"/>
          <w:lang w:val="zh-CN"/>
        </w:rPr>
        <w:t>.00元）</w:t>
      </w:r>
      <w:r>
        <w:rPr>
          <w:rStyle w:val="51"/>
          <w:rFonts w:ascii="宋体" w:hAnsi="宋体"/>
          <w:color w:val="auto"/>
          <w:kern w:val="0"/>
          <w:szCs w:val="21"/>
          <w:lang w:val="zh-CN"/>
        </w:rPr>
        <w:t>。</w:t>
      </w:r>
    </w:p>
    <w:tbl>
      <w:tblPr>
        <w:tblStyle w:val="25"/>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中标服务费发票类型</w:t>
            </w:r>
          </w:p>
        </w:tc>
        <w:tc>
          <w:tcPr>
            <w:tcW w:w="4984" w:type="dxa"/>
            <w:tcBorders>
              <w:top w:val="single" w:color="000000" w:sz="4" w:space="0"/>
              <w:left w:val="single" w:color="000000" w:sz="4" w:space="0"/>
              <w:bottom w:val="single" w:color="000000" w:sz="4" w:space="0"/>
              <w:right w:val="single" w:color="000000" w:sz="4" w:space="0"/>
            </w:tcBorders>
          </w:tcPr>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 ）增值税普通发票</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 ）增值税专用发票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开票信息</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tcPr>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纳税人名称：</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纳税识别号：</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（税务部门备案的）地址：</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（税务部门备案的）电话：</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开户行：</w:t>
            </w:r>
          </w:p>
          <w:p>
            <w:pPr>
              <w:snapToGrid w:val="0"/>
              <w:ind w:firstLine="420" w:firstLineChars="200"/>
              <w:rPr>
                <w:rStyle w:val="51"/>
                <w:rFonts w:ascii="宋体" w:hAnsi="宋体"/>
                <w:color w:val="auto"/>
                <w:kern w:val="0"/>
                <w:szCs w:val="21"/>
                <w:lang w:val="zh-CN"/>
              </w:rPr>
            </w:pPr>
            <w:r>
              <w:rPr>
                <w:rStyle w:val="51"/>
                <w:rFonts w:ascii="宋体" w:hAnsi="宋体"/>
                <w:color w:val="auto"/>
                <w:kern w:val="0"/>
                <w:szCs w:val="21"/>
                <w:lang w:val="zh-CN"/>
              </w:rPr>
              <w:t>银行账号：</w:t>
            </w:r>
          </w:p>
        </w:tc>
      </w:tr>
    </w:tbl>
    <w:p>
      <w:pPr>
        <w:snapToGrid w:val="0"/>
        <w:spacing w:line="360" w:lineRule="auto"/>
        <w:ind w:firstLine="420" w:firstLineChars="200"/>
        <w:rPr>
          <w:rStyle w:val="51"/>
          <w:rFonts w:ascii="宋体" w:hAnsi="宋体"/>
          <w:color w:val="auto"/>
          <w:szCs w:val="21"/>
        </w:rPr>
      </w:pPr>
      <w:r>
        <w:rPr>
          <w:rStyle w:val="51"/>
          <w:rFonts w:ascii="宋体" w:hAnsi="宋体"/>
          <w:color w:val="auto"/>
          <w:szCs w:val="21"/>
        </w:rPr>
        <w:t>7、以上事项如有虚假或隐瞒，我</w:t>
      </w:r>
      <w:r>
        <w:rPr>
          <w:rStyle w:val="51"/>
          <w:rFonts w:ascii="宋体" w:hAnsi="宋体"/>
          <w:color w:val="auto"/>
          <w:kern w:val="0"/>
          <w:szCs w:val="21"/>
          <w:lang w:val="zh-CN"/>
        </w:rPr>
        <w:t>公司</w:t>
      </w:r>
      <w:r>
        <w:rPr>
          <w:rStyle w:val="51"/>
          <w:rFonts w:ascii="宋体" w:hAnsi="宋体"/>
          <w:color w:val="auto"/>
          <w:szCs w:val="21"/>
        </w:rPr>
        <w:t>愿意承担一切后果，并不再寻求任何旨在减轻或免除法律责任的辩解。</w:t>
      </w:r>
    </w:p>
    <w:p>
      <w:pPr>
        <w:snapToGrid w:val="0"/>
        <w:spacing w:line="360" w:lineRule="auto"/>
        <w:ind w:firstLine="480"/>
        <w:rPr>
          <w:rStyle w:val="51"/>
          <w:rFonts w:ascii="宋体" w:hAnsi="宋体"/>
          <w:color w:val="auto"/>
          <w:kern w:val="0"/>
          <w:szCs w:val="21"/>
        </w:rPr>
      </w:pPr>
    </w:p>
    <w:p>
      <w:pPr>
        <w:snapToGrid w:val="0"/>
        <w:spacing w:line="360" w:lineRule="auto"/>
        <w:ind w:firstLine="4095" w:firstLineChars="1950"/>
        <w:rPr>
          <w:rStyle w:val="51"/>
          <w:rFonts w:ascii="宋体" w:hAnsi="宋体"/>
          <w:color w:val="auto"/>
          <w:kern w:val="0"/>
          <w:szCs w:val="21"/>
          <w:lang w:val="zh-CN"/>
        </w:rPr>
      </w:pPr>
      <w:r>
        <w:rPr>
          <w:rStyle w:val="51"/>
          <w:rFonts w:ascii="宋体" w:hAnsi="宋体"/>
          <w:color w:val="auto"/>
          <w:kern w:val="0"/>
          <w:szCs w:val="21"/>
          <w:lang w:val="zh-CN"/>
        </w:rPr>
        <w:t xml:space="preserve">    投标人名称(</w:t>
      </w:r>
      <w:r>
        <w:rPr>
          <w:rStyle w:val="51"/>
          <w:rFonts w:hint="eastAsia" w:ascii="宋体" w:hAnsi="宋体"/>
          <w:color w:val="auto"/>
          <w:kern w:val="0"/>
          <w:szCs w:val="21"/>
          <w:lang w:val="zh-CN"/>
        </w:rPr>
        <w:t>电子印章</w:t>
      </w:r>
      <w:r>
        <w:rPr>
          <w:rStyle w:val="51"/>
          <w:rFonts w:ascii="宋体" w:hAnsi="宋体"/>
          <w:color w:val="auto"/>
          <w:kern w:val="0"/>
          <w:szCs w:val="21"/>
          <w:lang w:val="zh-CN"/>
        </w:rPr>
        <w:t>)：</w:t>
      </w:r>
    </w:p>
    <w:p>
      <w:pPr>
        <w:snapToGrid w:val="0"/>
        <w:spacing w:line="360" w:lineRule="auto"/>
        <w:rPr>
          <w:rStyle w:val="51"/>
          <w:rFonts w:ascii="宋体" w:hAnsi="宋体"/>
          <w:color w:val="auto"/>
          <w:kern w:val="0"/>
          <w:szCs w:val="21"/>
          <w:lang w:val="zh-CN"/>
        </w:rPr>
      </w:pPr>
      <w:r>
        <w:rPr>
          <w:rStyle w:val="51"/>
          <w:rFonts w:ascii="宋体" w:hAnsi="宋体"/>
          <w:color w:val="auto"/>
          <w:kern w:val="0"/>
          <w:szCs w:val="21"/>
          <w:lang w:val="zh-CN"/>
        </w:rPr>
        <w:t xml:space="preserve">                                    法定代表人或</w:t>
      </w:r>
      <w:r>
        <w:rPr>
          <w:rStyle w:val="51"/>
          <w:rFonts w:hint="eastAsia" w:ascii="宋体" w:hAnsi="宋体"/>
          <w:color w:val="auto"/>
          <w:kern w:val="0"/>
          <w:szCs w:val="21"/>
          <w:lang w:val="zh-CN"/>
        </w:rPr>
        <w:t>授权委托代理人</w:t>
      </w:r>
      <w:r>
        <w:rPr>
          <w:rStyle w:val="51"/>
          <w:rFonts w:ascii="宋体" w:hAnsi="宋体"/>
          <w:color w:val="auto"/>
          <w:kern w:val="0"/>
          <w:szCs w:val="21"/>
          <w:lang w:val="zh-CN"/>
        </w:rPr>
        <w:t>(签字)：</w:t>
      </w:r>
    </w:p>
    <w:p>
      <w:pPr>
        <w:snapToGrid w:val="0"/>
        <w:spacing w:line="360" w:lineRule="auto"/>
        <w:ind w:right="480"/>
        <w:jc w:val="center"/>
        <w:rPr>
          <w:rStyle w:val="51"/>
          <w:rFonts w:ascii="宋体" w:hAnsi="宋体"/>
          <w:b/>
          <w:color w:val="auto"/>
          <w:szCs w:val="21"/>
        </w:rPr>
      </w:pPr>
      <w:r>
        <w:rPr>
          <w:rStyle w:val="51"/>
          <w:rFonts w:ascii="宋体" w:hAnsi="宋体"/>
          <w:color w:val="auto"/>
          <w:kern w:val="0"/>
          <w:szCs w:val="21"/>
          <w:lang w:val="zh-CN"/>
        </w:rPr>
        <w:t xml:space="preserve">                                  日期：</w:t>
      </w:r>
      <w:r>
        <w:rPr>
          <w:rStyle w:val="51"/>
          <w:rFonts w:ascii="宋体" w:hAnsi="宋体"/>
          <w:color w:val="auto"/>
          <w:szCs w:val="21"/>
        </w:rPr>
        <w:t>××</w:t>
      </w:r>
      <w:r>
        <w:rPr>
          <w:rStyle w:val="51"/>
          <w:rFonts w:ascii="宋体" w:hAnsi="宋体"/>
          <w:color w:val="auto"/>
          <w:kern w:val="0"/>
          <w:szCs w:val="21"/>
          <w:lang w:val="zh-CN"/>
        </w:rPr>
        <w:t xml:space="preserve">年 </w:t>
      </w:r>
      <w:r>
        <w:rPr>
          <w:rStyle w:val="51"/>
          <w:rFonts w:ascii="宋体" w:hAnsi="宋体"/>
          <w:color w:val="auto"/>
          <w:szCs w:val="21"/>
        </w:rPr>
        <w:t>××</w:t>
      </w:r>
      <w:r>
        <w:rPr>
          <w:rStyle w:val="51"/>
          <w:rFonts w:ascii="宋体" w:hAnsi="宋体"/>
          <w:color w:val="auto"/>
          <w:kern w:val="0"/>
          <w:szCs w:val="21"/>
          <w:lang w:val="zh-CN"/>
        </w:rPr>
        <w:t xml:space="preserve"> 月 </w:t>
      </w:r>
      <w:r>
        <w:rPr>
          <w:rStyle w:val="51"/>
          <w:rFonts w:ascii="宋体" w:hAnsi="宋体"/>
          <w:color w:val="auto"/>
          <w:szCs w:val="21"/>
        </w:rPr>
        <w:t>××</w:t>
      </w:r>
      <w:r>
        <w:rPr>
          <w:rStyle w:val="51"/>
          <w:rFonts w:ascii="宋体" w:hAnsi="宋体"/>
          <w:color w:val="auto"/>
          <w:kern w:val="0"/>
          <w:szCs w:val="21"/>
          <w:lang w:val="zh-CN"/>
        </w:rPr>
        <w:t xml:space="preserve"> 日</w:t>
      </w:r>
    </w:p>
    <w:p>
      <w:pPr>
        <w:adjustRightInd w:val="0"/>
        <w:snapToGrid w:val="0"/>
        <w:spacing w:line="360" w:lineRule="auto"/>
        <w:ind w:right="480"/>
        <w:rPr>
          <w:rFonts w:ascii="宋体" w:hAnsi="宋体" w:cs="宋体"/>
          <w:b/>
          <w:color w:val="auto"/>
          <w:sz w:val="24"/>
        </w:rPr>
      </w:pPr>
      <w:r>
        <w:rPr>
          <w:rFonts w:hint="eastAsia" w:ascii="宋体" w:hAnsi="宋体" w:cs="宋体"/>
          <w:b/>
          <w:color w:val="auto"/>
          <w:sz w:val="24"/>
        </w:rPr>
        <w:t>附件3</w:t>
      </w:r>
    </w:p>
    <w:p>
      <w:pPr>
        <w:spacing w:line="360" w:lineRule="auto"/>
        <w:ind w:firstLine="241" w:firstLineChars="100"/>
        <w:jc w:val="center"/>
        <w:rPr>
          <w:rFonts w:ascii="宋体" w:hAnsi="宋体" w:cs="宋体"/>
          <w:b/>
          <w:color w:val="auto"/>
          <w:sz w:val="24"/>
          <w:u w:val="single"/>
        </w:rPr>
      </w:pPr>
      <w:bookmarkStart w:id="55" w:name="_Toc6870_WPSOffice_Level1"/>
      <w:bookmarkStart w:id="56" w:name="_Toc24373_WPSOffice_Level1"/>
      <w:r>
        <w:rPr>
          <w:rFonts w:hint="eastAsia" w:ascii="宋体" w:hAnsi="宋体" w:cs="宋体"/>
          <w:b/>
          <w:color w:val="auto"/>
          <w:sz w:val="24"/>
        </w:rPr>
        <w:t>授权委托书</w:t>
      </w:r>
      <w:bookmarkEnd w:id="55"/>
      <w:bookmarkEnd w:id="56"/>
    </w:p>
    <w:p>
      <w:pPr>
        <w:snapToGrid w:val="0"/>
        <w:spacing w:before="156" w:beforeLines="50" w:after="50" w:line="360" w:lineRule="auto"/>
        <w:rPr>
          <w:rFonts w:ascii="宋体" w:hAnsi="宋体" w:cs="宋体"/>
          <w:color w:val="auto"/>
          <w:kern w:val="0"/>
          <w:sz w:val="24"/>
        </w:rPr>
      </w:pPr>
      <w:r>
        <w:rPr>
          <w:rStyle w:val="51"/>
          <w:rFonts w:ascii="宋体" w:hAnsi="宋体"/>
          <w:color w:val="auto"/>
          <w:sz w:val="24"/>
        </w:rPr>
        <w:t>台州天兴工程管理咨询有限公司</w:t>
      </w:r>
      <w:r>
        <w:rPr>
          <w:rFonts w:hint="eastAsia" w:ascii="宋体" w:hAnsi="宋体" w:cs="宋体"/>
          <w:color w:val="auto"/>
          <w:kern w:val="0"/>
          <w:sz w:val="24"/>
        </w:rPr>
        <w:t>：</w:t>
      </w:r>
    </w:p>
    <w:p>
      <w:pPr>
        <w:pStyle w:val="15"/>
        <w:spacing w:line="360" w:lineRule="auto"/>
        <w:ind w:firstLine="480" w:firstLineChars="200"/>
        <w:rPr>
          <w:rFonts w:hAnsi="宋体"/>
          <w:color w:val="auto"/>
          <w:sz w:val="24"/>
        </w:rPr>
      </w:pPr>
      <w:r>
        <w:rPr>
          <w:rFonts w:hint="eastAsia" w:hAnsi="宋体"/>
          <w:color w:val="auto"/>
          <w:sz w:val="24"/>
          <w:u w:val="single"/>
        </w:rPr>
        <w:t xml:space="preserve">  （投标人全称）  </w:t>
      </w:r>
      <w:r>
        <w:rPr>
          <w:rFonts w:hint="eastAsia" w:hAnsi="宋体"/>
          <w:color w:val="auto"/>
          <w:sz w:val="24"/>
        </w:rPr>
        <w:t>法定代表人（或营业执照中单位负责人）</w:t>
      </w:r>
      <w:r>
        <w:rPr>
          <w:rFonts w:hint="eastAsia" w:hAnsi="宋体"/>
          <w:color w:val="auto"/>
          <w:sz w:val="24"/>
          <w:u w:val="single"/>
        </w:rPr>
        <w:tab/>
      </w:r>
      <w:r>
        <w:rPr>
          <w:rFonts w:hint="eastAsia" w:hAnsi="宋体"/>
          <w:color w:val="auto"/>
          <w:sz w:val="24"/>
          <w:u w:val="single"/>
        </w:rPr>
        <w:t xml:space="preserve">（法定代表人或营业执照中单位负责人姓名） </w:t>
      </w:r>
      <w:r>
        <w:rPr>
          <w:rFonts w:hint="eastAsia" w:hAnsi="宋体"/>
          <w:color w:val="auto"/>
          <w:sz w:val="24"/>
        </w:rPr>
        <w:t>授权</w:t>
      </w:r>
      <w:r>
        <w:rPr>
          <w:rFonts w:hint="eastAsia" w:hAnsi="宋体"/>
          <w:color w:val="auto"/>
          <w:sz w:val="24"/>
          <w:u w:val="single"/>
        </w:rPr>
        <w:t xml:space="preserve">   （授权委托代理人姓名） </w:t>
      </w:r>
      <w:r>
        <w:rPr>
          <w:rFonts w:hint="eastAsia" w:hAnsi="宋体"/>
          <w:color w:val="auto"/>
          <w:sz w:val="24"/>
        </w:rPr>
        <w:t>为授权委托代理人，参加贵单位组织的</w:t>
      </w:r>
      <w:r>
        <w:rPr>
          <w:rFonts w:hint="eastAsia" w:hAnsi="宋体"/>
          <w:color w:val="auto"/>
          <w:sz w:val="24"/>
          <w:u w:val="single"/>
        </w:rPr>
        <w:tab/>
      </w:r>
      <w:r>
        <w:rPr>
          <w:rFonts w:hint="eastAsia" w:hAnsi="宋体"/>
          <w:color w:val="auto"/>
          <w:sz w:val="24"/>
          <w:u w:val="single"/>
        </w:rPr>
        <w:t xml:space="preserve">    </w:t>
      </w:r>
      <w:r>
        <w:rPr>
          <w:rFonts w:hint="eastAsia" w:hAnsi="宋体"/>
          <w:color w:val="auto"/>
          <w:sz w:val="24"/>
        </w:rPr>
        <w:t>项目的采购活动，并代表我方全权办理针对上述项目的投标、开标、评标、签约等具体事务和签署相关文件。我方对授权委托代理人的签字事项负全部责任。</w:t>
      </w:r>
    </w:p>
    <w:p>
      <w:pPr>
        <w:pStyle w:val="15"/>
        <w:spacing w:line="360" w:lineRule="auto"/>
        <w:ind w:firstLine="480" w:firstLineChars="200"/>
        <w:rPr>
          <w:rFonts w:hAnsi="宋体"/>
          <w:color w:val="auto"/>
          <w:sz w:val="24"/>
        </w:rPr>
      </w:pPr>
      <w:r>
        <w:rPr>
          <w:rFonts w:hint="eastAsia" w:hAnsi="宋体"/>
          <w:color w:val="auto"/>
          <w:sz w:val="24"/>
        </w:rPr>
        <w:t>在撤销授权的书面通知以前，本授权书一直有效。授权委托代理人在授权委托书有效期内签署的所有文件不因授权的撤销而失效。</w:t>
      </w:r>
    </w:p>
    <w:p>
      <w:pPr>
        <w:pStyle w:val="15"/>
        <w:spacing w:line="360" w:lineRule="auto"/>
        <w:ind w:firstLine="480" w:firstLineChars="200"/>
        <w:rPr>
          <w:rFonts w:hAnsi="宋体"/>
          <w:color w:val="auto"/>
          <w:sz w:val="24"/>
        </w:rPr>
      </w:pPr>
      <w:r>
        <w:rPr>
          <w:rFonts w:hint="eastAsia" w:hAnsi="宋体"/>
          <w:color w:val="auto"/>
          <w:sz w:val="24"/>
        </w:rPr>
        <w:t>授权委托代理人无转委托权，特此委托。</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法定代表人签字或盖章：</w:t>
      </w:r>
    </w:p>
    <w:p>
      <w:pPr>
        <w:spacing w:line="360" w:lineRule="auto"/>
        <w:rPr>
          <w:rFonts w:ascii="宋体" w:hAnsi="宋体" w:cs="宋体"/>
          <w:color w:val="auto"/>
          <w:sz w:val="24"/>
        </w:rPr>
      </w:pPr>
      <w:r>
        <w:rPr>
          <w:rFonts w:hint="eastAsia" w:ascii="宋体" w:hAnsi="宋体" w:cs="宋体"/>
          <w:color w:val="auto"/>
          <w:sz w:val="24"/>
        </w:rPr>
        <w:t>投标人全称（电子印章）：                              日期：</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法定代表身份证复印件粘贴处</w:t>
            </w:r>
          </w:p>
        </w:tc>
      </w:tr>
    </w:tbl>
    <w:p>
      <w:pPr>
        <w:spacing w:line="360" w:lineRule="auto"/>
        <w:rPr>
          <w:rFonts w:ascii="宋体" w:hAnsi="宋体" w:cs="宋体"/>
          <w:color w:val="auto"/>
          <w:sz w:val="24"/>
        </w:rPr>
      </w:pPr>
      <w:r>
        <w:rPr>
          <w:rFonts w:hint="eastAsia" w:ascii="宋体" w:hAnsi="宋体" w:cs="宋体"/>
          <w:color w:val="auto"/>
          <w:sz w:val="24"/>
        </w:rPr>
        <w:t xml:space="preserve">法定代表人姓名：                                 </w:t>
      </w:r>
    </w:p>
    <w:p>
      <w:pPr>
        <w:spacing w:line="360" w:lineRule="auto"/>
        <w:rPr>
          <w:rFonts w:ascii="宋体" w:hAnsi="宋体" w:cs="宋体"/>
          <w:color w:val="auto"/>
          <w:sz w:val="24"/>
        </w:rPr>
      </w:pPr>
      <w:r>
        <w:rPr>
          <w:rFonts w:hint="eastAsia" w:ascii="宋体" w:hAnsi="宋体" w:cs="宋体"/>
          <w:color w:val="auto"/>
          <w:sz w:val="24"/>
        </w:rPr>
        <w:t>传真：</w:t>
      </w:r>
    </w:p>
    <w:p>
      <w:pPr>
        <w:spacing w:line="360" w:lineRule="auto"/>
        <w:rPr>
          <w:rFonts w:ascii="宋体" w:hAnsi="宋体" w:cs="宋体"/>
          <w:color w:val="auto"/>
          <w:sz w:val="24"/>
        </w:rPr>
      </w:pPr>
      <w:r>
        <w:rPr>
          <w:rFonts w:hint="eastAsia" w:ascii="宋体" w:hAnsi="宋体" w:cs="宋体"/>
          <w:color w:val="auto"/>
          <w:sz w:val="24"/>
        </w:rPr>
        <w:t>电话：</w:t>
      </w:r>
    </w:p>
    <w:p>
      <w:pPr>
        <w:spacing w:line="360" w:lineRule="auto"/>
        <w:rPr>
          <w:rFonts w:ascii="宋体" w:hAnsi="宋体" w:cs="宋体"/>
          <w:color w:val="auto"/>
          <w:sz w:val="24"/>
        </w:rPr>
      </w:pPr>
      <w:r>
        <w:rPr>
          <w:rFonts w:hint="eastAsia" w:ascii="宋体" w:hAnsi="宋体" w:cs="宋体"/>
          <w:color w:val="auto"/>
          <w:sz w:val="24"/>
        </w:rPr>
        <w:t>详细通讯地址：</w:t>
      </w:r>
    </w:p>
    <w:p>
      <w:pPr>
        <w:spacing w:line="360" w:lineRule="auto"/>
        <w:rPr>
          <w:rFonts w:ascii="宋体" w:hAnsi="宋体" w:cs="宋体"/>
          <w:color w:val="auto"/>
          <w:sz w:val="24"/>
        </w:rPr>
      </w:pPr>
      <w:r>
        <w:rPr>
          <w:rFonts w:hint="eastAsia" w:ascii="宋体" w:hAnsi="宋体" w:cs="宋体"/>
          <w:color w:val="auto"/>
          <w:sz w:val="24"/>
        </w:rPr>
        <w:t>邮政编码：</w:t>
      </w:r>
    </w:p>
    <w:p>
      <w:pPr>
        <w:spacing w:line="360" w:lineRule="auto"/>
        <w:rPr>
          <w:rFonts w:ascii="宋体" w:hAnsi="宋体" w:cs="宋体"/>
          <w:b/>
          <w:color w:val="auto"/>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授权委托代理人身份证复印件粘贴处</w:t>
            </w:r>
          </w:p>
        </w:tc>
      </w:tr>
    </w:tbl>
    <w:p>
      <w:pPr>
        <w:spacing w:line="360" w:lineRule="auto"/>
        <w:rPr>
          <w:rFonts w:ascii="宋体" w:hAnsi="宋体" w:cs="宋体"/>
          <w:color w:val="auto"/>
          <w:sz w:val="24"/>
        </w:rPr>
      </w:pPr>
      <w:r>
        <w:rPr>
          <w:rFonts w:hint="eastAsia" w:ascii="宋体" w:hAnsi="宋体" w:cs="宋体"/>
          <w:color w:val="auto"/>
          <w:sz w:val="24"/>
        </w:rPr>
        <w:t xml:space="preserve">授权委托代理人姓名：       </w:t>
      </w:r>
    </w:p>
    <w:p>
      <w:pPr>
        <w:spacing w:line="360" w:lineRule="auto"/>
        <w:rPr>
          <w:rFonts w:ascii="宋体" w:hAnsi="宋体" w:cs="宋体"/>
          <w:color w:val="auto"/>
          <w:sz w:val="24"/>
        </w:rPr>
      </w:pPr>
      <w:r>
        <w:rPr>
          <w:rFonts w:hint="eastAsia" w:ascii="宋体" w:hAnsi="宋体" w:cs="宋体"/>
          <w:color w:val="auto"/>
          <w:sz w:val="24"/>
        </w:rPr>
        <w:t xml:space="preserve">职务：                           </w:t>
      </w:r>
    </w:p>
    <w:p>
      <w:pPr>
        <w:spacing w:line="360" w:lineRule="auto"/>
        <w:rPr>
          <w:rFonts w:ascii="宋体" w:hAnsi="宋体" w:cs="宋体"/>
          <w:color w:val="auto"/>
          <w:sz w:val="24"/>
        </w:rPr>
      </w:pPr>
      <w:r>
        <w:rPr>
          <w:rFonts w:hint="eastAsia" w:ascii="宋体" w:hAnsi="宋体" w:cs="宋体"/>
          <w:color w:val="auto"/>
          <w:sz w:val="24"/>
        </w:rPr>
        <w:t>传真：</w:t>
      </w:r>
    </w:p>
    <w:p>
      <w:pPr>
        <w:spacing w:line="360" w:lineRule="auto"/>
        <w:rPr>
          <w:rFonts w:ascii="宋体" w:hAnsi="宋体" w:cs="宋体"/>
          <w:color w:val="auto"/>
          <w:sz w:val="24"/>
        </w:rPr>
      </w:pPr>
      <w:r>
        <w:rPr>
          <w:rFonts w:hint="eastAsia" w:ascii="宋体" w:hAnsi="宋体" w:cs="宋体"/>
          <w:color w:val="auto"/>
          <w:sz w:val="24"/>
        </w:rPr>
        <w:t>电话：</w:t>
      </w:r>
    </w:p>
    <w:p>
      <w:pPr>
        <w:spacing w:line="360" w:lineRule="auto"/>
        <w:rPr>
          <w:rFonts w:ascii="宋体" w:hAnsi="宋体" w:cs="宋体"/>
          <w:color w:val="auto"/>
          <w:sz w:val="24"/>
        </w:rPr>
      </w:pPr>
      <w:r>
        <w:rPr>
          <w:rFonts w:hint="eastAsia" w:ascii="宋体" w:hAnsi="宋体" w:cs="宋体"/>
          <w:color w:val="auto"/>
          <w:sz w:val="24"/>
        </w:rPr>
        <w:t>详细通讯地址：</w:t>
      </w:r>
    </w:p>
    <w:p>
      <w:pPr>
        <w:spacing w:line="360" w:lineRule="auto"/>
        <w:rPr>
          <w:rFonts w:ascii="宋体" w:hAnsi="宋体" w:cs="宋体"/>
          <w:color w:val="auto"/>
          <w:sz w:val="24"/>
        </w:rPr>
      </w:pPr>
      <w:r>
        <w:rPr>
          <w:rFonts w:hint="eastAsia" w:ascii="宋体" w:hAnsi="宋体" w:cs="宋体"/>
          <w:color w:val="auto"/>
          <w:sz w:val="24"/>
        </w:rPr>
        <w:t>邮政编码：</w:t>
      </w:r>
    </w:p>
    <w:p>
      <w:pPr>
        <w:rPr>
          <w:rFonts w:ascii="宋体" w:hAnsi="宋体" w:cs="宋体"/>
          <w:b/>
          <w:color w:val="auto"/>
          <w:sz w:val="24"/>
        </w:rPr>
      </w:pPr>
      <w:r>
        <w:rPr>
          <w:rFonts w:hint="eastAsia" w:ascii="宋体" w:hAnsi="宋体" w:cs="宋体"/>
          <w:b/>
          <w:color w:val="auto"/>
          <w:sz w:val="24"/>
        </w:rPr>
        <w:br w:type="page"/>
      </w:r>
    </w:p>
    <w:p>
      <w:pPr>
        <w:snapToGrid w:val="0"/>
        <w:spacing w:before="156" w:beforeLines="50" w:after="50" w:line="360" w:lineRule="auto"/>
        <w:rPr>
          <w:rFonts w:ascii="宋体" w:hAnsi="宋体" w:cs="宋体"/>
          <w:color w:val="auto"/>
          <w:sz w:val="24"/>
        </w:rPr>
      </w:pPr>
      <w:bookmarkStart w:id="57" w:name="_Toc351_WPSOffice_Level1"/>
      <w:bookmarkStart w:id="58" w:name="_Toc20519_WPSOffice_Level1"/>
      <w:r>
        <w:rPr>
          <w:rFonts w:hint="eastAsia" w:ascii="宋体" w:hAnsi="宋体" w:cs="宋体"/>
          <w:b/>
          <w:color w:val="auto"/>
          <w:sz w:val="24"/>
        </w:rPr>
        <w:t>附件4：</w:t>
      </w:r>
      <w:bookmarkEnd w:id="57"/>
      <w:bookmarkEnd w:id="58"/>
    </w:p>
    <w:p>
      <w:pPr>
        <w:spacing w:line="360" w:lineRule="auto"/>
        <w:ind w:right="-110"/>
        <w:jc w:val="center"/>
        <w:rPr>
          <w:rStyle w:val="51"/>
          <w:rFonts w:ascii="宋体" w:hAnsi="宋体"/>
          <w:color w:val="auto"/>
          <w:spacing w:val="40"/>
          <w:sz w:val="44"/>
          <w:szCs w:val="44"/>
        </w:rPr>
      </w:pPr>
      <w:r>
        <w:rPr>
          <w:rFonts w:hint="eastAsia" w:ascii="宋体" w:hAnsi="宋体"/>
          <w:color w:val="auto"/>
          <w:spacing w:val="40"/>
          <w:sz w:val="52"/>
          <w:szCs w:val="52"/>
          <w:lang w:eastAsia="zh-CN"/>
        </w:rPr>
        <w:t>台州市大数据发展中心</w:t>
      </w:r>
      <w:r>
        <w:rPr>
          <w:rFonts w:hint="eastAsia" w:ascii="宋体" w:hAnsi="宋体"/>
          <w:color w:val="auto"/>
          <w:spacing w:val="40"/>
          <w:sz w:val="52"/>
          <w:szCs w:val="52"/>
        </w:rPr>
        <w:t>台州市一体化智能化公共数据平台（数据资源体系）项目</w:t>
      </w:r>
    </w:p>
    <w:p>
      <w:pPr>
        <w:spacing w:before="312" w:line="360" w:lineRule="auto"/>
        <w:ind w:right="-108"/>
        <w:jc w:val="center"/>
        <w:rPr>
          <w:rStyle w:val="51"/>
          <w:rFonts w:ascii="宋体" w:hAnsi="宋体"/>
          <w:color w:val="auto"/>
          <w:sz w:val="36"/>
          <w:szCs w:val="36"/>
        </w:rPr>
      </w:pPr>
      <w:r>
        <w:rPr>
          <w:rStyle w:val="51"/>
          <w:rFonts w:ascii="宋体" w:hAnsi="宋体"/>
          <w:color w:val="auto"/>
          <w:sz w:val="36"/>
          <w:szCs w:val="36"/>
        </w:rPr>
        <w:t>项目编号：</w:t>
      </w:r>
      <w:r>
        <w:rPr>
          <w:rStyle w:val="51"/>
          <w:rFonts w:hint="eastAsia" w:ascii="宋体" w:hAnsi="宋体"/>
          <w:color w:val="auto"/>
          <w:sz w:val="36"/>
          <w:szCs w:val="36"/>
        </w:rPr>
        <w:t>TZTX-2022-GK007</w:t>
      </w:r>
    </w:p>
    <w:p>
      <w:pPr>
        <w:pStyle w:val="14"/>
        <w:rPr>
          <w:rStyle w:val="51"/>
          <w:rFonts w:ascii="宋体" w:hAnsi="宋体"/>
          <w:color w:val="auto"/>
          <w:sz w:val="36"/>
          <w:szCs w:val="36"/>
        </w:rPr>
      </w:pPr>
    </w:p>
    <w:p>
      <w:pPr>
        <w:pStyle w:val="14"/>
        <w:rPr>
          <w:rStyle w:val="51"/>
          <w:rFonts w:ascii="宋体" w:hAnsi="宋体"/>
          <w:color w:val="auto"/>
          <w:sz w:val="36"/>
          <w:szCs w:val="36"/>
        </w:rPr>
      </w:pP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投</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标</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文</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件</w:t>
      </w:r>
    </w:p>
    <w:p>
      <w:pPr>
        <w:spacing w:after="100" w:afterAutospacing="1" w:line="360" w:lineRule="auto"/>
        <w:ind w:right="-108"/>
        <w:jc w:val="center"/>
        <w:rPr>
          <w:rStyle w:val="51"/>
          <w:rFonts w:ascii="宋体" w:hAnsi="宋体"/>
          <w:b/>
          <w:color w:val="auto"/>
          <w:spacing w:val="40"/>
          <w:sz w:val="28"/>
          <w:szCs w:val="28"/>
        </w:rPr>
      </w:pPr>
      <w:r>
        <w:rPr>
          <w:rStyle w:val="51"/>
          <w:rFonts w:ascii="宋体" w:hAnsi="宋体"/>
          <w:color w:val="auto"/>
          <w:sz w:val="28"/>
          <w:szCs w:val="28"/>
          <w:lang w:val="zh-CN"/>
        </w:rPr>
        <w:t>（</w:t>
      </w:r>
      <w:r>
        <w:rPr>
          <w:rStyle w:val="51"/>
          <w:rFonts w:hint="eastAsia" w:ascii="宋体" w:hAnsi="宋体"/>
          <w:b/>
          <w:color w:val="auto"/>
          <w:spacing w:val="40"/>
          <w:sz w:val="28"/>
          <w:szCs w:val="28"/>
        </w:rPr>
        <w:t>商务与技术</w:t>
      </w:r>
      <w:r>
        <w:rPr>
          <w:rStyle w:val="51"/>
          <w:rFonts w:ascii="宋体" w:hAnsi="宋体"/>
          <w:b/>
          <w:color w:val="auto"/>
          <w:spacing w:val="40"/>
          <w:sz w:val="28"/>
          <w:szCs w:val="28"/>
        </w:rPr>
        <w:t>文件）</w:t>
      </w:r>
    </w:p>
    <w:p>
      <w:pPr>
        <w:pStyle w:val="14"/>
        <w:rPr>
          <w:color w:val="auto"/>
        </w:rPr>
      </w:pP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投标人全称（</w:t>
      </w:r>
      <w:r>
        <w:rPr>
          <w:rStyle w:val="51"/>
          <w:rFonts w:hint="eastAsia" w:ascii="宋体" w:hAnsi="宋体"/>
          <w:color w:val="auto"/>
          <w:sz w:val="36"/>
          <w:szCs w:val="36"/>
        </w:rPr>
        <w:t>电子印章</w:t>
      </w:r>
      <w:r>
        <w:rPr>
          <w:rStyle w:val="51"/>
          <w:rFonts w:ascii="宋体" w:hAnsi="宋体"/>
          <w:color w:val="auto"/>
          <w:sz w:val="36"/>
          <w:szCs w:val="36"/>
        </w:rPr>
        <w:t>）：</w:t>
      </w: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地    址：</w:t>
      </w: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时    间：</w:t>
      </w:r>
    </w:p>
    <w:p>
      <w:pPr>
        <w:pStyle w:val="14"/>
        <w:rPr>
          <w:color w:val="auto"/>
        </w:rPr>
      </w:pPr>
    </w:p>
    <w:p>
      <w:pPr>
        <w:pStyle w:val="14"/>
        <w:rPr>
          <w:color w:val="auto"/>
        </w:rPr>
      </w:pPr>
    </w:p>
    <w:p>
      <w:pPr>
        <w:pStyle w:val="2"/>
        <w:rPr>
          <w:rFonts w:ascii="宋体" w:hAnsi="宋体" w:cs="宋体"/>
          <w:color w:val="auto"/>
          <w:sz w:val="24"/>
        </w:rPr>
      </w:pPr>
    </w:p>
    <w:p>
      <w:pPr>
        <w:spacing w:line="360" w:lineRule="auto"/>
        <w:jc w:val="center"/>
        <w:rPr>
          <w:rFonts w:ascii="宋体" w:hAnsi="宋体" w:cs="宋体"/>
          <w:color w:val="auto"/>
          <w:sz w:val="24"/>
        </w:rPr>
      </w:pPr>
      <w:bookmarkStart w:id="59" w:name="_Toc11308_WPSOffice_Level1"/>
      <w:bookmarkStart w:id="60" w:name="_Toc5889_WPSOffice_Level1"/>
      <w:r>
        <w:rPr>
          <w:rFonts w:hint="eastAsia" w:ascii="宋体" w:hAnsi="宋体" w:cs="宋体"/>
          <w:b/>
          <w:bCs/>
          <w:color w:val="auto"/>
          <w:sz w:val="24"/>
          <w:lang w:val="zh-CN"/>
        </w:rPr>
        <w:t>商务与技术文件</w:t>
      </w:r>
      <w:r>
        <w:rPr>
          <w:rFonts w:hint="eastAsia" w:ascii="宋体" w:hAnsi="宋体" w:cs="宋体"/>
          <w:b/>
          <w:bCs/>
          <w:color w:val="auto"/>
          <w:sz w:val="24"/>
        </w:rPr>
        <w:t>目录</w:t>
      </w:r>
      <w:bookmarkEnd w:id="59"/>
      <w:bookmarkEnd w:id="60"/>
    </w:p>
    <w:p>
      <w:pPr>
        <w:spacing w:line="360" w:lineRule="auto"/>
        <w:rPr>
          <w:rFonts w:ascii="宋体" w:hAnsi="宋体" w:cs="宋体"/>
          <w:color w:val="auto"/>
          <w:sz w:val="24"/>
        </w:rPr>
      </w:pPr>
    </w:p>
    <w:p>
      <w:pPr>
        <w:spacing w:line="360" w:lineRule="auto"/>
        <w:ind w:firstLine="482" w:firstLineChars="200"/>
        <w:rPr>
          <w:rFonts w:ascii="宋体" w:hAnsi="宋体" w:cs="宋体"/>
          <w:b/>
          <w:bCs/>
          <w:color w:val="auto"/>
          <w:sz w:val="24"/>
        </w:rPr>
      </w:pPr>
      <w:bookmarkStart w:id="61" w:name="_Toc21250_WPSOffice_Level1"/>
      <w:bookmarkStart w:id="62" w:name="_Toc20529_WPSOffice_Level1"/>
      <w:r>
        <w:rPr>
          <w:rFonts w:hint="eastAsia" w:ascii="宋体" w:hAnsi="宋体" w:cs="宋体"/>
          <w:b/>
          <w:bCs/>
          <w:color w:val="auto"/>
          <w:sz w:val="24"/>
        </w:rPr>
        <w:t>第一部分  技术方案描述部分</w:t>
      </w:r>
      <w:bookmarkEnd w:id="61"/>
      <w:bookmarkEnd w:id="62"/>
    </w:p>
    <w:p>
      <w:pPr>
        <w:spacing w:line="360" w:lineRule="auto"/>
        <w:ind w:firstLine="480" w:firstLineChars="200"/>
        <w:rPr>
          <w:rFonts w:ascii="宋体" w:hAnsi="宋体" w:cs="宋体"/>
          <w:color w:val="auto"/>
          <w:sz w:val="24"/>
        </w:rPr>
      </w:pPr>
      <w:r>
        <w:rPr>
          <w:rFonts w:hint="eastAsia" w:ascii="宋体" w:hAnsi="宋体" w:cs="宋体"/>
          <w:color w:val="auto"/>
          <w:sz w:val="24"/>
        </w:rPr>
        <w:t>1、投标人情况介绍（附件5）；</w:t>
      </w:r>
    </w:p>
    <w:p>
      <w:pPr>
        <w:spacing w:line="360" w:lineRule="auto"/>
        <w:ind w:firstLine="480" w:firstLineChars="200"/>
        <w:rPr>
          <w:rFonts w:ascii="宋体" w:hAnsi="宋体" w:cs="宋体"/>
          <w:color w:val="auto"/>
          <w:sz w:val="24"/>
        </w:rPr>
      </w:pPr>
      <w:r>
        <w:rPr>
          <w:rFonts w:hint="eastAsia" w:ascii="宋体" w:hAnsi="宋体" w:cs="宋体"/>
          <w:color w:val="auto"/>
          <w:sz w:val="24"/>
        </w:rPr>
        <w:t>2、项目需求的理解与分析；</w:t>
      </w:r>
    </w:p>
    <w:p>
      <w:pPr>
        <w:spacing w:line="360" w:lineRule="auto"/>
        <w:ind w:firstLine="480" w:firstLineChars="200"/>
        <w:rPr>
          <w:rFonts w:ascii="宋体" w:hAnsi="宋体" w:cs="宋体"/>
          <w:color w:val="auto"/>
          <w:sz w:val="24"/>
        </w:rPr>
      </w:pPr>
      <w:r>
        <w:rPr>
          <w:rFonts w:hint="eastAsia" w:ascii="宋体" w:hAnsi="宋体" w:cs="宋体"/>
          <w:color w:val="auto"/>
          <w:sz w:val="24"/>
        </w:rPr>
        <w:t>3、公共数据基础域方案；</w:t>
      </w:r>
    </w:p>
    <w:p>
      <w:pPr>
        <w:spacing w:line="360" w:lineRule="auto"/>
        <w:ind w:firstLine="480" w:firstLineChars="200"/>
        <w:rPr>
          <w:rFonts w:ascii="宋体" w:hAnsi="宋体" w:cs="宋体"/>
          <w:color w:val="auto"/>
          <w:sz w:val="24"/>
        </w:rPr>
      </w:pPr>
      <w:r>
        <w:rPr>
          <w:rFonts w:hint="eastAsia" w:ascii="宋体" w:hAnsi="宋体" w:cs="宋体"/>
          <w:color w:val="auto"/>
          <w:sz w:val="24"/>
        </w:rPr>
        <w:t>4、公共数据共享域方案；</w:t>
      </w:r>
    </w:p>
    <w:p>
      <w:pPr>
        <w:spacing w:line="360" w:lineRule="auto"/>
        <w:ind w:firstLine="480" w:firstLineChars="200"/>
        <w:rPr>
          <w:rFonts w:ascii="宋体" w:hAnsi="宋体" w:cs="宋体"/>
          <w:color w:val="auto"/>
          <w:sz w:val="24"/>
        </w:rPr>
      </w:pPr>
      <w:r>
        <w:rPr>
          <w:rFonts w:hint="eastAsia" w:ascii="宋体" w:hAnsi="宋体" w:cs="宋体"/>
          <w:color w:val="auto"/>
          <w:sz w:val="24"/>
        </w:rPr>
        <w:t>5、公共数据开放域方案；</w:t>
      </w:r>
    </w:p>
    <w:p>
      <w:pPr>
        <w:spacing w:line="360" w:lineRule="auto"/>
        <w:ind w:firstLine="480" w:firstLineChars="200"/>
        <w:rPr>
          <w:rFonts w:ascii="宋体" w:hAnsi="宋体" w:cs="宋体"/>
          <w:color w:val="auto"/>
          <w:sz w:val="24"/>
        </w:rPr>
      </w:pPr>
      <w:r>
        <w:rPr>
          <w:rFonts w:hint="eastAsia" w:ascii="宋体" w:hAnsi="宋体" w:cs="宋体"/>
          <w:color w:val="auto"/>
          <w:sz w:val="24"/>
        </w:rPr>
        <w:t>6、公共数据安全域方案；</w:t>
      </w:r>
    </w:p>
    <w:p>
      <w:pPr>
        <w:spacing w:line="360" w:lineRule="auto"/>
        <w:ind w:firstLine="480" w:firstLineChars="200"/>
        <w:rPr>
          <w:rFonts w:ascii="宋体" w:hAnsi="宋体" w:cs="宋体"/>
          <w:color w:val="auto"/>
          <w:sz w:val="24"/>
        </w:rPr>
      </w:pPr>
      <w:r>
        <w:rPr>
          <w:rFonts w:hint="eastAsia" w:ascii="宋体" w:hAnsi="宋体" w:cs="宋体"/>
          <w:color w:val="auto"/>
          <w:sz w:val="24"/>
        </w:rPr>
        <w:t>7、数据N仓方案；</w:t>
      </w:r>
    </w:p>
    <w:p>
      <w:pPr>
        <w:spacing w:line="360" w:lineRule="auto"/>
        <w:ind w:firstLine="480" w:firstLineChars="200"/>
        <w:rPr>
          <w:rFonts w:ascii="宋体" w:hAnsi="宋体" w:cs="宋体"/>
          <w:color w:val="auto"/>
          <w:sz w:val="24"/>
        </w:rPr>
      </w:pPr>
      <w:r>
        <w:rPr>
          <w:rFonts w:hint="eastAsia" w:ascii="宋体" w:hAnsi="宋体" w:cs="宋体"/>
          <w:color w:val="auto"/>
          <w:sz w:val="24"/>
        </w:rPr>
        <w:t>8、项目实施方案（包括进度计划、人员配置、安装调试测试、验收方案、质量保障方案等）；</w:t>
      </w:r>
    </w:p>
    <w:p>
      <w:pPr>
        <w:spacing w:line="360" w:lineRule="auto"/>
        <w:ind w:firstLine="480" w:firstLineChars="200"/>
        <w:rPr>
          <w:rFonts w:ascii="宋体" w:hAnsi="宋体" w:cs="宋体"/>
          <w:color w:val="auto"/>
          <w:sz w:val="24"/>
        </w:rPr>
      </w:pPr>
      <w:r>
        <w:rPr>
          <w:rFonts w:hint="eastAsia" w:ascii="宋体" w:hAnsi="宋体" w:cs="宋体"/>
          <w:color w:val="auto"/>
          <w:sz w:val="24"/>
        </w:rPr>
        <w:t>9、项目实施人员一览表（附件7）；</w:t>
      </w:r>
    </w:p>
    <w:p>
      <w:pPr>
        <w:spacing w:line="360" w:lineRule="auto"/>
        <w:ind w:firstLine="480" w:firstLineChars="200"/>
        <w:rPr>
          <w:rFonts w:ascii="宋体" w:hAnsi="宋体" w:cs="宋体"/>
          <w:color w:val="auto"/>
          <w:sz w:val="24"/>
        </w:rPr>
      </w:pPr>
      <w:r>
        <w:rPr>
          <w:rFonts w:hint="eastAsia" w:ascii="宋体" w:hAnsi="宋体" w:cs="宋体"/>
          <w:color w:val="auto"/>
          <w:sz w:val="24"/>
        </w:rPr>
        <w:t>10、项目负责人资格情况表（附件8）；</w:t>
      </w:r>
    </w:p>
    <w:p>
      <w:pPr>
        <w:spacing w:line="360" w:lineRule="auto"/>
        <w:ind w:firstLine="480" w:firstLineChars="200"/>
        <w:rPr>
          <w:rFonts w:ascii="宋体" w:hAnsi="宋体" w:cs="宋体"/>
          <w:color w:val="auto"/>
          <w:sz w:val="24"/>
        </w:rPr>
      </w:pPr>
      <w:r>
        <w:rPr>
          <w:rFonts w:hint="eastAsia" w:ascii="宋体" w:hAnsi="宋体" w:cs="宋体"/>
          <w:color w:val="auto"/>
          <w:sz w:val="24"/>
        </w:rPr>
        <w:t>11、技术需求响应表（附件6）；</w:t>
      </w:r>
    </w:p>
    <w:p>
      <w:pPr>
        <w:spacing w:line="360" w:lineRule="auto"/>
        <w:ind w:firstLine="480" w:firstLineChars="200"/>
        <w:rPr>
          <w:rFonts w:ascii="宋体" w:hAnsi="宋体" w:cs="宋体"/>
          <w:color w:val="auto"/>
          <w:sz w:val="24"/>
        </w:rPr>
      </w:pPr>
      <w:r>
        <w:rPr>
          <w:rFonts w:hint="eastAsia" w:ascii="宋体" w:hAnsi="宋体" w:cs="宋体"/>
          <w:color w:val="auto"/>
          <w:sz w:val="24"/>
        </w:rPr>
        <w:t>12、投标人需要说明的其他内容；（包括可能影响投标人技术性能评分项的各类证明材料）；</w:t>
      </w:r>
    </w:p>
    <w:p>
      <w:pPr>
        <w:spacing w:line="360" w:lineRule="auto"/>
        <w:ind w:firstLine="482" w:firstLineChars="200"/>
        <w:rPr>
          <w:rFonts w:ascii="宋体" w:hAnsi="宋体" w:cs="宋体"/>
          <w:b/>
          <w:bCs/>
          <w:color w:val="auto"/>
          <w:sz w:val="24"/>
        </w:rPr>
      </w:pPr>
      <w:bookmarkStart w:id="63" w:name="_Toc20986_WPSOffice_Level1"/>
      <w:bookmarkStart w:id="64" w:name="_Toc30029_WPSOffice_Level1"/>
      <w:r>
        <w:rPr>
          <w:rFonts w:hint="eastAsia" w:ascii="宋体" w:hAnsi="宋体" w:cs="宋体"/>
          <w:b/>
          <w:bCs/>
          <w:color w:val="auto"/>
          <w:sz w:val="24"/>
        </w:rPr>
        <w:t>第二部分  商务及其他部分</w:t>
      </w:r>
      <w:bookmarkEnd w:id="63"/>
      <w:bookmarkEnd w:id="64"/>
    </w:p>
    <w:p>
      <w:pPr>
        <w:spacing w:line="360" w:lineRule="auto"/>
        <w:ind w:firstLine="480" w:firstLineChars="200"/>
        <w:rPr>
          <w:rFonts w:ascii="宋体" w:hAnsi="宋体" w:cs="宋体"/>
          <w:color w:val="auto"/>
          <w:sz w:val="24"/>
        </w:rPr>
      </w:pPr>
      <w:r>
        <w:rPr>
          <w:rFonts w:hint="eastAsia" w:ascii="宋体" w:hAnsi="宋体" w:cs="宋体"/>
          <w:color w:val="auto"/>
          <w:sz w:val="24"/>
        </w:rPr>
        <w:t>1、证书一览表（附件10）；</w:t>
      </w:r>
    </w:p>
    <w:p>
      <w:pPr>
        <w:spacing w:line="360" w:lineRule="auto"/>
        <w:ind w:firstLine="480" w:firstLineChars="200"/>
        <w:rPr>
          <w:rFonts w:ascii="宋体" w:hAnsi="宋体" w:cs="宋体"/>
          <w:color w:val="auto"/>
          <w:sz w:val="24"/>
        </w:rPr>
      </w:pPr>
      <w:r>
        <w:rPr>
          <w:rFonts w:hint="eastAsia" w:ascii="宋体" w:hAnsi="宋体" w:cs="宋体"/>
          <w:color w:val="auto"/>
          <w:sz w:val="24"/>
        </w:rPr>
        <w:t>2、近三年来类似项目的成功案例（附件11）；</w:t>
      </w:r>
    </w:p>
    <w:p>
      <w:pPr>
        <w:spacing w:line="360" w:lineRule="auto"/>
        <w:ind w:firstLine="480" w:firstLineChars="200"/>
        <w:rPr>
          <w:rFonts w:ascii="宋体" w:hAnsi="宋体" w:cs="宋体"/>
          <w:color w:val="auto"/>
          <w:sz w:val="24"/>
        </w:rPr>
      </w:pPr>
      <w:r>
        <w:rPr>
          <w:rFonts w:hint="eastAsia" w:ascii="宋体" w:hAnsi="宋体" w:cs="宋体"/>
          <w:color w:val="auto"/>
          <w:sz w:val="24"/>
        </w:rPr>
        <w:t>3、商务需求响应表（附件12）；</w:t>
      </w:r>
    </w:p>
    <w:p>
      <w:pPr>
        <w:spacing w:line="360" w:lineRule="auto"/>
        <w:ind w:firstLine="480" w:firstLineChars="200"/>
        <w:rPr>
          <w:rFonts w:ascii="宋体" w:hAnsi="宋体" w:cs="宋体"/>
          <w:color w:val="auto"/>
          <w:sz w:val="24"/>
        </w:rPr>
      </w:pPr>
      <w:r>
        <w:rPr>
          <w:rFonts w:hint="eastAsia" w:ascii="宋体" w:hAnsi="宋体" w:cs="宋体"/>
          <w:color w:val="auto"/>
          <w:sz w:val="24"/>
        </w:rPr>
        <w:t>4、本地化服务方案（可视情况采用附件9）；</w:t>
      </w:r>
    </w:p>
    <w:p>
      <w:pPr>
        <w:spacing w:line="360" w:lineRule="auto"/>
        <w:ind w:firstLine="480" w:firstLineChars="200"/>
        <w:rPr>
          <w:rFonts w:ascii="宋体" w:hAnsi="宋体" w:cs="宋体"/>
          <w:color w:val="auto"/>
          <w:sz w:val="24"/>
        </w:rPr>
      </w:pPr>
      <w:r>
        <w:rPr>
          <w:rFonts w:hint="eastAsia" w:ascii="宋体" w:hAnsi="宋体" w:cs="宋体"/>
          <w:color w:val="auto"/>
          <w:sz w:val="24"/>
        </w:rPr>
        <w:t>5、培训方案；</w:t>
      </w:r>
    </w:p>
    <w:p>
      <w:pPr>
        <w:spacing w:line="360" w:lineRule="auto"/>
        <w:ind w:firstLine="480" w:firstLineChars="200"/>
        <w:rPr>
          <w:rFonts w:ascii="宋体" w:hAnsi="宋体" w:cs="宋体"/>
          <w:color w:val="auto"/>
          <w:sz w:val="24"/>
        </w:rPr>
      </w:pPr>
      <w:r>
        <w:rPr>
          <w:rFonts w:hint="eastAsia" w:ascii="宋体" w:hAnsi="宋体" w:cs="宋体"/>
          <w:color w:val="auto"/>
          <w:sz w:val="24"/>
        </w:rPr>
        <w:t>6、投标人需要说明的其他内容。（包括可能影响投标人企业实力及信誉评分项以及售后服务评分项的各类证明材料）</w:t>
      </w:r>
    </w:p>
    <w:p>
      <w:pPr>
        <w:pStyle w:val="31"/>
        <w:spacing w:before="0" w:beforeAutospacing="0" w:after="0" w:afterAutospacing="0" w:line="360" w:lineRule="auto"/>
        <w:ind w:firstLine="482" w:firstLineChars="200"/>
        <w:jc w:val="both"/>
        <w:rPr>
          <w:b/>
          <w:color w:val="auto"/>
        </w:rPr>
      </w:pPr>
    </w:p>
    <w:p>
      <w:pPr>
        <w:pStyle w:val="31"/>
        <w:spacing w:before="0" w:beforeAutospacing="0" w:after="0" w:afterAutospacing="0" w:line="360" w:lineRule="auto"/>
        <w:rPr>
          <w:b/>
          <w:color w:val="auto"/>
        </w:rPr>
      </w:pPr>
    </w:p>
    <w:p>
      <w:pPr>
        <w:rPr>
          <w:rFonts w:ascii="宋体" w:hAnsi="宋体" w:cs="宋体"/>
          <w:b/>
          <w:color w:val="auto"/>
          <w:sz w:val="24"/>
        </w:rPr>
      </w:pPr>
      <w:r>
        <w:rPr>
          <w:rFonts w:hint="eastAsia" w:ascii="宋体" w:hAnsi="宋体" w:cs="宋体"/>
          <w:b/>
          <w:color w:val="auto"/>
          <w:sz w:val="24"/>
        </w:rPr>
        <w:br w:type="page"/>
      </w:r>
    </w:p>
    <w:p>
      <w:pPr>
        <w:pStyle w:val="31"/>
        <w:shd w:val="clear" w:color="auto" w:fill="FFFFFF"/>
        <w:spacing w:before="0" w:beforeAutospacing="0" w:after="0" w:afterAutospacing="0" w:line="360" w:lineRule="auto"/>
        <w:rPr>
          <w:b/>
          <w:color w:val="auto"/>
          <w:sz w:val="28"/>
        </w:rPr>
      </w:pPr>
      <w:r>
        <w:rPr>
          <w:rFonts w:hint="eastAsia"/>
          <w:b/>
          <w:color w:val="auto"/>
          <w:sz w:val="28"/>
        </w:rPr>
        <w:t>附件5</w:t>
      </w:r>
    </w:p>
    <w:p>
      <w:pPr>
        <w:pStyle w:val="31"/>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5" w:name="_Toc13307_WPSOffice_Level1"/>
      <w:bookmarkStart w:id="66" w:name="_Toc14261_WPSOffice_Level1"/>
      <w:r>
        <w:rPr>
          <w:rFonts w:hint="eastAsia"/>
          <w:b/>
          <w:color w:val="auto"/>
          <w:sz w:val="32"/>
          <w:szCs w:val="32"/>
        </w:rPr>
        <w:t>投标</w:t>
      </w:r>
      <w:r>
        <w:rPr>
          <w:rFonts w:hint="eastAsia"/>
          <w:b/>
          <w:bCs/>
          <w:color w:val="auto"/>
          <w:sz w:val="32"/>
          <w:szCs w:val="32"/>
        </w:rPr>
        <w:t>人基本情况表</w:t>
      </w:r>
      <w:bookmarkEnd w:id="65"/>
      <w:bookmarkEnd w:id="66"/>
    </w:p>
    <w:tbl>
      <w:tblPr>
        <w:tblStyle w:val="25"/>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55"/>
        <w:gridCol w:w="1036"/>
        <w:gridCol w:w="1036"/>
        <w:gridCol w:w="546"/>
        <w:gridCol w:w="982"/>
        <w:gridCol w:w="1025"/>
        <w:gridCol w:w="556"/>
        <w:gridCol w:w="106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23" w:type="dxa"/>
            <w:vAlign w:val="center"/>
          </w:tcPr>
          <w:p>
            <w:pPr>
              <w:pStyle w:val="31"/>
              <w:shd w:val="clear" w:color="auto" w:fill="FFFFFF"/>
              <w:spacing w:before="0" w:beforeAutospacing="0" w:after="0" w:afterAutospacing="0"/>
              <w:jc w:val="center"/>
              <w:rPr>
                <w:bCs/>
                <w:color w:val="auto"/>
              </w:rPr>
            </w:pPr>
            <w:r>
              <w:rPr>
                <w:rFonts w:hint="eastAsia"/>
                <w:bCs/>
                <w:color w:val="auto"/>
              </w:rPr>
              <w:t>企业名称</w:t>
            </w:r>
          </w:p>
        </w:tc>
        <w:tc>
          <w:tcPr>
            <w:tcW w:w="4555" w:type="dxa"/>
            <w:gridSpan w:val="5"/>
            <w:vAlign w:val="center"/>
          </w:tcPr>
          <w:p>
            <w:pPr>
              <w:pStyle w:val="31"/>
              <w:shd w:val="clear" w:color="auto" w:fill="FFFFFF"/>
              <w:spacing w:before="0" w:beforeAutospacing="0" w:after="0" w:afterAutospacing="0"/>
              <w:jc w:val="center"/>
              <w:rPr>
                <w:bCs/>
                <w:color w:val="auto"/>
              </w:rPr>
            </w:pPr>
          </w:p>
        </w:tc>
        <w:tc>
          <w:tcPr>
            <w:tcW w:w="158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法人代表</w:t>
            </w:r>
          </w:p>
        </w:tc>
        <w:tc>
          <w:tcPr>
            <w:tcW w:w="1995" w:type="dxa"/>
            <w:gridSpan w:val="2"/>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23" w:type="dxa"/>
            <w:vAlign w:val="center"/>
          </w:tcPr>
          <w:p>
            <w:pPr>
              <w:pStyle w:val="31"/>
              <w:shd w:val="clear" w:color="auto" w:fill="FFFFFF"/>
              <w:spacing w:before="0" w:beforeAutospacing="0" w:after="0" w:afterAutospacing="0"/>
              <w:jc w:val="center"/>
              <w:rPr>
                <w:bCs/>
                <w:color w:val="auto"/>
              </w:rPr>
            </w:pPr>
            <w:r>
              <w:rPr>
                <w:rFonts w:hint="eastAsia"/>
                <w:bCs/>
                <w:color w:val="auto"/>
              </w:rPr>
              <w:t>地址</w:t>
            </w:r>
          </w:p>
        </w:tc>
        <w:tc>
          <w:tcPr>
            <w:tcW w:w="4555" w:type="dxa"/>
            <w:gridSpan w:val="5"/>
            <w:tcBorders>
              <w:bottom w:val="single" w:color="auto" w:sz="4" w:space="0"/>
            </w:tcBorders>
            <w:vAlign w:val="center"/>
          </w:tcPr>
          <w:p>
            <w:pPr>
              <w:pStyle w:val="31"/>
              <w:shd w:val="clear" w:color="auto" w:fill="FFFFFF"/>
              <w:spacing w:before="0" w:beforeAutospacing="0" w:after="0" w:afterAutospacing="0"/>
              <w:jc w:val="center"/>
              <w:rPr>
                <w:bCs/>
                <w:color w:val="auto"/>
              </w:rPr>
            </w:pPr>
          </w:p>
        </w:tc>
        <w:tc>
          <w:tcPr>
            <w:tcW w:w="158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企业性质</w:t>
            </w:r>
          </w:p>
        </w:tc>
        <w:tc>
          <w:tcPr>
            <w:tcW w:w="1995" w:type="dxa"/>
            <w:gridSpan w:val="2"/>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pPr>
              <w:pStyle w:val="31"/>
              <w:shd w:val="clear" w:color="auto" w:fill="FFFFFF"/>
              <w:spacing w:before="0" w:beforeAutospacing="0" w:after="0" w:afterAutospacing="0"/>
              <w:jc w:val="center"/>
              <w:rPr>
                <w:bCs/>
                <w:color w:val="auto"/>
              </w:rPr>
            </w:pPr>
            <w:r>
              <w:rPr>
                <w:rFonts w:hint="eastAsia"/>
                <w:bCs/>
                <w:color w:val="auto"/>
              </w:rPr>
              <w:t>股东姓名</w:t>
            </w:r>
          </w:p>
        </w:tc>
        <w:tc>
          <w:tcPr>
            <w:tcW w:w="955" w:type="dxa"/>
            <w:tcBorders>
              <w:bottom w:val="single" w:color="auto" w:sz="4" w:space="0"/>
            </w:tcBorders>
            <w:vAlign w:val="center"/>
          </w:tcPr>
          <w:p>
            <w:pPr>
              <w:pStyle w:val="31"/>
              <w:shd w:val="clear" w:color="auto" w:fill="FFFFFF"/>
              <w:spacing w:before="0" w:beforeAutospacing="0" w:after="0" w:afterAutospacing="0"/>
              <w:jc w:val="center"/>
              <w:rPr>
                <w:bCs/>
                <w:color w:val="auto"/>
              </w:rPr>
            </w:pPr>
          </w:p>
        </w:tc>
        <w:tc>
          <w:tcPr>
            <w:tcW w:w="1036" w:type="dxa"/>
            <w:tcBorders>
              <w:bottom w:val="single" w:color="auto" w:sz="4" w:space="0"/>
            </w:tcBorders>
            <w:vAlign w:val="center"/>
          </w:tcPr>
          <w:p>
            <w:pPr>
              <w:pStyle w:val="31"/>
              <w:shd w:val="clear" w:color="auto" w:fill="FFFFFF"/>
              <w:spacing w:before="0" w:beforeAutospacing="0" w:after="0" w:afterAutospacing="0"/>
              <w:jc w:val="center"/>
              <w:rPr>
                <w:bCs/>
                <w:color w:val="auto"/>
              </w:rPr>
            </w:pPr>
            <w:r>
              <w:rPr>
                <w:rFonts w:hint="eastAsia"/>
                <w:bCs/>
                <w:color w:val="auto"/>
              </w:rPr>
              <w:t>股权结构（%）</w:t>
            </w:r>
          </w:p>
        </w:tc>
        <w:tc>
          <w:tcPr>
            <w:tcW w:w="2564" w:type="dxa"/>
            <w:gridSpan w:val="3"/>
            <w:tcBorders>
              <w:bottom w:val="single" w:color="auto" w:sz="4" w:space="0"/>
            </w:tcBorders>
            <w:vAlign w:val="center"/>
          </w:tcPr>
          <w:p>
            <w:pPr>
              <w:widowControl/>
              <w:jc w:val="center"/>
              <w:rPr>
                <w:rFonts w:ascii="宋体" w:hAnsi="宋体" w:cs="宋体"/>
                <w:bCs/>
                <w:color w:val="auto"/>
                <w:kern w:val="0"/>
                <w:sz w:val="24"/>
              </w:rPr>
            </w:pPr>
          </w:p>
          <w:p>
            <w:pPr>
              <w:pStyle w:val="31"/>
              <w:shd w:val="clear" w:color="auto" w:fill="FFFFFF"/>
              <w:spacing w:before="0" w:beforeAutospacing="0" w:after="0" w:afterAutospacing="0"/>
              <w:jc w:val="center"/>
              <w:rPr>
                <w:bCs/>
                <w:color w:val="auto"/>
              </w:rPr>
            </w:pPr>
          </w:p>
        </w:tc>
        <w:tc>
          <w:tcPr>
            <w:tcW w:w="158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股东关系</w:t>
            </w:r>
          </w:p>
        </w:tc>
        <w:tc>
          <w:tcPr>
            <w:tcW w:w="1995" w:type="dxa"/>
            <w:gridSpan w:val="2"/>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3" w:type="dxa"/>
            <w:vMerge w:val="restart"/>
            <w:vAlign w:val="center"/>
          </w:tcPr>
          <w:p>
            <w:pPr>
              <w:pStyle w:val="31"/>
              <w:shd w:val="clear" w:color="auto" w:fill="FFFFFF"/>
              <w:spacing w:before="0" w:beforeAutospacing="0" w:after="0" w:afterAutospacing="0"/>
              <w:jc w:val="center"/>
              <w:rPr>
                <w:bCs/>
                <w:color w:val="auto"/>
              </w:rPr>
            </w:pPr>
            <w:r>
              <w:rPr>
                <w:rFonts w:hint="eastAsia"/>
                <w:bCs/>
                <w:color w:val="auto"/>
              </w:rPr>
              <w:t>联系人姓名</w:t>
            </w:r>
          </w:p>
        </w:tc>
        <w:tc>
          <w:tcPr>
            <w:tcW w:w="955" w:type="dxa"/>
            <w:vMerge w:val="restart"/>
            <w:tcBorders>
              <w:top w:val="nil"/>
            </w:tcBorders>
            <w:vAlign w:val="center"/>
          </w:tcPr>
          <w:p>
            <w:pPr>
              <w:pStyle w:val="31"/>
              <w:shd w:val="clear" w:color="auto" w:fill="FFFFFF"/>
              <w:spacing w:before="0" w:beforeAutospacing="0" w:after="0" w:afterAutospacing="0"/>
              <w:jc w:val="center"/>
              <w:rPr>
                <w:bCs/>
                <w:color w:val="auto"/>
              </w:rPr>
            </w:pPr>
          </w:p>
        </w:tc>
        <w:tc>
          <w:tcPr>
            <w:tcW w:w="1036" w:type="dxa"/>
            <w:tcBorders>
              <w:top w:val="nil"/>
              <w:bottom w:val="single" w:color="auto" w:sz="4" w:space="0"/>
            </w:tcBorders>
            <w:vAlign w:val="center"/>
          </w:tcPr>
          <w:p>
            <w:pPr>
              <w:pStyle w:val="31"/>
              <w:shd w:val="clear" w:color="auto" w:fill="FFFFFF"/>
              <w:spacing w:before="0" w:beforeAutospacing="0" w:after="0" w:afterAutospacing="0"/>
              <w:jc w:val="center"/>
              <w:rPr>
                <w:bCs/>
                <w:color w:val="auto"/>
              </w:rPr>
            </w:pPr>
            <w:r>
              <w:rPr>
                <w:rFonts w:hint="eastAsia"/>
                <w:bCs/>
                <w:color w:val="auto"/>
              </w:rPr>
              <w:t>固定电话</w:t>
            </w:r>
          </w:p>
        </w:tc>
        <w:tc>
          <w:tcPr>
            <w:tcW w:w="2564" w:type="dxa"/>
            <w:gridSpan w:val="3"/>
            <w:tcBorders>
              <w:top w:val="nil"/>
              <w:bottom w:val="single" w:color="auto" w:sz="4" w:space="0"/>
            </w:tcBorders>
            <w:vAlign w:val="center"/>
          </w:tcPr>
          <w:p>
            <w:pPr>
              <w:widowControl/>
              <w:jc w:val="center"/>
              <w:rPr>
                <w:rFonts w:ascii="宋体" w:hAnsi="宋体" w:cs="宋体"/>
                <w:bCs/>
                <w:color w:val="auto"/>
                <w:kern w:val="0"/>
                <w:sz w:val="24"/>
              </w:rPr>
            </w:pPr>
          </w:p>
          <w:p>
            <w:pPr>
              <w:pStyle w:val="31"/>
              <w:shd w:val="clear" w:color="auto" w:fill="FFFFFF"/>
              <w:spacing w:before="0" w:beforeAutospacing="0" w:after="0" w:afterAutospacing="0"/>
              <w:jc w:val="center"/>
              <w:rPr>
                <w:bCs/>
                <w:color w:val="auto"/>
              </w:rPr>
            </w:pPr>
          </w:p>
        </w:tc>
        <w:tc>
          <w:tcPr>
            <w:tcW w:w="1581" w:type="dxa"/>
            <w:gridSpan w:val="2"/>
            <w:vMerge w:val="restart"/>
            <w:vAlign w:val="center"/>
          </w:tcPr>
          <w:p>
            <w:pPr>
              <w:pStyle w:val="31"/>
              <w:shd w:val="clear" w:color="auto" w:fill="FFFFFF"/>
              <w:spacing w:before="0" w:beforeAutospacing="0" w:after="0" w:afterAutospacing="0"/>
              <w:jc w:val="center"/>
              <w:rPr>
                <w:bCs/>
                <w:color w:val="auto"/>
              </w:rPr>
            </w:pPr>
            <w:r>
              <w:rPr>
                <w:rFonts w:hint="eastAsia"/>
                <w:bCs/>
                <w:color w:val="auto"/>
              </w:rPr>
              <w:t>传真</w:t>
            </w:r>
          </w:p>
        </w:tc>
        <w:tc>
          <w:tcPr>
            <w:tcW w:w="1995" w:type="dxa"/>
            <w:gridSpan w:val="2"/>
            <w:vMerge w:val="restart"/>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3" w:type="dxa"/>
            <w:vMerge w:val="continue"/>
            <w:tcBorders>
              <w:bottom w:val="single" w:color="auto" w:sz="4" w:space="0"/>
            </w:tcBorders>
            <w:vAlign w:val="center"/>
          </w:tcPr>
          <w:p>
            <w:pPr>
              <w:pStyle w:val="31"/>
              <w:shd w:val="clear" w:color="auto" w:fill="FFFFFF"/>
              <w:spacing w:before="0" w:beforeAutospacing="0" w:after="0" w:afterAutospacing="0"/>
              <w:jc w:val="center"/>
              <w:rPr>
                <w:bCs/>
                <w:color w:val="auto"/>
              </w:rPr>
            </w:pPr>
          </w:p>
        </w:tc>
        <w:tc>
          <w:tcPr>
            <w:tcW w:w="955" w:type="dxa"/>
            <w:vMerge w:val="continue"/>
            <w:tcBorders>
              <w:bottom w:val="single" w:color="auto" w:sz="4" w:space="0"/>
            </w:tcBorders>
            <w:vAlign w:val="center"/>
          </w:tcPr>
          <w:p>
            <w:pPr>
              <w:pStyle w:val="31"/>
              <w:shd w:val="clear" w:color="auto" w:fill="FFFFFF"/>
              <w:spacing w:before="0" w:beforeAutospacing="0" w:after="0" w:afterAutospacing="0"/>
              <w:jc w:val="center"/>
              <w:rPr>
                <w:bCs/>
                <w:color w:val="auto"/>
              </w:rPr>
            </w:pPr>
          </w:p>
        </w:tc>
        <w:tc>
          <w:tcPr>
            <w:tcW w:w="1036" w:type="dxa"/>
            <w:tcBorders>
              <w:bottom w:val="single" w:color="auto" w:sz="4" w:space="0"/>
            </w:tcBorders>
            <w:vAlign w:val="center"/>
          </w:tcPr>
          <w:p>
            <w:pPr>
              <w:pStyle w:val="31"/>
              <w:shd w:val="clear" w:color="auto" w:fill="FFFFFF"/>
              <w:spacing w:before="0" w:beforeAutospacing="0" w:after="0" w:afterAutospacing="0"/>
              <w:jc w:val="center"/>
              <w:rPr>
                <w:bCs/>
                <w:color w:val="auto"/>
              </w:rPr>
            </w:pPr>
            <w:r>
              <w:rPr>
                <w:rFonts w:hint="eastAsia"/>
                <w:bCs/>
                <w:color w:val="auto"/>
              </w:rPr>
              <w:t>手机</w:t>
            </w:r>
          </w:p>
        </w:tc>
        <w:tc>
          <w:tcPr>
            <w:tcW w:w="2564" w:type="dxa"/>
            <w:gridSpan w:val="3"/>
            <w:tcBorders>
              <w:bottom w:val="single" w:color="auto" w:sz="4" w:space="0"/>
            </w:tcBorders>
            <w:vAlign w:val="center"/>
          </w:tcPr>
          <w:p>
            <w:pPr>
              <w:pStyle w:val="31"/>
              <w:shd w:val="clear" w:color="auto" w:fill="FFFFFF"/>
              <w:spacing w:before="0" w:beforeAutospacing="0" w:after="0" w:afterAutospacing="0"/>
              <w:jc w:val="center"/>
              <w:rPr>
                <w:bCs/>
                <w:color w:val="auto"/>
              </w:rPr>
            </w:pPr>
          </w:p>
        </w:tc>
        <w:tc>
          <w:tcPr>
            <w:tcW w:w="1581" w:type="dxa"/>
            <w:gridSpan w:val="2"/>
            <w:vMerge w:val="continue"/>
            <w:vAlign w:val="center"/>
          </w:tcPr>
          <w:p>
            <w:pPr>
              <w:pStyle w:val="31"/>
              <w:shd w:val="clear" w:color="auto" w:fill="FFFFFF"/>
              <w:spacing w:before="0" w:beforeAutospacing="0" w:after="0" w:afterAutospacing="0"/>
              <w:jc w:val="center"/>
              <w:rPr>
                <w:bCs/>
                <w:color w:val="auto"/>
              </w:rPr>
            </w:pPr>
          </w:p>
        </w:tc>
        <w:tc>
          <w:tcPr>
            <w:tcW w:w="1995" w:type="dxa"/>
            <w:gridSpan w:val="2"/>
            <w:vMerge w:val="continue"/>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23" w:type="dxa"/>
            <w:vMerge w:val="restart"/>
            <w:vAlign w:val="center"/>
          </w:tcPr>
          <w:p>
            <w:pPr>
              <w:pStyle w:val="31"/>
              <w:shd w:val="clear" w:color="auto" w:fill="FFFFFF"/>
              <w:spacing w:before="0" w:beforeAutospacing="0" w:after="0" w:afterAutospacing="0"/>
              <w:jc w:val="center"/>
              <w:rPr>
                <w:bCs/>
                <w:color w:val="auto"/>
              </w:rPr>
            </w:pPr>
            <w:r>
              <w:rPr>
                <w:bCs/>
                <w:color w:val="auto"/>
              </w:rPr>
              <w:t>1</w:t>
            </w:r>
            <w:r>
              <w:rPr>
                <w:rFonts w:hint="eastAsia"/>
                <w:bCs/>
                <w:color w:val="auto"/>
              </w:rPr>
              <w:t>.</w:t>
            </w:r>
          </w:p>
          <w:p>
            <w:pPr>
              <w:pStyle w:val="31"/>
              <w:shd w:val="clear" w:color="auto" w:fill="FFFFFF"/>
              <w:spacing w:before="0" w:beforeAutospacing="0" w:after="0" w:afterAutospacing="0"/>
              <w:jc w:val="center"/>
              <w:rPr>
                <w:bCs/>
                <w:color w:val="auto"/>
              </w:rPr>
            </w:pPr>
            <w:r>
              <w:rPr>
                <w:rFonts w:hint="eastAsia"/>
                <w:bCs/>
                <w:color w:val="auto"/>
              </w:rPr>
              <w:t>企</w:t>
            </w:r>
          </w:p>
          <w:p>
            <w:pPr>
              <w:pStyle w:val="31"/>
              <w:shd w:val="clear" w:color="auto" w:fill="FFFFFF"/>
              <w:spacing w:before="0" w:beforeAutospacing="0" w:after="0" w:afterAutospacing="0"/>
              <w:jc w:val="center"/>
              <w:rPr>
                <w:bCs/>
                <w:color w:val="auto"/>
              </w:rPr>
            </w:pPr>
            <w:r>
              <w:rPr>
                <w:rFonts w:hint="eastAsia"/>
                <w:bCs/>
                <w:color w:val="auto"/>
              </w:rPr>
              <w:t>业</w:t>
            </w:r>
          </w:p>
          <w:p>
            <w:pPr>
              <w:pStyle w:val="31"/>
              <w:shd w:val="clear" w:color="auto" w:fill="FFFFFF"/>
              <w:spacing w:before="0" w:beforeAutospacing="0" w:after="0" w:afterAutospacing="0"/>
              <w:jc w:val="center"/>
              <w:rPr>
                <w:bCs/>
                <w:color w:val="auto"/>
              </w:rPr>
            </w:pPr>
            <w:r>
              <w:rPr>
                <w:rFonts w:hint="eastAsia"/>
                <w:bCs/>
                <w:color w:val="auto"/>
              </w:rPr>
              <w:t>概</w:t>
            </w:r>
          </w:p>
          <w:p>
            <w:pPr>
              <w:pStyle w:val="31"/>
              <w:shd w:val="clear" w:color="auto" w:fill="FFFFFF"/>
              <w:spacing w:before="0" w:beforeAutospacing="0" w:after="0" w:afterAutospacing="0"/>
              <w:jc w:val="center"/>
              <w:rPr>
                <w:bCs/>
                <w:color w:val="auto"/>
              </w:rPr>
            </w:pPr>
            <w:r>
              <w:rPr>
                <w:rFonts w:hint="eastAsia"/>
                <w:bCs/>
                <w:color w:val="auto"/>
              </w:rPr>
              <w:t>况</w:t>
            </w:r>
          </w:p>
        </w:tc>
        <w:tc>
          <w:tcPr>
            <w:tcW w:w="955" w:type="dxa"/>
            <w:tcBorders>
              <w:top w:val="nil"/>
            </w:tcBorders>
            <w:vAlign w:val="center"/>
          </w:tcPr>
          <w:p>
            <w:pPr>
              <w:pStyle w:val="31"/>
              <w:shd w:val="clear" w:color="auto" w:fill="FFFFFF"/>
              <w:spacing w:before="0" w:beforeAutospacing="0" w:after="0" w:afterAutospacing="0"/>
              <w:jc w:val="center"/>
              <w:rPr>
                <w:bCs/>
                <w:color w:val="auto"/>
              </w:rPr>
            </w:pPr>
            <w:r>
              <w:rPr>
                <w:rFonts w:hint="eastAsia"/>
                <w:bCs/>
                <w:color w:val="auto"/>
              </w:rPr>
              <w:t>职工人数</w:t>
            </w:r>
          </w:p>
        </w:tc>
        <w:tc>
          <w:tcPr>
            <w:tcW w:w="1036" w:type="dxa"/>
            <w:tcBorders>
              <w:top w:val="nil"/>
            </w:tcBorders>
            <w:vAlign w:val="center"/>
          </w:tcPr>
          <w:p>
            <w:pPr>
              <w:pStyle w:val="31"/>
              <w:shd w:val="clear" w:color="auto" w:fill="FFFFFF"/>
              <w:spacing w:before="0" w:beforeAutospacing="0" w:after="0" w:afterAutospacing="0"/>
              <w:jc w:val="center"/>
              <w:rPr>
                <w:bCs/>
                <w:color w:val="auto"/>
              </w:rPr>
            </w:pPr>
          </w:p>
        </w:tc>
        <w:tc>
          <w:tcPr>
            <w:tcW w:w="1582" w:type="dxa"/>
            <w:gridSpan w:val="2"/>
            <w:tcBorders>
              <w:top w:val="nil"/>
            </w:tcBorders>
            <w:vAlign w:val="center"/>
          </w:tcPr>
          <w:p>
            <w:pPr>
              <w:pStyle w:val="31"/>
              <w:shd w:val="clear" w:color="auto" w:fill="FFFFFF"/>
              <w:spacing w:before="0" w:beforeAutospacing="0" w:after="0" w:afterAutospacing="0"/>
              <w:jc w:val="center"/>
              <w:rPr>
                <w:bCs/>
                <w:color w:val="auto"/>
              </w:rPr>
            </w:pPr>
            <w:r>
              <w:rPr>
                <w:rFonts w:hint="eastAsia"/>
                <w:bCs/>
                <w:color w:val="auto"/>
              </w:rPr>
              <w:t>具备大专以上学历人数</w:t>
            </w:r>
          </w:p>
        </w:tc>
        <w:tc>
          <w:tcPr>
            <w:tcW w:w="982" w:type="dxa"/>
            <w:tcBorders>
              <w:top w:val="nil"/>
            </w:tcBorders>
            <w:vAlign w:val="center"/>
          </w:tcPr>
          <w:p>
            <w:pPr>
              <w:widowControl/>
              <w:jc w:val="center"/>
              <w:rPr>
                <w:rFonts w:ascii="宋体" w:hAnsi="宋体" w:cs="宋体"/>
                <w:bCs/>
                <w:color w:val="auto"/>
                <w:kern w:val="0"/>
                <w:sz w:val="24"/>
              </w:rPr>
            </w:pPr>
          </w:p>
          <w:p>
            <w:pPr>
              <w:widowControl/>
              <w:jc w:val="center"/>
              <w:rPr>
                <w:rFonts w:ascii="宋体" w:hAnsi="宋体" w:cs="宋体"/>
                <w:bCs/>
                <w:color w:val="auto"/>
                <w:kern w:val="0"/>
                <w:sz w:val="24"/>
              </w:rPr>
            </w:pPr>
          </w:p>
          <w:p>
            <w:pPr>
              <w:pStyle w:val="31"/>
              <w:shd w:val="clear" w:color="auto" w:fill="FFFFFF"/>
              <w:spacing w:before="0" w:beforeAutospacing="0" w:after="0" w:afterAutospacing="0"/>
              <w:jc w:val="center"/>
              <w:rPr>
                <w:bCs/>
                <w:color w:val="auto"/>
              </w:rPr>
            </w:pPr>
          </w:p>
        </w:tc>
        <w:tc>
          <w:tcPr>
            <w:tcW w:w="158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国家授予技术职称人数</w:t>
            </w:r>
          </w:p>
        </w:tc>
        <w:tc>
          <w:tcPr>
            <w:tcW w:w="1995" w:type="dxa"/>
            <w:gridSpan w:val="2"/>
            <w:vAlign w:val="center"/>
          </w:tcPr>
          <w:p>
            <w:pPr>
              <w:widowControl/>
              <w:jc w:val="center"/>
              <w:rPr>
                <w:rFonts w:ascii="宋体" w:hAnsi="宋体" w:cs="宋体"/>
                <w:bCs/>
                <w:color w:val="auto"/>
                <w:kern w:val="0"/>
                <w:sz w:val="24"/>
              </w:rPr>
            </w:pPr>
          </w:p>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955" w:type="dxa"/>
            <w:vAlign w:val="center"/>
          </w:tcPr>
          <w:p>
            <w:pPr>
              <w:pStyle w:val="31"/>
              <w:shd w:val="clear" w:color="auto" w:fill="FFFFFF"/>
              <w:spacing w:before="0" w:beforeAutospacing="0" w:after="0" w:afterAutospacing="0"/>
              <w:jc w:val="center"/>
              <w:rPr>
                <w:bCs/>
                <w:color w:val="auto"/>
              </w:rPr>
            </w:pPr>
            <w:r>
              <w:rPr>
                <w:rFonts w:hint="eastAsia"/>
                <w:bCs/>
                <w:color w:val="auto"/>
              </w:rPr>
              <w:t>占地面积</w:t>
            </w:r>
          </w:p>
        </w:tc>
        <w:tc>
          <w:tcPr>
            <w:tcW w:w="1036" w:type="dxa"/>
            <w:vAlign w:val="center"/>
          </w:tcPr>
          <w:p>
            <w:pPr>
              <w:pStyle w:val="31"/>
              <w:shd w:val="clear" w:color="auto" w:fill="FFFFFF"/>
              <w:spacing w:before="0" w:beforeAutospacing="0" w:after="0" w:afterAutospacing="0"/>
              <w:jc w:val="center"/>
              <w:rPr>
                <w:bCs/>
                <w:color w:val="auto"/>
              </w:rPr>
            </w:pPr>
          </w:p>
        </w:tc>
        <w:tc>
          <w:tcPr>
            <w:tcW w:w="1582"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建筑面积</w:t>
            </w:r>
          </w:p>
        </w:tc>
        <w:tc>
          <w:tcPr>
            <w:tcW w:w="982" w:type="dxa"/>
            <w:vAlign w:val="center"/>
          </w:tcPr>
          <w:p>
            <w:pPr>
              <w:pStyle w:val="31"/>
              <w:shd w:val="clear" w:color="auto" w:fill="FFFFFF"/>
              <w:spacing w:before="0" w:beforeAutospacing="0" w:after="0" w:afterAutospacing="0"/>
              <w:jc w:val="center"/>
              <w:rPr>
                <w:bCs/>
                <w:color w:val="auto"/>
              </w:rPr>
            </w:pPr>
            <w:r>
              <w:rPr>
                <w:rFonts w:hint="eastAsia"/>
                <w:bCs/>
                <w:color w:val="auto"/>
              </w:rPr>
              <w:t>平方米</w:t>
            </w:r>
          </w:p>
          <w:p>
            <w:pPr>
              <w:pStyle w:val="31"/>
              <w:shd w:val="clear" w:color="auto" w:fill="FFFFFF"/>
              <w:spacing w:before="0" w:beforeAutospacing="0" w:after="0" w:afterAutospacing="0"/>
              <w:jc w:val="center"/>
              <w:rPr>
                <w:bCs/>
                <w:color w:val="auto"/>
              </w:rPr>
            </w:pPr>
            <w:r>
              <w:rPr>
                <w:rFonts w:hint="eastAsia"/>
                <w:bCs/>
                <w:color w:val="auto"/>
              </w:rPr>
              <w:t>□自有</w:t>
            </w:r>
          </w:p>
          <w:p>
            <w:pPr>
              <w:pStyle w:val="31"/>
              <w:shd w:val="clear" w:color="auto" w:fill="FFFFFF"/>
              <w:spacing w:before="0" w:beforeAutospacing="0" w:after="0" w:afterAutospacing="0"/>
              <w:jc w:val="center"/>
              <w:rPr>
                <w:bCs/>
                <w:color w:val="auto"/>
              </w:rPr>
            </w:pPr>
            <w:r>
              <w:rPr>
                <w:rFonts w:hint="eastAsia"/>
                <w:bCs/>
                <w:color w:val="auto"/>
              </w:rPr>
              <w:t>□租赁</w:t>
            </w:r>
          </w:p>
        </w:tc>
        <w:tc>
          <w:tcPr>
            <w:tcW w:w="158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1995" w:type="dxa"/>
            <w:gridSpan w:val="2"/>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955" w:type="dxa"/>
            <w:vAlign w:val="center"/>
          </w:tcPr>
          <w:p>
            <w:pPr>
              <w:pStyle w:val="31"/>
              <w:shd w:val="clear" w:color="auto" w:fill="FFFFFF"/>
              <w:spacing w:before="0" w:beforeAutospacing="0" w:after="0" w:afterAutospacing="0"/>
              <w:jc w:val="center"/>
              <w:rPr>
                <w:bCs/>
                <w:color w:val="auto"/>
              </w:rPr>
            </w:pPr>
            <w:r>
              <w:rPr>
                <w:rFonts w:hint="eastAsia"/>
                <w:bCs/>
                <w:color w:val="auto"/>
              </w:rPr>
              <w:t>注册资金</w:t>
            </w:r>
          </w:p>
        </w:tc>
        <w:tc>
          <w:tcPr>
            <w:tcW w:w="1036" w:type="dxa"/>
            <w:vAlign w:val="center"/>
          </w:tcPr>
          <w:p>
            <w:pPr>
              <w:pStyle w:val="31"/>
              <w:shd w:val="clear" w:color="auto" w:fill="FFFFFF"/>
              <w:spacing w:before="0" w:beforeAutospacing="0" w:after="0" w:afterAutospacing="0"/>
              <w:jc w:val="center"/>
              <w:rPr>
                <w:bCs/>
                <w:color w:val="auto"/>
              </w:rPr>
            </w:pPr>
          </w:p>
        </w:tc>
        <w:tc>
          <w:tcPr>
            <w:tcW w:w="1582"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注册发证机关</w:t>
            </w:r>
          </w:p>
        </w:tc>
        <w:tc>
          <w:tcPr>
            <w:tcW w:w="2563" w:type="dxa"/>
            <w:gridSpan w:val="3"/>
            <w:vAlign w:val="center"/>
          </w:tcPr>
          <w:p>
            <w:pPr>
              <w:widowControl/>
              <w:jc w:val="center"/>
              <w:rPr>
                <w:rFonts w:ascii="宋体" w:hAnsi="宋体" w:cs="宋体"/>
                <w:bCs/>
                <w:color w:val="auto"/>
                <w:kern w:val="0"/>
                <w:sz w:val="24"/>
              </w:rPr>
            </w:pPr>
          </w:p>
          <w:p>
            <w:pPr>
              <w:pStyle w:val="31"/>
              <w:shd w:val="clear" w:color="auto" w:fill="FFFFFF"/>
              <w:spacing w:before="0" w:beforeAutospacing="0" w:after="0" w:afterAutospacing="0"/>
              <w:jc w:val="center"/>
              <w:rPr>
                <w:bCs/>
                <w:color w:val="auto"/>
              </w:rPr>
            </w:pPr>
          </w:p>
        </w:tc>
        <w:tc>
          <w:tcPr>
            <w:tcW w:w="1062" w:type="dxa"/>
            <w:vAlign w:val="center"/>
          </w:tcPr>
          <w:p>
            <w:pPr>
              <w:pStyle w:val="31"/>
              <w:shd w:val="clear" w:color="auto" w:fill="FFFFFF"/>
              <w:spacing w:before="0" w:beforeAutospacing="0" w:after="0" w:afterAutospacing="0"/>
              <w:jc w:val="center"/>
              <w:rPr>
                <w:bCs/>
                <w:color w:val="auto"/>
              </w:rPr>
            </w:pPr>
            <w:r>
              <w:rPr>
                <w:rFonts w:hint="eastAsia"/>
                <w:bCs/>
                <w:color w:val="auto"/>
              </w:rPr>
              <w:t>公司成立时间</w:t>
            </w:r>
          </w:p>
        </w:tc>
        <w:tc>
          <w:tcPr>
            <w:tcW w:w="933" w:type="dxa"/>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955" w:type="dxa"/>
            <w:vAlign w:val="center"/>
          </w:tcPr>
          <w:p>
            <w:pPr>
              <w:pStyle w:val="31"/>
              <w:shd w:val="clear" w:color="auto" w:fill="FFFFFF"/>
              <w:spacing w:before="0" w:beforeAutospacing="0" w:after="0" w:afterAutospacing="0"/>
              <w:jc w:val="center"/>
              <w:rPr>
                <w:bCs/>
                <w:color w:val="auto"/>
              </w:rPr>
            </w:pPr>
            <w:r>
              <w:rPr>
                <w:rFonts w:hint="eastAsia"/>
                <w:bCs/>
                <w:color w:val="auto"/>
              </w:rPr>
              <w:t>核准经营范围</w:t>
            </w:r>
          </w:p>
        </w:tc>
        <w:tc>
          <w:tcPr>
            <w:tcW w:w="7176" w:type="dxa"/>
            <w:gridSpan w:val="8"/>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8131" w:type="dxa"/>
            <w:gridSpan w:val="9"/>
            <w:vAlign w:val="center"/>
          </w:tcPr>
          <w:p>
            <w:pPr>
              <w:pStyle w:val="31"/>
              <w:shd w:val="clear" w:color="auto" w:fill="FFFFFF"/>
              <w:spacing w:before="0" w:beforeAutospacing="0" w:after="0" w:afterAutospacing="0"/>
              <w:jc w:val="center"/>
              <w:rPr>
                <w:bCs/>
                <w:color w:val="auto"/>
              </w:rPr>
            </w:pPr>
            <w:r>
              <w:rPr>
                <w:rFonts w:hint="eastAsia"/>
                <w:bCs/>
                <w:color w:val="auto"/>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3" w:type="dxa"/>
            <w:vMerge w:val="restart"/>
            <w:vAlign w:val="center"/>
          </w:tcPr>
          <w:p>
            <w:pPr>
              <w:pStyle w:val="31"/>
              <w:shd w:val="clear" w:color="auto" w:fill="FFFFFF"/>
              <w:spacing w:before="0" w:beforeAutospacing="0" w:after="0" w:afterAutospacing="0"/>
              <w:jc w:val="center"/>
              <w:rPr>
                <w:bCs/>
                <w:color w:val="auto"/>
              </w:rPr>
            </w:pPr>
            <w:r>
              <w:rPr>
                <w:bCs/>
                <w:color w:val="auto"/>
              </w:rPr>
              <w:t>2</w:t>
            </w:r>
            <w:r>
              <w:rPr>
                <w:rFonts w:hint="eastAsia"/>
                <w:bCs/>
                <w:color w:val="auto"/>
              </w:rPr>
              <w:t>．</w:t>
            </w:r>
          </w:p>
          <w:p>
            <w:pPr>
              <w:pStyle w:val="31"/>
              <w:shd w:val="clear" w:color="auto" w:fill="FFFFFF"/>
              <w:spacing w:before="0" w:beforeAutospacing="0" w:after="0" w:afterAutospacing="0"/>
              <w:jc w:val="center"/>
              <w:rPr>
                <w:bCs/>
                <w:color w:val="auto"/>
              </w:rPr>
            </w:pPr>
            <w:r>
              <w:rPr>
                <w:rFonts w:hint="eastAsia"/>
                <w:bCs/>
                <w:color w:val="auto"/>
              </w:rPr>
              <w:t>企业有关资质获证情况</w:t>
            </w:r>
          </w:p>
        </w:tc>
        <w:tc>
          <w:tcPr>
            <w:tcW w:w="1991" w:type="dxa"/>
            <w:gridSpan w:val="2"/>
            <w:vMerge w:val="restart"/>
            <w:vAlign w:val="center"/>
          </w:tcPr>
          <w:p>
            <w:pPr>
              <w:pStyle w:val="31"/>
              <w:shd w:val="clear" w:color="auto" w:fill="FFFFFF"/>
              <w:spacing w:before="0" w:beforeAutospacing="0" w:after="0" w:afterAutospacing="0"/>
              <w:jc w:val="center"/>
              <w:rPr>
                <w:bCs/>
                <w:color w:val="auto"/>
              </w:rPr>
            </w:pPr>
            <w:r>
              <w:rPr>
                <w:rFonts w:hint="eastAsia"/>
                <w:bCs/>
                <w:color w:val="auto"/>
              </w:rPr>
              <w:t>产品生产许可证情况（对需获得生产许可证的产品要填写此栏）</w:t>
            </w:r>
          </w:p>
        </w:tc>
        <w:tc>
          <w:tcPr>
            <w:tcW w:w="1036" w:type="dxa"/>
            <w:vAlign w:val="center"/>
          </w:tcPr>
          <w:p>
            <w:pPr>
              <w:pStyle w:val="31"/>
              <w:shd w:val="clear" w:color="auto" w:fill="FFFFFF"/>
              <w:spacing w:before="0" w:beforeAutospacing="0" w:after="0" w:afterAutospacing="0"/>
              <w:jc w:val="center"/>
              <w:rPr>
                <w:bCs/>
                <w:color w:val="auto"/>
              </w:rPr>
            </w:pPr>
            <w:r>
              <w:rPr>
                <w:rFonts w:hint="eastAsia"/>
                <w:bCs/>
                <w:color w:val="auto"/>
              </w:rPr>
              <w:t>产品名称</w:t>
            </w:r>
          </w:p>
        </w:tc>
        <w:tc>
          <w:tcPr>
            <w:tcW w:w="1528"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发证机关</w:t>
            </w:r>
          </w:p>
        </w:tc>
        <w:tc>
          <w:tcPr>
            <w:tcW w:w="1025" w:type="dxa"/>
            <w:vAlign w:val="center"/>
          </w:tcPr>
          <w:p>
            <w:pPr>
              <w:pStyle w:val="31"/>
              <w:shd w:val="clear" w:color="auto" w:fill="FFFFFF"/>
              <w:spacing w:before="0" w:beforeAutospacing="0" w:after="0" w:afterAutospacing="0"/>
              <w:jc w:val="center"/>
              <w:rPr>
                <w:bCs/>
                <w:color w:val="auto"/>
              </w:rPr>
            </w:pPr>
            <w:r>
              <w:rPr>
                <w:rFonts w:hint="eastAsia"/>
                <w:bCs/>
                <w:color w:val="auto"/>
              </w:rPr>
              <w:t>编号</w:t>
            </w:r>
          </w:p>
        </w:tc>
        <w:tc>
          <w:tcPr>
            <w:tcW w:w="1618"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发证时间</w:t>
            </w:r>
          </w:p>
        </w:tc>
        <w:tc>
          <w:tcPr>
            <w:tcW w:w="933" w:type="dxa"/>
            <w:vAlign w:val="center"/>
          </w:tcPr>
          <w:p>
            <w:pPr>
              <w:pStyle w:val="31"/>
              <w:shd w:val="clear" w:color="auto" w:fill="FFFFFF"/>
              <w:spacing w:before="0" w:beforeAutospacing="0" w:after="0" w:afterAutospacing="0"/>
              <w:jc w:val="center"/>
              <w:rPr>
                <w:bCs/>
                <w:color w:val="auto"/>
              </w:rPr>
            </w:pPr>
            <w:r>
              <w:rPr>
                <w:rFonts w:hint="eastAsia"/>
                <w:bCs/>
                <w:color w:val="auto"/>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1991" w:type="dxa"/>
            <w:gridSpan w:val="2"/>
            <w:vMerge w:val="continue"/>
            <w:vAlign w:val="center"/>
          </w:tcPr>
          <w:p>
            <w:pPr>
              <w:pStyle w:val="31"/>
              <w:shd w:val="clear" w:color="auto" w:fill="FFFFFF"/>
              <w:spacing w:before="0" w:beforeAutospacing="0" w:after="0" w:afterAutospacing="0"/>
              <w:jc w:val="center"/>
              <w:rPr>
                <w:bCs/>
                <w:color w:val="auto"/>
              </w:rPr>
            </w:pPr>
          </w:p>
        </w:tc>
        <w:tc>
          <w:tcPr>
            <w:tcW w:w="1036" w:type="dxa"/>
            <w:vAlign w:val="center"/>
          </w:tcPr>
          <w:p>
            <w:pPr>
              <w:pStyle w:val="31"/>
              <w:shd w:val="clear" w:color="auto" w:fill="FFFFFF"/>
              <w:spacing w:before="0" w:beforeAutospacing="0" w:after="0" w:afterAutospacing="0"/>
              <w:jc w:val="center"/>
              <w:rPr>
                <w:bCs/>
                <w:color w:val="auto"/>
              </w:rPr>
            </w:pPr>
          </w:p>
        </w:tc>
        <w:tc>
          <w:tcPr>
            <w:tcW w:w="1528" w:type="dxa"/>
            <w:gridSpan w:val="2"/>
            <w:vAlign w:val="center"/>
          </w:tcPr>
          <w:p>
            <w:pPr>
              <w:pStyle w:val="31"/>
              <w:shd w:val="clear" w:color="auto" w:fill="FFFFFF"/>
              <w:spacing w:before="0" w:beforeAutospacing="0" w:after="0" w:afterAutospacing="0"/>
              <w:jc w:val="center"/>
              <w:rPr>
                <w:bCs/>
                <w:color w:val="auto"/>
              </w:rPr>
            </w:pPr>
          </w:p>
        </w:tc>
        <w:tc>
          <w:tcPr>
            <w:tcW w:w="1025" w:type="dxa"/>
            <w:vAlign w:val="center"/>
          </w:tcPr>
          <w:p>
            <w:pPr>
              <w:pStyle w:val="31"/>
              <w:shd w:val="clear" w:color="auto" w:fill="FFFFFF"/>
              <w:spacing w:before="0" w:beforeAutospacing="0" w:after="0" w:afterAutospacing="0"/>
              <w:jc w:val="center"/>
              <w:rPr>
                <w:bCs/>
                <w:color w:val="auto"/>
              </w:rPr>
            </w:pPr>
          </w:p>
        </w:tc>
        <w:tc>
          <w:tcPr>
            <w:tcW w:w="2551" w:type="dxa"/>
            <w:gridSpan w:val="3"/>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199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企业通过质量体系、环保体系、计量等认证情况</w:t>
            </w:r>
          </w:p>
        </w:tc>
        <w:tc>
          <w:tcPr>
            <w:tcW w:w="6140" w:type="dxa"/>
            <w:gridSpan w:val="7"/>
            <w:vAlign w:val="center"/>
          </w:tcPr>
          <w:p>
            <w:pPr>
              <w:pStyle w:val="31"/>
              <w:shd w:val="clear" w:color="auto" w:fill="FFFFFF"/>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23" w:type="dxa"/>
            <w:vMerge w:val="continue"/>
            <w:vAlign w:val="center"/>
          </w:tcPr>
          <w:p>
            <w:pPr>
              <w:pStyle w:val="31"/>
              <w:shd w:val="clear" w:color="auto" w:fill="FFFFFF"/>
              <w:spacing w:before="0" w:beforeAutospacing="0" w:after="0" w:afterAutospacing="0"/>
              <w:jc w:val="center"/>
              <w:rPr>
                <w:bCs/>
                <w:color w:val="auto"/>
              </w:rPr>
            </w:pPr>
          </w:p>
        </w:tc>
        <w:tc>
          <w:tcPr>
            <w:tcW w:w="1991" w:type="dxa"/>
            <w:gridSpan w:val="2"/>
            <w:vAlign w:val="center"/>
          </w:tcPr>
          <w:p>
            <w:pPr>
              <w:pStyle w:val="31"/>
              <w:shd w:val="clear" w:color="auto" w:fill="FFFFFF"/>
              <w:spacing w:before="0" w:beforeAutospacing="0" w:after="0" w:afterAutospacing="0"/>
              <w:jc w:val="center"/>
              <w:rPr>
                <w:bCs/>
                <w:color w:val="auto"/>
              </w:rPr>
            </w:pPr>
            <w:r>
              <w:rPr>
                <w:rFonts w:hint="eastAsia"/>
                <w:bCs/>
                <w:color w:val="auto"/>
              </w:rPr>
              <w:t>企业获得专利情况</w:t>
            </w:r>
          </w:p>
        </w:tc>
        <w:tc>
          <w:tcPr>
            <w:tcW w:w="6140" w:type="dxa"/>
            <w:gridSpan w:val="7"/>
            <w:vAlign w:val="center"/>
          </w:tcPr>
          <w:p>
            <w:pPr>
              <w:pStyle w:val="31"/>
              <w:shd w:val="clear" w:color="auto" w:fill="FFFFFF"/>
              <w:spacing w:before="0" w:beforeAutospacing="0" w:after="0" w:afterAutospacing="0"/>
              <w:jc w:val="center"/>
              <w:rPr>
                <w:bCs/>
                <w:color w:val="auto"/>
              </w:rPr>
            </w:pPr>
          </w:p>
        </w:tc>
      </w:tr>
    </w:tbl>
    <w:p>
      <w:pPr>
        <w:pStyle w:val="31"/>
        <w:shd w:val="clear" w:color="auto" w:fill="FFFFFF"/>
        <w:spacing w:before="0" w:beforeAutospacing="0" w:after="0" w:afterAutospacing="0" w:line="360" w:lineRule="auto"/>
        <w:rPr>
          <w:b/>
          <w:color w:val="auto"/>
          <w:sz w:val="21"/>
          <w:szCs w:val="21"/>
        </w:rPr>
      </w:pPr>
    </w:p>
    <w:p>
      <w:pPr>
        <w:pStyle w:val="31"/>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spacing w:line="360" w:lineRule="auto"/>
        <w:ind w:firstLine="424" w:firstLineChars="177"/>
        <w:rPr>
          <w:rFonts w:ascii="宋体" w:hAnsi="宋体"/>
          <w:color w:val="auto"/>
          <w:sz w:val="24"/>
        </w:rPr>
      </w:pPr>
      <w:r>
        <w:rPr>
          <w:rFonts w:hint="eastAsia" w:ascii="宋体" w:hAnsi="宋体"/>
          <w:color w:val="auto"/>
          <w:sz w:val="24"/>
        </w:rPr>
        <w:t>1.姓名栏必须将所有股东都统计在内，若非股份公司此行（第三行）无需填写；</w:t>
      </w:r>
    </w:p>
    <w:p>
      <w:pPr>
        <w:spacing w:line="360" w:lineRule="auto"/>
        <w:ind w:firstLine="424" w:firstLineChars="177"/>
        <w:rPr>
          <w:rFonts w:ascii="宋体" w:hAnsi="宋体"/>
          <w:color w:val="auto"/>
          <w:sz w:val="24"/>
          <w:u w:val="single"/>
        </w:rPr>
      </w:pPr>
      <w:r>
        <w:rPr>
          <w:rFonts w:hint="eastAsia" w:ascii="宋体" w:hAnsi="宋体"/>
          <w:color w:val="auto"/>
          <w:sz w:val="24"/>
        </w:rPr>
        <w:t>投标人名称（电子印章）：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投标人代表签字或电子印章：</w:t>
      </w: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pStyle w:val="31"/>
        <w:shd w:val="clear" w:color="auto" w:fill="FFFFFF"/>
        <w:spacing w:before="0" w:beforeAutospacing="0" w:after="0" w:afterAutospacing="0" w:line="360" w:lineRule="auto"/>
        <w:ind w:firstLine="424" w:firstLineChars="177"/>
        <w:rPr>
          <w:b/>
          <w:bCs/>
          <w:color w:val="auto"/>
        </w:rPr>
      </w:pPr>
      <w:r>
        <w:rPr>
          <w:rFonts w:hint="eastAsia"/>
          <w:color w:val="auto"/>
        </w:rPr>
        <w:t>日        期：：</w:t>
      </w:r>
    </w:p>
    <w:p>
      <w:pPr>
        <w:spacing w:line="360" w:lineRule="auto"/>
        <w:rPr>
          <w:rFonts w:ascii="宋体" w:hAnsi="宋体"/>
          <w:b/>
          <w:color w:val="auto"/>
          <w:sz w:val="28"/>
        </w:rPr>
      </w:pPr>
      <w:r>
        <w:rPr>
          <w:rFonts w:hint="eastAsia" w:ascii="宋体" w:hAnsi="宋体"/>
          <w:b/>
          <w:color w:val="auto"/>
          <w:sz w:val="28"/>
        </w:rPr>
        <w:t>附件6</w:t>
      </w:r>
    </w:p>
    <w:p>
      <w:pPr>
        <w:spacing w:line="360" w:lineRule="auto"/>
        <w:ind w:left="480"/>
        <w:jc w:val="center"/>
        <w:rPr>
          <w:rFonts w:ascii="宋体" w:hAnsi="宋体"/>
          <w:b/>
          <w:color w:val="auto"/>
          <w:sz w:val="32"/>
          <w:szCs w:val="32"/>
        </w:rPr>
      </w:pPr>
      <w:bookmarkStart w:id="67" w:name="_Toc26601_WPSOffice_Level1"/>
      <w:bookmarkStart w:id="68" w:name="_Toc12856_WPSOffice_Level1"/>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bookmarkEnd w:id="67"/>
      <w:bookmarkEnd w:id="68"/>
    </w:p>
    <w:p>
      <w:pPr>
        <w:spacing w:line="360" w:lineRule="auto"/>
        <w:rPr>
          <w:rFonts w:ascii="宋体" w:hAnsi="宋体"/>
          <w:color w:val="auto"/>
          <w:sz w:val="24"/>
        </w:rPr>
      </w:pPr>
    </w:p>
    <w:tbl>
      <w:tblPr>
        <w:tblStyle w:val="25"/>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57"/>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color w:val="auto"/>
                <w:sz w:val="24"/>
              </w:rPr>
            </w:pPr>
            <w:r>
              <w:rPr>
                <w:rFonts w:hint="eastAsia" w:ascii="宋体" w:hAnsi="宋体"/>
                <w:b/>
                <w:color w:val="auto"/>
                <w:sz w:val="24"/>
              </w:rPr>
              <w:t>序号</w:t>
            </w:r>
          </w:p>
        </w:tc>
        <w:tc>
          <w:tcPr>
            <w:tcW w:w="2457" w:type="dxa"/>
            <w:vAlign w:val="center"/>
          </w:tcPr>
          <w:p>
            <w:pPr>
              <w:jc w:val="center"/>
              <w:rPr>
                <w:rFonts w:ascii="宋体" w:hAnsi="宋体"/>
                <w:b/>
                <w:color w:val="auto"/>
                <w:sz w:val="24"/>
              </w:rPr>
            </w:pPr>
            <w:r>
              <w:rPr>
                <w:rFonts w:hint="eastAsia" w:ascii="宋体" w:hAnsi="宋体"/>
                <w:b/>
                <w:color w:val="auto"/>
                <w:sz w:val="24"/>
              </w:rPr>
              <w:t>名称</w:t>
            </w:r>
          </w:p>
        </w:tc>
        <w:tc>
          <w:tcPr>
            <w:tcW w:w="1449" w:type="dxa"/>
            <w:vAlign w:val="center"/>
          </w:tcPr>
          <w:p>
            <w:pPr>
              <w:ind w:left="52"/>
              <w:jc w:val="center"/>
              <w:rPr>
                <w:rFonts w:ascii="宋体" w:hAnsi="宋体"/>
                <w:b/>
                <w:color w:val="auto"/>
                <w:sz w:val="24"/>
              </w:rPr>
            </w:pPr>
            <w:r>
              <w:rPr>
                <w:rFonts w:hint="eastAsia" w:ascii="宋体" w:hAnsi="宋体"/>
                <w:b/>
                <w:color w:val="auto"/>
                <w:sz w:val="24"/>
              </w:rPr>
              <w:t>规格型号</w:t>
            </w:r>
          </w:p>
        </w:tc>
        <w:tc>
          <w:tcPr>
            <w:tcW w:w="1560" w:type="dxa"/>
            <w:vAlign w:val="center"/>
          </w:tcPr>
          <w:p>
            <w:pPr>
              <w:ind w:left="152"/>
              <w:jc w:val="center"/>
              <w:rPr>
                <w:rFonts w:ascii="宋体" w:hAnsi="宋体"/>
                <w:b/>
                <w:color w:val="auto"/>
                <w:sz w:val="24"/>
              </w:rPr>
            </w:pPr>
            <w:r>
              <w:rPr>
                <w:rFonts w:hint="eastAsia" w:ascii="宋体" w:hAnsi="宋体"/>
                <w:b/>
                <w:color w:val="auto"/>
                <w:sz w:val="24"/>
              </w:rPr>
              <w:t>招标参数</w:t>
            </w:r>
          </w:p>
        </w:tc>
        <w:tc>
          <w:tcPr>
            <w:tcW w:w="1401" w:type="dxa"/>
            <w:vAlign w:val="center"/>
          </w:tcPr>
          <w:p>
            <w:pPr>
              <w:jc w:val="center"/>
              <w:rPr>
                <w:rFonts w:ascii="宋体" w:hAnsi="宋体"/>
                <w:b/>
                <w:color w:val="auto"/>
                <w:sz w:val="24"/>
              </w:rPr>
            </w:pPr>
            <w:r>
              <w:rPr>
                <w:rFonts w:hint="eastAsia" w:ascii="宋体" w:hAnsi="宋体"/>
                <w:b/>
                <w:color w:val="auto"/>
                <w:sz w:val="24"/>
              </w:rPr>
              <w:t>投标参数</w:t>
            </w:r>
          </w:p>
        </w:tc>
        <w:tc>
          <w:tcPr>
            <w:tcW w:w="1365" w:type="dxa"/>
            <w:vAlign w:val="center"/>
          </w:tcPr>
          <w:p>
            <w:pPr>
              <w:jc w:val="center"/>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jc w:val="center"/>
              <w:rPr>
                <w:rFonts w:ascii="宋体" w:hAnsi="宋体"/>
                <w:color w:val="auto"/>
                <w:sz w:val="24"/>
              </w:rPr>
            </w:pPr>
          </w:p>
        </w:tc>
        <w:tc>
          <w:tcPr>
            <w:tcW w:w="2457" w:type="dxa"/>
            <w:vAlign w:val="center"/>
          </w:tcPr>
          <w:p>
            <w:pPr>
              <w:jc w:val="center"/>
              <w:rPr>
                <w:rFonts w:ascii="宋体" w:hAnsi="宋体"/>
                <w:color w:val="auto"/>
                <w:sz w:val="24"/>
              </w:rPr>
            </w:pPr>
          </w:p>
        </w:tc>
        <w:tc>
          <w:tcPr>
            <w:tcW w:w="1449" w:type="dxa"/>
            <w:vAlign w:val="center"/>
          </w:tcPr>
          <w:p>
            <w:pPr>
              <w:jc w:val="center"/>
              <w:rPr>
                <w:rFonts w:ascii="宋体" w:hAnsi="宋体"/>
                <w:color w:val="auto"/>
                <w:sz w:val="24"/>
              </w:rPr>
            </w:pPr>
          </w:p>
        </w:tc>
        <w:tc>
          <w:tcPr>
            <w:tcW w:w="1560" w:type="dxa"/>
            <w:vAlign w:val="center"/>
          </w:tcPr>
          <w:p>
            <w:pPr>
              <w:jc w:val="center"/>
              <w:rPr>
                <w:rFonts w:ascii="宋体" w:hAnsi="宋体"/>
                <w:color w:val="auto"/>
                <w:sz w:val="24"/>
              </w:rPr>
            </w:pPr>
          </w:p>
        </w:tc>
        <w:tc>
          <w:tcPr>
            <w:tcW w:w="1401" w:type="dxa"/>
            <w:vAlign w:val="center"/>
          </w:tcPr>
          <w:p>
            <w:pPr>
              <w:jc w:val="center"/>
              <w:rPr>
                <w:rFonts w:ascii="宋体" w:hAnsi="宋体"/>
                <w:color w:val="auto"/>
                <w:sz w:val="24"/>
              </w:rPr>
            </w:pPr>
          </w:p>
        </w:tc>
        <w:tc>
          <w:tcPr>
            <w:tcW w:w="1365" w:type="dxa"/>
            <w:vAlign w:val="center"/>
          </w:tcPr>
          <w:p>
            <w:pPr>
              <w:jc w:val="center"/>
              <w:rPr>
                <w:rFonts w:ascii="宋体" w:hAnsi="宋体"/>
                <w:color w:val="auto"/>
                <w:sz w:val="24"/>
              </w:rPr>
            </w:pPr>
          </w:p>
        </w:tc>
      </w:tr>
    </w:tbl>
    <w:p>
      <w:pPr>
        <w:pStyle w:val="33"/>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33"/>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pPr>
        <w:pStyle w:val="33"/>
        <w:spacing w:line="360" w:lineRule="auto"/>
        <w:ind w:right="84" w:rightChars="40" w:firstLine="420" w:firstLineChars="200"/>
        <w:rPr>
          <w:rFonts w:ascii="宋体"/>
          <w:color w:val="auto"/>
          <w:szCs w:val="21"/>
        </w:rPr>
      </w:pPr>
      <w:r>
        <w:rPr>
          <w:rFonts w:hint="eastAsia" w:ascii="宋体"/>
          <w:color w:val="auto"/>
          <w:szCs w:val="21"/>
        </w:rPr>
        <w:t>2.本表参照本招标文件第三章“招标需求”内具体技术需求填制，投标人应根据投标设备的性能指标、服务指标，对照招标文件要求在“偏离情况”栏注明“正偏离”、“负偏离”或“无偏离”。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auto"/>
          <w:szCs w:val="21"/>
        </w:rPr>
      </w:pPr>
      <w:r>
        <w:rPr>
          <w:rFonts w:hint="eastAsia" w:ascii="宋体"/>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pStyle w:val="14"/>
        <w:rPr>
          <w:color w:val="auto"/>
        </w:rPr>
      </w:pPr>
    </w:p>
    <w:p>
      <w:pPr>
        <w:spacing w:line="360" w:lineRule="auto"/>
        <w:rPr>
          <w:rFonts w:ascii="宋体" w:hAnsi="宋体"/>
          <w:b/>
          <w:color w:val="auto"/>
          <w:sz w:val="28"/>
        </w:rPr>
      </w:pPr>
    </w:p>
    <w:p>
      <w:pPr>
        <w:spacing w:line="360" w:lineRule="auto"/>
        <w:rPr>
          <w:rFonts w:ascii="宋体" w:hAnsi="宋体"/>
          <w:color w:val="auto"/>
          <w:sz w:val="24"/>
        </w:rPr>
      </w:pPr>
      <w:r>
        <w:rPr>
          <w:rFonts w:hint="eastAsia" w:ascii="宋体" w:hAnsi="宋体"/>
          <w:b/>
          <w:color w:val="auto"/>
          <w:sz w:val="28"/>
        </w:rPr>
        <w:t>附件7</w:t>
      </w:r>
    </w:p>
    <w:p>
      <w:pPr>
        <w:snapToGrid w:val="0"/>
        <w:spacing w:before="156" w:beforeLines="50" w:after="50" w:line="360" w:lineRule="auto"/>
        <w:jc w:val="center"/>
        <w:rPr>
          <w:rFonts w:ascii="宋体" w:hAnsi="宋体"/>
          <w:b/>
          <w:color w:val="auto"/>
          <w:sz w:val="36"/>
          <w:szCs w:val="36"/>
        </w:rPr>
      </w:pPr>
      <w:bookmarkStart w:id="69" w:name="_Toc23671_WPSOffice_Level1"/>
      <w:bookmarkStart w:id="70" w:name="_Toc20569_WPSOffice_Level1"/>
      <w:r>
        <w:rPr>
          <w:rFonts w:hint="eastAsia" w:ascii="宋体" w:hAnsi="宋体"/>
          <w:b/>
          <w:color w:val="auto"/>
          <w:sz w:val="32"/>
          <w:szCs w:val="32"/>
        </w:rPr>
        <w:t>项目实施人员一览表（第 标）</w:t>
      </w:r>
      <w:bookmarkEnd w:id="69"/>
      <w:bookmarkEnd w:id="70"/>
    </w:p>
    <w:p>
      <w:pPr>
        <w:snapToGrid w:val="0"/>
        <w:spacing w:before="156"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5"/>
        <w:tblW w:w="91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szCs w:val="20"/>
              </w:rPr>
              <w:t>序号</w:t>
            </w:r>
          </w:p>
        </w:tc>
        <w:tc>
          <w:tcPr>
            <w:tcW w:w="8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8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8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8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156"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156"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8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8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pPr>
        <w:pStyle w:val="32"/>
        <w:spacing w:line="360" w:lineRule="auto"/>
        <w:ind w:left="424" w:leftChars="202"/>
        <w:rPr>
          <w:rFonts w:ascii="宋体" w:hAnsi="宋体"/>
          <w:color w:val="auto"/>
          <w:szCs w:val="21"/>
        </w:rPr>
      </w:pPr>
      <w:r>
        <w:rPr>
          <w:rFonts w:hint="eastAsia" w:ascii="宋体" w:hAnsi="宋体"/>
          <w:color w:val="auto"/>
          <w:szCs w:val="21"/>
        </w:rPr>
        <w:t>2.附人员证书复印件；</w:t>
      </w:r>
    </w:p>
    <w:p>
      <w:pPr>
        <w:pStyle w:val="32"/>
        <w:spacing w:line="360" w:lineRule="auto"/>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w:t>
      </w:r>
      <w:r>
        <w:rPr>
          <w:rFonts w:hint="eastAsia" w:ascii="宋体" w:hAnsi="宋体"/>
          <w:color w:val="auto"/>
          <w:szCs w:val="21"/>
        </w:rPr>
        <w:t>3</w:t>
      </w:r>
      <w:r>
        <w:rPr>
          <w:rFonts w:ascii="宋体" w:hAnsi="宋体"/>
          <w:color w:val="auto"/>
          <w:szCs w:val="21"/>
        </w:rPr>
        <w:t>个月以内的</w:t>
      </w:r>
      <w:r>
        <w:rPr>
          <w:rFonts w:hint="eastAsia" w:ascii="宋体" w:hAnsi="宋体"/>
          <w:color w:val="auto"/>
          <w:szCs w:val="21"/>
        </w:rPr>
        <w:t>代缴个税税单、参加社会保险的《投保单》或《社会保险参保人员证明》等。</w:t>
      </w:r>
    </w:p>
    <w:p>
      <w:pPr>
        <w:snapToGrid w:val="0"/>
        <w:spacing w:before="50" w:after="156" w:afterLines="50" w:line="360" w:lineRule="auto"/>
        <w:jc w:val="left"/>
        <w:rPr>
          <w:rFonts w:ascii="宋体" w:hAnsi="宋体"/>
          <w:color w:val="auto"/>
          <w:sz w:val="24"/>
          <w:szCs w:val="20"/>
        </w:rPr>
      </w:pPr>
    </w:p>
    <w:p>
      <w:pPr>
        <w:snapToGrid w:val="0"/>
        <w:spacing w:before="50" w:after="156" w:afterLines="50" w:line="360" w:lineRule="auto"/>
        <w:jc w:val="left"/>
        <w:rPr>
          <w:rFonts w:ascii="宋体" w:hAnsi="宋体"/>
          <w:color w:val="auto"/>
          <w:sz w:val="24"/>
          <w:szCs w:val="20"/>
        </w:rPr>
      </w:pPr>
    </w:p>
    <w:p>
      <w:pPr>
        <w:spacing w:line="360" w:lineRule="auto"/>
        <w:ind w:left="42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p>
    <w:p>
      <w:pPr>
        <w:pStyle w:val="14"/>
        <w:ind w:firstLine="0"/>
        <w:rPr>
          <w:color w:val="auto"/>
        </w:rPr>
      </w:pPr>
    </w:p>
    <w:p>
      <w:pPr>
        <w:spacing w:line="360" w:lineRule="auto"/>
        <w:rPr>
          <w:rFonts w:ascii="宋体" w:hAnsi="宋体"/>
          <w:color w:val="auto"/>
        </w:rPr>
      </w:pPr>
      <w:r>
        <w:rPr>
          <w:rFonts w:hint="eastAsia" w:ascii="宋体" w:hAnsi="宋体"/>
          <w:b/>
          <w:color w:val="auto"/>
          <w:sz w:val="28"/>
        </w:rPr>
        <w:t>附件8</w:t>
      </w:r>
    </w:p>
    <w:p>
      <w:pPr>
        <w:spacing w:before="156" w:beforeLines="50" w:after="156" w:afterLines="50" w:line="360" w:lineRule="auto"/>
        <w:ind w:right="-10"/>
        <w:jc w:val="center"/>
        <w:rPr>
          <w:rFonts w:ascii="宋体" w:hAnsi="宋体"/>
          <w:b/>
          <w:bCs/>
          <w:color w:val="auto"/>
          <w:sz w:val="32"/>
          <w:szCs w:val="32"/>
        </w:rPr>
      </w:pPr>
      <w:bookmarkStart w:id="71" w:name="_Toc23055_WPSOffice_Level1"/>
      <w:bookmarkStart w:id="72" w:name="_Toc12710_WPSOffice_Level1"/>
      <w:r>
        <w:rPr>
          <w:rFonts w:hint="eastAsia" w:ascii="宋体" w:hAnsi="宋体"/>
          <w:b/>
          <w:bCs/>
          <w:color w:val="auto"/>
          <w:sz w:val="32"/>
          <w:szCs w:val="32"/>
        </w:rPr>
        <w:t>项目负责人/技术负责人资格情况表</w:t>
      </w:r>
      <w:bookmarkEnd w:id="71"/>
      <w:bookmarkEnd w:id="72"/>
    </w:p>
    <w:p>
      <w:pPr>
        <w:spacing w:line="360" w:lineRule="auto"/>
        <w:rPr>
          <w:rFonts w:ascii="宋体" w:hAnsi="宋体"/>
          <w:color w:val="auto"/>
        </w:rPr>
      </w:pPr>
      <w:r>
        <w:rPr>
          <w:rFonts w:hint="eastAsia" w:ascii="宋体" w:hAnsi="宋体"/>
          <w:color w:val="auto"/>
        </w:rPr>
        <w:t>采购项目：                                            采购编号：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bl>
    <w:p>
      <w:pPr>
        <w:spacing w:line="360" w:lineRule="auto"/>
        <w:ind w:left="420"/>
        <w:rPr>
          <w:rFonts w:ascii="宋体" w:hAnsi="宋体"/>
          <w:color w:val="auto"/>
          <w:sz w:val="24"/>
        </w:rPr>
      </w:pPr>
    </w:p>
    <w:p>
      <w:pPr>
        <w:spacing w:line="360" w:lineRule="auto"/>
        <w:ind w:firstLine="480" w:firstLineChars="20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napToGrid w:val="0"/>
        <w:spacing w:before="50" w:after="50" w:line="360" w:lineRule="auto"/>
        <w:rPr>
          <w:rFonts w:ascii="宋体" w:hAnsi="宋体"/>
          <w:b/>
          <w:color w:val="auto"/>
          <w:sz w:val="28"/>
        </w:rPr>
      </w:pPr>
    </w:p>
    <w:p>
      <w:pPr>
        <w:snapToGrid w:val="0"/>
        <w:spacing w:before="50" w:after="50" w:line="360" w:lineRule="auto"/>
        <w:rPr>
          <w:rFonts w:ascii="宋体" w:hAnsi="宋体"/>
          <w:b/>
          <w:color w:val="auto"/>
          <w:sz w:val="28"/>
        </w:rPr>
      </w:pPr>
      <w:r>
        <w:rPr>
          <w:rFonts w:hint="eastAsia" w:ascii="宋体" w:hAnsi="宋体"/>
          <w:b/>
          <w:color w:val="auto"/>
          <w:sz w:val="28"/>
        </w:rPr>
        <w:t>附件9</w:t>
      </w:r>
    </w:p>
    <w:p>
      <w:pPr>
        <w:spacing w:line="360" w:lineRule="auto"/>
        <w:ind w:left="480"/>
        <w:jc w:val="center"/>
        <w:rPr>
          <w:rFonts w:ascii="宋体" w:hAnsi="宋体"/>
          <w:b/>
          <w:color w:val="auto"/>
          <w:sz w:val="32"/>
          <w:szCs w:val="32"/>
        </w:rPr>
      </w:pPr>
      <w:r>
        <w:rPr>
          <w:rFonts w:hint="eastAsia" w:ascii="宋体" w:hAnsi="宋体"/>
          <w:b/>
          <w:color w:val="auto"/>
          <w:sz w:val="32"/>
          <w:szCs w:val="32"/>
        </w:rPr>
        <w:t>服务实施情况表（视情制作）</w:t>
      </w:r>
    </w:p>
    <w:p>
      <w:pPr>
        <w:spacing w:line="360" w:lineRule="auto"/>
        <w:ind w:firstLine="435"/>
        <w:rPr>
          <w:rFonts w:ascii="宋体" w:hAnsi="宋体"/>
          <w:b/>
          <w:color w:val="auto"/>
          <w:sz w:val="28"/>
        </w:rPr>
      </w:pPr>
    </w:p>
    <w:tbl>
      <w:tblPr>
        <w:tblStyle w:val="25"/>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auto"/>
                <w:sz w:val="24"/>
              </w:rPr>
            </w:pPr>
            <w:r>
              <w:rPr>
                <w:rFonts w:hint="eastAsia" w:ascii="宋体" w:hAnsi="宋体" w:cs="Arial"/>
                <w:b/>
                <w:color w:val="auto"/>
                <w:sz w:val="24"/>
              </w:rPr>
              <w:t>序号</w:t>
            </w:r>
          </w:p>
        </w:tc>
        <w:tc>
          <w:tcPr>
            <w:tcW w:w="2685" w:type="dxa"/>
            <w:vAlign w:val="center"/>
          </w:tcPr>
          <w:p>
            <w:pPr>
              <w:pStyle w:val="36"/>
              <w:spacing w:line="360" w:lineRule="auto"/>
              <w:jc w:val="center"/>
              <w:rPr>
                <w:rFonts w:ascii="宋体" w:hAnsi="宋体" w:cs="Arial"/>
                <w:b/>
                <w:color w:val="auto"/>
                <w:sz w:val="24"/>
              </w:rPr>
            </w:pPr>
            <w:r>
              <w:rPr>
                <w:rFonts w:hint="eastAsia" w:ascii="宋体" w:hAnsi="宋体" w:cs="Arial"/>
                <w:b/>
                <w:color w:val="auto"/>
                <w:sz w:val="24"/>
              </w:rPr>
              <w:t>项目</w:t>
            </w:r>
          </w:p>
        </w:tc>
        <w:tc>
          <w:tcPr>
            <w:tcW w:w="3731" w:type="dxa"/>
            <w:vAlign w:val="center"/>
          </w:tcPr>
          <w:p>
            <w:pPr>
              <w:pStyle w:val="36"/>
              <w:spacing w:line="360" w:lineRule="auto"/>
              <w:jc w:val="center"/>
              <w:rPr>
                <w:rFonts w:ascii="宋体" w:hAnsi="宋体" w:cs="Arial"/>
                <w:b/>
                <w:color w:val="auto"/>
                <w:sz w:val="24"/>
              </w:rPr>
            </w:pPr>
            <w:r>
              <w:rPr>
                <w:rFonts w:hint="eastAsia" w:ascii="宋体" w:hAnsi="宋体" w:cs="Arial"/>
                <w:b/>
                <w:color w:val="auto"/>
                <w:sz w:val="24"/>
              </w:rPr>
              <w:t>投标人承诺</w:t>
            </w:r>
          </w:p>
        </w:tc>
        <w:tc>
          <w:tcPr>
            <w:tcW w:w="1373" w:type="dxa"/>
            <w:vAlign w:val="center"/>
          </w:tcPr>
          <w:p>
            <w:pPr>
              <w:pStyle w:val="36"/>
              <w:spacing w:line="360" w:lineRule="auto"/>
              <w:jc w:val="center"/>
              <w:rPr>
                <w:rFonts w:ascii="宋体" w:hAnsi="宋体" w:cs="Arial"/>
                <w:b/>
                <w:color w:val="auto"/>
                <w:sz w:val="24"/>
              </w:rPr>
            </w:pPr>
            <w:r>
              <w:rPr>
                <w:rFonts w:hint="eastAsia" w:ascii="宋体" w:hAnsi="宋体" w:cs="Arial"/>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Align w:val="center"/>
          </w:tcPr>
          <w:p>
            <w:pPr>
              <w:pStyle w:val="36"/>
              <w:spacing w:line="360" w:lineRule="auto"/>
              <w:jc w:val="center"/>
              <w:rPr>
                <w:rFonts w:ascii="宋体" w:hAnsi="宋体" w:cs="Arial"/>
                <w:bCs/>
                <w:color w:val="auto"/>
                <w:sz w:val="24"/>
              </w:rPr>
            </w:pPr>
            <w:r>
              <w:rPr>
                <w:rFonts w:hint="eastAsia" w:ascii="宋体" w:hAnsi="宋体" w:cs="Arial"/>
                <w:bCs/>
                <w:color w:val="auto"/>
                <w:sz w:val="24"/>
              </w:rPr>
              <w:t>1</w:t>
            </w:r>
          </w:p>
        </w:tc>
        <w:tc>
          <w:tcPr>
            <w:tcW w:w="2685" w:type="dxa"/>
            <w:vAlign w:val="center"/>
          </w:tcPr>
          <w:p>
            <w:pPr>
              <w:pStyle w:val="36"/>
              <w:widowControl/>
              <w:spacing w:line="360" w:lineRule="auto"/>
              <w:jc w:val="left"/>
              <w:rPr>
                <w:rFonts w:ascii="宋体" w:hAnsi="宋体" w:cs="Arial"/>
                <w:bCs/>
                <w:color w:val="auto"/>
                <w:sz w:val="24"/>
              </w:rPr>
            </w:pPr>
          </w:p>
        </w:tc>
        <w:tc>
          <w:tcPr>
            <w:tcW w:w="3731" w:type="dxa"/>
          </w:tcPr>
          <w:p>
            <w:pPr>
              <w:pStyle w:val="36"/>
              <w:spacing w:line="360" w:lineRule="auto"/>
              <w:rPr>
                <w:rFonts w:ascii="宋体" w:hAnsi="宋体" w:cs="Arial"/>
                <w:bCs/>
                <w:color w:val="auto"/>
                <w:sz w:val="24"/>
              </w:rPr>
            </w:pPr>
          </w:p>
        </w:tc>
        <w:tc>
          <w:tcPr>
            <w:tcW w:w="1373" w:type="dxa"/>
          </w:tcPr>
          <w:p>
            <w:pPr>
              <w:pStyle w:val="36"/>
              <w:spacing w:line="360" w:lineRule="auto"/>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vAlign w:val="center"/>
          </w:tcPr>
          <w:p>
            <w:pPr>
              <w:pStyle w:val="36"/>
              <w:spacing w:line="360" w:lineRule="auto"/>
              <w:jc w:val="center"/>
              <w:rPr>
                <w:rFonts w:ascii="宋体" w:hAnsi="宋体" w:cs="Arial"/>
                <w:bCs/>
                <w:color w:val="auto"/>
                <w:sz w:val="24"/>
              </w:rPr>
            </w:pPr>
            <w:r>
              <w:rPr>
                <w:rFonts w:hint="eastAsia" w:ascii="宋体" w:hAnsi="宋体" w:cs="Arial"/>
                <w:bCs/>
                <w:color w:val="auto"/>
                <w:sz w:val="24"/>
              </w:rPr>
              <w:t>2</w:t>
            </w:r>
          </w:p>
        </w:tc>
        <w:tc>
          <w:tcPr>
            <w:tcW w:w="2685" w:type="dxa"/>
            <w:vAlign w:val="center"/>
          </w:tcPr>
          <w:p>
            <w:pPr>
              <w:pStyle w:val="36"/>
              <w:spacing w:line="360" w:lineRule="auto"/>
              <w:rPr>
                <w:rFonts w:ascii="宋体" w:hAnsi="宋体" w:cs="Arial"/>
                <w:bCs/>
                <w:color w:val="auto"/>
                <w:sz w:val="24"/>
              </w:rPr>
            </w:pPr>
          </w:p>
        </w:tc>
        <w:tc>
          <w:tcPr>
            <w:tcW w:w="3731" w:type="dxa"/>
          </w:tcPr>
          <w:p>
            <w:pPr>
              <w:pStyle w:val="36"/>
              <w:spacing w:line="360" w:lineRule="auto"/>
              <w:rPr>
                <w:rFonts w:ascii="宋体" w:hAnsi="宋体" w:cs="Arial"/>
                <w:bCs/>
                <w:color w:val="auto"/>
                <w:sz w:val="24"/>
              </w:rPr>
            </w:pPr>
          </w:p>
        </w:tc>
        <w:tc>
          <w:tcPr>
            <w:tcW w:w="1373" w:type="dxa"/>
          </w:tcPr>
          <w:p>
            <w:pPr>
              <w:pStyle w:val="36"/>
              <w:widowControl/>
              <w:spacing w:line="360" w:lineRule="auto"/>
              <w:jc w:val="left"/>
              <w:rPr>
                <w:rFonts w:ascii="宋体" w:hAnsi="宋体" w:cs="Arial"/>
                <w:bCs/>
                <w:color w:val="auto"/>
                <w:sz w:val="24"/>
              </w:rPr>
            </w:pPr>
          </w:p>
          <w:p>
            <w:pPr>
              <w:pStyle w:val="36"/>
              <w:widowControl/>
              <w:spacing w:line="360" w:lineRule="auto"/>
              <w:jc w:val="left"/>
              <w:rPr>
                <w:rFonts w:ascii="宋体" w:hAnsi="宋体" w:cs="Arial"/>
                <w:bCs/>
                <w:color w:val="auto"/>
                <w:sz w:val="24"/>
              </w:rPr>
            </w:pPr>
          </w:p>
          <w:p>
            <w:pPr>
              <w:pStyle w:val="36"/>
              <w:spacing w:line="360" w:lineRule="auto"/>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vAlign w:val="center"/>
          </w:tcPr>
          <w:p>
            <w:pPr>
              <w:pStyle w:val="36"/>
              <w:widowControl/>
              <w:spacing w:line="360" w:lineRule="auto"/>
              <w:jc w:val="left"/>
              <w:rPr>
                <w:rFonts w:ascii="宋体" w:hAnsi="宋体" w:cs="Arial"/>
                <w:bCs/>
                <w:color w:val="auto"/>
                <w:sz w:val="24"/>
              </w:rPr>
            </w:pPr>
            <w:r>
              <w:rPr>
                <w:rFonts w:hint="eastAsia" w:ascii="宋体" w:hAnsi="宋体" w:cs="Arial"/>
                <w:bCs/>
                <w:color w:val="auto"/>
                <w:sz w:val="24"/>
              </w:rPr>
              <w:t xml:space="preserve"> 3</w:t>
            </w:r>
          </w:p>
        </w:tc>
        <w:tc>
          <w:tcPr>
            <w:tcW w:w="2685" w:type="dxa"/>
            <w:vAlign w:val="center"/>
          </w:tcPr>
          <w:p>
            <w:pPr>
              <w:pStyle w:val="36"/>
              <w:widowControl/>
              <w:spacing w:line="360" w:lineRule="auto"/>
              <w:jc w:val="left"/>
              <w:rPr>
                <w:rFonts w:ascii="宋体" w:hAnsi="宋体" w:cs="Arial"/>
                <w:bCs/>
                <w:color w:val="auto"/>
                <w:sz w:val="24"/>
              </w:rPr>
            </w:pPr>
          </w:p>
        </w:tc>
        <w:tc>
          <w:tcPr>
            <w:tcW w:w="3731" w:type="dxa"/>
          </w:tcPr>
          <w:p>
            <w:pPr>
              <w:pStyle w:val="36"/>
              <w:widowControl/>
              <w:spacing w:line="360" w:lineRule="auto"/>
              <w:jc w:val="left"/>
              <w:rPr>
                <w:rFonts w:ascii="宋体" w:hAnsi="宋体" w:cs="Arial"/>
                <w:bCs/>
                <w:i/>
                <w:color w:val="auto"/>
                <w:sz w:val="24"/>
              </w:rPr>
            </w:pPr>
          </w:p>
        </w:tc>
        <w:tc>
          <w:tcPr>
            <w:tcW w:w="1373" w:type="dxa"/>
          </w:tcPr>
          <w:p>
            <w:pPr>
              <w:pStyle w:val="36"/>
              <w:widowControl/>
              <w:spacing w:line="360" w:lineRule="auto"/>
              <w:jc w:val="left"/>
              <w:rPr>
                <w:rFonts w:ascii="宋体" w:hAnsi="宋体" w:cs="Arial"/>
                <w:bCs/>
                <w:i/>
                <w:color w:val="auto"/>
                <w:sz w:val="24"/>
              </w:rPr>
            </w:pPr>
          </w:p>
          <w:p>
            <w:pPr>
              <w:pStyle w:val="36"/>
              <w:widowControl/>
              <w:spacing w:line="360" w:lineRule="auto"/>
              <w:jc w:val="left"/>
              <w:rPr>
                <w:rFonts w:ascii="宋体" w:hAnsi="宋体" w:cs="Arial"/>
                <w:bCs/>
                <w:i/>
                <w:color w:val="auto"/>
                <w:sz w:val="24"/>
              </w:rPr>
            </w:pPr>
          </w:p>
          <w:p>
            <w:pPr>
              <w:pStyle w:val="36"/>
              <w:widowControl/>
              <w:spacing w:line="360" w:lineRule="auto"/>
              <w:jc w:val="left"/>
              <w:rPr>
                <w:rFonts w:ascii="宋体" w:hAnsi="宋体" w:cs="Arial"/>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auto"/>
                <w:sz w:val="24"/>
              </w:rPr>
            </w:pPr>
            <w:r>
              <w:rPr>
                <w:rFonts w:ascii="宋体" w:hAnsi="宋体" w:cs="Arial"/>
                <w:bCs/>
                <w:color w:val="auto"/>
                <w:sz w:val="24"/>
              </w:rPr>
              <w:t>……</w:t>
            </w:r>
          </w:p>
        </w:tc>
        <w:tc>
          <w:tcPr>
            <w:tcW w:w="2685" w:type="dxa"/>
            <w:vAlign w:val="center"/>
          </w:tcPr>
          <w:p>
            <w:pPr>
              <w:pStyle w:val="36"/>
              <w:widowControl/>
              <w:spacing w:line="360" w:lineRule="auto"/>
              <w:jc w:val="left"/>
              <w:rPr>
                <w:rFonts w:ascii="宋体" w:hAnsi="宋体" w:cs="Arial"/>
                <w:bCs/>
                <w:color w:val="auto"/>
                <w:sz w:val="24"/>
              </w:rPr>
            </w:pPr>
            <w:r>
              <w:rPr>
                <w:rFonts w:ascii="宋体" w:hAnsi="宋体" w:cs="Arial"/>
                <w:bCs/>
                <w:color w:val="auto"/>
                <w:sz w:val="24"/>
              </w:rPr>
              <w:t>……</w:t>
            </w:r>
          </w:p>
        </w:tc>
        <w:tc>
          <w:tcPr>
            <w:tcW w:w="3731" w:type="dxa"/>
          </w:tcPr>
          <w:p>
            <w:pPr>
              <w:pStyle w:val="36"/>
              <w:widowControl/>
              <w:spacing w:line="360" w:lineRule="auto"/>
              <w:jc w:val="left"/>
              <w:rPr>
                <w:rFonts w:ascii="宋体" w:hAnsi="宋体" w:cs="Arial"/>
                <w:bCs/>
                <w:color w:val="auto"/>
                <w:sz w:val="24"/>
              </w:rPr>
            </w:pPr>
          </w:p>
        </w:tc>
        <w:tc>
          <w:tcPr>
            <w:tcW w:w="1373" w:type="dxa"/>
          </w:tcPr>
          <w:p>
            <w:pPr>
              <w:pStyle w:val="36"/>
              <w:widowControl/>
              <w:spacing w:line="360" w:lineRule="auto"/>
              <w:jc w:val="left"/>
              <w:rPr>
                <w:rFonts w:ascii="宋体" w:hAnsi="宋体" w:cs="Arial"/>
                <w:bCs/>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360" w:lineRule="auto"/>
        <w:ind w:left="420"/>
        <w:rPr>
          <w:rFonts w:ascii="宋体" w:hAnsi="宋体"/>
          <w:color w:val="auto"/>
          <w:sz w:val="24"/>
        </w:rPr>
      </w:pPr>
      <w:r>
        <w:rPr>
          <w:rFonts w:hint="eastAsia" w:ascii="宋体" w:hAnsi="宋体"/>
          <w:color w:val="auto"/>
          <w:sz w:val="24"/>
        </w:rPr>
        <w:t xml:space="preserve"> </w:t>
      </w:r>
    </w:p>
    <w:p>
      <w:pPr>
        <w:spacing w:line="360" w:lineRule="auto"/>
        <w:ind w:firstLine="435"/>
        <w:rPr>
          <w:rFonts w:ascii="宋体" w:hAnsi="宋体"/>
          <w:color w:val="auto"/>
          <w:sz w:val="24"/>
        </w:rPr>
      </w:pPr>
      <w:r>
        <w:rPr>
          <w:rFonts w:hint="eastAsia" w:ascii="宋体" w:hAnsi="宋体"/>
          <w:color w:val="auto"/>
          <w:sz w:val="24"/>
        </w:rPr>
        <w:t>投标人代表签字：</w:t>
      </w:r>
      <w:r>
        <w:rPr>
          <w:rFonts w:hint="eastAsia" w:ascii="宋体" w:hAnsi="宋体"/>
          <w:color w:val="auto"/>
          <w:sz w:val="24"/>
          <w:u w:val="single"/>
        </w:rPr>
        <w:t xml:space="preserve">                          </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pPr>
        <w:spacing w:line="360" w:lineRule="auto"/>
        <w:ind w:firstLine="435"/>
        <w:rPr>
          <w:rFonts w:ascii="宋体" w:hAnsi="宋体"/>
          <w:color w:val="auto"/>
          <w:sz w:val="24"/>
        </w:rPr>
      </w:pPr>
    </w:p>
    <w:p>
      <w:pPr>
        <w:spacing w:line="360" w:lineRule="auto"/>
        <w:ind w:firstLine="435"/>
        <w:rPr>
          <w:rFonts w:ascii="宋体" w:hAnsi="宋体"/>
          <w:b/>
          <w:color w:val="auto"/>
          <w:sz w:val="28"/>
        </w:rPr>
      </w:pPr>
      <w:r>
        <w:rPr>
          <w:rFonts w:hint="eastAsia" w:ascii="宋体" w:hAnsi="宋体"/>
          <w:color w:val="auto"/>
          <w:sz w:val="24"/>
        </w:rPr>
        <w:t>日        期：</w:t>
      </w:r>
      <w:r>
        <w:rPr>
          <w:rFonts w:hint="eastAsia" w:ascii="宋体" w:hAnsi="宋体"/>
          <w:color w:val="auto"/>
          <w:sz w:val="24"/>
          <w:u w:val="single"/>
        </w:rPr>
        <w:t xml:space="preserve">                            </w:t>
      </w:r>
    </w:p>
    <w:p>
      <w:pPr>
        <w:pStyle w:val="34"/>
        <w:spacing w:line="360" w:lineRule="auto"/>
        <w:jc w:val="left"/>
        <w:rPr>
          <w:rFonts w:ascii="宋体" w:hAnsi="宋体"/>
          <w:b/>
          <w:color w:val="auto"/>
          <w:sz w:val="28"/>
        </w:rPr>
      </w:pPr>
    </w:p>
    <w:p>
      <w:pPr>
        <w:pStyle w:val="34"/>
        <w:spacing w:line="360" w:lineRule="auto"/>
        <w:jc w:val="left"/>
        <w:rPr>
          <w:rFonts w:ascii="宋体" w:hAnsi="宋体"/>
          <w:b/>
          <w:color w:val="auto"/>
          <w:sz w:val="28"/>
        </w:rPr>
      </w:pPr>
    </w:p>
    <w:p>
      <w:pPr>
        <w:pStyle w:val="34"/>
        <w:spacing w:line="360" w:lineRule="auto"/>
        <w:jc w:val="left"/>
        <w:rPr>
          <w:rFonts w:ascii="宋体" w:hAnsi="宋体"/>
          <w:b/>
          <w:color w:val="auto"/>
          <w:sz w:val="28"/>
        </w:rPr>
      </w:pPr>
      <w:r>
        <w:rPr>
          <w:rFonts w:hint="eastAsia" w:ascii="宋体" w:hAnsi="宋体"/>
          <w:b/>
          <w:color w:val="auto"/>
          <w:sz w:val="28"/>
        </w:rPr>
        <w:t>附件10</w:t>
      </w:r>
    </w:p>
    <w:p>
      <w:pPr>
        <w:pStyle w:val="35"/>
        <w:spacing w:line="360" w:lineRule="auto"/>
        <w:jc w:val="center"/>
        <w:rPr>
          <w:rFonts w:ascii="宋体" w:hAnsi="宋体"/>
          <w:b/>
          <w:color w:val="auto"/>
          <w:sz w:val="32"/>
          <w:szCs w:val="32"/>
        </w:rPr>
      </w:pPr>
      <w:bookmarkStart w:id="73" w:name="_Toc11030_WPSOffice_Level1"/>
      <w:bookmarkStart w:id="74" w:name="_Toc17604_WPSOffice_Level1"/>
      <w:r>
        <w:rPr>
          <w:rFonts w:hint="eastAsia" w:ascii="宋体" w:hAnsi="宋体"/>
          <w:b/>
          <w:color w:val="auto"/>
          <w:sz w:val="32"/>
          <w:szCs w:val="32"/>
        </w:rPr>
        <w:t>证书一览表</w:t>
      </w:r>
      <w:bookmarkEnd w:id="73"/>
      <w:bookmarkEnd w:id="74"/>
    </w:p>
    <w:p>
      <w:pPr>
        <w:pStyle w:val="35"/>
        <w:spacing w:line="360" w:lineRule="auto"/>
        <w:jc w:val="center"/>
        <w:rPr>
          <w:rFonts w:ascii="宋体" w:hAnsi="宋体" w:cs="Arial"/>
          <w:color w:val="auto"/>
          <w:sz w:val="28"/>
          <w:szCs w:val="28"/>
        </w:rPr>
      </w:pPr>
    </w:p>
    <w:tbl>
      <w:tblPr>
        <w:tblStyle w:val="25"/>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auto"/>
                <w:szCs w:val="21"/>
              </w:rPr>
            </w:pPr>
          </w:p>
        </w:tc>
        <w:tc>
          <w:tcPr>
            <w:tcW w:w="2258" w:type="dxa"/>
            <w:tcBorders>
              <w:top w:val="single" w:color="auto" w:sz="4" w:space="0"/>
            </w:tcBorders>
          </w:tcPr>
          <w:p>
            <w:pPr>
              <w:pStyle w:val="35"/>
              <w:spacing w:line="360" w:lineRule="auto"/>
              <w:jc w:val="center"/>
              <w:rPr>
                <w:rFonts w:ascii="宋体" w:hAnsi="宋体" w:cs="Arial"/>
                <w:color w:val="auto"/>
                <w:szCs w:val="21"/>
              </w:rPr>
            </w:pPr>
          </w:p>
        </w:tc>
        <w:tc>
          <w:tcPr>
            <w:tcW w:w="2260" w:type="dxa"/>
            <w:tcBorders>
              <w:top w:val="single" w:color="auto" w:sz="4" w:space="0"/>
            </w:tcBorders>
          </w:tcPr>
          <w:p>
            <w:pPr>
              <w:pStyle w:val="35"/>
              <w:spacing w:line="360" w:lineRule="auto"/>
              <w:jc w:val="center"/>
              <w:rPr>
                <w:rFonts w:ascii="宋体" w:hAnsi="宋体" w:cs="Arial"/>
                <w:color w:val="auto"/>
                <w:szCs w:val="21"/>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auto"/>
                <w:szCs w:val="21"/>
              </w:rPr>
            </w:pPr>
          </w:p>
        </w:tc>
        <w:tc>
          <w:tcPr>
            <w:tcW w:w="2258" w:type="dxa"/>
            <w:tcBorders>
              <w:bottom w:val="single" w:color="auto" w:sz="4" w:space="0"/>
            </w:tcBorders>
          </w:tcPr>
          <w:p>
            <w:pPr>
              <w:pStyle w:val="35"/>
              <w:spacing w:line="360" w:lineRule="auto"/>
              <w:jc w:val="center"/>
              <w:rPr>
                <w:rFonts w:ascii="宋体" w:hAnsi="宋体" w:cs="Arial"/>
                <w:color w:val="auto"/>
                <w:szCs w:val="21"/>
              </w:rPr>
            </w:pPr>
          </w:p>
        </w:tc>
        <w:tc>
          <w:tcPr>
            <w:tcW w:w="2260" w:type="dxa"/>
            <w:tcBorders>
              <w:bottom w:val="single" w:color="auto" w:sz="4" w:space="0"/>
            </w:tcBorders>
          </w:tcPr>
          <w:p>
            <w:pPr>
              <w:pStyle w:val="35"/>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auto"/>
                <w:szCs w:val="21"/>
              </w:rPr>
            </w:pPr>
          </w:p>
        </w:tc>
      </w:tr>
    </w:tbl>
    <w:p>
      <w:pPr>
        <w:pStyle w:val="35"/>
        <w:tabs>
          <w:tab w:val="left" w:pos="1050"/>
        </w:tabs>
        <w:spacing w:line="360" w:lineRule="auto"/>
        <w:rPr>
          <w:rFonts w:ascii="仿宋_GB2312" w:hAnsi="宋体" w:eastAsia="仿宋_GB2312"/>
          <w:color w:val="auto"/>
          <w:sz w:val="24"/>
        </w:rPr>
      </w:pPr>
    </w:p>
    <w:p>
      <w:pPr>
        <w:pStyle w:val="35"/>
        <w:tabs>
          <w:tab w:val="left" w:pos="1050"/>
        </w:tabs>
        <w:spacing w:line="360" w:lineRule="auto"/>
        <w:rPr>
          <w:rFonts w:ascii="宋体" w:hAnsi="宋体"/>
          <w:color w:val="auto"/>
          <w:szCs w:val="21"/>
        </w:rPr>
      </w:pPr>
      <w:r>
        <w:rPr>
          <w:rFonts w:hint="eastAsia" w:ascii="宋体" w:hAnsi="宋体"/>
          <w:b/>
          <w:color w:val="auto"/>
          <w:szCs w:val="21"/>
        </w:rPr>
        <w:t>要求：</w:t>
      </w:r>
    </w:p>
    <w:p>
      <w:pPr>
        <w:pStyle w:val="35"/>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pPr>
        <w:pStyle w:val="35"/>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2.附所列证书复印件或其他证明材料。</w:t>
      </w:r>
    </w:p>
    <w:p>
      <w:pPr>
        <w:pStyle w:val="35"/>
        <w:tabs>
          <w:tab w:val="left" w:pos="1050"/>
        </w:tabs>
        <w:spacing w:line="360" w:lineRule="auto"/>
        <w:ind w:firstLine="720" w:firstLineChars="300"/>
        <w:rPr>
          <w:rFonts w:ascii="仿宋_GB2312" w:hAnsi="宋体" w:eastAsia="仿宋_GB2312"/>
          <w:color w:val="auto"/>
          <w:sz w:val="24"/>
        </w:rPr>
      </w:pPr>
    </w:p>
    <w:p>
      <w:pPr>
        <w:pStyle w:val="35"/>
        <w:tabs>
          <w:tab w:val="left" w:pos="1050"/>
        </w:tabs>
        <w:spacing w:line="360" w:lineRule="auto"/>
        <w:ind w:firstLine="720" w:firstLineChars="300"/>
        <w:rPr>
          <w:rFonts w:ascii="仿宋_GB2312" w:hAnsi="宋体" w:eastAsia="仿宋_GB2312"/>
          <w:color w:val="auto"/>
          <w:sz w:val="24"/>
        </w:rPr>
      </w:pPr>
    </w:p>
    <w:p>
      <w:pPr>
        <w:pStyle w:val="35"/>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31"/>
        <w:shd w:val="clear" w:color="auto" w:fill="FFFFFF"/>
        <w:spacing w:before="0" w:beforeAutospacing="0" w:after="0" w:afterAutospacing="0" w:line="360" w:lineRule="auto"/>
        <w:ind w:firstLine="424" w:firstLineChars="177"/>
        <w:rPr>
          <w:b/>
          <w:bCs/>
          <w:color w:val="auto"/>
        </w:rPr>
      </w:pPr>
      <w:r>
        <w:rPr>
          <w:rFonts w:hint="eastAsia"/>
          <w:color w:val="auto"/>
        </w:rPr>
        <w:t>日        期：：</w:t>
      </w:r>
    </w:p>
    <w:p>
      <w:pPr>
        <w:spacing w:line="360" w:lineRule="auto"/>
        <w:rPr>
          <w:rFonts w:ascii="宋体" w:hAnsi="宋体"/>
          <w:b/>
          <w:color w:val="auto"/>
          <w:sz w:val="28"/>
        </w:rPr>
      </w:pPr>
    </w:p>
    <w:p>
      <w:pPr>
        <w:spacing w:line="360" w:lineRule="auto"/>
        <w:rPr>
          <w:rFonts w:ascii="宋体" w:hAnsi="宋体"/>
          <w:b/>
          <w:color w:val="auto"/>
          <w:sz w:val="28"/>
        </w:rPr>
      </w:pPr>
    </w:p>
    <w:p>
      <w:pPr>
        <w:pStyle w:val="14"/>
        <w:rPr>
          <w:rFonts w:ascii="宋体" w:hAnsi="宋体"/>
          <w:b/>
          <w:color w:val="auto"/>
          <w:sz w:val="28"/>
        </w:rPr>
      </w:pPr>
    </w:p>
    <w:p>
      <w:pPr>
        <w:spacing w:line="360" w:lineRule="auto"/>
        <w:rPr>
          <w:rFonts w:ascii="宋体" w:hAnsi="宋体"/>
          <w:b/>
          <w:color w:val="auto"/>
          <w:sz w:val="28"/>
        </w:rPr>
      </w:pPr>
      <w:r>
        <w:rPr>
          <w:rFonts w:hint="eastAsia" w:ascii="宋体" w:hAnsi="宋体"/>
          <w:b/>
          <w:color w:val="auto"/>
          <w:sz w:val="28"/>
        </w:rPr>
        <w:t>附件11</w:t>
      </w:r>
    </w:p>
    <w:p>
      <w:pPr>
        <w:pStyle w:val="34"/>
        <w:spacing w:line="360" w:lineRule="auto"/>
        <w:jc w:val="center"/>
        <w:rPr>
          <w:rFonts w:ascii="宋体" w:hAnsi="宋体"/>
          <w:b/>
          <w:color w:val="auto"/>
          <w:sz w:val="32"/>
          <w:szCs w:val="32"/>
        </w:rPr>
      </w:pPr>
      <w:bookmarkStart w:id="75" w:name="_Toc7134_WPSOffice_Level1"/>
      <w:bookmarkStart w:id="76" w:name="_Toc19231_WPSOffice_Level1"/>
      <w:r>
        <w:rPr>
          <w:rFonts w:hint="eastAsia" w:ascii="宋体" w:hAnsi="宋体"/>
          <w:b/>
          <w:color w:val="auto"/>
          <w:sz w:val="32"/>
          <w:szCs w:val="32"/>
        </w:rPr>
        <w:t>投标人类似项目实施情况一览表</w:t>
      </w:r>
      <w:bookmarkEnd w:id="75"/>
      <w:bookmarkEnd w:id="76"/>
    </w:p>
    <w:p>
      <w:pPr>
        <w:pStyle w:val="34"/>
        <w:spacing w:line="360" w:lineRule="auto"/>
        <w:jc w:val="center"/>
        <w:rPr>
          <w:rFonts w:ascii="仿宋_GB2312" w:eastAsia="仿宋_GB2312"/>
          <w:b/>
          <w:color w:val="auto"/>
          <w:sz w:val="28"/>
          <w:szCs w:val="28"/>
        </w:rPr>
      </w:pPr>
    </w:p>
    <w:tbl>
      <w:tblPr>
        <w:tblStyle w:val="25"/>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bl>
    <w:p>
      <w:pPr>
        <w:autoSpaceDE w:val="0"/>
        <w:autoSpaceDN w:val="0"/>
        <w:adjustRightInd w:val="0"/>
        <w:spacing w:before="156"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156"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复印件可只提供首页、含金额页、盖章页并加盖投标人电子印章</w:t>
      </w:r>
      <w:r>
        <w:rPr>
          <w:rFonts w:ascii="宋体" w:hAnsi="宋体" w:cs="Arial"/>
          <w:color w:val="auto"/>
          <w:szCs w:val="21"/>
        </w:rPr>
        <w:t>）；</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jc w:val="center"/>
        <w:rPr>
          <w:rFonts w:ascii="仿宋" w:hAnsi="仿宋" w:eastAsia="仿宋"/>
          <w:snapToGrid w:val="0"/>
          <w:color w:val="auto"/>
          <w:kern w:val="0"/>
          <w:sz w:val="24"/>
        </w:rPr>
      </w:pPr>
    </w:p>
    <w:p>
      <w:pPr>
        <w:pStyle w:val="35"/>
        <w:tabs>
          <w:tab w:val="left" w:pos="1050"/>
        </w:tabs>
        <w:spacing w:line="360" w:lineRule="auto"/>
        <w:rPr>
          <w:rFonts w:ascii="宋体" w:hAnsi="宋体"/>
          <w:b/>
          <w:color w:val="auto"/>
          <w:sz w:val="28"/>
        </w:rPr>
      </w:pPr>
    </w:p>
    <w:p>
      <w:pPr>
        <w:pStyle w:val="35"/>
        <w:tabs>
          <w:tab w:val="left" w:pos="1050"/>
        </w:tabs>
        <w:spacing w:line="360" w:lineRule="auto"/>
        <w:rPr>
          <w:rFonts w:ascii="宋体" w:hAnsi="宋体"/>
          <w:b/>
          <w:color w:val="auto"/>
          <w:sz w:val="28"/>
        </w:rPr>
      </w:pPr>
    </w:p>
    <w:p>
      <w:pPr>
        <w:pStyle w:val="35"/>
        <w:tabs>
          <w:tab w:val="left" w:pos="1050"/>
        </w:tabs>
        <w:spacing w:line="360" w:lineRule="auto"/>
        <w:rPr>
          <w:rFonts w:ascii="仿宋_GB2312" w:hAnsi="宋体"/>
          <w:color w:val="auto"/>
          <w:sz w:val="24"/>
        </w:rPr>
      </w:pPr>
      <w:r>
        <w:rPr>
          <w:rFonts w:hint="eastAsia" w:ascii="宋体" w:hAnsi="宋体"/>
          <w:b/>
          <w:color w:val="auto"/>
          <w:sz w:val="28"/>
        </w:rPr>
        <w:t>附件12</w:t>
      </w:r>
    </w:p>
    <w:p>
      <w:pPr>
        <w:spacing w:line="360" w:lineRule="auto"/>
        <w:ind w:left="549" w:hanging="549" w:hangingChars="171"/>
        <w:jc w:val="center"/>
        <w:rPr>
          <w:rFonts w:ascii="宋体" w:hAnsi="宋体"/>
          <w:b/>
          <w:color w:val="auto"/>
          <w:sz w:val="32"/>
          <w:szCs w:val="32"/>
        </w:rPr>
      </w:pPr>
      <w:bookmarkStart w:id="77" w:name="_Toc3068_WPSOffice_Level1"/>
      <w:bookmarkStart w:id="78" w:name="_Toc21582_WPSOffice_Level1"/>
      <w:r>
        <w:rPr>
          <w:rFonts w:hint="eastAsia" w:ascii="宋体" w:hAnsi="宋体"/>
          <w:b/>
          <w:color w:val="auto"/>
          <w:sz w:val="32"/>
          <w:szCs w:val="32"/>
        </w:rPr>
        <w:t>商务需求响应表</w:t>
      </w:r>
      <w:bookmarkEnd w:id="77"/>
      <w:bookmarkEnd w:id="78"/>
    </w:p>
    <w:p>
      <w:pPr>
        <w:spacing w:line="360" w:lineRule="auto"/>
        <w:ind w:left="481" w:leftChars="229" w:firstLine="813" w:firstLineChars="450"/>
        <w:rPr>
          <w:rFonts w:ascii="宋体" w:hAnsi="宋体"/>
          <w:b/>
          <w:color w:val="auto"/>
          <w:sz w:val="18"/>
          <w:szCs w:val="18"/>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rPr>
              <w:t>招标需求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pStyle w:val="14"/>
        <w:ind w:firstLine="0"/>
        <w:rPr>
          <w:rFonts w:ascii="宋体" w:hAnsi="宋体"/>
          <w:b/>
          <w:color w:val="auto"/>
          <w:sz w:val="28"/>
        </w:rPr>
      </w:pPr>
    </w:p>
    <w:p>
      <w:pPr>
        <w:pStyle w:val="14"/>
        <w:rPr>
          <w:rFonts w:ascii="宋体" w:hAnsi="宋体"/>
          <w:color w:val="auto"/>
          <w:sz w:val="24"/>
          <w:u w:val="single"/>
        </w:rPr>
      </w:pPr>
    </w:p>
    <w:p>
      <w:pPr>
        <w:pStyle w:val="35"/>
        <w:tabs>
          <w:tab w:val="left" w:pos="1050"/>
        </w:tabs>
        <w:spacing w:line="360" w:lineRule="auto"/>
        <w:rPr>
          <w:rFonts w:ascii="宋体" w:hAnsi="宋体"/>
          <w:b/>
          <w:color w:val="auto"/>
          <w:sz w:val="28"/>
        </w:rPr>
      </w:pPr>
      <w:r>
        <w:rPr>
          <w:rFonts w:hint="eastAsia" w:ascii="宋体" w:hAnsi="宋体"/>
          <w:b/>
          <w:color w:val="auto"/>
          <w:sz w:val="28"/>
        </w:rPr>
        <w:t>附件13</w:t>
      </w:r>
    </w:p>
    <w:p>
      <w:pPr>
        <w:pStyle w:val="14"/>
        <w:rPr>
          <w:color w:val="auto"/>
        </w:rPr>
      </w:pPr>
    </w:p>
    <w:p>
      <w:pPr>
        <w:spacing w:line="360" w:lineRule="auto"/>
        <w:ind w:right="-110"/>
        <w:jc w:val="center"/>
        <w:rPr>
          <w:rStyle w:val="51"/>
          <w:rFonts w:ascii="宋体" w:hAnsi="宋体"/>
          <w:color w:val="auto"/>
          <w:spacing w:val="40"/>
          <w:sz w:val="44"/>
          <w:szCs w:val="44"/>
        </w:rPr>
      </w:pPr>
      <w:r>
        <w:rPr>
          <w:rFonts w:hint="eastAsia" w:ascii="宋体" w:hAnsi="宋体"/>
          <w:color w:val="auto"/>
          <w:spacing w:val="40"/>
          <w:sz w:val="52"/>
          <w:szCs w:val="52"/>
          <w:lang w:eastAsia="zh-CN"/>
        </w:rPr>
        <w:t>台州市大数据发展中心</w:t>
      </w:r>
      <w:r>
        <w:rPr>
          <w:rFonts w:hint="eastAsia" w:ascii="宋体" w:hAnsi="宋体"/>
          <w:color w:val="auto"/>
          <w:spacing w:val="40"/>
          <w:sz w:val="52"/>
          <w:szCs w:val="52"/>
        </w:rPr>
        <w:t>台州市一体化智能化公共数据平台（数据资源体系）项目</w:t>
      </w:r>
    </w:p>
    <w:p>
      <w:pPr>
        <w:spacing w:before="312" w:line="360" w:lineRule="auto"/>
        <w:ind w:right="-108"/>
        <w:jc w:val="center"/>
        <w:rPr>
          <w:rStyle w:val="51"/>
          <w:rFonts w:ascii="宋体" w:hAnsi="宋体"/>
          <w:color w:val="auto"/>
          <w:sz w:val="36"/>
          <w:szCs w:val="36"/>
        </w:rPr>
      </w:pPr>
      <w:r>
        <w:rPr>
          <w:rStyle w:val="51"/>
          <w:rFonts w:ascii="宋体" w:hAnsi="宋体"/>
          <w:color w:val="auto"/>
          <w:sz w:val="36"/>
          <w:szCs w:val="36"/>
        </w:rPr>
        <w:t>项目编号：</w:t>
      </w:r>
      <w:r>
        <w:rPr>
          <w:rStyle w:val="51"/>
          <w:rFonts w:hint="eastAsia" w:ascii="宋体" w:hAnsi="宋体"/>
          <w:color w:val="auto"/>
          <w:sz w:val="36"/>
          <w:szCs w:val="36"/>
        </w:rPr>
        <w:t>TZTX-2022-GK007</w:t>
      </w:r>
    </w:p>
    <w:p>
      <w:pPr>
        <w:pStyle w:val="14"/>
        <w:rPr>
          <w:rStyle w:val="51"/>
          <w:rFonts w:ascii="宋体" w:hAnsi="宋体"/>
          <w:color w:val="auto"/>
          <w:sz w:val="36"/>
          <w:szCs w:val="36"/>
        </w:rPr>
      </w:pPr>
    </w:p>
    <w:p>
      <w:pPr>
        <w:pStyle w:val="14"/>
        <w:rPr>
          <w:rStyle w:val="51"/>
          <w:rFonts w:ascii="宋体" w:hAnsi="宋体"/>
          <w:color w:val="auto"/>
          <w:sz w:val="36"/>
          <w:szCs w:val="36"/>
        </w:rPr>
      </w:pPr>
    </w:p>
    <w:p>
      <w:pPr>
        <w:spacing w:line="360" w:lineRule="auto"/>
        <w:jc w:val="center"/>
        <w:rPr>
          <w:rStyle w:val="51"/>
          <w:rFonts w:ascii="宋体" w:hAnsi="宋体"/>
          <w:color w:val="auto"/>
          <w:sz w:val="84"/>
          <w:szCs w:val="84"/>
          <w:lang w:val="zh-CN"/>
        </w:rPr>
      </w:pPr>
      <w:r>
        <w:rPr>
          <w:rStyle w:val="51"/>
          <w:rFonts w:hint="eastAsia" w:ascii="宋体" w:hAnsi="宋体"/>
          <w:color w:val="auto"/>
          <w:sz w:val="84"/>
          <w:szCs w:val="84"/>
          <w:lang w:val="zh-CN"/>
        </w:rPr>
        <w:t>报</w:t>
      </w:r>
    </w:p>
    <w:p>
      <w:pPr>
        <w:spacing w:line="360" w:lineRule="auto"/>
        <w:jc w:val="center"/>
        <w:rPr>
          <w:rStyle w:val="51"/>
          <w:rFonts w:ascii="宋体" w:hAnsi="宋体"/>
          <w:color w:val="auto"/>
          <w:sz w:val="84"/>
          <w:szCs w:val="84"/>
          <w:lang w:val="zh-CN"/>
        </w:rPr>
      </w:pPr>
      <w:r>
        <w:rPr>
          <w:rStyle w:val="51"/>
          <w:rFonts w:hint="eastAsia" w:ascii="宋体" w:hAnsi="宋体"/>
          <w:color w:val="auto"/>
          <w:sz w:val="84"/>
          <w:szCs w:val="84"/>
          <w:lang w:val="zh-CN"/>
        </w:rPr>
        <w:t>价</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文</w:t>
      </w:r>
    </w:p>
    <w:p>
      <w:pPr>
        <w:spacing w:line="360" w:lineRule="auto"/>
        <w:jc w:val="center"/>
        <w:rPr>
          <w:rStyle w:val="51"/>
          <w:rFonts w:ascii="宋体" w:hAnsi="宋体"/>
          <w:color w:val="auto"/>
          <w:sz w:val="84"/>
          <w:szCs w:val="84"/>
          <w:lang w:val="zh-CN"/>
        </w:rPr>
      </w:pPr>
      <w:r>
        <w:rPr>
          <w:rStyle w:val="51"/>
          <w:rFonts w:ascii="宋体" w:hAnsi="宋体"/>
          <w:color w:val="auto"/>
          <w:sz w:val="84"/>
          <w:szCs w:val="84"/>
          <w:lang w:val="zh-CN"/>
        </w:rPr>
        <w:t>件</w:t>
      </w:r>
    </w:p>
    <w:p>
      <w:pPr>
        <w:spacing w:line="360" w:lineRule="auto"/>
        <w:ind w:right="532"/>
        <w:rPr>
          <w:rStyle w:val="51"/>
          <w:rFonts w:ascii="宋体" w:hAnsi="宋体"/>
          <w:color w:val="auto"/>
          <w:sz w:val="36"/>
          <w:szCs w:val="36"/>
        </w:rPr>
      </w:pP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投标人全称（</w:t>
      </w:r>
      <w:r>
        <w:rPr>
          <w:rStyle w:val="51"/>
          <w:rFonts w:hint="eastAsia" w:ascii="宋体" w:hAnsi="宋体"/>
          <w:color w:val="auto"/>
          <w:sz w:val="36"/>
          <w:szCs w:val="36"/>
        </w:rPr>
        <w:t>电子印章</w:t>
      </w:r>
      <w:r>
        <w:rPr>
          <w:rStyle w:val="51"/>
          <w:rFonts w:ascii="宋体" w:hAnsi="宋体"/>
          <w:color w:val="auto"/>
          <w:sz w:val="36"/>
          <w:szCs w:val="36"/>
        </w:rPr>
        <w:t>）：</w:t>
      </w: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地    址：</w:t>
      </w:r>
    </w:p>
    <w:p>
      <w:pPr>
        <w:spacing w:line="360" w:lineRule="auto"/>
        <w:ind w:right="532" w:firstLine="720" w:firstLineChars="200"/>
        <w:rPr>
          <w:rStyle w:val="51"/>
          <w:rFonts w:ascii="宋体" w:hAnsi="宋体"/>
          <w:color w:val="auto"/>
          <w:sz w:val="36"/>
          <w:szCs w:val="36"/>
        </w:rPr>
      </w:pPr>
      <w:r>
        <w:rPr>
          <w:rStyle w:val="51"/>
          <w:rFonts w:ascii="宋体" w:hAnsi="宋体"/>
          <w:color w:val="auto"/>
          <w:sz w:val="36"/>
          <w:szCs w:val="36"/>
        </w:rPr>
        <w:t>时    间：</w:t>
      </w:r>
    </w:p>
    <w:p>
      <w:pPr>
        <w:pStyle w:val="14"/>
        <w:rPr>
          <w:color w:val="auto"/>
        </w:rPr>
      </w:pPr>
    </w:p>
    <w:p>
      <w:pPr>
        <w:pStyle w:val="2"/>
        <w:rPr>
          <w:rFonts w:ascii="宋体" w:hAnsi="宋体" w:cs="宋体"/>
          <w:color w:val="auto"/>
          <w:sz w:val="24"/>
        </w:rPr>
      </w:pPr>
    </w:p>
    <w:p>
      <w:pPr>
        <w:pStyle w:val="14"/>
        <w:rPr>
          <w:rFonts w:ascii="宋体" w:hAnsi="宋体" w:cs="宋体"/>
          <w:b/>
          <w:color w:val="auto"/>
          <w:sz w:val="24"/>
          <w:szCs w:val="24"/>
        </w:rPr>
      </w:pPr>
    </w:p>
    <w:p>
      <w:pPr>
        <w:jc w:val="center"/>
        <w:rPr>
          <w:rFonts w:ascii="宋体" w:hAnsi="宋体" w:cs="宋体"/>
          <w:b/>
          <w:bCs/>
          <w:color w:val="auto"/>
          <w:sz w:val="24"/>
        </w:rPr>
      </w:pPr>
      <w:bookmarkStart w:id="79" w:name="_Toc19972_WPSOffice_Level1"/>
      <w:bookmarkStart w:id="80" w:name="_Toc29537_WPSOffice_Level1"/>
    </w:p>
    <w:p>
      <w:pPr>
        <w:jc w:val="center"/>
        <w:rPr>
          <w:rFonts w:ascii="宋体" w:hAnsi="宋体" w:cs="宋体"/>
          <w:b/>
          <w:bCs/>
          <w:color w:val="auto"/>
          <w:sz w:val="24"/>
        </w:rPr>
      </w:pPr>
      <w:r>
        <w:rPr>
          <w:rFonts w:hint="eastAsia" w:ascii="宋体" w:hAnsi="宋体" w:cs="宋体"/>
          <w:b/>
          <w:bCs/>
          <w:color w:val="auto"/>
          <w:sz w:val="24"/>
        </w:rPr>
        <w:t>报价文件目录</w:t>
      </w:r>
      <w:bookmarkEnd w:id="79"/>
      <w:bookmarkEnd w:id="80"/>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bookmarkStart w:id="81" w:name="_Toc6778_WPSOffice_Level1"/>
      <w:bookmarkStart w:id="82" w:name="_Toc29988_WPSOffice_Level1"/>
      <w:r>
        <w:rPr>
          <w:rFonts w:hint="eastAsia" w:ascii="宋体" w:hAnsi="宋体" w:cs="宋体"/>
          <w:color w:val="auto"/>
          <w:sz w:val="24"/>
        </w:rPr>
        <w:t>1、开标一览表（附件14）；</w:t>
      </w:r>
      <w:bookmarkEnd w:id="81"/>
      <w:bookmarkEnd w:id="82"/>
    </w:p>
    <w:p>
      <w:pPr>
        <w:spacing w:line="360" w:lineRule="auto"/>
        <w:ind w:firstLine="480" w:firstLineChars="200"/>
        <w:rPr>
          <w:rFonts w:ascii="宋体" w:hAnsi="宋体" w:cs="宋体"/>
          <w:color w:val="auto"/>
          <w:sz w:val="24"/>
        </w:rPr>
      </w:pPr>
      <w:bookmarkStart w:id="83" w:name="_Toc15601_WPSOffice_Level1"/>
      <w:bookmarkStart w:id="84" w:name="_Toc11601_WPSOffice_Level1"/>
      <w:r>
        <w:rPr>
          <w:rFonts w:hint="eastAsia" w:ascii="宋体" w:hAnsi="宋体" w:cs="宋体"/>
          <w:color w:val="auto"/>
          <w:sz w:val="24"/>
        </w:rPr>
        <w:t>2、报价明细表（附件15）；</w:t>
      </w:r>
      <w:bookmarkEnd w:id="83"/>
      <w:bookmarkEnd w:id="84"/>
    </w:p>
    <w:p>
      <w:pPr>
        <w:spacing w:line="360" w:lineRule="auto"/>
        <w:ind w:firstLine="480" w:firstLineChars="200"/>
        <w:rPr>
          <w:rFonts w:ascii="宋体" w:hAnsi="宋体" w:cs="宋体"/>
          <w:color w:val="auto"/>
          <w:sz w:val="24"/>
        </w:rPr>
      </w:pPr>
      <w:bookmarkStart w:id="85" w:name="_Toc3001_WPSOffice_Level1"/>
      <w:bookmarkStart w:id="86" w:name="_Toc14672_WPSOffice_Level1"/>
      <w:r>
        <w:rPr>
          <w:rFonts w:hint="eastAsia" w:ascii="宋体" w:hAnsi="宋体" w:cs="宋体"/>
          <w:color w:val="auto"/>
          <w:sz w:val="24"/>
        </w:rPr>
        <w:t>3、中小企业声明函（附件16）；</w:t>
      </w:r>
    </w:p>
    <w:p>
      <w:pPr>
        <w:spacing w:line="360" w:lineRule="auto"/>
        <w:ind w:firstLine="480" w:firstLineChars="200"/>
        <w:rPr>
          <w:rFonts w:ascii="宋体" w:hAnsi="宋体" w:cs="宋体"/>
          <w:color w:val="auto"/>
          <w:sz w:val="24"/>
        </w:rPr>
      </w:pPr>
      <w:r>
        <w:rPr>
          <w:rFonts w:hint="eastAsia" w:ascii="宋体" w:hAnsi="宋体" w:cs="宋体"/>
          <w:color w:val="auto"/>
          <w:sz w:val="24"/>
        </w:rPr>
        <w:t>4、针对报价投标人认为其他需要说明的；</w:t>
      </w:r>
      <w:bookmarkEnd w:id="85"/>
      <w:bookmarkEnd w:id="86"/>
    </w:p>
    <w:p>
      <w:pPr>
        <w:spacing w:line="360" w:lineRule="auto"/>
        <w:ind w:firstLine="480" w:firstLineChars="200"/>
        <w:rPr>
          <w:rFonts w:ascii="宋体" w:hAnsi="宋体" w:cs="宋体"/>
          <w:color w:val="auto"/>
          <w:sz w:val="24"/>
        </w:rPr>
      </w:pPr>
    </w:p>
    <w:p>
      <w:pPr>
        <w:spacing w:line="360" w:lineRule="auto"/>
        <w:ind w:firstLine="482" w:firstLineChars="200"/>
        <w:rPr>
          <w:rFonts w:ascii="宋体" w:hAnsi="宋体" w:cs="宋体"/>
          <w:b/>
          <w:color w:val="auto"/>
          <w:sz w:val="24"/>
        </w:rPr>
      </w:pPr>
    </w:p>
    <w:p>
      <w:pPr>
        <w:spacing w:line="360" w:lineRule="auto"/>
        <w:ind w:firstLine="482" w:firstLineChars="20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spacing w:line="360" w:lineRule="auto"/>
        <w:ind w:left="480"/>
        <w:rPr>
          <w:rFonts w:ascii="宋体" w:hAnsi="宋体" w:cs="宋体"/>
          <w:b/>
          <w:color w:val="auto"/>
          <w:sz w:val="24"/>
        </w:rPr>
      </w:pPr>
    </w:p>
    <w:p>
      <w:pPr>
        <w:rPr>
          <w:rFonts w:ascii="宋体" w:hAnsi="宋体" w:cs="宋体"/>
          <w:color w:val="auto"/>
          <w:sz w:val="24"/>
        </w:rPr>
      </w:pPr>
      <w:r>
        <w:rPr>
          <w:rFonts w:hint="eastAsia" w:ascii="宋体" w:hAnsi="宋体" w:cs="宋体"/>
          <w:b/>
          <w:color w:val="auto"/>
          <w:sz w:val="24"/>
        </w:rPr>
        <w:br w:type="page"/>
      </w:r>
    </w:p>
    <w:p>
      <w:pPr>
        <w:pStyle w:val="35"/>
        <w:tabs>
          <w:tab w:val="left" w:pos="1050"/>
        </w:tabs>
        <w:spacing w:line="360" w:lineRule="auto"/>
        <w:rPr>
          <w:rFonts w:ascii="宋体" w:hAnsi="宋体"/>
          <w:b/>
          <w:color w:val="auto"/>
          <w:sz w:val="28"/>
        </w:rPr>
      </w:pPr>
      <w:r>
        <w:rPr>
          <w:rFonts w:hint="eastAsia" w:ascii="宋体" w:hAnsi="宋体"/>
          <w:b/>
          <w:color w:val="auto"/>
          <w:sz w:val="28"/>
        </w:rPr>
        <w:t>附件14</w:t>
      </w:r>
    </w:p>
    <w:p>
      <w:pPr>
        <w:spacing w:line="360" w:lineRule="auto"/>
        <w:ind w:left="-2" w:hanging="2"/>
        <w:jc w:val="center"/>
        <w:rPr>
          <w:rFonts w:ascii="宋体" w:hAnsi="宋体" w:cs="宋体"/>
          <w:b/>
          <w:color w:val="auto"/>
          <w:sz w:val="24"/>
        </w:rPr>
      </w:pPr>
      <w:bookmarkStart w:id="87" w:name="_Toc30363_WPSOffice_Level1"/>
      <w:bookmarkStart w:id="88" w:name="_Toc16144_WPSOffice_Level1"/>
      <w:r>
        <w:rPr>
          <w:rFonts w:hint="eastAsia" w:ascii="宋体" w:hAnsi="宋体" w:cs="宋体"/>
          <w:b/>
          <w:color w:val="auto"/>
          <w:sz w:val="24"/>
        </w:rPr>
        <w:t>开标一览表</w:t>
      </w:r>
      <w:bookmarkEnd w:id="87"/>
      <w:bookmarkEnd w:id="88"/>
    </w:p>
    <w:p>
      <w:pPr>
        <w:spacing w:line="360" w:lineRule="auto"/>
        <w:ind w:left="-2" w:hanging="2"/>
        <w:jc w:val="center"/>
        <w:rPr>
          <w:rFonts w:ascii="宋体" w:hAnsi="宋体" w:cs="宋体"/>
          <w:b/>
          <w:color w:val="auto"/>
          <w:sz w:val="24"/>
        </w:rPr>
      </w:pPr>
    </w:p>
    <w:p>
      <w:pPr>
        <w:pStyle w:val="15"/>
        <w:spacing w:line="320" w:lineRule="exact"/>
        <w:rPr>
          <w:rFonts w:hAnsi="宋体"/>
          <w:b/>
          <w:color w:val="auto"/>
          <w:sz w:val="24"/>
        </w:rPr>
      </w:pPr>
      <w:r>
        <w:rPr>
          <w:rFonts w:hint="eastAsia" w:hAnsi="宋体"/>
          <w:b/>
          <w:color w:val="auto"/>
          <w:sz w:val="24"/>
        </w:rPr>
        <w:t>项目编号：</w:t>
      </w:r>
    </w:p>
    <w:p>
      <w:pPr>
        <w:pStyle w:val="40"/>
        <w:spacing w:line="360" w:lineRule="auto"/>
        <w:ind w:right="480"/>
        <w:jc w:val="left"/>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 xml:space="preserve">                                     [货币单位：人民币元]</w:t>
      </w:r>
    </w:p>
    <w:tbl>
      <w:tblPr>
        <w:tblStyle w:val="25"/>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rPr>
            </w:pPr>
          </w:p>
        </w:tc>
      </w:tr>
    </w:tbl>
    <w:p>
      <w:pPr>
        <w:spacing w:line="360" w:lineRule="auto"/>
        <w:ind w:left="480"/>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b/>
          <w:color w:val="auto"/>
          <w:sz w:val="24"/>
        </w:rPr>
        <w:t>填报要求：</w:t>
      </w:r>
    </w:p>
    <w:p>
      <w:pPr>
        <w:spacing w:line="360" w:lineRule="auto"/>
        <w:ind w:left="420"/>
        <w:rPr>
          <w:rFonts w:ascii="宋体" w:hAnsi="宋体" w:cs="宋体"/>
          <w:color w:val="auto"/>
          <w:sz w:val="24"/>
        </w:rPr>
      </w:pPr>
      <w:r>
        <w:rPr>
          <w:rFonts w:hint="eastAsia" w:ascii="宋体" w:hAnsi="宋体" w:cs="宋体"/>
          <w:color w:val="auto"/>
          <w:sz w:val="24"/>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投标人名称（电子印章）：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投标人代表签字或电子印章：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职        务：</w:t>
      </w:r>
    </w:p>
    <w:p>
      <w:pPr>
        <w:spacing w:line="360" w:lineRule="auto"/>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spacing w:line="360" w:lineRule="auto"/>
        <w:rPr>
          <w:rFonts w:ascii="宋体" w:hAnsi="宋体" w:cs="宋体"/>
          <w:b/>
          <w:color w:val="auto"/>
          <w:sz w:val="24"/>
        </w:rPr>
      </w:pPr>
    </w:p>
    <w:p>
      <w:pPr>
        <w:rPr>
          <w:rFonts w:ascii="宋体" w:hAnsi="宋体" w:cs="宋体"/>
          <w:color w:val="auto"/>
          <w:sz w:val="24"/>
        </w:rPr>
      </w:pPr>
      <w:r>
        <w:rPr>
          <w:rFonts w:hint="eastAsia" w:ascii="宋体" w:hAnsi="宋体" w:cs="宋体"/>
          <w:b/>
          <w:color w:val="auto"/>
          <w:sz w:val="24"/>
        </w:rPr>
        <w:br w:type="page"/>
      </w:r>
    </w:p>
    <w:p>
      <w:pPr>
        <w:pStyle w:val="35"/>
        <w:tabs>
          <w:tab w:val="left" w:pos="1050"/>
        </w:tabs>
        <w:spacing w:line="360" w:lineRule="auto"/>
        <w:rPr>
          <w:rFonts w:ascii="宋体" w:hAnsi="宋体"/>
          <w:b/>
          <w:color w:val="auto"/>
          <w:sz w:val="28"/>
        </w:rPr>
      </w:pPr>
      <w:r>
        <w:rPr>
          <w:rFonts w:hint="eastAsia" w:ascii="宋体" w:hAnsi="宋体"/>
          <w:b/>
          <w:color w:val="auto"/>
          <w:sz w:val="28"/>
        </w:rPr>
        <w:t>附件15</w:t>
      </w:r>
    </w:p>
    <w:p>
      <w:pPr>
        <w:spacing w:line="360" w:lineRule="auto"/>
        <w:ind w:left="480"/>
        <w:jc w:val="center"/>
        <w:rPr>
          <w:rFonts w:ascii="宋体" w:hAnsi="宋体"/>
          <w:color w:val="auto"/>
        </w:rPr>
      </w:pPr>
      <w:r>
        <w:rPr>
          <w:rFonts w:hint="eastAsia" w:ascii="宋体" w:hAnsi="宋体"/>
          <w:b/>
          <w:color w:val="auto"/>
          <w:sz w:val="32"/>
          <w:szCs w:val="32"/>
        </w:rPr>
        <w:t xml:space="preserve">报价明细表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 xml:space="preserve">  项目编号：</w:t>
      </w:r>
      <w:r>
        <w:rPr>
          <w:rFonts w:hint="eastAsia" w:ascii="宋体" w:hAnsi="宋体"/>
          <w:color w:val="auto"/>
          <w:sz w:val="24"/>
          <w:u w:val="single"/>
        </w:rPr>
        <w:t xml:space="preserve">             </w:t>
      </w:r>
    </w:p>
    <w:p>
      <w:pPr>
        <w:pStyle w:val="40"/>
        <w:spacing w:line="360" w:lineRule="auto"/>
        <w:ind w:right="480"/>
        <w:jc w:val="right"/>
        <w:rPr>
          <w:rFonts w:ascii="宋体" w:hAnsi="宋体"/>
          <w:color w:val="auto"/>
          <w:sz w:val="24"/>
        </w:rPr>
      </w:pPr>
      <w:r>
        <w:rPr>
          <w:rFonts w:hint="eastAsia" w:ascii="宋体" w:hAnsi="宋体"/>
          <w:color w:val="auto"/>
          <w:sz w:val="24"/>
        </w:rPr>
        <w:t>[货币单位：人民币元]</w:t>
      </w:r>
    </w:p>
    <w:tbl>
      <w:tblPr>
        <w:tblStyle w:val="25"/>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66"/>
        <w:gridCol w:w="2040"/>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734"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921" w:type="dxa"/>
            <w:vAlign w:val="center"/>
          </w:tcPr>
          <w:p>
            <w:pPr>
              <w:spacing w:line="360" w:lineRule="auto"/>
              <w:jc w:val="center"/>
              <w:rPr>
                <w:rFonts w:ascii="宋体" w:hAnsi="宋体"/>
                <w:b/>
                <w:color w:val="auto"/>
                <w:sz w:val="24"/>
              </w:rPr>
            </w:pPr>
            <w:r>
              <w:rPr>
                <w:rFonts w:hint="eastAsia" w:ascii="宋体" w:hAnsi="宋体"/>
                <w:b/>
                <w:color w:val="auto"/>
                <w:sz w:val="24"/>
              </w:rPr>
              <w:t>报价名称</w:t>
            </w:r>
          </w:p>
        </w:tc>
        <w:tc>
          <w:tcPr>
            <w:tcW w:w="1466" w:type="dxa"/>
            <w:vAlign w:val="center"/>
          </w:tcPr>
          <w:p>
            <w:pPr>
              <w:spacing w:line="360" w:lineRule="auto"/>
              <w:ind w:left="152"/>
              <w:jc w:val="center"/>
              <w:rPr>
                <w:rFonts w:ascii="宋体" w:hAnsi="宋体"/>
                <w:b/>
                <w:color w:val="auto"/>
                <w:sz w:val="24"/>
              </w:rPr>
            </w:pPr>
            <w:r>
              <w:rPr>
                <w:rFonts w:hint="eastAsia" w:ascii="宋体" w:hAnsi="宋体"/>
                <w:b/>
                <w:color w:val="auto"/>
                <w:sz w:val="24"/>
              </w:rPr>
              <w:t>数量</w:t>
            </w:r>
          </w:p>
        </w:tc>
        <w:tc>
          <w:tcPr>
            <w:tcW w:w="2040" w:type="dxa"/>
            <w:vAlign w:val="center"/>
          </w:tcPr>
          <w:p>
            <w:pPr>
              <w:spacing w:line="360" w:lineRule="auto"/>
              <w:jc w:val="center"/>
              <w:rPr>
                <w:rFonts w:ascii="宋体" w:hAnsi="宋体"/>
                <w:b/>
                <w:color w:val="auto"/>
                <w:sz w:val="24"/>
              </w:rPr>
            </w:pPr>
            <w:r>
              <w:rPr>
                <w:rFonts w:hint="eastAsia" w:ascii="宋体" w:hAnsi="宋体"/>
                <w:b/>
                <w:color w:val="auto"/>
                <w:sz w:val="24"/>
              </w:rPr>
              <w:t>单价</w:t>
            </w:r>
          </w:p>
        </w:tc>
        <w:tc>
          <w:tcPr>
            <w:tcW w:w="1473"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266"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trPr>
        <w:tc>
          <w:tcPr>
            <w:tcW w:w="734" w:type="dxa"/>
          </w:tcPr>
          <w:p>
            <w:pPr>
              <w:pStyle w:val="55"/>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1</w:t>
            </w:r>
          </w:p>
        </w:tc>
        <w:tc>
          <w:tcPr>
            <w:tcW w:w="1921" w:type="dxa"/>
            <w:vAlign w:val="center"/>
          </w:tcPr>
          <w:p>
            <w:pPr>
              <w:spacing w:line="360" w:lineRule="auto"/>
              <w:rPr>
                <w:rFonts w:ascii="仿宋_GB2312" w:hAnsi="仿宋" w:eastAsia="仿宋_GB2312"/>
                <w:color w:val="auto"/>
                <w:sz w:val="28"/>
                <w:szCs w:val="28"/>
              </w:rPr>
            </w:pPr>
          </w:p>
        </w:tc>
        <w:tc>
          <w:tcPr>
            <w:tcW w:w="1466" w:type="dxa"/>
            <w:vAlign w:val="center"/>
          </w:tcPr>
          <w:p>
            <w:pPr>
              <w:spacing w:line="360" w:lineRule="auto"/>
              <w:rPr>
                <w:rFonts w:ascii="宋体" w:hAnsi="宋体"/>
                <w:color w:val="auto"/>
                <w:sz w:val="24"/>
              </w:rPr>
            </w:pPr>
          </w:p>
        </w:tc>
        <w:tc>
          <w:tcPr>
            <w:tcW w:w="2040"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Pr>
          <w:p>
            <w:pPr>
              <w:pStyle w:val="55"/>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2</w:t>
            </w:r>
          </w:p>
        </w:tc>
        <w:tc>
          <w:tcPr>
            <w:tcW w:w="1921" w:type="dxa"/>
            <w:vAlign w:val="center"/>
          </w:tcPr>
          <w:p>
            <w:pPr>
              <w:spacing w:line="360" w:lineRule="auto"/>
              <w:rPr>
                <w:rFonts w:ascii="仿宋_GB2312" w:hAnsi="仿宋" w:eastAsia="仿宋_GB2312"/>
                <w:color w:val="auto"/>
                <w:sz w:val="28"/>
                <w:szCs w:val="28"/>
              </w:rPr>
            </w:pPr>
          </w:p>
        </w:tc>
        <w:tc>
          <w:tcPr>
            <w:tcW w:w="1466" w:type="dxa"/>
            <w:vAlign w:val="center"/>
          </w:tcPr>
          <w:p>
            <w:pPr>
              <w:spacing w:line="360" w:lineRule="auto"/>
              <w:rPr>
                <w:rFonts w:ascii="宋体" w:hAnsi="宋体"/>
                <w:color w:val="auto"/>
                <w:sz w:val="24"/>
              </w:rPr>
            </w:pPr>
          </w:p>
        </w:tc>
        <w:tc>
          <w:tcPr>
            <w:tcW w:w="2040"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jc w:val="center"/>
              <w:rPr>
                <w:rFonts w:ascii="宋体" w:hAnsi="宋体"/>
                <w:color w:val="auto"/>
                <w:sz w:val="24"/>
              </w:rPr>
            </w:pPr>
            <w:r>
              <w:rPr>
                <w:rFonts w:hint="eastAsia" w:ascii="仿宋_GB2312" w:hAnsi="仿宋" w:eastAsia="仿宋_GB2312"/>
                <w:color w:val="auto"/>
                <w:sz w:val="30"/>
                <w:szCs w:val="30"/>
              </w:rPr>
              <w:t>3</w:t>
            </w:r>
          </w:p>
        </w:tc>
        <w:tc>
          <w:tcPr>
            <w:tcW w:w="1921" w:type="dxa"/>
            <w:vAlign w:val="center"/>
          </w:tcPr>
          <w:p>
            <w:pPr>
              <w:spacing w:line="360" w:lineRule="auto"/>
              <w:rPr>
                <w:rFonts w:ascii="宋体" w:hAnsi="宋体"/>
                <w:color w:val="auto"/>
                <w:sz w:val="24"/>
              </w:rPr>
            </w:pPr>
          </w:p>
        </w:tc>
        <w:tc>
          <w:tcPr>
            <w:tcW w:w="1466" w:type="dxa"/>
            <w:vAlign w:val="center"/>
          </w:tcPr>
          <w:p>
            <w:pPr>
              <w:spacing w:line="360" w:lineRule="auto"/>
              <w:rPr>
                <w:rFonts w:ascii="宋体" w:hAnsi="宋体"/>
                <w:color w:val="auto"/>
                <w:sz w:val="24"/>
              </w:rPr>
            </w:pPr>
          </w:p>
        </w:tc>
        <w:tc>
          <w:tcPr>
            <w:tcW w:w="2040"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rPr>
                <w:rFonts w:ascii="宋体" w:hAnsi="宋体"/>
                <w:color w:val="auto"/>
                <w:sz w:val="24"/>
              </w:rPr>
            </w:pPr>
            <w:r>
              <w:rPr>
                <w:rFonts w:hint="eastAsia" w:ascii="仿宋_GB2312" w:hAnsi="仿宋" w:eastAsia="仿宋_GB2312"/>
                <w:color w:val="auto"/>
                <w:sz w:val="30"/>
                <w:szCs w:val="30"/>
              </w:rPr>
              <w:t>……</w:t>
            </w:r>
          </w:p>
        </w:tc>
        <w:tc>
          <w:tcPr>
            <w:tcW w:w="1921" w:type="dxa"/>
            <w:vAlign w:val="center"/>
          </w:tcPr>
          <w:p>
            <w:pPr>
              <w:spacing w:line="360" w:lineRule="auto"/>
              <w:rPr>
                <w:rFonts w:ascii="宋体" w:hAnsi="宋体"/>
                <w:color w:val="auto"/>
                <w:sz w:val="24"/>
              </w:rPr>
            </w:pPr>
          </w:p>
        </w:tc>
        <w:tc>
          <w:tcPr>
            <w:tcW w:w="1466" w:type="dxa"/>
            <w:vAlign w:val="center"/>
          </w:tcPr>
          <w:p>
            <w:pPr>
              <w:spacing w:line="360" w:lineRule="auto"/>
              <w:rPr>
                <w:rFonts w:ascii="宋体" w:hAnsi="宋体"/>
                <w:color w:val="auto"/>
                <w:sz w:val="24"/>
              </w:rPr>
            </w:pPr>
          </w:p>
        </w:tc>
        <w:tc>
          <w:tcPr>
            <w:tcW w:w="2040"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900" w:type="dxa"/>
            <w:gridSpan w:val="6"/>
            <w:vAlign w:val="center"/>
          </w:tcPr>
          <w:p>
            <w:pPr>
              <w:spacing w:line="360" w:lineRule="auto"/>
              <w:rPr>
                <w:rFonts w:ascii="宋体" w:hAnsi="宋体"/>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 w:val="24"/>
        </w:rPr>
      </w:pPr>
      <w:r>
        <w:rPr>
          <w:rFonts w:hint="eastAsia" w:ascii="宋体" w:hAnsi="宋体"/>
          <w:b/>
          <w:color w:val="auto"/>
          <w:sz w:val="24"/>
        </w:rPr>
        <w:t>要求：</w:t>
      </w:r>
    </w:p>
    <w:p>
      <w:pPr>
        <w:spacing w:line="360" w:lineRule="auto"/>
        <w:ind w:left="435"/>
        <w:rPr>
          <w:rFonts w:ascii="宋体" w:hAnsi="宋体"/>
          <w:color w:val="auto"/>
          <w:sz w:val="24"/>
        </w:rPr>
      </w:pPr>
      <w:r>
        <w:rPr>
          <w:rFonts w:hint="eastAsia" w:ascii="宋体" w:hAnsi="宋体"/>
          <w:color w:val="auto"/>
          <w:sz w:val="24"/>
        </w:rPr>
        <w:t>1. 本表为《开标一览表》的报价明细表，如有缺项、漏项，视为投标报价中已包含相关费用，采购人无需另外支付任何费用。</w:t>
      </w:r>
    </w:p>
    <w:p>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pPr>
        <w:spacing w:line="360" w:lineRule="auto"/>
        <w:ind w:left="435"/>
        <w:rPr>
          <w:rFonts w:ascii="宋体"/>
          <w:color w:val="auto"/>
          <w:szCs w:val="21"/>
          <w:lang w:val="zh-CN"/>
        </w:rPr>
      </w:pPr>
    </w:p>
    <w:p>
      <w:pPr>
        <w:spacing w:line="360" w:lineRule="auto"/>
        <w:rPr>
          <w:rFonts w:ascii="宋体" w:hAnsi="宋体" w:cs="宋体"/>
          <w:color w:val="auto"/>
          <w:kern w:val="0"/>
          <w:sz w:val="24"/>
        </w:rPr>
      </w:pPr>
    </w:p>
    <w:p>
      <w:pPr>
        <w:spacing w:line="360" w:lineRule="auto"/>
        <w:ind w:left="420"/>
        <w:rPr>
          <w:rFonts w:ascii="宋体" w:hAnsi="宋体"/>
          <w:color w:val="auto"/>
          <w:sz w:val="24"/>
          <w:u w:val="single"/>
        </w:rPr>
      </w:pPr>
      <w:r>
        <w:rPr>
          <w:rFonts w:hint="eastAsia" w:ascii="宋体" w:hAnsi="宋体"/>
          <w:color w:val="auto"/>
          <w:sz w:val="24"/>
        </w:rPr>
        <w:t>投标人名称（电子印章）：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rPr>
          <w:rFonts w:ascii="宋体" w:hAnsi="宋体" w:cs="宋体"/>
          <w:color w:val="auto"/>
          <w:sz w:val="24"/>
        </w:rPr>
      </w:pPr>
    </w:p>
    <w:p>
      <w:pPr>
        <w:pStyle w:val="35"/>
        <w:tabs>
          <w:tab w:val="left" w:pos="1050"/>
        </w:tabs>
        <w:spacing w:line="360" w:lineRule="auto"/>
        <w:rPr>
          <w:rFonts w:ascii="宋体" w:hAnsi="宋体"/>
          <w:b/>
          <w:color w:val="auto"/>
          <w:sz w:val="28"/>
        </w:rPr>
      </w:pPr>
      <w:r>
        <w:rPr>
          <w:rFonts w:hint="eastAsia" w:ascii="宋体" w:hAnsi="宋体"/>
          <w:b/>
          <w:color w:val="auto"/>
          <w:sz w:val="28"/>
        </w:rPr>
        <w:t>附件16</w:t>
      </w:r>
    </w:p>
    <w:p>
      <w:pPr>
        <w:pStyle w:val="41"/>
        <w:spacing w:line="360" w:lineRule="auto"/>
        <w:jc w:val="center"/>
        <w:rPr>
          <w:rFonts w:ascii="宋体" w:hAnsi="宋体"/>
          <w:b/>
          <w:color w:val="auto"/>
          <w:sz w:val="32"/>
          <w:szCs w:val="32"/>
          <w:lang w:val="en-GB"/>
        </w:rPr>
      </w:pPr>
      <w:bookmarkStart w:id="89" w:name="_Toc17646_WPSOffice_Level1"/>
      <w:bookmarkStart w:id="90" w:name="_Toc27483_WPSOffice_Level1"/>
      <w:r>
        <w:rPr>
          <w:rFonts w:hint="eastAsia" w:ascii="宋体" w:hAnsi="宋体"/>
          <w:b/>
          <w:color w:val="auto"/>
          <w:sz w:val="32"/>
          <w:szCs w:val="32"/>
          <w:lang w:val="en-GB"/>
        </w:rPr>
        <w:t>中小企业声明函</w:t>
      </w:r>
    </w:p>
    <w:p>
      <w:pPr>
        <w:pStyle w:val="41"/>
        <w:spacing w:line="360" w:lineRule="auto"/>
        <w:jc w:val="center"/>
        <w:rPr>
          <w:rFonts w:ascii="宋体" w:hAnsi="宋体"/>
          <w:b/>
          <w:color w:val="auto"/>
          <w:sz w:val="24"/>
          <w:lang w:val="en-GB"/>
        </w:rPr>
      </w:pPr>
    </w:p>
    <w:p>
      <w:pPr>
        <w:pStyle w:val="41"/>
        <w:spacing w:line="360" w:lineRule="auto"/>
        <w:ind w:firstLine="480" w:firstLineChars="200"/>
        <w:rPr>
          <w:rFonts w:ascii="宋体" w:hAnsi="宋体"/>
          <w:color w:val="auto"/>
          <w:sz w:val="24"/>
        </w:rPr>
      </w:pPr>
      <w:r>
        <w:rPr>
          <w:rFonts w:hint="eastAsia" w:ascii="宋体" w:hAnsi="宋体"/>
          <w:color w:val="auto"/>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1"/>
        <w:numPr>
          <w:ilvl w:val="0"/>
          <w:numId w:val="25"/>
        </w:numPr>
        <w:spacing w:line="360" w:lineRule="auto"/>
        <w:ind w:firstLine="480" w:firstLineChars="200"/>
        <w:rPr>
          <w:rFonts w:ascii="宋体" w:hAnsi="宋体"/>
          <w:color w:val="auto"/>
          <w:sz w:val="24"/>
        </w:rPr>
      </w:pPr>
      <w:r>
        <w:rPr>
          <w:rFonts w:hint="eastAsia" w:ascii="宋体" w:hAnsi="宋体"/>
          <w:color w:val="auto"/>
          <w:sz w:val="24"/>
        </w:rPr>
        <w:t>（标的名称），属于（招标文件中明确的所属行业）；承建（承接）企业为（企业名称），从业人员人，营业收入为万元，资产总额为万元</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olor w:val="auto"/>
          <w:sz w:val="24"/>
        </w:rPr>
        <w:t>，属于（中型企业、小型企业、微型企业）；</w:t>
      </w:r>
    </w:p>
    <w:p>
      <w:pPr>
        <w:pStyle w:val="41"/>
        <w:spacing w:line="360" w:lineRule="auto"/>
        <w:ind w:firstLine="480" w:firstLineChars="200"/>
        <w:rPr>
          <w:rFonts w:ascii="宋体" w:hAnsi="宋体"/>
          <w:color w:val="auto"/>
          <w:sz w:val="24"/>
        </w:rPr>
      </w:pPr>
      <w:r>
        <w:rPr>
          <w:rFonts w:hint="eastAsia" w:ascii="宋体" w:hAnsi="宋体"/>
          <w:color w:val="auto"/>
          <w:sz w:val="24"/>
        </w:rPr>
        <w:t>2.（标的名称），属于（招标文件中明确的所属行业）；承建（承接）企业为（企业名称），从业人员人，营业收入为万元，资产总额为万元，属于（中型企业、小型企业、微型企业）；</w:t>
      </w:r>
    </w:p>
    <w:p>
      <w:pPr>
        <w:pStyle w:val="41"/>
        <w:spacing w:line="360" w:lineRule="auto"/>
        <w:ind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pStyle w:val="41"/>
        <w:spacing w:line="360" w:lineRule="auto"/>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pPr>
        <w:pStyle w:val="41"/>
        <w:spacing w:line="360" w:lineRule="auto"/>
        <w:ind w:firstLine="480" w:firstLineChars="200"/>
        <w:rPr>
          <w:rFonts w:ascii="宋体" w:hAnsi="宋体" w:cs="Arial"/>
          <w:bCs/>
          <w:color w:val="auto"/>
          <w:sz w:val="24"/>
        </w:rPr>
      </w:pPr>
      <w:r>
        <w:rPr>
          <w:rFonts w:ascii="宋体" w:hAnsi="宋体" w:cs="Arial"/>
          <w:bCs/>
          <w:color w:val="auto"/>
          <w:sz w:val="24"/>
        </w:rPr>
        <w:t>信息查询</w:t>
      </w:r>
      <w:r>
        <w:rPr>
          <w:rFonts w:hint="eastAsia" w:ascii="宋体" w:hAnsi="宋体" w:cs="Arial"/>
          <w:bCs/>
          <w:color w:val="auto"/>
          <w:sz w:val="24"/>
        </w:rPr>
        <w:t>网址为：</w:t>
      </w:r>
    </w:p>
    <w:p>
      <w:pPr>
        <w:spacing w:line="360" w:lineRule="auto"/>
        <w:rPr>
          <w:rFonts w:hint="eastAsia" w:ascii="宋体" w:hAnsi="宋体" w:eastAsia="宋体"/>
          <w:b/>
          <w:color w:val="auto"/>
          <w:szCs w:val="21"/>
          <w:lang w:val="en-US" w:eastAsia="zh-CN"/>
        </w:rPr>
      </w:pPr>
      <w:r>
        <w:rPr>
          <w:rFonts w:hint="eastAsia" w:ascii="宋体" w:hAnsi="宋体"/>
          <w:b/>
          <w:color w:val="auto"/>
          <w:szCs w:val="21"/>
          <w:lang w:val="en-US" w:eastAsia="zh-CN"/>
        </w:rPr>
        <w:t>要求：</w:t>
      </w:r>
    </w:p>
    <w:p>
      <w:pPr>
        <w:numPr>
          <w:ilvl w:val="0"/>
          <w:numId w:val="26"/>
        </w:numPr>
        <w:autoSpaceDE/>
        <w:autoSpaceDN/>
        <w:adjustRightInd/>
        <w:spacing w:line="360" w:lineRule="auto"/>
        <w:ind w:left="435" w:right="0" w:firstLine="0"/>
        <w:rPr>
          <w:rFonts w:hint="eastAsia" w:ascii="宋体" w:hAnsi="宋体"/>
          <w:color w:val="auto"/>
          <w:sz w:val="21"/>
          <w:szCs w:val="21"/>
        </w:rPr>
      </w:pPr>
      <w:r>
        <w:rPr>
          <w:rFonts w:hint="eastAsia" w:ascii="宋体" w:hAnsi="宋体"/>
          <w:color w:val="auto"/>
          <w:sz w:val="21"/>
          <w:szCs w:val="21"/>
        </w:rPr>
        <w:t>如</w:t>
      </w:r>
      <w:r>
        <w:rPr>
          <w:rFonts w:hint="eastAsia" w:ascii="宋体" w:hAnsi="宋体"/>
          <w:color w:val="auto"/>
          <w:sz w:val="21"/>
          <w:szCs w:val="21"/>
          <w:lang w:eastAsia="zh-CN"/>
        </w:rPr>
        <w:t>响应</w:t>
      </w:r>
      <w:r>
        <w:rPr>
          <w:rFonts w:hint="eastAsia" w:ascii="宋体" w:hAnsi="宋体"/>
          <w:color w:val="auto"/>
          <w:sz w:val="21"/>
          <w:szCs w:val="21"/>
        </w:rPr>
        <w:t>产品由小微企业生产，则需提供中小企业声明函。</w:t>
      </w:r>
    </w:p>
    <w:p>
      <w:pPr>
        <w:numPr>
          <w:ilvl w:val="0"/>
          <w:numId w:val="26"/>
        </w:numPr>
        <w:autoSpaceDE/>
        <w:autoSpaceDN/>
        <w:adjustRightInd/>
        <w:spacing w:line="360" w:lineRule="auto"/>
        <w:ind w:left="435" w:right="0" w:firstLine="0"/>
        <w:rPr>
          <w:rFonts w:hint="eastAsia" w:ascii="宋体" w:hAnsi="宋体"/>
          <w:color w:val="auto"/>
          <w:sz w:val="21"/>
          <w:szCs w:val="21"/>
        </w:rPr>
      </w:pPr>
      <w:r>
        <w:rPr>
          <w:rFonts w:hint="eastAsia" w:ascii="宋体" w:hAnsi="宋体"/>
          <w:color w:val="auto"/>
          <w:sz w:val="21"/>
          <w:szCs w:val="21"/>
        </w:rPr>
        <w:t>如</w:t>
      </w:r>
      <w:r>
        <w:rPr>
          <w:rFonts w:hint="eastAsia" w:ascii="宋体" w:hAnsi="宋体"/>
          <w:color w:val="auto"/>
          <w:sz w:val="21"/>
          <w:szCs w:val="21"/>
          <w:lang w:eastAsia="zh-CN"/>
        </w:rPr>
        <w:t>成交</w:t>
      </w:r>
      <w:r>
        <w:rPr>
          <w:rFonts w:hint="eastAsia" w:ascii="宋体" w:hAnsi="宋体"/>
          <w:color w:val="auto"/>
          <w:sz w:val="21"/>
          <w:szCs w:val="21"/>
        </w:rPr>
        <w:t>人声明为小微企业，本声明函将随</w:t>
      </w:r>
      <w:r>
        <w:rPr>
          <w:rFonts w:hint="eastAsia" w:ascii="宋体" w:hAnsi="宋体"/>
          <w:color w:val="auto"/>
          <w:sz w:val="21"/>
          <w:szCs w:val="21"/>
          <w:lang w:eastAsia="zh-CN"/>
        </w:rPr>
        <w:t>成交</w:t>
      </w:r>
      <w:r>
        <w:rPr>
          <w:rFonts w:hint="eastAsia" w:ascii="宋体" w:hAnsi="宋体"/>
          <w:color w:val="auto"/>
          <w:sz w:val="21"/>
          <w:szCs w:val="21"/>
        </w:rPr>
        <w:t>结果同时公告，接受社会监督。</w:t>
      </w:r>
    </w:p>
    <w:p>
      <w:pPr>
        <w:pStyle w:val="41"/>
        <w:spacing w:line="360" w:lineRule="auto"/>
        <w:rPr>
          <w:rFonts w:ascii="宋体" w:hAnsi="宋体"/>
          <w:color w:val="auto"/>
          <w:spacing w:val="6"/>
          <w:sz w:val="24"/>
        </w:rPr>
      </w:pPr>
    </w:p>
    <w:p>
      <w:pPr>
        <w:pStyle w:val="41"/>
        <w:spacing w:line="360" w:lineRule="auto"/>
        <w:ind w:firstLine="480" w:firstLineChars="200"/>
        <w:rPr>
          <w:rFonts w:ascii="宋体" w:hAnsi="宋体" w:cs="Arial"/>
          <w:bCs/>
          <w:color w:val="auto"/>
          <w:sz w:val="24"/>
        </w:rPr>
      </w:pPr>
    </w:p>
    <w:p>
      <w:pPr>
        <w:pStyle w:val="41"/>
        <w:spacing w:line="360" w:lineRule="auto"/>
        <w:rPr>
          <w:rFonts w:ascii="宋体" w:hAnsi="宋体"/>
          <w:color w:val="auto"/>
          <w:sz w:val="24"/>
        </w:rPr>
      </w:pPr>
    </w:p>
    <w:p>
      <w:pPr>
        <w:pStyle w:val="41"/>
        <w:spacing w:line="360" w:lineRule="auto"/>
        <w:ind w:firstLine="4800" w:firstLineChars="2000"/>
        <w:rPr>
          <w:rFonts w:ascii="宋体" w:hAnsi="宋体"/>
          <w:color w:val="auto"/>
          <w:sz w:val="24"/>
        </w:rPr>
      </w:pPr>
      <w:r>
        <w:rPr>
          <w:rFonts w:hint="eastAsia" w:ascii="宋体" w:hAnsi="宋体"/>
          <w:color w:val="auto"/>
          <w:sz w:val="24"/>
        </w:rPr>
        <w:t>企业名称（盖章）：</w:t>
      </w:r>
    </w:p>
    <w:p>
      <w:pPr>
        <w:pStyle w:val="41"/>
        <w:spacing w:line="360" w:lineRule="auto"/>
        <w:ind w:firstLine="4800" w:firstLineChars="2000"/>
        <w:rPr>
          <w:rFonts w:ascii="宋体" w:hAnsi="宋体"/>
          <w:color w:val="auto"/>
          <w:sz w:val="24"/>
        </w:rPr>
      </w:pPr>
      <w:r>
        <w:rPr>
          <w:rFonts w:hint="eastAsia" w:ascii="宋体" w:hAnsi="宋体"/>
          <w:color w:val="auto"/>
          <w:sz w:val="24"/>
        </w:rPr>
        <w:t>日期：××年××月××日</w:t>
      </w:r>
    </w:p>
    <w:p>
      <w:pPr>
        <w:pStyle w:val="14"/>
        <w:rPr>
          <w:rFonts w:ascii="宋体" w:hAnsi="宋体" w:cs="宋体"/>
          <w:color w:val="auto"/>
          <w:sz w:val="24"/>
          <w:szCs w:val="24"/>
        </w:rPr>
      </w:pPr>
    </w:p>
    <w:p>
      <w:pPr>
        <w:pStyle w:val="14"/>
        <w:rPr>
          <w:rFonts w:ascii="宋体" w:hAnsi="宋体" w:cs="宋体"/>
          <w:color w:val="auto"/>
          <w:sz w:val="24"/>
          <w:szCs w:val="24"/>
        </w:rPr>
      </w:pPr>
    </w:p>
    <w:p>
      <w:pPr>
        <w:spacing w:line="360" w:lineRule="auto"/>
        <w:rPr>
          <w:rFonts w:ascii="宋体" w:hAnsi="宋体" w:cs="宋体"/>
          <w:color w:val="auto"/>
          <w:sz w:val="24"/>
        </w:rPr>
      </w:pPr>
      <w:r>
        <w:rPr>
          <w:rFonts w:ascii="宋体" w:hAnsi="宋体" w:cs="宋体"/>
          <w:color w:val="auto"/>
          <w:sz w:val="24"/>
        </w:rPr>
        <mc:AlternateContent>
          <mc:Choice Requires="wps">
            <w:drawing>
              <wp:anchor distT="0" distB="0" distL="0" distR="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1026"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ln>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0UqpXTAAAABgEAAA8AAAAAAAAAAQAgAAAAIgAAAGRycy9kb3ducmV2LnhtbFBLAQIUABQAAAAI&#10;AIdO4kDmpSL7uQEAAEQDAAAOAAAAAAAAAAEAIAAAACIBAABkcnMvZTJvRG9jLnhtbFBLBQYAAAAA&#10;BgAGAFkBAABNBQAAAAA=&#10;">
                <v:fill on="f" focussize="0,0"/>
                <v:stroke weight="1.25pt" color="#000000" joinstyle="miter"/>
                <v:imagedata o:title=""/>
                <o:lock v:ext="edit" aspectratio="f"/>
              </v:line>
            </w:pict>
          </mc:Fallback>
        </mc:AlternateContent>
      </w:r>
    </w:p>
    <w:p>
      <w:pPr>
        <w:spacing w:line="360" w:lineRule="auto"/>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从业人员、营业收入、资产总额填报上一年度数据，无上一年度数据的新成立企业可不填报。</w:t>
      </w:r>
    </w:p>
    <w:p>
      <w:pPr>
        <w:spacing w:line="360" w:lineRule="auto"/>
        <w:rPr>
          <w:rFonts w:ascii="宋体" w:hAnsi="宋体" w:cs="宋体"/>
          <w:color w:val="auto"/>
          <w:sz w:val="24"/>
        </w:rPr>
      </w:pPr>
    </w:p>
    <w:p>
      <w:pPr>
        <w:pStyle w:val="2"/>
        <w:rPr>
          <w:color w:val="auto"/>
        </w:rPr>
      </w:pPr>
    </w:p>
    <w:p>
      <w:pPr>
        <w:pStyle w:val="15"/>
        <w:spacing w:line="360" w:lineRule="auto"/>
        <w:jc w:val="center"/>
        <w:outlineLvl w:val="1"/>
        <w:rPr>
          <w:rFonts w:hAnsi="宋体"/>
          <w:b/>
          <w:color w:val="auto"/>
          <w:sz w:val="32"/>
          <w:szCs w:val="32"/>
          <w:lang w:val="en-GB"/>
        </w:rPr>
      </w:pPr>
      <w:r>
        <w:rPr>
          <w:rFonts w:hint="eastAsia" w:hAnsi="宋体"/>
          <w:b/>
          <w:color w:val="auto"/>
          <w:sz w:val="32"/>
          <w:szCs w:val="32"/>
          <w:lang w:val="en-GB"/>
        </w:rPr>
        <w:t>残疾人福利性单位声明函</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政府采购中心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w:t>
      </w:r>
    </w:p>
    <w:p>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单位名称（盖章）：</w:t>
      </w:r>
    </w:p>
    <w:p>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w:t>
      </w:r>
    </w:p>
    <w:p>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日         期  ：</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napToGrid w:val="0"/>
        <w:spacing w:before="156" w:beforeLines="50" w:after="50" w:line="360" w:lineRule="auto"/>
        <w:outlineLvl w:val="0"/>
        <w:rPr>
          <w:rFonts w:ascii="仿宋_GB2312" w:hAnsi="宋体"/>
          <w:bCs/>
          <w:color w:val="auto"/>
          <w:sz w:val="30"/>
          <w:szCs w:val="30"/>
        </w:rPr>
      </w:pPr>
      <w:r>
        <w:rPr>
          <w:rFonts w:hint="eastAsia" w:ascii="宋体" w:hAnsi="宋体"/>
          <w:b/>
          <w:color w:val="auto"/>
          <w:sz w:val="28"/>
        </w:rPr>
        <w:t>附件17</w:t>
      </w:r>
    </w:p>
    <w:p>
      <w:pPr>
        <w:outlineLvl w:val="0"/>
        <w:rPr>
          <w:color w:val="auto"/>
          <w:sz w:val="28"/>
          <w:szCs w:val="28"/>
        </w:rPr>
      </w:pPr>
      <w:bookmarkStart w:id="91" w:name="_Toc5436"/>
      <w:r>
        <w:rPr>
          <w:rFonts w:hint="eastAsia"/>
          <w:color w:val="auto"/>
          <w:sz w:val="28"/>
          <w:szCs w:val="28"/>
        </w:rPr>
        <w:t>其余事项：</w:t>
      </w:r>
      <w:bookmarkEnd w:id="91"/>
    </w:p>
    <w:p>
      <w:pPr>
        <w:ind w:firstLine="560" w:firstLineChars="200"/>
        <w:outlineLvl w:val="0"/>
        <w:rPr>
          <w:color w:val="auto"/>
          <w:sz w:val="28"/>
          <w:szCs w:val="28"/>
        </w:rPr>
      </w:pPr>
      <w:bookmarkStart w:id="92" w:name="_Toc24067"/>
      <w:r>
        <w:rPr>
          <w:rFonts w:hint="eastAsia"/>
          <w:color w:val="auto"/>
          <w:sz w:val="28"/>
          <w:szCs w:val="28"/>
        </w:rPr>
        <w:t>协商供应商如有融资需求，可使用以下银行的政采贷服务。</w:t>
      </w:r>
      <w:bookmarkEnd w:id="92"/>
    </w:p>
    <w:tbl>
      <w:tblPr>
        <w:tblStyle w:val="26"/>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贷款年利率</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联系人</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中国工商银行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王霖</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中国农业银行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龚盛</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中国建设银行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梅晶晶</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88525339</w:t>
            </w:r>
          </w:p>
          <w:p>
            <w:pPr>
              <w:spacing w:line="400" w:lineRule="exact"/>
              <w:jc w:val="center"/>
              <w:rPr>
                <w:rFonts w:ascii="Arial" w:hAnsi="Arial"/>
                <w:color w:val="auto"/>
                <w:sz w:val="28"/>
                <w:szCs w:val="28"/>
              </w:rPr>
            </w:pPr>
            <w:r>
              <w:rPr>
                <w:rFonts w:hint="eastAsia" w:ascii="Arial" w:hAnsi="Arial"/>
                <w:color w:val="auto"/>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任茜</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王渊</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浦发银行椒江分行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孙瑞华</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交通银行台州分行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周翔宇</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招商银行台州分行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4.32%起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王海玲</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浙商银行台州分行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5.01%起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章涉漪</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81880185</w:t>
            </w:r>
          </w:p>
          <w:p>
            <w:pPr>
              <w:spacing w:line="400" w:lineRule="exact"/>
              <w:jc w:val="center"/>
              <w:rPr>
                <w:rFonts w:ascii="Arial" w:hAnsi="Arial"/>
                <w:color w:val="auto"/>
                <w:sz w:val="28"/>
                <w:szCs w:val="28"/>
              </w:rPr>
            </w:pPr>
            <w:r>
              <w:rPr>
                <w:rFonts w:hint="eastAsia" w:ascii="Arial" w:hAnsi="Arial"/>
                <w:color w:val="auto"/>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中信银行台州分行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4.15%起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陈金园</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华夏银行台州分行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邱明达</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81871518</w:t>
            </w:r>
          </w:p>
          <w:p>
            <w:pPr>
              <w:spacing w:line="400" w:lineRule="exact"/>
              <w:jc w:val="center"/>
              <w:rPr>
                <w:rFonts w:ascii="Arial" w:hAnsi="Arial"/>
                <w:color w:val="auto"/>
                <w:sz w:val="28"/>
                <w:szCs w:val="28"/>
              </w:rPr>
            </w:pPr>
            <w:r>
              <w:rPr>
                <w:rFonts w:hint="eastAsia" w:ascii="Arial" w:hAnsi="Arial"/>
                <w:color w:val="auto"/>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泰隆银行开发区支行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梁宛莉</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民泰银行椒江支行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5.8%起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陈慧珠</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绍兴银行台州分行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5.1%起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郭庭斌</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温州银行台州分行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王晓波</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平安银行台州分行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6.53%起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李俊丽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宁波银行台州分行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戴莉丽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金华银行台州分行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81886670</w:t>
            </w:r>
          </w:p>
          <w:p>
            <w:pPr>
              <w:spacing w:line="400" w:lineRule="exact"/>
              <w:jc w:val="center"/>
              <w:rPr>
                <w:rFonts w:ascii="Arial" w:hAnsi="Arial"/>
                <w:color w:val="auto"/>
                <w:sz w:val="28"/>
                <w:szCs w:val="28"/>
              </w:rPr>
            </w:pPr>
            <w:r>
              <w:rPr>
                <w:rFonts w:hint="eastAsia" w:ascii="Arial" w:hAnsi="Arial"/>
                <w:color w:val="auto"/>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台州银行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邮储银行台州分行</w:t>
            </w:r>
          </w:p>
        </w:tc>
        <w:tc>
          <w:tcPr>
            <w:tcW w:w="1300"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3.85%起</w:t>
            </w:r>
          </w:p>
        </w:tc>
        <w:tc>
          <w:tcPr>
            <w:tcW w:w="1584"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董庆</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81888982</w:t>
            </w:r>
          </w:p>
          <w:p>
            <w:pPr>
              <w:spacing w:line="400" w:lineRule="exact"/>
              <w:jc w:val="center"/>
              <w:rPr>
                <w:rFonts w:ascii="Arial" w:hAnsi="Arial"/>
                <w:color w:val="auto"/>
                <w:sz w:val="28"/>
                <w:szCs w:val="28"/>
              </w:rPr>
            </w:pPr>
            <w:r>
              <w:rPr>
                <w:rFonts w:hint="eastAsia" w:ascii="Arial" w:hAnsi="Arial"/>
                <w:color w:val="auto"/>
                <w:sz w:val="28"/>
                <w:szCs w:val="28"/>
              </w:rPr>
              <w:t>18957683735</w:t>
            </w:r>
          </w:p>
        </w:tc>
      </w:tr>
    </w:tbl>
    <w:p>
      <w:pPr>
        <w:pStyle w:val="14"/>
        <w:rPr>
          <w:color w:val="auto"/>
        </w:rPr>
      </w:pPr>
    </w:p>
    <w:p>
      <w:pPr>
        <w:pStyle w:val="14"/>
        <w:rPr>
          <w:color w:val="auto"/>
        </w:rPr>
      </w:pPr>
    </w:p>
    <w:p>
      <w:pPr>
        <w:outlineLvl w:val="0"/>
        <w:rPr>
          <w:color w:val="auto"/>
          <w:sz w:val="28"/>
          <w:szCs w:val="28"/>
        </w:rPr>
      </w:pPr>
      <w:bookmarkStart w:id="93" w:name="_Toc4895"/>
      <w:r>
        <w:rPr>
          <w:rFonts w:hint="eastAsia"/>
          <w:color w:val="auto"/>
          <w:sz w:val="28"/>
          <w:szCs w:val="28"/>
        </w:rPr>
        <w:t>协商供应商如有合同履约或预付款保函需要，可联系以下保险公司。</w:t>
      </w:r>
      <w:bookmarkEnd w:id="93"/>
    </w:p>
    <w:p>
      <w:pPr>
        <w:outlineLvl w:val="0"/>
        <w:rPr>
          <w:color w:val="auto"/>
          <w:sz w:val="28"/>
          <w:szCs w:val="28"/>
        </w:rPr>
      </w:pPr>
      <w:bookmarkStart w:id="94" w:name="_Toc4774"/>
      <w:r>
        <w:rPr>
          <w:rFonts w:hint="eastAsia"/>
          <w:color w:val="auto"/>
          <w:sz w:val="28"/>
          <w:szCs w:val="28"/>
        </w:rPr>
        <w:t>合同履约保函联系方式：</w:t>
      </w:r>
      <w:bookmarkEnd w:id="94"/>
    </w:p>
    <w:tbl>
      <w:tblPr>
        <w:tblStyle w:val="26"/>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1791"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1471"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678"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年费率1%，最低保费1000元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尹刚强</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年费率0.5%，最低保费1000元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王灵芳</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年费率1.5%，最低保费500元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徐小明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年费率2%，最低保费500元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王仙高</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王仙春</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1791"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jc w:val="center"/>
              <w:rPr>
                <w:rFonts w:ascii="宋体" w:hAnsi="宋体" w:cs="宋体"/>
                <w:color w:val="auto"/>
                <w:sz w:val="24"/>
              </w:rPr>
            </w:pPr>
            <w:r>
              <w:rPr>
                <w:rFonts w:hint="eastAsia" w:ascii="宋体" w:hAnsi="宋体" w:cs="宋体"/>
                <w:color w:val="auto"/>
                <w:sz w:val="24"/>
              </w:rPr>
              <w:t>王春宇</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13676675331</w:t>
            </w:r>
          </w:p>
        </w:tc>
      </w:tr>
    </w:tbl>
    <w:p>
      <w:pPr>
        <w:ind w:firstLine="640" w:firstLineChars="200"/>
        <w:rPr>
          <w:color w:val="auto"/>
          <w:sz w:val="32"/>
          <w:szCs w:val="32"/>
        </w:rPr>
      </w:pPr>
    </w:p>
    <w:p>
      <w:pPr>
        <w:ind w:firstLine="640" w:firstLineChars="200"/>
        <w:outlineLvl w:val="0"/>
        <w:rPr>
          <w:color w:val="auto"/>
          <w:sz w:val="32"/>
          <w:szCs w:val="32"/>
        </w:rPr>
      </w:pPr>
      <w:bookmarkStart w:id="95" w:name="_Toc4077"/>
      <w:r>
        <w:rPr>
          <w:rFonts w:hint="eastAsia"/>
          <w:color w:val="auto"/>
          <w:sz w:val="32"/>
          <w:szCs w:val="32"/>
        </w:rPr>
        <w:t>预付款保函联系方式</w:t>
      </w:r>
      <w:bookmarkEnd w:id="95"/>
    </w:p>
    <w:tbl>
      <w:tblPr>
        <w:tblStyle w:val="26"/>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1602"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2027"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923"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602" w:type="dxa"/>
            <w:vAlign w:val="center"/>
          </w:tcPr>
          <w:p>
            <w:pPr>
              <w:jc w:val="center"/>
              <w:rPr>
                <w:rFonts w:ascii="宋体" w:hAnsi="宋体" w:cs="宋体"/>
                <w:color w:val="auto"/>
                <w:sz w:val="24"/>
              </w:rPr>
            </w:pPr>
            <w:r>
              <w:rPr>
                <w:rFonts w:hint="eastAsia" w:ascii="宋体" w:hAnsi="宋体" w:cs="宋体"/>
                <w:color w:val="auto"/>
                <w:sz w:val="24"/>
              </w:rPr>
              <w:t>年费率3%，最低保费500元</w:t>
            </w:r>
          </w:p>
        </w:tc>
        <w:tc>
          <w:tcPr>
            <w:tcW w:w="2027"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1602"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2027"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923"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1602" w:type="dxa"/>
            <w:vAlign w:val="center"/>
          </w:tcPr>
          <w:p>
            <w:pPr>
              <w:jc w:val="center"/>
              <w:rPr>
                <w:rFonts w:ascii="宋体" w:hAnsi="宋体" w:cs="宋体"/>
                <w:color w:val="auto"/>
                <w:sz w:val="24"/>
              </w:rPr>
            </w:pPr>
            <w:r>
              <w:rPr>
                <w:rFonts w:hint="eastAsia" w:ascii="宋体" w:hAnsi="宋体" w:cs="宋体"/>
                <w:color w:val="auto"/>
                <w:sz w:val="24"/>
              </w:rPr>
              <w:t>年费率1%-2%，最低保费500元</w:t>
            </w:r>
          </w:p>
        </w:tc>
        <w:tc>
          <w:tcPr>
            <w:tcW w:w="2027" w:type="dxa"/>
            <w:vAlign w:val="center"/>
          </w:tcPr>
          <w:p>
            <w:pPr>
              <w:jc w:val="center"/>
              <w:rPr>
                <w:rFonts w:ascii="宋体" w:hAnsi="宋体" w:cs="宋体"/>
                <w:color w:val="auto"/>
                <w:sz w:val="24"/>
              </w:rPr>
            </w:pPr>
            <w:r>
              <w:rPr>
                <w:rFonts w:hint="eastAsia" w:ascii="宋体" w:hAnsi="宋体" w:cs="宋体"/>
                <w:color w:val="auto"/>
                <w:sz w:val="24"/>
              </w:rPr>
              <w:t>罗赛</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13736605643</w:t>
            </w:r>
          </w:p>
        </w:tc>
      </w:tr>
      <w:bookmarkEnd w:id="89"/>
      <w:bookmarkEnd w:id="90"/>
    </w:tbl>
    <w:p>
      <w:pPr>
        <w:pStyle w:val="14"/>
        <w:ind w:firstLine="0"/>
        <w:rPr>
          <w:color w:val="auto"/>
        </w:rPr>
      </w:pPr>
    </w:p>
    <w:sectPr>
      <w:headerReference r:id="rId3" w:type="default"/>
      <w:footerReference r:id="rId4"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112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6ljj/64BAABE&#10;AwAADgAAAAAAAAABACAAAAAfAQAAZHJzL2Uyb0RvYy54bWxQSwUGAAAAAAYABgBZAQAAP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112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台州市政府采购招标文件--服务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112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112</w:t>
    </w:r>
    <w:r>
      <w:rPr>
        <w:b/>
        <w:i/>
        <w:color w:val="000000"/>
        <w:spacing w:val="-20"/>
        <w:kern w:val="0"/>
        <w:sz w:val="18"/>
        <w:u w:val="single"/>
      </w:rPr>
      <w:fldChar w:fldCharType="end"/>
    </w:r>
    <w:r>
      <w:rPr>
        <w:rFonts w:hint="eastAsia"/>
        <w:b/>
        <w:i/>
        <w:color w:val="000000"/>
        <w:spacing w:val="-20"/>
        <w:kern w:val="0"/>
        <w:sz w:val="18"/>
        <w:u w:val="single"/>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D925E3"/>
    <w:multiLevelType w:val="singleLevel"/>
    <w:tmpl w:val="9AD925E3"/>
    <w:lvl w:ilvl="0" w:tentative="0">
      <w:start w:val="1"/>
      <w:numFmt w:val="decimal"/>
      <w:suff w:val="nothing"/>
      <w:lvlText w:val="（%1）"/>
      <w:lvlJc w:val="left"/>
    </w:lvl>
  </w:abstractNum>
  <w:abstractNum w:abstractNumId="1">
    <w:nsid w:val="AC2DDBA8"/>
    <w:multiLevelType w:val="singleLevel"/>
    <w:tmpl w:val="AC2DDBA8"/>
    <w:lvl w:ilvl="0" w:tentative="0">
      <w:start w:val="3"/>
      <w:numFmt w:val="chineseCounting"/>
      <w:suff w:val="nothing"/>
      <w:lvlText w:val="（%1）"/>
      <w:lvlJc w:val="left"/>
      <w:rPr>
        <w:rFonts w:hint="eastAsia"/>
      </w:rPr>
    </w:lvl>
  </w:abstractNum>
  <w:abstractNum w:abstractNumId="2">
    <w:nsid w:val="ACBEC2E9"/>
    <w:multiLevelType w:val="singleLevel"/>
    <w:tmpl w:val="ACBEC2E9"/>
    <w:lvl w:ilvl="0" w:tentative="0">
      <w:start w:val="1"/>
      <w:numFmt w:val="decimal"/>
      <w:suff w:val="nothing"/>
      <w:lvlText w:val="（%1）"/>
      <w:lvlJc w:val="left"/>
    </w:lvl>
  </w:abstractNum>
  <w:abstractNum w:abstractNumId="3">
    <w:nsid w:val="C52B1AB9"/>
    <w:multiLevelType w:val="singleLevel"/>
    <w:tmpl w:val="C52B1AB9"/>
    <w:lvl w:ilvl="0" w:tentative="0">
      <w:start w:val="1"/>
      <w:numFmt w:val="decimal"/>
      <w:suff w:val="nothing"/>
      <w:lvlText w:val="（%1）"/>
      <w:lvlJc w:val="left"/>
    </w:lvl>
  </w:abstractNum>
  <w:abstractNum w:abstractNumId="4">
    <w:nsid w:val="E38321AE"/>
    <w:multiLevelType w:val="singleLevel"/>
    <w:tmpl w:val="E38321AE"/>
    <w:lvl w:ilvl="0" w:tentative="0">
      <w:start w:val="1"/>
      <w:numFmt w:val="decimal"/>
      <w:suff w:val="nothing"/>
      <w:lvlText w:val="（%1）"/>
      <w:lvlJc w:val="left"/>
    </w:lvl>
  </w:abstractNum>
  <w:abstractNum w:abstractNumId="5">
    <w:nsid w:val="FBEECAA5"/>
    <w:multiLevelType w:val="singleLevel"/>
    <w:tmpl w:val="FBEECAA5"/>
    <w:lvl w:ilvl="0" w:tentative="0">
      <w:start w:val="1"/>
      <w:numFmt w:val="decimal"/>
      <w:suff w:val="nothing"/>
      <w:lvlText w:val="（%1）"/>
      <w:lvlJc w:val="left"/>
    </w:lvl>
  </w:abstractNum>
  <w:abstractNum w:abstractNumId="6">
    <w:nsid w:val="FDDC243A"/>
    <w:multiLevelType w:val="singleLevel"/>
    <w:tmpl w:val="FDDC243A"/>
    <w:lvl w:ilvl="0" w:tentative="0">
      <w:start w:val="1"/>
      <w:numFmt w:val="decimal"/>
      <w:suff w:val="nothing"/>
      <w:lvlText w:val="（%1）"/>
      <w:lvlJc w:val="left"/>
    </w:lvl>
  </w:abstractNum>
  <w:abstractNum w:abstractNumId="7">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abstractNum w:abstractNumId="8">
    <w:nsid w:val="00000003"/>
    <w:multiLevelType w:val="multilevel"/>
    <w:tmpl w:val="00000003"/>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eastAsia="宋体" w:cs="宋体"/>
        <w:sz w:val="24"/>
        <w:szCs w:val="24"/>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9">
    <w:nsid w:val="00000004"/>
    <w:multiLevelType w:val="singleLevel"/>
    <w:tmpl w:val="00000004"/>
    <w:lvl w:ilvl="0" w:tentative="0">
      <w:start w:val="1"/>
      <w:numFmt w:val="decimal"/>
      <w:suff w:val="nothing"/>
      <w:lvlText w:val="（%1）"/>
      <w:lvlJc w:val="left"/>
    </w:lvl>
  </w:abstractNum>
  <w:abstractNum w:abstractNumId="10">
    <w:nsid w:val="00000005"/>
    <w:multiLevelType w:val="singleLevel"/>
    <w:tmpl w:val="00000005"/>
    <w:lvl w:ilvl="0" w:tentative="0">
      <w:start w:val="1"/>
      <w:numFmt w:val="decimal"/>
      <w:pStyle w:val="13"/>
      <w:lvlText w:val="%1."/>
      <w:lvlJc w:val="left"/>
      <w:pPr>
        <w:tabs>
          <w:tab w:val="left" w:pos="360"/>
        </w:tabs>
        <w:ind w:left="360" w:hanging="360"/>
      </w:pPr>
    </w:lvl>
  </w:abstractNum>
  <w:abstractNum w:abstractNumId="11">
    <w:nsid w:val="00000006"/>
    <w:multiLevelType w:val="singleLevel"/>
    <w:tmpl w:val="00000006"/>
    <w:lvl w:ilvl="0" w:tentative="0">
      <w:start w:val="2"/>
      <w:numFmt w:val="chineseCounting"/>
      <w:suff w:val="space"/>
      <w:lvlText w:val="第%1章"/>
      <w:lvlJc w:val="left"/>
      <w:rPr>
        <w:rFonts w:hint="eastAsia"/>
      </w:rPr>
    </w:lvl>
  </w:abstractNum>
  <w:abstractNum w:abstractNumId="12">
    <w:nsid w:val="00000007"/>
    <w:multiLevelType w:val="multilevel"/>
    <w:tmpl w:val="00000007"/>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3">
    <w:nsid w:val="00000008"/>
    <w:multiLevelType w:val="singleLevel"/>
    <w:tmpl w:val="00000008"/>
    <w:lvl w:ilvl="0" w:tentative="0">
      <w:start w:val="1"/>
      <w:numFmt w:val="chineseCounting"/>
      <w:suff w:val="space"/>
      <w:lvlText w:val="第%1章"/>
      <w:lvlJc w:val="left"/>
      <w:rPr>
        <w:rFonts w:hint="eastAsia"/>
      </w:rPr>
    </w:lvl>
  </w:abstractNum>
  <w:abstractNum w:abstractNumId="14">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15">
    <w:nsid w:val="0000000C"/>
    <w:multiLevelType w:val="singleLevel"/>
    <w:tmpl w:val="0000000C"/>
    <w:lvl w:ilvl="0" w:tentative="0">
      <w:start w:val="1"/>
      <w:numFmt w:val="decimal"/>
      <w:suff w:val="nothing"/>
      <w:lvlText w:val="%1、"/>
      <w:lvlJc w:val="left"/>
    </w:lvl>
  </w:abstractNum>
  <w:abstractNum w:abstractNumId="16">
    <w:nsid w:val="0000000D"/>
    <w:multiLevelType w:val="singleLevel"/>
    <w:tmpl w:val="0000000D"/>
    <w:lvl w:ilvl="0" w:tentative="0">
      <w:start w:val="1"/>
      <w:numFmt w:val="decimal"/>
      <w:lvlText w:val="%1."/>
      <w:lvlJc w:val="left"/>
      <w:pPr>
        <w:tabs>
          <w:tab w:val="left" w:pos="312"/>
        </w:tabs>
      </w:pPr>
    </w:lvl>
  </w:abstractNum>
  <w:abstractNum w:abstractNumId="17">
    <w:nsid w:val="0091534F"/>
    <w:multiLevelType w:val="singleLevel"/>
    <w:tmpl w:val="0091534F"/>
    <w:lvl w:ilvl="0" w:tentative="0">
      <w:start w:val="1"/>
      <w:numFmt w:val="decimal"/>
      <w:lvlText w:val="(%1)"/>
      <w:lvlJc w:val="left"/>
      <w:pPr>
        <w:ind w:left="425" w:hanging="425"/>
      </w:pPr>
      <w:rPr>
        <w:rFonts w:hint="default"/>
      </w:rPr>
    </w:lvl>
  </w:abstractNum>
  <w:abstractNum w:abstractNumId="18">
    <w:nsid w:val="0E3DD1AC"/>
    <w:multiLevelType w:val="singleLevel"/>
    <w:tmpl w:val="0E3DD1AC"/>
    <w:lvl w:ilvl="0" w:tentative="0">
      <w:start w:val="1"/>
      <w:numFmt w:val="decimal"/>
      <w:suff w:val="nothing"/>
      <w:lvlText w:val="（%1）"/>
      <w:lvlJc w:val="left"/>
    </w:lvl>
  </w:abstractNum>
  <w:abstractNum w:abstractNumId="19">
    <w:nsid w:val="12658ED0"/>
    <w:multiLevelType w:val="singleLevel"/>
    <w:tmpl w:val="12658ED0"/>
    <w:lvl w:ilvl="0" w:tentative="0">
      <w:start w:val="1"/>
      <w:numFmt w:val="decimal"/>
      <w:suff w:val="nothing"/>
      <w:lvlText w:val="（%1）"/>
      <w:lvlJc w:val="left"/>
    </w:lvl>
  </w:abstractNum>
  <w:abstractNum w:abstractNumId="20">
    <w:nsid w:val="1729B7FE"/>
    <w:multiLevelType w:val="singleLevel"/>
    <w:tmpl w:val="1729B7FE"/>
    <w:lvl w:ilvl="0" w:tentative="0">
      <w:start w:val="1"/>
      <w:numFmt w:val="decimal"/>
      <w:suff w:val="nothing"/>
      <w:lvlText w:val="（%1）"/>
      <w:lvlJc w:val="left"/>
    </w:lvl>
  </w:abstractNum>
  <w:abstractNum w:abstractNumId="21">
    <w:nsid w:val="21B94EAA"/>
    <w:multiLevelType w:val="singleLevel"/>
    <w:tmpl w:val="21B94EAA"/>
    <w:lvl w:ilvl="0" w:tentative="0">
      <w:start w:val="1"/>
      <w:numFmt w:val="decimal"/>
      <w:suff w:val="nothing"/>
      <w:lvlText w:val="（%1）"/>
      <w:lvlJc w:val="left"/>
    </w:lvl>
  </w:abstractNum>
  <w:abstractNum w:abstractNumId="22">
    <w:nsid w:val="2452259A"/>
    <w:multiLevelType w:val="singleLevel"/>
    <w:tmpl w:val="2452259A"/>
    <w:lvl w:ilvl="0" w:tentative="0">
      <w:start w:val="1"/>
      <w:numFmt w:val="decimal"/>
      <w:suff w:val="nothing"/>
      <w:lvlText w:val="（%1）"/>
      <w:lvlJc w:val="left"/>
    </w:lvl>
  </w:abstractNum>
  <w:abstractNum w:abstractNumId="23">
    <w:nsid w:val="32D12C48"/>
    <w:multiLevelType w:val="singleLevel"/>
    <w:tmpl w:val="32D12C48"/>
    <w:lvl w:ilvl="0" w:tentative="0">
      <w:start w:val="6"/>
      <w:numFmt w:val="chineseCounting"/>
      <w:suff w:val="nothing"/>
      <w:lvlText w:val="（%1）"/>
      <w:lvlJc w:val="left"/>
      <w:rPr>
        <w:rFonts w:hint="eastAsia"/>
      </w:rPr>
    </w:lvl>
  </w:abstractNum>
  <w:abstractNum w:abstractNumId="24">
    <w:nsid w:val="39DCDC9B"/>
    <w:multiLevelType w:val="singleLevel"/>
    <w:tmpl w:val="39DCDC9B"/>
    <w:lvl w:ilvl="0" w:tentative="0">
      <w:start w:val="1"/>
      <w:numFmt w:val="decimal"/>
      <w:lvlText w:val="%1."/>
      <w:lvlJc w:val="left"/>
      <w:pPr>
        <w:tabs>
          <w:tab w:val="left" w:pos="312"/>
        </w:tabs>
      </w:pPr>
    </w:lvl>
  </w:abstractNum>
  <w:abstractNum w:abstractNumId="25">
    <w:nsid w:val="3C72C618"/>
    <w:multiLevelType w:val="singleLevel"/>
    <w:tmpl w:val="3C72C618"/>
    <w:lvl w:ilvl="0" w:tentative="0">
      <w:start w:val="1"/>
      <w:numFmt w:val="decimal"/>
      <w:suff w:val="nothing"/>
      <w:lvlText w:val="（%1）"/>
      <w:lvlJc w:val="left"/>
    </w:lvl>
  </w:abstractNum>
  <w:num w:numId="1">
    <w:abstractNumId w:val="12"/>
  </w:num>
  <w:num w:numId="2">
    <w:abstractNumId w:val="8"/>
  </w:num>
  <w:num w:numId="3">
    <w:abstractNumId w:val="10"/>
  </w:num>
  <w:num w:numId="4">
    <w:abstractNumId w:val="13"/>
  </w:num>
  <w:num w:numId="5">
    <w:abstractNumId w:val="11"/>
  </w:num>
  <w:num w:numId="6">
    <w:abstractNumId w:val="9"/>
  </w:num>
  <w:num w:numId="7">
    <w:abstractNumId w:val="14"/>
  </w:num>
  <w:num w:numId="8">
    <w:abstractNumId w:val="7"/>
  </w:num>
  <w:num w:numId="9">
    <w:abstractNumId w:val="1"/>
  </w:num>
  <w:num w:numId="10">
    <w:abstractNumId w:val="19"/>
  </w:num>
  <w:num w:numId="11">
    <w:abstractNumId w:val="2"/>
  </w:num>
  <w:num w:numId="12">
    <w:abstractNumId w:val="18"/>
  </w:num>
  <w:num w:numId="13">
    <w:abstractNumId w:val="5"/>
  </w:num>
  <w:num w:numId="14">
    <w:abstractNumId w:val="17"/>
  </w:num>
  <w:num w:numId="15">
    <w:abstractNumId w:val="20"/>
  </w:num>
  <w:num w:numId="16">
    <w:abstractNumId w:val="21"/>
  </w:num>
  <w:num w:numId="17">
    <w:abstractNumId w:val="4"/>
  </w:num>
  <w:num w:numId="18">
    <w:abstractNumId w:val="0"/>
  </w:num>
  <w:num w:numId="19">
    <w:abstractNumId w:val="25"/>
  </w:num>
  <w:num w:numId="20">
    <w:abstractNumId w:val="3"/>
  </w:num>
  <w:num w:numId="21">
    <w:abstractNumId w:val="22"/>
  </w:num>
  <w:num w:numId="22">
    <w:abstractNumId w:val="6"/>
  </w:num>
  <w:num w:numId="23">
    <w:abstractNumId w:val="23"/>
  </w:num>
  <w:num w:numId="24">
    <w:abstractNumId w:val="24"/>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C4"/>
    <w:rsid w:val="00072372"/>
    <w:rsid w:val="000E1F14"/>
    <w:rsid w:val="00135220"/>
    <w:rsid w:val="0018324D"/>
    <w:rsid w:val="0026002E"/>
    <w:rsid w:val="002A4640"/>
    <w:rsid w:val="002D2044"/>
    <w:rsid w:val="0032388F"/>
    <w:rsid w:val="00373D6A"/>
    <w:rsid w:val="00475080"/>
    <w:rsid w:val="00585B23"/>
    <w:rsid w:val="0062334A"/>
    <w:rsid w:val="0066474D"/>
    <w:rsid w:val="00674AF7"/>
    <w:rsid w:val="00712B6A"/>
    <w:rsid w:val="009123A2"/>
    <w:rsid w:val="009746D3"/>
    <w:rsid w:val="009A0FC4"/>
    <w:rsid w:val="00A679A9"/>
    <w:rsid w:val="00C10594"/>
    <w:rsid w:val="00DA07EC"/>
    <w:rsid w:val="00F25231"/>
    <w:rsid w:val="00FF4E09"/>
    <w:rsid w:val="0EE26468"/>
    <w:rsid w:val="15106D78"/>
    <w:rsid w:val="177E5B7E"/>
    <w:rsid w:val="18A059C4"/>
    <w:rsid w:val="1C8F2419"/>
    <w:rsid w:val="1EDD7780"/>
    <w:rsid w:val="30CB1164"/>
    <w:rsid w:val="362F5799"/>
    <w:rsid w:val="382B456D"/>
    <w:rsid w:val="3E611C8D"/>
    <w:rsid w:val="3F142F91"/>
    <w:rsid w:val="40ED14FE"/>
    <w:rsid w:val="41BF7984"/>
    <w:rsid w:val="444B1E76"/>
    <w:rsid w:val="48C321D9"/>
    <w:rsid w:val="509F73E7"/>
    <w:rsid w:val="572A45BC"/>
    <w:rsid w:val="575950D5"/>
    <w:rsid w:val="58617BEC"/>
    <w:rsid w:val="6F1A47E7"/>
    <w:rsid w:val="7A846671"/>
    <w:rsid w:val="7EF46500"/>
    <w:rsid w:val="7F2D7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0"/>
    <w:pPr>
      <w:keepNext/>
      <w:keepLines/>
      <w:numPr>
        <w:ilvl w:val="3"/>
        <w:numId w:val="2"/>
      </w:numPr>
      <w:tabs>
        <w:tab w:val="left" w:pos="0"/>
      </w:tabs>
      <w:adjustRightInd w:val="0"/>
      <w:snapToGrid w:val="0"/>
      <w:ind w:left="0" w:firstLine="0"/>
      <w:outlineLvl w:val="3"/>
    </w:pPr>
    <w:rPr>
      <w:rFonts w:ascii="Calibri" w:hAnsi="Calibri"/>
      <w:b/>
      <w:sz w:val="24"/>
    </w:rPr>
  </w:style>
  <w:style w:type="paragraph" w:styleId="8">
    <w:name w:val="heading 5"/>
    <w:next w:val="1"/>
    <w:qFormat/>
    <w:uiPriority w:val="0"/>
    <w:pPr>
      <w:keepNext/>
      <w:keepLines/>
      <w:numPr>
        <w:ilvl w:val="4"/>
        <w:numId w:val="2"/>
      </w:numPr>
      <w:spacing w:line="360" w:lineRule="auto"/>
      <w:ind w:left="0" w:firstLine="0"/>
      <w:outlineLvl w:val="4"/>
    </w:pPr>
    <w:rPr>
      <w:rFonts w:ascii="Times New Roman" w:hAnsi="Times New Roman" w:eastAsia="宋体" w:cs="Times New Roman"/>
      <w:b/>
      <w:sz w:val="24"/>
      <w:lang w:val="en-US" w:eastAsia="zh-CN" w:bidi="ar-SA"/>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9">
    <w:name w:val="annotation subject"/>
    <w:basedOn w:val="10"/>
    <w:next w:val="10"/>
    <w:link w:val="60"/>
    <w:qFormat/>
    <w:uiPriority w:val="0"/>
    <w:rPr>
      <w:b/>
      <w:bCs/>
    </w:rPr>
  </w:style>
  <w:style w:type="paragraph" w:styleId="10">
    <w:name w:val="annotation text"/>
    <w:basedOn w:val="1"/>
    <w:link w:val="59"/>
    <w:qFormat/>
    <w:uiPriority w:val="0"/>
    <w:pPr>
      <w:jc w:val="left"/>
    </w:pPr>
  </w:style>
  <w:style w:type="paragraph" w:styleId="11">
    <w:name w:val="Body Text First Indent"/>
    <w:basedOn w:val="12"/>
    <w:qFormat/>
    <w:uiPriority w:val="0"/>
    <w:pPr>
      <w:ind w:firstLine="200" w:firstLineChars="200"/>
    </w:pPr>
  </w:style>
  <w:style w:type="paragraph" w:styleId="12">
    <w:name w:val="Body Text"/>
    <w:basedOn w:val="1"/>
    <w:qFormat/>
    <w:uiPriority w:val="0"/>
    <w:pPr>
      <w:spacing w:line="360" w:lineRule="exact"/>
    </w:pPr>
    <w:rPr>
      <w:sz w:val="24"/>
    </w:rPr>
  </w:style>
  <w:style w:type="paragraph" w:styleId="13">
    <w:name w:val="List Number"/>
    <w:basedOn w:val="1"/>
    <w:qFormat/>
    <w:uiPriority w:val="0"/>
    <w:pPr>
      <w:numPr>
        <w:ilvl w:val="0"/>
        <w:numId w:val="3"/>
      </w:numPr>
    </w:pPr>
  </w:style>
  <w:style w:type="paragraph" w:styleId="14">
    <w:name w:val="Normal Indent"/>
    <w:basedOn w:val="1"/>
    <w:qFormat/>
    <w:uiPriority w:val="0"/>
    <w:pPr>
      <w:ind w:firstLine="420"/>
    </w:pPr>
    <w:rPr>
      <w:szCs w:val="20"/>
    </w:rPr>
  </w:style>
  <w:style w:type="paragraph" w:styleId="15">
    <w:name w:val="Plain Text"/>
    <w:basedOn w:val="1"/>
    <w:next w:val="16"/>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5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FollowedHyperlink"/>
    <w:basedOn w:val="21"/>
    <w:qFormat/>
    <w:uiPriority w:val="0"/>
    <w:rPr>
      <w:color w:val="800080"/>
      <w:u w:val="single"/>
    </w:rPr>
  </w:style>
  <w:style w:type="character" w:styleId="23">
    <w:name w:val="Hyperlink"/>
    <w:qFormat/>
    <w:uiPriority w:val="0"/>
    <w:rPr>
      <w:color w:val="0000FF"/>
      <w:u w:val="single"/>
    </w:rPr>
  </w:style>
  <w:style w:type="character" w:styleId="24">
    <w:name w:val="annotation reference"/>
    <w:basedOn w:val="21"/>
    <w:qFormat/>
    <w:uiPriority w:val="0"/>
    <w:rPr>
      <w:sz w:val="21"/>
      <w:szCs w:val="21"/>
    </w:r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7">
    <w:name w:val="无间隔1"/>
    <w:qFormat/>
    <w:uiPriority w:val="99"/>
    <w:pPr>
      <w:adjustRightInd w:val="0"/>
      <w:snapToGrid w:val="0"/>
    </w:pPr>
    <w:rPr>
      <w:rFonts w:ascii="Tahoma" w:hAnsi="Tahoma" w:eastAsia="微软雅黑" w:cs="宋体"/>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cs="宋体"/>
      <w:szCs w:val="21"/>
    </w:rPr>
  </w:style>
  <w:style w:type="paragraph" w:customStyle="1" w:styleId="38">
    <w:name w:val="纯文本_0_1"/>
    <w:basedOn w:val="1"/>
    <w:qFormat/>
    <w:uiPriority w:val="0"/>
    <w:pPr>
      <w:widowControl/>
      <w:jc w:val="left"/>
    </w:pPr>
    <w:rPr>
      <w:rFonts w:ascii="宋体" w:hAnsi="Courier New" w:cs="宋体"/>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1"/>
    <w:qFormat/>
    <w:uiPriority w:val="0"/>
    <w:rPr>
      <w:rFonts w:hint="default" w:ascii="Arial" w:hAnsi="Arial" w:cs="Arial"/>
      <w:color w:val="000000"/>
      <w:sz w:val="20"/>
      <w:szCs w:val="20"/>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1"/>
    <w:qFormat/>
    <w:uiPriority w:val="0"/>
    <w:rPr>
      <w:rFonts w:eastAsia="宋体"/>
      <w:b/>
      <w:spacing w:val="-2"/>
      <w:sz w:val="24"/>
      <w:lang w:val="en-US" w:eastAsia="zh-CN" w:bidi="ar-SA"/>
    </w:rPr>
  </w:style>
  <w:style w:type="character" w:customStyle="1" w:styleId="50">
    <w:name w:val="批注框文本 字符"/>
    <w:basedOn w:val="21"/>
    <w:link w:val="17"/>
    <w:qFormat/>
    <w:uiPriority w:val="0"/>
    <w:rPr>
      <w:kern w:val="2"/>
      <w:sz w:val="18"/>
      <w:szCs w:val="18"/>
    </w:rPr>
  </w:style>
  <w:style w:type="character" w:customStyle="1" w:styleId="51">
    <w:name w:val="NormalCharacter"/>
    <w:qFormat/>
    <w:uiPriority w:val="0"/>
  </w:style>
  <w:style w:type="paragraph" w:customStyle="1" w:styleId="52">
    <w:name w:val="NormalIndent"/>
    <w:basedOn w:val="1"/>
    <w:qFormat/>
    <w:uiPriority w:val="0"/>
    <w:pPr>
      <w:ind w:firstLine="420"/>
    </w:pPr>
    <w:rPr>
      <w:szCs w:val="20"/>
    </w:rPr>
  </w:style>
  <w:style w:type="paragraph" w:customStyle="1" w:styleId="53">
    <w:name w:val="表格文字"/>
    <w:basedOn w:val="1"/>
    <w:next w:val="12"/>
    <w:qFormat/>
    <w:uiPriority w:val="0"/>
    <w:rPr>
      <w:rFonts w:ascii="Arial" w:hAnsi="Arial"/>
      <w:szCs w:val="21"/>
    </w:rPr>
  </w:style>
  <w:style w:type="paragraph" w:customStyle="1" w:styleId="54">
    <w:name w:val="MY正文"/>
    <w:basedOn w:val="1"/>
    <w:qFormat/>
    <w:uiPriority w:val="0"/>
    <w:pPr>
      <w:spacing w:line="360" w:lineRule="auto"/>
      <w:ind w:firstLine="200" w:firstLineChars="200"/>
    </w:pPr>
    <w:rPr>
      <w:sz w:val="24"/>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样式1"/>
    <w:basedOn w:val="1"/>
    <w:qFormat/>
    <w:uiPriority w:val="0"/>
    <w:pPr>
      <w:widowControl/>
      <w:tabs>
        <w:tab w:val="left" w:pos="1212"/>
        <w:tab w:val="left" w:pos="3888"/>
      </w:tabs>
      <w:suppressAutoHyphens/>
      <w:snapToGrid w:val="0"/>
      <w:spacing w:line="336" w:lineRule="auto"/>
      <w:ind w:firstLine="432"/>
      <w:jc w:val="left"/>
    </w:pPr>
    <w:rPr>
      <w:rFonts w:ascii="宋体" w:hAnsi="宋体" w:eastAsia="Times New Roman" w:cs="宋体"/>
      <w:kern w:val="1"/>
      <w:sz w:val="24"/>
      <w:szCs w:val="20"/>
    </w:rPr>
  </w:style>
  <w:style w:type="character" w:customStyle="1" w:styleId="57">
    <w:name w:val="font31"/>
    <w:basedOn w:val="21"/>
    <w:qFormat/>
    <w:uiPriority w:val="0"/>
    <w:rPr>
      <w:rFonts w:hint="eastAsia" w:ascii="微软雅黑" w:hAnsi="微软雅黑" w:eastAsia="微软雅黑" w:cs="微软雅黑"/>
      <w:b/>
      <w:bCs/>
      <w:color w:val="000000"/>
      <w:sz w:val="18"/>
      <w:szCs w:val="18"/>
      <w:u w:val="none"/>
    </w:rPr>
  </w:style>
  <w:style w:type="character" w:customStyle="1" w:styleId="58">
    <w:name w:val="font11"/>
    <w:basedOn w:val="21"/>
    <w:qFormat/>
    <w:uiPriority w:val="0"/>
    <w:rPr>
      <w:rFonts w:hint="eastAsia" w:ascii="微软雅黑" w:hAnsi="微软雅黑" w:eastAsia="微软雅黑" w:cs="微软雅黑"/>
      <w:b/>
      <w:bCs/>
      <w:color w:val="FF0000"/>
      <w:sz w:val="18"/>
      <w:szCs w:val="18"/>
      <w:u w:val="none"/>
    </w:rPr>
  </w:style>
  <w:style w:type="character" w:customStyle="1" w:styleId="59">
    <w:name w:val="批注文字 字符"/>
    <w:basedOn w:val="21"/>
    <w:link w:val="10"/>
    <w:qFormat/>
    <w:uiPriority w:val="0"/>
    <w:rPr>
      <w:kern w:val="2"/>
      <w:sz w:val="21"/>
      <w:szCs w:val="24"/>
    </w:rPr>
  </w:style>
  <w:style w:type="character" w:customStyle="1" w:styleId="60">
    <w:name w:val="批注主题 字符"/>
    <w:basedOn w:val="59"/>
    <w:link w:val="9"/>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6702</Words>
  <Characters>38202</Characters>
  <Lines>318</Lines>
  <Paragraphs>89</Paragraphs>
  <TotalTime>8</TotalTime>
  <ScaleCrop>false</ScaleCrop>
  <LinksUpToDate>false</LinksUpToDate>
  <CharactersWithSpaces>44815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2022-02-18T05:19:00Z</dcterms:created>
  <dc:creator>Thorpe521</dc:creator>
  <cp:lastModifiedBy>Administrator</cp:lastModifiedBy>
  <cp:lastPrinted>2022-03-02T00:57:00Z</cp:lastPrinted>
  <dcterms:modified xsi:type="dcterms:W3CDTF">2022-07-08T00:54:44Z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4D6FA22754D540B588BFD6FE8DC99F6B</vt:lpwstr>
  </property>
</Properties>
</file>