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hAnsi="宋体" w:cs="宋体"/>
          <w:b/>
          <w:color w:val="auto"/>
          <w:kern w:val="0"/>
          <w:sz w:val="24"/>
        </w:rPr>
      </w:pPr>
    </w:p>
    <w:p>
      <w:pPr>
        <w:pStyle w:val="14"/>
        <w:rPr>
          <w:rFonts w:ascii="宋体" w:hAnsi="宋体" w:cs="宋体"/>
          <w:b/>
          <w:color w:val="auto"/>
          <w:kern w:val="0"/>
          <w:sz w:val="24"/>
          <w:szCs w:val="24"/>
        </w:rPr>
      </w:pPr>
    </w:p>
    <w:p>
      <w:pPr>
        <w:pStyle w:val="14"/>
        <w:rPr>
          <w:rFonts w:ascii="宋体" w:hAnsi="宋体" w:cs="宋体"/>
          <w:b/>
          <w:color w:val="auto"/>
          <w:kern w:val="0"/>
          <w:sz w:val="24"/>
          <w:szCs w:val="24"/>
        </w:rPr>
      </w:pPr>
    </w:p>
    <w:p>
      <w:pPr>
        <w:pStyle w:val="14"/>
        <w:rPr>
          <w:rFonts w:ascii="宋体" w:hAnsi="宋体" w:cs="宋体"/>
          <w:b/>
          <w:color w:val="auto"/>
          <w:kern w:val="0"/>
          <w:sz w:val="24"/>
          <w:szCs w:val="24"/>
        </w:rPr>
      </w:pPr>
    </w:p>
    <w:p>
      <w:pPr>
        <w:pStyle w:val="14"/>
        <w:rPr>
          <w:rFonts w:ascii="宋体" w:hAnsi="宋体" w:cs="宋体"/>
          <w:b/>
          <w:color w:val="auto"/>
          <w:kern w:val="0"/>
          <w:sz w:val="24"/>
          <w:szCs w:val="24"/>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hAnsi="宋体" w:cs="宋体"/>
          <w:b/>
          <w:color w:val="auto"/>
          <w:kern w:val="0"/>
          <w:sz w:val="24"/>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hAnsi="宋体" w:cs="宋体"/>
          <w:b/>
          <w:color w:val="auto"/>
          <w:kern w:val="0"/>
          <w:sz w:val="52"/>
          <w:szCs w:val="52"/>
        </w:rPr>
      </w:pPr>
      <w:r>
        <w:rPr>
          <w:rFonts w:hint="eastAsia" w:ascii="宋体" w:hAnsi="宋体" w:cs="宋体"/>
          <w:b/>
          <w:color w:val="auto"/>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hAnsi="宋体" w:cs="宋体"/>
          <w:b/>
          <w:color w:val="auto"/>
          <w:kern w:val="0"/>
          <w:sz w:val="32"/>
          <w:szCs w:val="32"/>
        </w:rPr>
      </w:pPr>
      <w:r>
        <w:rPr>
          <w:rFonts w:hint="eastAsia" w:ascii="宋体" w:hAnsi="宋体" w:cs="宋体"/>
          <w:b/>
          <w:color w:val="auto"/>
          <w:kern w:val="0"/>
          <w:sz w:val="32"/>
          <w:szCs w:val="32"/>
        </w:rPr>
        <w:t>TZTX-2022-GK007</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hAnsi="宋体" w:cs="宋体"/>
          <w:color w:val="auto"/>
          <w:kern w:val="0"/>
          <w:sz w:val="24"/>
        </w:rPr>
      </w:pPr>
    </w:p>
    <w:p>
      <w:pPr>
        <w:autoSpaceDE w:val="0"/>
        <w:autoSpaceDN w:val="0"/>
        <w:adjustRightInd w:val="0"/>
        <w:spacing w:line="360" w:lineRule="auto"/>
        <w:rPr>
          <w:rFonts w:ascii="宋体" w:hAnsi="宋体" w:cs="宋体"/>
          <w:b/>
          <w:color w:val="auto"/>
          <w:kern w:val="0"/>
          <w:sz w:val="24"/>
        </w:rPr>
      </w:pPr>
    </w:p>
    <w:p>
      <w:pPr>
        <w:autoSpaceDE w:val="0"/>
        <w:autoSpaceDN w:val="0"/>
        <w:adjustRightInd w:val="0"/>
        <w:spacing w:line="360" w:lineRule="auto"/>
        <w:ind w:firstLine="1540" w:firstLineChars="642"/>
        <w:jc w:val="left"/>
        <w:rPr>
          <w:rFonts w:ascii="宋体" w:hAnsi="宋体" w:cs="宋体"/>
          <w:color w:val="auto"/>
          <w:kern w:val="0"/>
          <w:sz w:val="24"/>
        </w:rPr>
      </w:pPr>
    </w:p>
    <w:p>
      <w:pPr>
        <w:pStyle w:val="14"/>
        <w:rPr>
          <w:rFonts w:ascii="宋体" w:hAnsi="宋体" w:cs="宋体"/>
          <w:color w:val="auto"/>
          <w:kern w:val="0"/>
          <w:sz w:val="24"/>
          <w:szCs w:val="24"/>
        </w:rPr>
      </w:pPr>
    </w:p>
    <w:p>
      <w:pPr>
        <w:pStyle w:val="14"/>
        <w:rPr>
          <w:rFonts w:ascii="宋体" w:hAnsi="宋体" w:cs="宋体"/>
          <w:color w:val="auto"/>
          <w:kern w:val="0"/>
          <w:sz w:val="24"/>
          <w:szCs w:val="24"/>
        </w:rPr>
      </w:pPr>
    </w:p>
    <w:p>
      <w:pPr>
        <w:pStyle w:val="14"/>
        <w:rPr>
          <w:color w:val="auto"/>
        </w:rPr>
      </w:pPr>
    </w:p>
    <w:p>
      <w:pPr>
        <w:autoSpaceDE w:val="0"/>
        <w:autoSpaceDN w:val="0"/>
        <w:adjustRightInd w:val="0"/>
        <w:spacing w:line="360" w:lineRule="auto"/>
        <w:ind w:firstLine="1540" w:firstLineChars="642"/>
        <w:jc w:val="left"/>
        <w:rPr>
          <w:rFonts w:ascii="宋体" w:hAnsi="宋体" w:cs="宋体"/>
          <w:color w:val="auto"/>
          <w:kern w:val="0"/>
          <w:sz w:val="24"/>
        </w:rPr>
      </w:pPr>
    </w:p>
    <w:p>
      <w:pPr>
        <w:autoSpaceDE w:val="0"/>
        <w:autoSpaceDN w:val="0"/>
        <w:adjustRightInd w:val="0"/>
        <w:spacing w:line="360" w:lineRule="auto"/>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采购项目：台州市一体化智能化公共数据平台（数据资源体系）项目</w:t>
      </w:r>
    </w:p>
    <w:p>
      <w:pPr>
        <w:pStyle w:val="12"/>
        <w:rPr>
          <w:color w:val="auto"/>
        </w:rPr>
      </w:pPr>
    </w:p>
    <w:p>
      <w:pPr>
        <w:autoSpaceDE w:val="0"/>
        <w:autoSpaceDN w:val="0"/>
        <w:adjustRightInd w:val="0"/>
        <w:spacing w:line="360" w:lineRule="auto"/>
        <w:jc w:val="center"/>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rPr>
        <w:t>采购人：</w:t>
      </w:r>
      <w:r>
        <w:rPr>
          <w:rFonts w:hint="eastAsia" w:ascii="宋体" w:hAnsi="宋体" w:cs="宋体"/>
          <w:color w:val="auto"/>
          <w:kern w:val="0"/>
          <w:sz w:val="28"/>
          <w:szCs w:val="28"/>
          <w:lang w:eastAsia="zh-CN"/>
        </w:rPr>
        <w:t>台州市大数据发展中心</w:t>
      </w:r>
    </w:p>
    <w:p>
      <w:pPr>
        <w:autoSpaceDE w:val="0"/>
        <w:autoSpaceDN w:val="0"/>
        <w:adjustRightInd w:val="0"/>
        <w:spacing w:line="360" w:lineRule="auto"/>
        <w:rPr>
          <w:rFonts w:ascii="宋体" w:hAnsi="宋体" w:cs="宋体"/>
          <w:color w:val="auto"/>
          <w:kern w:val="0"/>
          <w:sz w:val="24"/>
        </w:rPr>
      </w:pPr>
    </w:p>
    <w:p>
      <w:pPr>
        <w:autoSpaceDE w:val="0"/>
        <w:autoSpaceDN w:val="0"/>
        <w:adjustRightInd w:val="0"/>
        <w:spacing w:line="360" w:lineRule="auto"/>
        <w:rPr>
          <w:rFonts w:ascii="宋体" w:hAnsi="宋体" w:cs="宋体"/>
          <w:color w:val="auto"/>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hAnsi="宋体" w:cs="宋体"/>
          <w:color w:val="auto"/>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hAnsi="宋体" w:cs="宋体"/>
          <w:color w:val="auto"/>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hAnsi="宋体" w:cs="宋体"/>
          <w:color w:val="auto"/>
          <w:kern w:val="0"/>
          <w:sz w:val="24"/>
        </w:rPr>
      </w:pPr>
    </w:p>
    <w:p>
      <w:pPr>
        <w:pStyle w:val="14"/>
        <w:rPr>
          <w:rFonts w:ascii="宋体" w:hAnsi="宋体" w:cs="宋体"/>
          <w:color w:val="auto"/>
          <w:kern w:val="0"/>
          <w:sz w:val="24"/>
          <w:szCs w:val="24"/>
        </w:rPr>
      </w:pPr>
    </w:p>
    <w:p>
      <w:pPr>
        <w:pStyle w:val="14"/>
        <w:rPr>
          <w:rFonts w:ascii="宋体" w:hAnsi="宋体" w:cs="宋体"/>
          <w:color w:val="auto"/>
          <w:kern w:val="0"/>
          <w:sz w:val="24"/>
          <w:szCs w:val="24"/>
        </w:rPr>
      </w:pPr>
    </w:p>
    <w:p>
      <w:pPr>
        <w:pStyle w:val="14"/>
        <w:rPr>
          <w:rFonts w:ascii="宋体" w:hAnsi="宋体" w:cs="宋体"/>
          <w:color w:val="auto"/>
          <w:kern w:val="0"/>
          <w:sz w:val="24"/>
          <w:szCs w:val="24"/>
        </w:rPr>
      </w:pPr>
    </w:p>
    <w:p>
      <w:pPr>
        <w:pStyle w:val="14"/>
        <w:rPr>
          <w:rFonts w:ascii="宋体" w:hAnsi="宋体" w:cs="宋体"/>
          <w:color w:val="auto"/>
          <w:kern w:val="0"/>
          <w:sz w:val="24"/>
          <w:szCs w:val="24"/>
        </w:rPr>
      </w:pPr>
    </w:p>
    <w:p>
      <w:pPr>
        <w:pStyle w:val="14"/>
        <w:rPr>
          <w:rFonts w:ascii="宋体" w:hAnsi="宋体" w:cs="宋体"/>
          <w:color w:val="auto"/>
          <w:kern w:val="0"/>
          <w:sz w:val="24"/>
          <w:szCs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hAnsi="宋体" w:cs="宋体"/>
          <w:color w:val="auto"/>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color w:val="auto"/>
          <w:kern w:val="0"/>
          <w:sz w:val="28"/>
          <w:szCs w:val="28"/>
        </w:rPr>
      </w:pPr>
      <w:r>
        <w:rPr>
          <w:rFonts w:hint="eastAsia" w:ascii="宋体" w:hAnsi="宋体" w:cs="宋体"/>
          <w:color w:val="auto"/>
          <w:kern w:val="0"/>
          <w:sz w:val="28"/>
          <w:szCs w:val="28"/>
        </w:rPr>
        <w:t>台州天兴工程管理咨询有限公司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color w:val="auto"/>
          <w:sz w:val="28"/>
          <w:szCs w:val="28"/>
        </w:rPr>
      </w:pPr>
      <w:r>
        <w:rPr>
          <w:rFonts w:hint="eastAsia" w:ascii="宋体" w:hAnsi="宋体" w:cs="宋体"/>
          <w:color w:val="auto"/>
          <w:kern w:val="0"/>
          <w:sz w:val="28"/>
          <w:szCs w:val="28"/>
        </w:rPr>
        <w:t>2022年0</w:t>
      </w:r>
      <w:r>
        <w:rPr>
          <w:rFonts w:hint="eastAsia" w:ascii="宋体" w:hAnsi="宋体" w:cs="宋体"/>
          <w:color w:val="auto"/>
          <w:kern w:val="0"/>
          <w:sz w:val="28"/>
          <w:szCs w:val="28"/>
          <w:lang w:val="en-US" w:eastAsia="zh-CN"/>
        </w:rPr>
        <w:t>7</w:t>
      </w:r>
      <w:r>
        <w:rPr>
          <w:rFonts w:hint="eastAsia" w:ascii="宋体" w:hAnsi="宋体" w:cs="宋体"/>
          <w:color w:val="auto"/>
          <w:kern w:val="0"/>
          <w:sz w:val="28"/>
          <w:szCs w:val="28"/>
        </w:rPr>
        <w:t xml:space="preserve">月 </w:t>
      </w:r>
    </w:p>
    <w:p>
      <w:pPr>
        <w:rPr>
          <w:color w:val="auto"/>
        </w:rPr>
      </w:pPr>
      <w:r>
        <w:rPr>
          <w:rFonts w:hint="eastAsia" w:ascii="宋体" w:hAnsi="宋体" w:cs="宋体"/>
          <w:b/>
          <w:bCs/>
          <w:color w:val="auto"/>
          <w:sz w:val="24"/>
        </w:rPr>
        <w:br w:type="page"/>
      </w:r>
    </w:p>
    <w:p>
      <w:pPr>
        <w:rPr>
          <w:rFonts w:ascii="宋体" w:hAnsi="宋体" w:cs="宋体"/>
          <w:color w:val="auto"/>
          <w:sz w:val="24"/>
        </w:rPr>
      </w:pPr>
      <w:bookmarkStart w:id="0" w:name="_Toc25017_WPSOffice_Type1"/>
    </w:p>
    <w:p>
      <w:pPr>
        <w:pStyle w:val="2"/>
        <w:rPr>
          <w:rFonts w:ascii="宋体" w:hAnsi="宋体" w:cs="宋体"/>
          <w:color w:val="auto"/>
          <w:sz w:val="24"/>
        </w:rPr>
      </w:pPr>
    </w:p>
    <w:p>
      <w:pPr>
        <w:rPr>
          <w:rFonts w:ascii="宋体" w:hAnsi="宋体" w:cs="宋体"/>
          <w:color w:val="auto"/>
          <w:sz w:val="24"/>
        </w:rPr>
      </w:pPr>
    </w:p>
    <w:p>
      <w:pPr>
        <w:pStyle w:val="2"/>
        <w:rPr>
          <w:color w:val="auto"/>
        </w:rPr>
      </w:pPr>
    </w:p>
    <w:p>
      <w:pPr>
        <w:spacing w:line="480" w:lineRule="auto"/>
        <w:jc w:val="center"/>
        <w:rPr>
          <w:rFonts w:ascii="宋体" w:hAnsi="宋体" w:cs="宋体"/>
          <w:color w:val="auto"/>
          <w:sz w:val="28"/>
          <w:szCs w:val="28"/>
        </w:rPr>
      </w:pPr>
      <w:r>
        <w:rPr>
          <w:rFonts w:hint="eastAsia" w:ascii="宋体" w:hAnsi="宋体" w:cs="宋体"/>
          <w:b/>
          <w:bCs/>
          <w:color w:val="auto"/>
          <w:sz w:val="28"/>
          <w:szCs w:val="28"/>
        </w:rPr>
        <w:t>目  录</w:t>
      </w:r>
    </w:p>
    <w:p>
      <w:pPr>
        <w:pStyle w:val="48"/>
        <w:tabs>
          <w:tab w:val="right" w:leader="dot" w:pos="8300"/>
        </w:tabs>
        <w:spacing w:line="480" w:lineRule="auto"/>
        <w:rPr>
          <w:rFonts w:ascii="宋体" w:hAnsi="宋体" w:cs="宋体"/>
          <w:color w:val="auto"/>
          <w:sz w:val="28"/>
          <w:szCs w:val="28"/>
        </w:rPr>
      </w:pPr>
      <w:r>
        <w:rPr>
          <w:color w:val="auto"/>
        </w:rPr>
        <w:fldChar w:fldCharType="begin"/>
      </w:r>
      <w:r>
        <w:rPr>
          <w:color w:val="auto"/>
        </w:rPr>
        <w:instrText xml:space="preserve"> HYPERLINK \l "_Toc4350_WPSOffice_Level1" </w:instrText>
      </w:r>
      <w:r>
        <w:rPr>
          <w:color w:val="auto"/>
        </w:rPr>
        <w:fldChar w:fldCharType="separate"/>
      </w:r>
      <w:r>
        <w:rPr>
          <w:rFonts w:hint="eastAsia" w:ascii="宋体" w:hAnsi="宋体" w:cs="宋体"/>
          <w:color w:val="auto"/>
          <w:sz w:val="28"/>
          <w:szCs w:val="28"/>
        </w:rPr>
        <w:t>第一章 投标邀请</w:t>
      </w:r>
      <w:r>
        <w:rPr>
          <w:rFonts w:hint="eastAsia" w:ascii="宋体" w:hAnsi="宋体" w:cs="宋体"/>
          <w:color w:val="auto"/>
          <w:sz w:val="28"/>
          <w:szCs w:val="28"/>
        </w:rPr>
        <w:tab/>
      </w:r>
      <w:bookmarkStart w:id="1" w:name="_Toc4350_WPSOffice_Level1Page"/>
      <w:r>
        <w:rPr>
          <w:rFonts w:hint="eastAsia" w:ascii="宋体" w:hAnsi="宋体" w:cs="宋体"/>
          <w:color w:val="auto"/>
          <w:sz w:val="28"/>
          <w:szCs w:val="28"/>
        </w:rPr>
        <w:t>3</w:t>
      </w:r>
      <w:bookmarkEnd w:id="1"/>
      <w:r>
        <w:rPr>
          <w:rFonts w:hint="eastAsia" w:ascii="宋体" w:hAnsi="宋体" w:cs="宋体"/>
          <w:color w:val="auto"/>
          <w:sz w:val="28"/>
          <w:szCs w:val="28"/>
        </w:rPr>
        <w:fldChar w:fldCharType="end"/>
      </w:r>
    </w:p>
    <w:p>
      <w:pPr>
        <w:pStyle w:val="48"/>
        <w:tabs>
          <w:tab w:val="right" w:leader="dot" w:pos="8300"/>
        </w:tabs>
        <w:spacing w:line="480" w:lineRule="auto"/>
        <w:rPr>
          <w:rFonts w:ascii="宋体" w:hAnsi="宋体" w:cs="宋体"/>
          <w:color w:val="auto"/>
          <w:sz w:val="28"/>
          <w:szCs w:val="28"/>
        </w:rPr>
      </w:pPr>
      <w:r>
        <w:rPr>
          <w:color w:val="auto"/>
        </w:rPr>
        <w:fldChar w:fldCharType="begin"/>
      </w:r>
      <w:r>
        <w:rPr>
          <w:color w:val="auto"/>
        </w:rPr>
        <w:instrText xml:space="preserve"> HYPERLINK \l "_Toc25017_WPSOffice_Level1" </w:instrText>
      </w:r>
      <w:r>
        <w:rPr>
          <w:color w:val="auto"/>
        </w:rPr>
        <w:fldChar w:fldCharType="separate"/>
      </w:r>
      <w:r>
        <w:rPr>
          <w:rFonts w:hint="eastAsia" w:ascii="宋体" w:hAnsi="宋体" w:cs="宋体"/>
          <w:color w:val="auto"/>
          <w:sz w:val="28"/>
          <w:szCs w:val="28"/>
        </w:rPr>
        <w:t>第二章 投标人须知</w:t>
      </w:r>
      <w:r>
        <w:rPr>
          <w:rFonts w:hint="eastAsia" w:ascii="宋体" w:hAnsi="宋体" w:cs="宋体"/>
          <w:color w:val="auto"/>
          <w:sz w:val="28"/>
          <w:szCs w:val="28"/>
        </w:rPr>
        <w:tab/>
      </w:r>
      <w:r>
        <w:rPr>
          <w:rFonts w:hint="eastAsia" w:ascii="宋体" w:hAnsi="宋体" w:cs="宋体"/>
          <w:color w:val="auto"/>
          <w:sz w:val="28"/>
          <w:szCs w:val="28"/>
        </w:rPr>
        <w:t>6</w:t>
      </w:r>
      <w:r>
        <w:rPr>
          <w:rFonts w:hint="eastAsia" w:ascii="宋体" w:hAnsi="宋体" w:cs="宋体"/>
          <w:color w:val="auto"/>
          <w:sz w:val="28"/>
          <w:szCs w:val="28"/>
        </w:rPr>
        <w:fldChar w:fldCharType="end"/>
      </w:r>
    </w:p>
    <w:p>
      <w:pPr>
        <w:pStyle w:val="48"/>
        <w:tabs>
          <w:tab w:val="right" w:leader="dot" w:pos="8300"/>
        </w:tabs>
        <w:spacing w:line="480" w:lineRule="auto"/>
        <w:rPr>
          <w:rFonts w:ascii="宋体" w:hAnsi="宋体" w:cs="宋体"/>
          <w:color w:val="auto"/>
          <w:sz w:val="28"/>
          <w:szCs w:val="28"/>
        </w:rPr>
      </w:pPr>
      <w:r>
        <w:rPr>
          <w:color w:val="auto"/>
        </w:rPr>
        <w:fldChar w:fldCharType="begin"/>
      </w:r>
      <w:r>
        <w:rPr>
          <w:color w:val="auto"/>
        </w:rPr>
        <w:instrText xml:space="preserve"> HYPERLINK \l "_Toc13072_WPSOffice_Level1" </w:instrText>
      </w:r>
      <w:r>
        <w:rPr>
          <w:color w:val="auto"/>
        </w:rPr>
        <w:fldChar w:fldCharType="separate"/>
      </w:r>
      <w:r>
        <w:rPr>
          <w:rFonts w:hint="eastAsia" w:ascii="宋体" w:hAnsi="宋体" w:cs="宋体"/>
          <w:color w:val="auto"/>
          <w:sz w:val="28"/>
          <w:szCs w:val="28"/>
        </w:rPr>
        <w:t>第三章 招标需求</w:t>
      </w:r>
      <w:r>
        <w:rPr>
          <w:rFonts w:hint="eastAsia" w:ascii="宋体" w:hAnsi="宋体" w:cs="宋体"/>
          <w:color w:val="auto"/>
          <w:sz w:val="28"/>
          <w:szCs w:val="28"/>
        </w:rPr>
        <w:tab/>
      </w:r>
      <w:r>
        <w:rPr>
          <w:rFonts w:hint="eastAsia" w:ascii="宋体" w:hAnsi="宋体" w:cs="宋体"/>
          <w:color w:val="auto"/>
          <w:sz w:val="28"/>
          <w:szCs w:val="28"/>
        </w:rPr>
        <w:t>1</w:t>
      </w:r>
      <w:r>
        <w:rPr>
          <w:rFonts w:hint="eastAsia" w:ascii="宋体" w:hAnsi="宋体" w:cs="宋体"/>
          <w:color w:val="auto"/>
          <w:sz w:val="28"/>
          <w:szCs w:val="28"/>
        </w:rPr>
        <w:fldChar w:fldCharType="end"/>
      </w:r>
      <w:r>
        <w:rPr>
          <w:rFonts w:hint="eastAsia" w:ascii="宋体" w:hAnsi="宋体" w:cs="宋体"/>
          <w:color w:val="auto"/>
          <w:sz w:val="28"/>
          <w:szCs w:val="28"/>
        </w:rPr>
        <w:t>5</w:t>
      </w:r>
    </w:p>
    <w:p>
      <w:pPr>
        <w:pStyle w:val="48"/>
        <w:tabs>
          <w:tab w:val="right" w:leader="dot" w:pos="8300"/>
        </w:tabs>
        <w:spacing w:line="480" w:lineRule="auto"/>
        <w:rPr>
          <w:rFonts w:hint="eastAsia" w:ascii="宋体" w:hAnsi="宋体" w:eastAsia="宋体" w:cs="宋体"/>
          <w:color w:val="auto"/>
          <w:sz w:val="28"/>
          <w:szCs w:val="28"/>
          <w:lang w:eastAsia="zh-CN"/>
        </w:rPr>
      </w:pPr>
      <w:r>
        <w:rPr>
          <w:color w:val="auto"/>
        </w:rPr>
        <w:fldChar w:fldCharType="begin"/>
      </w:r>
      <w:r>
        <w:rPr>
          <w:color w:val="auto"/>
        </w:rPr>
        <w:instrText xml:space="preserve"> HYPERLINK \l "_Toc31173_WPSOffice_Level1" </w:instrText>
      </w:r>
      <w:r>
        <w:rPr>
          <w:color w:val="auto"/>
        </w:rPr>
        <w:fldChar w:fldCharType="separate"/>
      </w:r>
      <w:r>
        <w:rPr>
          <w:rFonts w:hint="eastAsia" w:ascii="宋体" w:hAnsi="宋体" w:cs="宋体"/>
          <w:color w:val="auto"/>
          <w:sz w:val="28"/>
          <w:szCs w:val="28"/>
        </w:rPr>
        <w:t>第四章 评标</w:t>
      </w:r>
      <w:r>
        <w:rPr>
          <w:rFonts w:hint="eastAsia" w:ascii="宋体" w:hAnsi="宋体" w:cs="宋体"/>
          <w:color w:val="auto"/>
          <w:sz w:val="28"/>
          <w:szCs w:val="28"/>
        </w:rPr>
        <w:tab/>
      </w:r>
      <w:r>
        <w:rPr>
          <w:rFonts w:hint="eastAsia" w:ascii="宋体" w:hAnsi="宋体" w:cs="宋体"/>
          <w:color w:val="auto"/>
          <w:sz w:val="28"/>
          <w:szCs w:val="28"/>
        </w:rPr>
        <w:t>3</w:t>
      </w:r>
      <w:r>
        <w:rPr>
          <w:rFonts w:hint="eastAsia" w:ascii="宋体" w:hAnsi="宋体" w:cs="宋体"/>
          <w:color w:val="auto"/>
          <w:sz w:val="28"/>
          <w:szCs w:val="28"/>
        </w:rPr>
        <w:fldChar w:fldCharType="end"/>
      </w:r>
      <w:r>
        <w:rPr>
          <w:rFonts w:hint="eastAsia" w:ascii="宋体" w:hAnsi="宋体" w:cs="宋体"/>
          <w:color w:val="auto"/>
          <w:sz w:val="28"/>
          <w:szCs w:val="28"/>
          <w:lang w:val="en-US" w:eastAsia="zh-CN"/>
        </w:rPr>
        <w:t>7</w:t>
      </w:r>
    </w:p>
    <w:p>
      <w:pPr>
        <w:pStyle w:val="48"/>
        <w:tabs>
          <w:tab w:val="right" w:leader="dot" w:pos="8300"/>
        </w:tabs>
        <w:spacing w:line="480" w:lineRule="auto"/>
        <w:rPr>
          <w:rFonts w:hint="eastAsia" w:ascii="宋体" w:hAnsi="宋体" w:eastAsia="宋体" w:cs="宋体"/>
          <w:color w:val="auto"/>
          <w:sz w:val="28"/>
          <w:szCs w:val="28"/>
          <w:lang w:eastAsia="zh-CN"/>
        </w:rPr>
      </w:pPr>
      <w:r>
        <w:rPr>
          <w:color w:val="auto"/>
        </w:rPr>
        <w:fldChar w:fldCharType="begin"/>
      </w:r>
      <w:r>
        <w:rPr>
          <w:color w:val="auto"/>
        </w:rPr>
        <w:instrText xml:space="preserve"> HYPERLINK \l "_Toc27944_WPSOffice_Level1" </w:instrText>
      </w:r>
      <w:r>
        <w:rPr>
          <w:color w:val="auto"/>
        </w:rPr>
        <w:fldChar w:fldCharType="separate"/>
      </w:r>
      <w:r>
        <w:rPr>
          <w:rFonts w:hint="eastAsia" w:ascii="宋体" w:hAnsi="宋体" w:cs="宋体"/>
          <w:color w:val="auto"/>
          <w:sz w:val="28"/>
          <w:szCs w:val="28"/>
        </w:rPr>
        <w:t>第五章 拟签订的合同文本</w:t>
      </w:r>
      <w:r>
        <w:rPr>
          <w:rFonts w:hint="eastAsia" w:ascii="宋体" w:hAnsi="宋体" w:cs="宋体"/>
          <w:color w:val="auto"/>
          <w:sz w:val="28"/>
          <w:szCs w:val="28"/>
        </w:rPr>
        <w:tab/>
      </w:r>
      <w:r>
        <w:rPr>
          <w:rFonts w:hint="eastAsia" w:ascii="宋体" w:hAnsi="宋体" w:cs="宋体"/>
          <w:color w:val="auto"/>
          <w:sz w:val="28"/>
          <w:szCs w:val="28"/>
        </w:rPr>
        <w:t>4</w:t>
      </w:r>
      <w:r>
        <w:rPr>
          <w:rFonts w:hint="eastAsia" w:ascii="宋体" w:hAnsi="宋体" w:cs="宋体"/>
          <w:color w:val="auto"/>
          <w:sz w:val="28"/>
          <w:szCs w:val="28"/>
        </w:rPr>
        <w:fldChar w:fldCharType="end"/>
      </w:r>
      <w:r>
        <w:rPr>
          <w:rFonts w:hint="eastAsia" w:ascii="宋体" w:hAnsi="宋体" w:cs="宋体"/>
          <w:color w:val="auto"/>
          <w:sz w:val="28"/>
          <w:szCs w:val="28"/>
          <w:lang w:val="en-US" w:eastAsia="zh-CN"/>
        </w:rPr>
        <w:t>5</w:t>
      </w:r>
    </w:p>
    <w:p>
      <w:pPr>
        <w:pStyle w:val="48"/>
        <w:tabs>
          <w:tab w:val="right" w:leader="dot" w:pos="8300"/>
        </w:tabs>
        <w:spacing w:line="480" w:lineRule="auto"/>
        <w:rPr>
          <w:rFonts w:hint="eastAsia" w:ascii="宋体" w:hAnsi="宋体" w:eastAsia="宋体" w:cs="宋体"/>
          <w:color w:val="auto"/>
          <w:sz w:val="28"/>
          <w:szCs w:val="28"/>
          <w:lang w:eastAsia="zh-CN"/>
        </w:rPr>
      </w:pPr>
      <w:r>
        <w:rPr>
          <w:color w:val="auto"/>
        </w:rPr>
        <w:fldChar w:fldCharType="begin"/>
      </w:r>
      <w:r>
        <w:rPr>
          <w:color w:val="auto"/>
        </w:rPr>
        <w:instrText xml:space="preserve"> HYPERLINK \l "_Toc5481_WPSOffice_Level1" </w:instrText>
      </w:r>
      <w:r>
        <w:rPr>
          <w:color w:val="auto"/>
        </w:rPr>
        <w:fldChar w:fldCharType="separate"/>
      </w:r>
      <w:r>
        <w:rPr>
          <w:rFonts w:hint="eastAsia" w:ascii="宋体" w:hAnsi="宋体" w:cs="宋体"/>
          <w:color w:val="auto"/>
          <w:sz w:val="28"/>
          <w:szCs w:val="28"/>
        </w:rPr>
        <w:t>第六章 投标文件格式</w:t>
      </w:r>
      <w:r>
        <w:rPr>
          <w:rFonts w:hint="eastAsia" w:ascii="宋体" w:hAnsi="宋体" w:cs="宋体"/>
          <w:color w:val="auto"/>
          <w:sz w:val="28"/>
          <w:szCs w:val="28"/>
        </w:rPr>
        <w:tab/>
      </w:r>
      <w:r>
        <w:rPr>
          <w:rFonts w:hint="eastAsia" w:ascii="宋体" w:hAnsi="宋体" w:cs="宋体"/>
          <w:color w:val="auto"/>
          <w:sz w:val="28"/>
          <w:szCs w:val="28"/>
        </w:rPr>
        <w:t>4</w:t>
      </w:r>
      <w:r>
        <w:rPr>
          <w:rFonts w:hint="eastAsia" w:ascii="宋体" w:hAnsi="宋体" w:cs="宋体"/>
          <w:color w:val="auto"/>
          <w:sz w:val="28"/>
          <w:szCs w:val="28"/>
        </w:rPr>
        <w:fldChar w:fldCharType="end"/>
      </w:r>
      <w:r>
        <w:rPr>
          <w:rFonts w:hint="eastAsia" w:ascii="宋体" w:hAnsi="宋体" w:cs="宋体"/>
          <w:color w:val="auto"/>
          <w:sz w:val="28"/>
          <w:szCs w:val="28"/>
          <w:lang w:val="en-US" w:eastAsia="zh-CN"/>
        </w:rPr>
        <w:t>9</w:t>
      </w:r>
    </w:p>
    <w:bookmarkEnd w:id="0"/>
    <w:p>
      <w:pPr>
        <w:spacing w:line="480" w:lineRule="auto"/>
        <w:rPr>
          <w:rFonts w:ascii="宋体" w:hAnsi="宋体" w:cs="宋体"/>
          <w:color w:val="auto"/>
          <w:sz w:val="28"/>
          <w:szCs w:val="28"/>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rPr>
          <w:rFonts w:ascii="宋体" w:hAnsi="宋体" w:cs="宋体"/>
          <w:b/>
          <w:color w:val="auto"/>
          <w:sz w:val="24"/>
        </w:rPr>
      </w:pPr>
      <w:r>
        <w:rPr>
          <w:rFonts w:hint="eastAsia" w:ascii="宋体" w:hAnsi="宋体" w:cs="宋体"/>
          <w:b/>
          <w:color w:val="auto"/>
          <w:kern w:val="0"/>
          <w:sz w:val="24"/>
        </w:rPr>
        <w:br w:type="page"/>
      </w: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color w:val="auto"/>
          <w:sz w:val="24"/>
        </w:rPr>
      </w:pPr>
      <w:bookmarkStart w:id="2" w:name="_Toc4350_WPSOffice_Level1"/>
      <w:r>
        <w:rPr>
          <w:rFonts w:hint="eastAsia" w:ascii="宋体" w:hAnsi="宋体" w:cs="宋体"/>
          <w:b/>
          <w:color w:val="auto"/>
          <w:kern w:val="0"/>
          <w:sz w:val="24"/>
        </w:rPr>
        <w:t>投标邀请</w:t>
      </w:r>
      <w:bookmarkEnd w:id="2"/>
    </w:p>
    <w:p>
      <w:pPr>
        <w:pStyle w:val="5"/>
        <w:ind w:firstLine="480" w:firstLineChars="200"/>
        <w:rPr>
          <w:rFonts w:cs="宋体"/>
          <w:b w:val="0"/>
          <w:color w:val="auto"/>
          <w:sz w:val="24"/>
          <w:szCs w:val="24"/>
        </w:rPr>
      </w:pPr>
      <w:bookmarkStart w:id="3" w:name="_Toc28359002"/>
      <w:bookmarkStart w:id="4" w:name="_Toc28359079"/>
      <w:bookmarkStart w:id="5" w:name="_Toc35393621"/>
      <w:bookmarkStart w:id="6" w:name="_Toc35393790"/>
      <w:bookmarkStart w:id="7" w:name="_Hlk24379207"/>
      <w:r>
        <w:rPr>
          <w:rFonts w:hint="eastAsia" w:cs="宋体"/>
          <w:b w:val="0"/>
          <w:color w:val="auto"/>
          <w:sz w:val="24"/>
          <w:szCs w:val="24"/>
        </w:rPr>
        <w:t>台州天兴工程管理咨询有限公司受</w:t>
      </w:r>
      <w:r>
        <w:rPr>
          <w:rFonts w:hint="eastAsia" w:cs="宋体"/>
          <w:b w:val="0"/>
          <w:color w:val="auto"/>
          <w:sz w:val="24"/>
          <w:szCs w:val="24"/>
          <w:lang w:eastAsia="zh-CN"/>
        </w:rPr>
        <w:t>台州市大数据发展中心</w:t>
      </w:r>
      <w:r>
        <w:rPr>
          <w:rFonts w:hint="eastAsia" w:cs="宋体"/>
          <w:b w:val="0"/>
          <w:color w:val="auto"/>
          <w:sz w:val="24"/>
          <w:szCs w:val="24"/>
        </w:rPr>
        <w:t>委托，就台州市一体化智能化公共数据平台（数据资源体系）项目进行公开招标，欢迎符合资格条件的国内投标人参加投标。</w:t>
      </w:r>
    </w:p>
    <w:p>
      <w:pPr>
        <w:pStyle w:val="5"/>
        <w:ind w:firstLine="482" w:firstLineChars="200"/>
        <w:rPr>
          <w:rFonts w:cs="宋体"/>
          <w:bCs/>
          <w:color w:val="auto"/>
          <w:sz w:val="24"/>
          <w:szCs w:val="24"/>
        </w:rPr>
      </w:pPr>
      <w:r>
        <w:rPr>
          <w:rFonts w:hint="eastAsia" w:cs="宋体"/>
          <w:bCs/>
          <w:color w:val="auto"/>
          <w:sz w:val="24"/>
          <w:szCs w:val="24"/>
        </w:rPr>
        <w:t>一、项目基本情况</w:t>
      </w:r>
      <w:bookmarkEnd w:id="3"/>
      <w:bookmarkEnd w:id="4"/>
      <w:bookmarkEnd w:id="5"/>
      <w:bookmarkEnd w:id="6"/>
    </w:p>
    <w:p>
      <w:pPr>
        <w:spacing w:line="360" w:lineRule="auto"/>
        <w:ind w:firstLine="480" w:firstLineChars="200"/>
        <w:rPr>
          <w:rFonts w:ascii="宋体" w:hAnsi="宋体" w:cs="宋体"/>
          <w:color w:val="auto"/>
          <w:sz w:val="24"/>
        </w:rPr>
      </w:pPr>
      <w:r>
        <w:rPr>
          <w:rFonts w:hint="eastAsia" w:ascii="宋体" w:hAnsi="宋体" w:cs="宋体"/>
          <w:color w:val="auto"/>
          <w:sz w:val="24"/>
        </w:rPr>
        <w:t>项目编号：</w:t>
      </w:r>
      <w:r>
        <w:rPr>
          <w:rFonts w:hint="eastAsia" w:ascii="宋体" w:hAnsi="宋体" w:cs="宋体"/>
          <w:color w:val="auto"/>
          <w:sz w:val="24"/>
          <w:highlight w:val="none"/>
        </w:rPr>
        <w:t>TZTX-2022-GK007</w:t>
      </w:r>
    </w:p>
    <w:bookmarkEnd w:id="7"/>
    <w:p>
      <w:pPr>
        <w:spacing w:line="360" w:lineRule="auto"/>
        <w:ind w:firstLine="480" w:firstLineChars="20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kern w:val="0"/>
          <w:sz w:val="24"/>
          <w:lang w:eastAsia="zh-CN"/>
        </w:rPr>
        <w:t>台州市大数据发展中心</w:t>
      </w:r>
      <w:r>
        <w:rPr>
          <w:rFonts w:hint="eastAsia" w:ascii="宋体" w:hAnsi="宋体" w:cs="宋体"/>
          <w:color w:val="auto"/>
          <w:kern w:val="0"/>
          <w:sz w:val="24"/>
        </w:rPr>
        <w:t>台州市一体化智能化公共数据平台（数据资源体系）项目</w:t>
      </w:r>
    </w:p>
    <w:tbl>
      <w:tblPr>
        <w:tblStyle w:val="25"/>
        <w:tblW w:w="8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835"/>
        <w:gridCol w:w="785"/>
        <w:gridCol w:w="838"/>
        <w:gridCol w:w="1302"/>
        <w:gridCol w:w="1324"/>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172" w:type="dxa"/>
            <w:vAlign w:val="center"/>
          </w:tcPr>
          <w:p>
            <w:pPr>
              <w:tabs>
                <w:tab w:val="left" w:pos="8280"/>
              </w:tabs>
              <w:autoSpaceDE w:val="0"/>
              <w:autoSpaceDN w:val="0"/>
              <w:adjustRightInd w:val="0"/>
              <w:jc w:val="center"/>
              <w:rPr>
                <w:rFonts w:ascii="宋体" w:hAnsi="宋体" w:cs="宋体"/>
                <w:b/>
                <w:color w:val="auto"/>
                <w:sz w:val="24"/>
              </w:rPr>
            </w:pPr>
            <w:r>
              <w:rPr>
                <w:rFonts w:hint="eastAsia" w:ascii="宋体" w:hAnsi="宋体" w:cs="宋体"/>
                <w:b/>
                <w:color w:val="auto"/>
                <w:sz w:val="24"/>
              </w:rPr>
              <w:t>标项号</w:t>
            </w:r>
          </w:p>
        </w:tc>
        <w:tc>
          <w:tcPr>
            <w:tcW w:w="1835" w:type="dxa"/>
            <w:vAlign w:val="center"/>
          </w:tcPr>
          <w:p>
            <w:pPr>
              <w:tabs>
                <w:tab w:val="left" w:pos="8280"/>
              </w:tabs>
              <w:autoSpaceDE w:val="0"/>
              <w:autoSpaceDN w:val="0"/>
              <w:adjustRightInd w:val="0"/>
              <w:ind w:firstLine="120" w:firstLineChars="50"/>
              <w:jc w:val="center"/>
              <w:rPr>
                <w:rFonts w:ascii="宋体" w:hAnsi="宋体" w:cs="宋体"/>
                <w:b/>
                <w:color w:val="auto"/>
                <w:sz w:val="24"/>
              </w:rPr>
            </w:pPr>
            <w:r>
              <w:rPr>
                <w:rFonts w:hint="eastAsia" w:ascii="宋体" w:hAnsi="宋体" w:cs="宋体"/>
                <w:b/>
                <w:color w:val="auto"/>
                <w:sz w:val="24"/>
              </w:rPr>
              <w:t>标项名称</w:t>
            </w:r>
          </w:p>
        </w:tc>
        <w:tc>
          <w:tcPr>
            <w:tcW w:w="785" w:type="dxa"/>
            <w:vAlign w:val="center"/>
          </w:tcPr>
          <w:p>
            <w:pPr>
              <w:tabs>
                <w:tab w:val="left" w:pos="8280"/>
              </w:tabs>
              <w:autoSpaceDE w:val="0"/>
              <w:autoSpaceDN w:val="0"/>
              <w:adjustRightInd w:val="0"/>
              <w:jc w:val="center"/>
              <w:rPr>
                <w:rFonts w:ascii="宋体" w:hAnsi="宋体" w:cs="宋体"/>
                <w:b/>
                <w:color w:val="auto"/>
                <w:sz w:val="24"/>
              </w:rPr>
            </w:pPr>
            <w:r>
              <w:rPr>
                <w:rFonts w:hint="eastAsia" w:ascii="宋体" w:hAnsi="宋体" w:cs="宋体"/>
                <w:b/>
                <w:color w:val="auto"/>
                <w:kern w:val="0"/>
                <w:sz w:val="24"/>
              </w:rPr>
              <w:t>数量</w:t>
            </w:r>
          </w:p>
        </w:tc>
        <w:tc>
          <w:tcPr>
            <w:tcW w:w="838" w:type="dxa"/>
            <w:vAlign w:val="center"/>
          </w:tcPr>
          <w:p>
            <w:pPr>
              <w:tabs>
                <w:tab w:val="left" w:pos="8280"/>
              </w:tabs>
              <w:autoSpaceDE w:val="0"/>
              <w:autoSpaceDN w:val="0"/>
              <w:adjustRightInd w:val="0"/>
              <w:jc w:val="center"/>
              <w:rPr>
                <w:rFonts w:ascii="宋体" w:hAnsi="宋体" w:cs="宋体"/>
                <w:b/>
                <w:color w:val="auto"/>
                <w:sz w:val="24"/>
              </w:rPr>
            </w:pPr>
            <w:r>
              <w:rPr>
                <w:rFonts w:hint="eastAsia" w:ascii="宋体" w:hAnsi="宋体" w:cs="宋体"/>
                <w:b/>
                <w:color w:val="auto"/>
                <w:sz w:val="24"/>
              </w:rPr>
              <w:t>单位</w:t>
            </w:r>
          </w:p>
        </w:tc>
        <w:tc>
          <w:tcPr>
            <w:tcW w:w="1302" w:type="dxa"/>
            <w:vAlign w:val="center"/>
          </w:tcPr>
          <w:p>
            <w:pPr>
              <w:tabs>
                <w:tab w:val="left" w:pos="8280"/>
              </w:tabs>
              <w:autoSpaceDE w:val="0"/>
              <w:autoSpaceDN w:val="0"/>
              <w:adjustRightInd w:val="0"/>
              <w:jc w:val="center"/>
              <w:rPr>
                <w:rFonts w:ascii="宋体" w:hAnsi="宋体" w:cs="宋体"/>
                <w:b/>
                <w:color w:val="auto"/>
                <w:sz w:val="24"/>
              </w:rPr>
            </w:pPr>
            <w:r>
              <w:rPr>
                <w:rFonts w:hint="eastAsia" w:ascii="宋体" w:hAnsi="宋体" w:cs="宋体"/>
                <w:b/>
                <w:color w:val="auto"/>
                <w:sz w:val="24"/>
              </w:rPr>
              <w:t>预算</w:t>
            </w:r>
          </w:p>
          <w:p>
            <w:pPr>
              <w:tabs>
                <w:tab w:val="left" w:pos="8280"/>
              </w:tabs>
              <w:autoSpaceDE w:val="0"/>
              <w:autoSpaceDN w:val="0"/>
              <w:adjustRightInd w:val="0"/>
              <w:jc w:val="center"/>
              <w:rPr>
                <w:rFonts w:ascii="宋体" w:hAnsi="宋体" w:cs="宋体"/>
                <w:b/>
                <w:color w:val="auto"/>
                <w:sz w:val="24"/>
              </w:rPr>
            </w:pPr>
            <w:r>
              <w:rPr>
                <w:rFonts w:hint="eastAsia" w:ascii="宋体" w:hAnsi="宋体" w:cs="宋体"/>
                <w:b/>
                <w:color w:val="auto"/>
                <w:sz w:val="24"/>
              </w:rPr>
              <w:t>（万元）</w:t>
            </w:r>
          </w:p>
        </w:tc>
        <w:tc>
          <w:tcPr>
            <w:tcW w:w="1324" w:type="dxa"/>
            <w:vAlign w:val="center"/>
          </w:tcPr>
          <w:p>
            <w:pPr>
              <w:tabs>
                <w:tab w:val="left" w:pos="8280"/>
              </w:tabs>
              <w:autoSpaceDE w:val="0"/>
              <w:autoSpaceDN w:val="0"/>
              <w:adjustRightInd w:val="0"/>
              <w:jc w:val="center"/>
              <w:rPr>
                <w:rFonts w:ascii="宋体" w:hAnsi="宋体" w:cs="宋体"/>
                <w:b/>
                <w:color w:val="auto"/>
                <w:sz w:val="24"/>
              </w:rPr>
            </w:pPr>
            <w:r>
              <w:rPr>
                <w:rFonts w:hint="eastAsia" w:ascii="宋体" w:hAnsi="宋体" w:cs="宋体"/>
                <w:b/>
                <w:color w:val="auto"/>
                <w:sz w:val="24"/>
              </w:rPr>
              <w:t>最高限价（万元）</w:t>
            </w:r>
          </w:p>
        </w:tc>
        <w:tc>
          <w:tcPr>
            <w:tcW w:w="1293" w:type="dxa"/>
            <w:vAlign w:val="center"/>
          </w:tcPr>
          <w:p>
            <w:pPr>
              <w:jc w:val="center"/>
              <w:rPr>
                <w:rFonts w:ascii="宋体" w:hAnsi="宋体" w:cs="宋体"/>
                <w:b/>
                <w:color w:val="auto"/>
                <w:sz w:val="24"/>
              </w:rPr>
            </w:pPr>
            <w:r>
              <w:rPr>
                <w:rFonts w:hint="eastAsia" w:ascii="宋体" w:hAnsi="宋体" w:cs="宋体"/>
                <w:b/>
                <w:color w:val="auto"/>
                <w:sz w:val="24"/>
              </w:rPr>
              <w:t>交付期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172" w:type="dxa"/>
            <w:vAlign w:val="center"/>
          </w:tcPr>
          <w:p>
            <w:pPr>
              <w:tabs>
                <w:tab w:val="left" w:pos="8280"/>
              </w:tabs>
              <w:autoSpaceDE w:val="0"/>
              <w:autoSpaceDN w:val="0"/>
              <w:adjustRightInd w:val="0"/>
              <w:jc w:val="center"/>
              <w:rPr>
                <w:rFonts w:ascii="宋体" w:hAnsi="宋体" w:cs="宋体"/>
                <w:bCs/>
                <w:color w:val="auto"/>
                <w:sz w:val="24"/>
              </w:rPr>
            </w:pPr>
            <w:r>
              <w:rPr>
                <w:rFonts w:hint="eastAsia" w:ascii="宋体" w:hAnsi="宋体" w:cs="宋体"/>
                <w:bCs/>
                <w:color w:val="auto"/>
                <w:sz w:val="24"/>
              </w:rPr>
              <w:t>1</w:t>
            </w:r>
          </w:p>
        </w:tc>
        <w:tc>
          <w:tcPr>
            <w:tcW w:w="1835" w:type="dxa"/>
            <w:vAlign w:val="center"/>
          </w:tcPr>
          <w:p>
            <w:pPr>
              <w:tabs>
                <w:tab w:val="left" w:pos="8280"/>
              </w:tabs>
              <w:autoSpaceDE w:val="0"/>
              <w:autoSpaceDN w:val="0"/>
              <w:adjustRightInd w:val="0"/>
              <w:jc w:val="center"/>
              <w:rPr>
                <w:rFonts w:ascii="宋体" w:hAnsi="宋体" w:cs="宋体"/>
                <w:bCs/>
                <w:color w:val="auto"/>
                <w:sz w:val="24"/>
              </w:rPr>
            </w:pPr>
            <w:r>
              <w:rPr>
                <w:rFonts w:hint="eastAsia" w:ascii="宋体" w:hAnsi="宋体" w:cs="宋体"/>
                <w:bCs/>
                <w:color w:val="auto"/>
                <w:sz w:val="24"/>
              </w:rPr>
              <w:t>台州市一体化智能化公共数据平台（数据资源体系）项目</w:t>
            </w:r>
          </w:p>
        </w:tc>
        <w:tc>
          <w:tcPr>
            <w:tcW w:w="785" w:type="dxa"/>
            <w:vAlign w:val="center"/>
          </w:tcPr>
          <w:p>
            <w:pPr>
              <w:tabs>
                <w:tab w:val="left" w:pos="8280"/>
              </w:tabs>
              <w:autoSpaceDE w:val="0"/>
              <w:autoSpaceDN w:val="0"/>
              <w:adjustRightInd w:val="0"/>
              <w:jc w:val="center"/>
              <w:rPr>
                <w:rFonts w:ascii="宋体" w:hAnsi="宋体" w:cs="宋体"/>
                <w:bCs/>
                <w:color w:val="auto"/>
                <w:sz w:val="24"/>
              </w:rPr>
            </w:pPr>
            <w:r>
              <w:rPr>
                <w:rFonts w:hint="eastAsia" w:ascii="宋体" w:hAnsi="宋体" w:cs="宋体"/>
                <w:bCs/>
                <w:color w:val="auto"/>
                <w:sz w:val="24"/>
              </w:rPr>
              <w:t>1</w:t>
            </w:r>
          </w:p>
        </w:tc>
        <w:tc>
          <w:tcPr>
            <w:tcW w:w="838" w:type="dxa"/>
            <w:vAlign w:val="center"/>
          </w:tcPr>
          <w:p>
            <w:pPr>
              <w:tabs>
                <w:tab w:val="left" w:pos="8280"/>
              </w:tabs>
              <w:autoSpaceDE w:val="0"/>
              <w:autoSpaceDN w:val="0"/>
              <w:adjustRightInd w:val="0"/>
              <w:jc w:val="center"/>
              <w:rPr>
                <w:rFonts w:ascii="宋体" w:hAnsi="宋体" w:cs="宋体"/>
                <w:bCs/>
                <w:color w:val="auto"/>
                <w:sz w:val="24"/>
              </w:rPr>
            </w:pPr>
            <w:r>
              <w:rPr>
                <w:rFonts w:hint="eastAsia" w:ascii="宋体" w:hAnsi="宋体" w:cs="宋体"/>
                <w:bCs/>
                <w:color w:val="auto"/>
                <w:sz w:val="24"/>
              </w:rPr>
              <w:t>项</w:t>
            </w:r>
          </w:p>
        </w:tc>
        <w:tc>
          <w:tcPr>
            <w:tcW w:w="1302" w:type="dxa"/>
            <w:vAlign w:val="center"/>
          </w:tcPr>
          <w:p>
            <w:pPr>
              <w:tabs>
                <w:tab w:val="left" w:pos="8280"/>
              </w:tabs>
              <w:autoSpaceDE w:val="0"/>
              <w:autoSpaceDN w:val="0"/>
              <w:adjustRightInd w:val="0"/>
              <w:ind w:right="25"/>
              <w:jc w:val="center"/>
              <w:rPr>
                <w:rFonts w:hint="eastAsia" w:ascii="宋体" w:hAnsi="宋体" w:eastAsia="宋体" w:cs="宋体"/>
                <w:bCs/>
                <w:color w:val="auto"/>
                <w:sz w:val="24"/>
                <w:lang w:val="en-US" w:eastAsia="zh-CN"/>
              </w:rPr>
            </w:pPr>
            <w:r>
              <w:rPr>
                <w:rFonts w:hint="eastAsia" w:asciiTheme="minorEastAsia" w:hAnsiTheme="minorEastAsia"/>
                <w:color w:val="auto"/>
                <w:sz w:val="24"/>
                <w:lang w:val="en-US" w:eastAsia="zh-CN"/>
              </w:rPr>
              <w:t>1300</w:t>
            </w:r>
          </w:p>
        </w:tc>
        <w:tc>
          <w:tcPr>
            <w:tcW w:w="1324" w:type="dxa"/>
            <w:vAlign w:val="center"/>
          </w:tcPr>
          <w:p>
            <w:pPr>
              <w:tabs>
                <w:tab w:val="left" w:pos="8280"/>
              </w:tabs>
              <w:autoSpaceDE w:val="0"/>
              <w:autoSpaceDN w:val="0"/>
              <w:adjustRightInd w:val="0"/>
              <w:ind w:right="25"/>
              <w:jc w:val="center"/>
              <w:rPr>
                <w:rFonts w:ascii="宋体" w:hAnsi="宋体" w:cs="宋体"/>
                <w:bCs/>
                <w:color w:val="auto"/>
                <w:sz w:val="24"/>
              </w:rPr>
            </w:pPr>
            <w:r>
              <w:rPr>
                <w:rFonts w:asciiTheme="minorEastAsia" w:hAnsiTheme="minorEastAsia"/>
                <w:color w:val="auto"/>
                <w:sz w:val="24"/>
              </w:rPr>
              <w:t>1229</w:t>
            </w:r>
          </w:p>
        </w:tc>
        <w:tc>
          <w:tcPr>
            <w:tcW w:w="1293" w:type="dxa"/>
            <w:vAlign w:val="center"/>
          </w:tcPr>
          <w:p>
            <w:pPr>
              <w:tabs>
                <w:tab w:val="left" w:pos="8280"/>
              </w:tabs>
              <w:autoSpaceDE w:val="0"/>
              <w:autoSpaceDN w:val="0"/>
              <w:adjustRightInd w:val="0"/>
              <w:jc w:val="center"/>
              <w:rPr>
                <w:rFonts w:ascii="宋体" w:hAnsi="宋体" w:cs="宋体"/>
                <w:bCs/>
                <w:color w:val="auto"/>
                <w:sz w:val="24"/>
              </w:rPr>
            </w:pPr>
            <w:r>
              <w:rPr>
                <w:rFonts w:hint="eastAsia" w:ascii="宋体" w:hAnsi="宋体"/>
                <w:bCs/>
                <w:color w:val="auto"/>
                <w:sz w:val="24"/>
              </w:rPr>
              <w:t>合同签订后</w:t>
            </w:r>
            <w:r>
              <w:rPr>
                <w:rFonts w:ascii="宋体" w:hAnsi="宋体"/>
                <w:bCs/>
                <w:color w:val="auto"/>
                <w:sz w:val="24"/>
              </w:rPr>
              <w:t>3</w:t>
            </w:r>
            <w:r>
              <w:rPr>
                <w:rFonts w:hint="eastAsia" w:ascii="宋体" w:hAnsi="宋体"/>
                <w:bCs/>
                <w:color w:val="auto"/>
                <w:sz w:val="24"/>
              </w:rPr>
              <w:t>个月内交付部署试运营</w:t>
            </w:r>
          </w:p>
        </w:tc>
      </w:tr>
    </w:tbl>
    <w:p>
      <w:pPr>
        <w:pStyle w:val="5"/>
        <w:ind w:right="0" w:firstLine="482" w:firstLineChars="200"/>
        <w:rPr>
          <w:rFonts w:cs="宋体"/>
          <w:bCs/>
          <w:color w:val="auto"/>
          <w:sz w:val="24"/>
          <w:szCs w:val="24"/>
        </w:rPr>
      </w:pPr>
      <w:bookmarkStart w:id="8" w:name="_Toc28359080"/>
      <w:bookmarkStart w:id="9" w:name="_Toc35393622"/>
      <w:bookmarkStart w:id="10" w:name="_Toc28359003"/>
      <w:bookmarkStart w:id="11" w:name="_Toc35393791"/>
      <w:r>
        <w:rPr>
          <w:rFonts w:hint="eastAsia" w:cs="宋体"/>
          <w:bCs/>
          <w:color w:val="auto"/>
          <w:sz w:val="24"/>
          <w:szCs w:val="24"/>
        </w:rPr>
        <w:t>二、投标人的资格要求</w:t>
      </w:r>
      <w:bookmarkEnd w:id="8"/>
      <w:bookmarkEnd w:id="9"/>
      <w:bookmarkEnd w:id="10"/>
      <w:bookmarkEnd w:id="11"/>
    </w:p>
    <w:p>
      <w:pPr>
        <w:spacing w:line="360" w:lineRule="auto"/>
        <w:ind w:firstLine="480" w:firstLineChars="200"/>
        <w:rPr>
          <w:rFonts w:ascii="宋体" w:hAnsi="宋体" w:cs="宋体"/>
          <w:color w:val="auto"/>
          <w:sz w:val="24"/>
        </w:rPr>
      </w:pPr>
      <w:r>
        <w:rPr>
          <w:rFonts w:hint="eastAsia" w:ascii="宋体" w:hAnsi="宋体" w:cs="宋体"/>
          <w:color w:val="auto"/>
          <w:sz w:val="24"/>
        </w:rPr>
        <w:t>（一）满足《中华人民共和国政府采购法》第二十二条规定</w:t>
      </w:r>
    </w:p>
    <w:p>
      <w:pPr>
        <w:spacing w:line="360" w:lineRule="auto"/>
        <w:ind w:firstLine="480" w:firstLineChars="200"/>
        <w:rPr>
          <w:rFonts w:ascii="宋体" w:hAnsi="宋体" w:cs="宋体"/>
          <w:color w:val="auto"/>
          <w:sz w:val="24"/>
        </w:rPr>
      </w:pPr>
      <w:bookmarkStart w:id="12" w:name="_Toc35393792"/>
      <w:bookmarkStart w:id="13" w:name="_Toc28359081"/>
      <w:bookmarkStart w:id="14" w:name="_Toc28359004"/>
      <w:bookmarkStart w:id="15" w:name="_Toc35393623"/>
      <w:r>
        <w:rPr>
          <w:rFonts w:hint="eastAsia" w:ascii="宋体" w:hAnsi="宋体" w:cs="宋体"/>
          <w:color w:val="auto"/>
          <w:sz w:val="24"/>
        </w:rPr>
        <w:t>（二）本项目的特定资格要求：无。</w:t>
      </w:r>
    </w:p>
    <w:p>
      <w:pPr>
        <w:spacing w:line="360" w:lineRule="auto"/>
        <w:ind w:firstLine="480" w:firstLineChars="200"/>
        <w:rPr>
          <w:rFonts w:ascii="宋体" w:hAnsi="宋体" w:cs="宋体"/>
          <w:color w:val="auto"/>
          <w:sz w:val="24"/>
        </w:rPr>
      </w:pPr>
      <w:r>
        <w:rPr>
          <w:rFonts w:hint="eastAsia" w:ascii="宋体" w:hAnsi="宋体" w:cs="宋体"/>
          <w:color w:val="auto"/>
          <w:sz w:val="24"/>
        </w:rPr>
        <w:t>（三）本项目</w:t>
      </w:r>
      <w:r>
        <w:rPr>
          <w:rFonts w:hint="eastAsia" w:ascii="宋体" w:hAnsi="宋体" w:cs="宋体"/>
          <w:b/>
          <w:bCs/>
          <w:color w:val="auto"/>
          <w:sz w:val="24"/>
        </w:rPr>
        <w:t>（☑ 不接受/□ 接受）</w:t>
      </w:r>
      <w:r>
        <w:rPr>
          <w:rFonts w:hint="eastAsia" w:ascii="宋体" w:hAnsi="宋体" w:cs="宋体"/>
          <w:color w:val="auto"/>
          <w:sz w:val="24"/>
        </w:rPr>
        <w:t>联合体投标</w:t>
      </w:r>
    </w:p>
    <w:p>
      <w:pPr>
        <w:spacing w:line="360" w:lineRule="auto"/>
        <w:ind w:firstLine="480" w:firstLineChars="200"/>
        <w:rPr>
          <w:rFonts w:ascii="宋体" w:hAnsi="宋体" w:cs="宋体"/>
          <w:color w:val="auto"/>
          <w:sz w:val="24"/>
        </w:rPr>
      </w:pPr>
      <w:r>
        <w:rPr>
          <w:rFonts w:hint="eastAsia" w:ascii="宋体" w:hAnsi="宋体" w:cs="宋体"/>
          <w:color w:val="auto"/>
          <w:sz w:val="24"/>
        </w:rPr>
        <w:t>（四）本项目</w:t>
      </w:r>
      <w:r>
        <w:rPr>
          <w:rFonts w:hint="eastAsia" w:ascii="宋体" w:hAnsi="宋体" w:cs="宋体"/>
          <w:b/>
          <w:bCs/>
          <w:color w:val="auto"/>
          <w:sz w:val="24"/>
        </w:rPr>
        <w:t>（□ 是/☑ 否）</w:t>
      </w:r>
      <w:r>
        <w:rPr>
          <w:rFonts w:hint="eastAsia" w:ascii="宋体" w:hAnsi="宋体" w:cs="宋体"/>
          <w:color w:val="auto"/>
          <w:sz w:val="24"/>
        </w:rPr>
        <w:t>针对为中小企业</w:t>
      </w:r>
    </w:p>
    <w:p>
      <w:pPr>
        <w:spacing w:line="360" w:lineRule="auto"/>
        <w:ind w:firstLine="480" w:firstLineChars="200"/>
        <w:rPr>
          <w:rFonts w:ascii="宋体" w:hAnsi="宋体" w:cs="宋体"/>
          <w:color w:val="auto"/>
          <w:sz w:val="24"/>
        </w:rPr>
      </w:pPr>
      <w:r>
        <w:rPr>
          <w:rFonts w:hint="eastAsia" w:ascii="宋体" w:hAnsi="宋体" w:cs="宋体"/>
          <w:color w:val="auto"/>
          <w:sz w:val="24"/>
        </w:rPr>
        <w:t>（五）信用记录：未被列入“信用中国”失信被执行人或重大税收违法案件当事人名单；未处于“中国政府采购网”</w:t>
      </w:r>
      <w:r>
        <w:rPr>
          <w:color w:val="auto"/>
        </w:rPr>
        <w:fldChar w:fldCharType="begin"/>
      </w:r>
      <w:r>
        <w:rPr>
          <w:color w:val="auto"/>
        </w:rPr>
        <w:instrText xml:space="preserve"> HYPERLINK "http://www.ccgp.gov.cn）政府采购严重违法失信行为信息记录中的禁止参加政府采购活动期间。" </w:instrText>
      </w:r>
      <w:r>
        <w:rPr>
          <w:color w:val="auto"/>
        </w:rPr>
        <w:fldChar w:fldCharType="separate"/>
      </w:r>
      <w:r>
        <w:rPr>
          <w:rFonts w:hint="eastAsia" w:ascii="宋体" w:hAnsi="宋体" w:cs="宋体"/>
          <w:color w:val="auto"/>
          <w:sz w:val="24"/>
        </w:rPr>
        <w:t>政府采购严重违法失信行为信息记录中的禁止参加政府采购活动期间。</w:t>
      </w:r>
      <w:r>
        <w:rPr>
          <w:color w:val="auto"/>
        </w:rPr>
        <w:fldChar w:fldCharType="end"/>
      </w:r>
    </w:p>
    <w:p>
      <w:pPr>
        <w:spacing w:line="360" w:lineRule="auto"/>
        <w:ind w:firstLine="480" w:firstLineChars="200"/>
        <w:rPr>
          <w:rFonts w:ascii="宋体" w:hAnsi="宋体" w:cs="宋体"/>
          <w:color w:val="auto"/>
          <w:sz w:val="24"/>
        </w:rPr>
      </w:pPr>
      <w:r>
        <w:rPr>
          <w:rFonts w:hint="eastAsia" w:ascii="宋体" w:hAnsi="宋体" w:cs="宋体"/>
          <w:color w:val="auto"/>
          <w:sz w:val="24"/>
        </w:rPr>
        <w:t>（六）法律、行政法规规定的其他条件：单位负责人为同一人或者存在直接控股、管理关系的不同供应商，不得同时参加同一项目投标；为本项目提供整体设计、规范编制或者项目管理、监理、检测等服务的供应商，不得再参与本项目投标。</w:t>
      </w:r>
    </w:p>
    <w:p>
      <w:pPr>
        <w:pStyle w:val="5"/>
        <w:ind w:right="0" w:firstLine="482" w:firstLineChars="200"/>
        <w:rPr>
          <w:rFonts w:cs="宋体"/>
          <w:bCs/>
          <w:color w:val="auto"/>
          <w:sz w:val="24"/>
          <w:szCs w:val="24"/>
        </w:rPr>
      </w:pPr>
      <w:r>
        <w:rPr>
          <w:rFonts w:hint="eastAsia" w:cs="宋体"/>
          <w:bCs/>
          <w:color w:val="auto"/>
          <w:sz w:val="24"/>
          <w:szCs w:val="24"/>
        </w:rPr>
        <w:t>三、获取招标文件</w:t>
      </w:r>
      <w:bookmarkEnd w:id="12"/>
      <w:bookmarkEnd w:id="13"/>
      <w:bookmarkEnd w:id="14"/>
      <w:bookmarkEnd w:id="15"/>
    </w:p>
    <w:p>
      <w:pPr>
        <w:spacing w:line="360" w:lineRule="auto"/>
        <w:ind w:firstLine="480" w:firstLineChars="200"/>
        <w:rPr>
          <w:rFonts w:ascii="宋体" w:hAnsi="宋体" w:cs="宋体"/>
          <w:color w:val="auto"/>
          <w:sz w:val="24"/>
        </w:rPr>
      </w:pPr>
      <w:r>
        <w:rPr>
          <w:rFonts w:hint="eastAsia" w:ascii="宋体" w:hAnsi="宋体" w:cs="宋体"/>
          <w:color w:val="auto"/>
          <w:sz w:val="24"/>
        </w:rPr>
        <w:t>（一）时间：</w:t>
      </w:r>
      <w:r>
        <w:rPr>
          <w:rFonts w:hint="eastAsia" w:ascii="宋体" w:hAnsi="宋体" w:cs="宋体"/>
          <w:color w:val="auto"/>
          <w:sz w:val="24"/>
          <w:u w:val="single"/>
        </w:rPr>
        <w:t>2022年</w:t>
      </w:r>
      <w:r>
        <w:rPr>
          <w:rFonts w:hint="eastAsia" w:ascii="宋体" w:hAnsi="宋体" w:cs="宋体"/>
          <w:color w:val="auto"/>
          <w:sz w:val="24"/>
          <w:u w:val="single"/>
          <w:lang w:val="en-US" w:eastAsia="zh-CN"/>
        </w:rPr>
        <w:t>07</w:t>
      </w:r>
      <w:r>
        <w:rPr>
          <w:rFonts w:hint="eastAsia" w:ascii="宋体" w:hAnsi="宋体" w:cs="宋体"/>
          <w:color w:val="auto"/>
          <w:sz w:val="24"/>
          <w:u w:val="single"/>
        </w:rPr>
        <w:t>月</w:t>
      </w:r>
      <w:r>
        <w:rPr>
          <w:rFonts w:hint="eastAsia" w:ascii="宋体" w:hAnsi="宋体" w:cs="宋体"/>
          <w:color w:val="auto"/>
          <w:sz w:val="24"/>
          <w:u w:val="single"/>
          <w:lang w:val="en-US" w:eastAsia="zh-CN"/>
        </w:rPr>
        <w:t>08</w:t>
      </w:r>
      <w:r>
        <w:rPr>
          <w:rFonts w:hint="eastAsia" w:ascii="宋体" w:hAnsi="宋体" w:cs="宋体"/>
          <w:color w:val="auto"/>
          <w:sz w:val="24"/>
          <w:u w:val="single"/>
        </w:rPr>
        <w:t>日</w:t>
      </w:r>
      <w:r>
        <w:rPr>
          <w:rFonts w:hint="eastAsia" w:ascii="宋体" w:hAnsi="宋体" w:cs="宋体"/>
          <w:color w:val="auto"/>
          <w:sz w:val="24"/>
        </w:rPr>
        <w:t>至</w:t>
      </w:r>
      <w:r>
        <w:rPr>
          <w:rFonts w:hint="eastAsia" w:ascii="宋体" w:hAnsi="宋体" w:cs="宋体"/>
          <w:color w:val="auto"/>
          <w:sz w:val="24"/>
          <w:u w:val="single"/>
        </w:rPr>
        <w:t>2022年</w:t>
      </w:r>
      <w:r>
        <w:rPr>
          <w:rFonts w:hint="eastAsia" w:ascii="宋体" w:hAnsi="宋体" w:cs="宋体"/>
          <w:color w:val="auto"/>
          <w:sz w:val="24"/>
          <w:u w:val="single"/>
          <w:lang w:val="en-US" w:eastAsia="zh-CN"/>
        </w:rPr>
        <w:t>07</w:t>
      </w:r>
      <w:r>
        <w:rPr>
          <w:rFonts w:hint="eastAsia" w:ascii="宋体" w:hAnsi="宋体" w:cs="宋体"/>
          <w:color w:val="auto"/>
          <w:sz w:val="24"/>
          <w:u w:val="single"/>
        </w:rPr>
        <w:t>月</w:t>
      </w:r>
      <w:r>
        <w:rPr>
          <w:rFonts w:hint="eastAsia" w:ascii="宋体" w:hAnsi="宋体" w:cs="宋体"/>
          <w:color w:val="auto"/>
          <w:sz w:val="24"/>
          <w:u w:val="single"/>
          <w:lang w:val="en-US" w:eastAsia="zh-CN"/>
        </w:rPr>
        <w:t>28</w:t>
      </w:r>
      <w:r>
        <w:rPr>
          <w:rFonts w:hint="eastAsia" w:ascii="宋体" w:hAnsi="宋体" w:cs="宋体"/>
          <w:color w:val="auto"/>
          <w:sz w:val="24"/>
          <w:u w:val="single"/>
        </w:rPr>
        <w:t>日</w:t>
      </w:r>
    </w:p>
    <w:p>
      <w:pPr>
        <w:pStyle w:val="27"/>
        <w:spacing w:line="360" w:lineRule="auto"/>
        <w:ind w:firstLine="480" w:firstLineChars="200"/>
        <w:jc w:val="both"/>
        <w:rPr>
          <w:rFonts w:ascii="宋体" w:hAnsi="宋体" w:eastAsia="宋体"/>
          <w:color w:val="auto"/>
          <w:sz w:val="24"/>
          <w:szCs w:val="24"/>
        </w:rPr>
      </w:pPr>
      <w:r>
        <w:rPr>
          <w:rFonts w:hint="eastAsia" w:ascii="宋体" w:hAnsi="宋体" w:eastAsia="宋体"/>
          <w:color w:val="auto"/>
          <w:sz w:val="24"/>
          <w:szCs w:val="24"/>
        </w:rPr>
        <w:t>（二）方式：浙江政府采购网</w:t>
      </w:r>
      <w:r>
        <w:rPr>
          <w:rFonts w:hint="eastAsia" w:ascii="宋体" w:hAnsi="宋体" w:eastAsia="宋体"/>
          <w:color w:val="auto"/>
          <w:kern w:val="2"/>
          <w:sz w:val="24"/>
          <w:szCs w:val="24"/>
        </w:rPr>
        <w:t>（https：//zfcg.czt.zj.gov.cn）</w:t>
      </w:r>
      <w:r>
        <w:rPr>
          <w:rFonts w:hint="eastAsia" w:ascii="宋体" w:hAnsi="宋体" w:eastAsia="宋体"/>
          <w:color w:val="auto"/>
          <w:sz w:val="24"/>
          <w:szCs w:val="24"/>
        </w:rPr>
        <w:t>免费下载</w:t>
      </w:r>
    </w:p>
    <w:p>
      <w:pPr>
        <w:pStyle w:val="5"/>
        <w:ind w:right="0" w:firstLine="482" w:firstLineChars="200"/>
        <w:rPr>
          <w:rFonts w:cs="宋体"/>
          <w:bCs/>
          <w:color w:val="auto"/>
          <w:sz w:val="24"/>
          <w:szCs w:val="24"/>
        </w:rPr>
      </w:pPr>
      <w:bookmarkStart w:id="16" w:name="_Toc28359005"/>
      <w:bookmarkStart w:id="17" w:name="_Toc28359082"/>
      <w:bookmarkStart w:id="18" w:name="_Toc35393793"/>
      <w:bookmarkStart w:id="19" w:name="_Toc35393624"/>
      <w:r>
        <w:rPr>
          <w:rFonts w:hint="eastAsia" w:cs="宋体"/>
          <w:bCs/>
          <w:color w:val="auto"/>
          <w:sz w:val="24"/>
          <w:szCs w:val="24"/>
        </w:rPr>
        <w:t>四、提交投标文件</w:t>
      </w:r>
      <w:bookmarkEnd w:id="16"/>
      <w:bookmarkEnd w:id="17"/>
      <w:bookmarkEnd w:id="18"/>
      <w:bookmarkEnd w:id="19"/>
    </w:p>
    <w:p>
      <w:pPr>
        <w:spacing w:line="360" w:lineRule="auto"/>
        <w:ind w:firstLine="480" w:firstLineChars="200"/>
        <w:rPr>
          <w:rFonts w:ascii="宋体" w:hAnsi="宋体" w:cs="宋体"/>
          <w:iCs/>
          <w:color w:val="auto"/>
          <w:sz w:val="24"/>
          <w:u w:val="single"/>
        </w:rPr>
      </w:pPr>
      <w:bookmarkStart w:id="20" w:name="_Toc35393794"/>
      <w:bookmarkStart w:id="21" w:name="_Toc28359084"/>
      <w:bookmarkStart w:id="22" w:name="_Toc28359007"/>
      <w:bookmarkStart w:id="23" w:name="_Toc35393625"/>
      <w:r>
        <w:rPr>
          <w:rFonts w:hint="eastAsia" w:ascii="宋体" w:hAnsi="宋体" w:cs="宋体"/>
          <w:color w:val="auto"/>
          <w:sz w:val="24"/>
        </w:rPr>
        <w:t>（一）截止时间（开标时间）：</w:t>
      </w:r>
      <w:r>
        <w:rPr>
          <w:rFonts w:hint="eastAsia" w:ascii="宋体" w:hAnsi="宋体" w:cs="宋体"/>
          <w:bCs/>
          <w:color w:val="auto"/>
          <w:sz w:val="24"/>
          <w:u w:val="single"/>
        </w:rPr>
        <w:t>2022年</w:t>
      </w:r>
      <w:r>
        <w:rPr>
          <w:rFonts w:hint="eastAsia" w:ascii="宋体" w:hAnsi="宋体" w:cs="宋体"/>
          <w:color w:val="auto"/>
          <w:sz w:val="24"/>
          <w:u w:val="single"/>
          <w:lang w:val="en-US" w:eastAsia="zh-CN"/>
        </w:rPr>
        <w:t>07</w:t>
      </w:r>
      <w:r>
        <w:rPr>
          <w:rFonts w:hint="eastAsia" w:ascii="宋体" w:hAnsi="宋体" w:cs="宋体"/>
          <w:bCs/>
          <w:color w:val="auto"/>
          <w:sz w:val="24"/>
          <w:u w:val="single"/>
        </w:rPr>
        <w:t>月</w:t>
      </w:r>
      <w:r>
        <w:rPr>
          <w:rFonts w:hint="eastAsia" w:ascii="宋体" w:hAnsi="宋体" w:cs="宋体"/>
          <w:color w:val="auto"/>
          <w:sz w:val="24"/>
          <w:u w:val="single"/>
          <w:lang w:val="en-US" w:eastAsia="zh-CN"/>
        </w:rPr>
        <w:t>28</w:t>
      </w:r>
      <w:r>
        <w:rPr>
          <w:rFonts w:hint="eastAsia" w:ascii="宋体" w:hAnsi="宋体" w:cs="宋体"/>
          <w:bCs/>
          <w:color w:val="auto"/>
          <w:sz w:val="24"/>
          <w:u w:val="single"/>
        </w:rPr>
        <w:t>日</w:t>
      </w:r>
      <w:r>
        <w:rPr>
          <w:rFonts w:hint="eastAsia" w:ascii="宋体" w:hAnsi="宋体" w:cs="宋体"/>
          <w:bCs/>
          <w:color w:val="auto"/>
          <w:sz w:val="24"/>
          <w:u w:val="single"/>
          <w:lang w:val="en-US" w:eastAsia="zh-CN"/>
        </w:rPr>
        <w:t>14</w:t>
      </w:r>
      <w:r>
        <w:rPr>
          <w:rFonts w:hint="eastAsia" w:ascii="宋体" w:hAnsi="宋体" w:cs="宋体"/>
          <w:bCs/>
          <w:color w:val="auto"/>
          <w:sz w:val="24"/>
          <w:u w:val="single"/>
        </w:rPr>
        <w:t>点</w:t>
      </w:r>
      <w:r>
        <w:rPr>
          <w:rFonts w:hint="eastAsia" w:ascii="宋体" w:hAnsi="宋体" w:cs="宋体"/>
          <w:bCs/>
          <w:color w:val="auto"/>
          <w:sz w:val="24"/>
          <w:u w:val="single"/>
          <w:lang w:val="en-US" w:eastAsia="zh-CN"/>
        </w:rPr>
        <w:t>30</w:t>
      </w:r>
      <w:r>
        <w:rPr>
          <w:rFonts w:hint="eastAsia" w:ascii="宋体" w:hAnsi="宋体" w:cs="宋体"/>
          <w:bCs/>
          <w:color w:val="auto"/>
          <w:sz w:val="24"/>
          <w:u w:val="single"/>
        </w:rPr>
        <w:t>分</w:t>
      </w:r>
      <w:r>
        <w:rPr>
          <w:rFonts w:hint="eastAsia" w:ascii="宋体" w:hAnsi="宋体" w:cs="宋体"/>
          <w:bCs/>
          <w:color w:val="auto"/>
          <w:sz w:val="24"/>
        </w:rPr>
        <w:t>（北京时间）</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（二）投标网址：浙江政府采购云平台（http：//www.zcygov.cn）</w:t>
      </w:r>
    </w:p>
    <w:bookmarkEnd w:id="20"/>
    <w:bookmarkEnd w:id="21"/>
    <w:bookmarkEnd w:id="22"/>
    <w:bookmarkEnd w:id="23"/>
    <w:p>
      <w:pPr>
        <w:pStyle w:val="2"/>
        <w:spacing w:after="0" w:line="360" w:lineRule="auto"/>
        <w:ind w:left="0" w:leftChars="0" w:firstLine="482" w:firstLineChars="200"/>
        <w:rPr>
          <w:rFonts w:ascii="宋体" w:hAnsi="宋体" w:cs="宋体"/>
          <w:b/>
          <w:bCs/>
          <w:color w:val="auto"/>
          <w:kern w:val="0"/>
          <w:sz w:val="24"/>
        </w:rPr>
      </w:pPr>
      <w:r>
        <w:rPr>
          <w:rFonts w:hint="eastAsia" w:ascii="宋体" w:hAnsi="宋体" w:cs="宋体"/>
          <w:b/>
          <w:bCs/>
          <w:color w:val="auto"/>
          <w:kern w:val="0"/>
          <w:sz w:val="24"/>
        </w:rPr>
        <w:t>五、发布公告</w:t>
      </w:r>
    </w:p>
    <w:p>
      <w:pPr>
        <w:pStyle w:val="2"/>
        <w:spacing w:after="0" w:line="360" w:lineRule="auto"/>
        <w:ind w:left="0" w:leftChars="0" w:firstLine="480" w:firstLineChars="200"/>
        <w:rPr>
          <w:rFonts w:ascii="宋体" w:hAnsi="宋体" w:cs="宋体"/>
          <w:color w:val="auto"/>
          <w:kern w:val="0"/>
          <w:sz w:val="24"/>
        </w:rPr>
      </w:pPr>
      <w:r>
        <w:rPr>
          <w:rFonts w:hint="eastAsia" w:ascii="宋体" w:hAnsi="宋体" w:cs="宋体"/>
          <w:color w:val="auto"/>
          <w:sz w:val="24"/>
        </w:rPr>
        <w:t>（一）公告网址：</w:t>
      </w:r>
      <w:r>
        <w:rPr>
          <w:rFonts w:hint="eastAsia" w:ascii="宋体" w:hAnsi="宋体" w:cs="宋体"/>
          <w:color w:val="auto"/>
          <w:kern w:val="0"/>
          <w:sz w:val="24"/>
        </w:rPr>
        <w:t>浙江政府采购网（</w:t>
      </w:r>
      <w:r>
        <w:rPr>
          <w:rFonts w:hint="eastAsia" w:ascii="宋体" w:hAnsi="宋体" w:cs="宋体"/>
          <w:color w:val="auto"/>
          <w:sz w:val="24"/>
        </w:rPr>
        <w:t>https：//zfcg.czt.zj.gov.cn</w:t>
      </w:r>
      <w:r>
        <w:rPr>
          <w:rFonts w:hint="eastAsia" w:ascii="宋体" w:hAnsi="宋体" w:cs="宋体"/>
          <w:color w:val="auto"/>
          <w:kern w:val="0"/>
          <w:sz w:val="24"/>
        </w:rPr>
        <w:t>），台州市公共资源交易网（https：//tzztb.zjtz.gov.cn）。</w:t>
      </w:r>
    </w:p>
    <w:p>
      <w:pPr>
        <w:pStyle w:val="2"/>
        <w:spacing w:after="0" w:line="360" w:lineRule="auto"/>
        <w:ind w:left="0" w:leftChars="0" w:firstLine="480" w:firstLineChars="200"/>
        <w:rPr>
          <w:rFonts w:ascii="宋体" w:hAnsi="宋体" w:cs="宋体"/>
          <w:color w:val="auto"/>
          <w:kern w:val="0"/>
          <w:sz w:val="24"/>
        </w:rPr>
      </w:pPr>
      <w:r>
        <w:rPr>
          <w:rFonts w:hint="eastAsia" w:ascii="宋体" w:hAnsi="宋体" w:cs="宋体"/>
          <w:color w:val="auto"/>
          <w:sz w:val="24"/>
        </w:rPr>
        <w:t>（二）公告期限：</w:t>
      </w:r>
      <w:r>
        <w:rPr>
          <w:rFonts w:hint="eastAsia" w:ascii="宋体" w:hAnsi="宋体" w:cs="宋体"/>
          <w:color w:val="auto"/>
          <w:kern w:val="0"/>
          <w:sz w:val="24"/>
        </w:rPr>
        <w:t>本公告期限自发布之日起五个工作日。</w:t>
      </w:r>
    </w:p>
    <w:p>
      <w:pPr>
        <w:pStyle w:val="5"/>
        <w:ind w:right="0" w:firstLine="482" w:firstLineChars="200"/>
        <w:rPr>
          <w:rFonts w:cs="宋体"/>
          <w:bCs/>
          <w:color w:val="auto"/>
          <w:sz w:val="24"/>
          <w:szCs w:val="24"/>
        </w:rPr>
      </w:pPr>
      <w:bookmarkStart w:id="24" w:name="_Toc35393795"/>
      <w:bookmarkStart w:id="25" w:name="_Toc35393626"/>
      <w:r>
        <w:rPr>
          <w:rFonts w:hint="eastAsia" w:cs="宋体"/>
          <w:bCs/>
          <w:color w:val="auto"/>
          <w:sz w:val="24"/>
          <w:szCs w:val="24"/>
        </w:rPr>
        <w:t>六、</w:t>
      </w:r>
      <w:bookmarkEnd w:id="24"/>
      <w:bookmarkEnd w:id="25"/>
      <w:r>
        <w:rPr>
          <w:rFonts w:hint="eastAsia" w:cs="宋体"/>
          <w:bCs/>
          <w:color w:val="auto"/>
          <w:sz w:val="24"/>
          <w:szCs w:val="24"/>
        </w:rPr>
        <w:t>注册报名</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投标人需登录浙江省政府采购网（https：//zfcg.czt.zj.gov.cn/）进行注册后报名。</w:t>
      </w:r>
    </w:p>
    <w:p>
      <w:pPr>
        <w:tabs>
          <w:tab w:val="left" w:pos="180"/>
          <w:tab w:val="left" w:pos="360"/>
          <w:tab w:val="left" w:pos="540"/>
          <w:tab w:val="left" w:pos="8280"/>
        </w:tabs>
        <w:autoSpaceDE w:val="0"/>
        <w:autoSpaceDN w:val="0"/>
        <w:adjustRightInd w:val="0"/>
        <w:spacing w:line="360" w:lineRule="auto"/>
        <w:ind w:firstLine="482" w:firstLineChars="200"/>
        <w:jc w:val="left"/>
        <w:rPr>
          <w:rFonts w:ascii="宋体" w:hAnsi="宋体" w:cs="宋体"/>
          <w:b/>
          <w:color w:val="auto"/>
          <w:sz w:val="24"/>
        </w:rPr>
      </w:pPr>
      <w:r>
        <w:rPr>
          <w:rFonts w:hint="eastAsia" w:ascii="宋体" w:hAnsi="宋体" w:cs="宋体"/>
          <w:b/>
          <w:color w:val="auto"/>
          <w:sz w:val="24"/>
        </w:rPr>
        <w:t>七、相关注意事项：</w:t>
      </w:r>
    </w:p>
    <w:p>
      <w:pPr>
        <w:pStyle w:val="20"/>
        <w:widowControl w:val="0"/>
        <w:spacing w:before="0" w:beforeAutospacing="0" w:after="0" w:afterAutospacing="0" w:line="360" w:lineRule="auto"/>
        <w:ind w:firstLine="480" w:firstLineChars="200"/>
        <w:jc w:val="both"/>
        <w:rPr>
          <w:rFonts w:hint="default"/>
          <w:color w:val="auto"/>
        </w:rPr>
      </w:pPr>
      <w:r>
        <w:rPr>
          <w:color w:val="auto"/>
        </w:rPr>
        <w:t>（一）供应商认为采购文件使自己的权益受到损害的，可以自收到采购文件之日（获取/发售截止日之后收到采购文件的，以获取/发售截止日为准）起7个工作日内且应当在采购响应截止时间之前，以书面形式一次性向采购人和采购代理机构提出同一环节的质疑。否则，被质疑人可不予受理、答复。质疑供应商对采购人、采购代理机构的答复不满意或者采购人、采购代理机构未在规定的时间内作出答复的，可以在答复期满后十五个工作日内向采购单位监督管理部门投诉。</w:t>
      </w:r>
    </w:p>
    <w:p>
      <w:pPr>
        <w:pStyle w:val="2"/>
        <w:spacing w:after="0" w:line="360" w:lineRule="auto"/>
        <w:ind w:left="0" w:leftChars="0" w:firstLine="480" w:firstLineChars="200"/>
        <w:rPr>
          <w:rFonts w:ascii="宋体" w:hAnsi="宋体" w:cs="宋体"/>
          <w:color w:val="auto"/>
          <w:sz w:val="24"/>
        </w:rPr>
      </w:pPr>
      <w:r>
        <w:rPr>
          <w:rFonts w:hint="eastAsia" w:ascii="宋体" w:hAnsi="宋体" w:cs="宋体"/>
          <w:color w:val="auto"/>
          <w:sz w:val="24"/>
        </w:rPr>
        <w:t>（二）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tabs>
          <w:tab w:val="left" w:pos="180"/>
          <w:tab w:val="left" w:pos="360"/>
          <w:tab w:val="left" w:pos="540"/>
          <w:tab w:val="left" w:pos="8280"/>
        </w:tabs>
        <w:autoSpaceDE w:val="0"/>
        <w:autoSpaceDN w:val="0"/>
        <w:adjustRightInd w:val="0"/>
        <w:spacing w:line="360" w:lineRule="auto"/>
        <w:ind w:firstLine="482" w:firstLineChars="200"/>
        <w:jc w:val="left"/>
        <w:rPr>
          <w:rFonts w:ascii="宋体" w:hAnsi="宋体" w:cs="宋体"/>
          <w:b/>
          <w:color w:val="auto"/>
          <w:sz w:val="24"/>
        </w:rPr>
      </w:pPr>
      <w:r>
        <w:rPr>
          <w:rFonts w:hint="eastAsia" w:ascii="宋体" w:hAnsi="宋体" w:cs="宋体"/>
          <w:b/>
          <w:color w:val="auto"/>
          <w:sz w:val="24"/>
        </w:rPr>
        <w:t xml:space="preserve"> 八、其他补充事宜</w:t>
      </w:r>
    </w:p>
    <w:p>
      <w:pPr>
        <w:pStyle w:val="2"/>
        <w:spacing w:after="0" w:line="360" w:lineRule="auto"/>
        <w:ind w:left="0" w:leftChars="0" w:firstLine="480" w:firstLineChars="200"/>
        <w:rPr>
          <w:rFonts w:ascii="宋体" w:hAnsi="宋体" w:cs="宋体"/>
          <w:color w:val="auto"/>
          <w:sz w:val="24"/>
        </w:rPr>
      </w:pPr>
      <w:r>
        <w:rPr>
          <w:rFonts w:hint="eastAsia" w:ascii="宋体" w:hAnsi="宋体" w:cs="宋体"/>
          <w:color w:val="auto"/>
          <w:sz w:val="24"/>
        </w:rPr>
        <w:t>（一）《浙江省财政厅关于进一步发挥政府采购政策功能全力推动经济稳进提质的通知》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
        <w:spacing w:after="0" w:line="360" w:lineRule="auto"/>
        <w:ind w:left="0" w:leftChars="0" w:firstLine="480" w:firstLineChars="200"/>
        <w:rPr>
          <w:rFonts w:ascii="宋体" w:hAnsi="宋体" w:cs="宋体"/>
          <w:color w:val="auto"/>
          <w:sz w:val="24"/>
        </w:rPr>
      </w:pPr>
      <w:r>
        <w:rPr>
          <w:rFonts w:hint="eastAsia" w:ascii="宋体" w:hAnsi="宋体" w:cs="宋体"/>
          <w:color w:val="auto"/>
          <w:sz w:val="24"/>
        </w:rPr>
        <w:t>（二）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
        <w:ind w:right="0" w:firstLine="482" w:firstLineChars="200"/>
        <w:rPr>
          <w:rFonts w:cs="宋体"/>
          <w:bCs/>
          <w:color w:val="auto"/>
          <w:sz w:val="24"/>
          <w:szCs w:val="24"/>
        </w:rPr>
      </w:pPr>
      <w:bookmarkStart w:id="26" w:name="_Toc35393627"/>
      <w:bookmarkStart w:id="27" w:name="_Toc28359085"/>
      <w:bookmarkStart w:id="28" w:name="_Toc35393796"/>
      <w:bookmarkStart w:id="29" w:name="_Toc28359008"/>
      <w:r>
        <w:rPr>
          <w:rFonts w:hint="eastAsia" w:cs="宋体"/>
          <w:bCs/>
          <w:color w:val="auto"/>
          <w:sz w:val="24"/>
          <w:szCs w:val="24"/>
        </w:rPr>
        <w:t>八、联系</w:t>
      </w:r>
      <w:bookmarkEnd w:id="26"/>
      <w:bookmarkEnd w:id="27"/>
      <w:bookmarkEnd w:id="28"/>
      <w:bookmarkEnd w:id="29"/>
      <w:r>
        <w:rPr>
          <w:rFonts w:hint="eastAsia" w:cs="宋体"/>
          <w:bCs/>
          <w:color w:val="auto"/>
          <w:sz w:val="24"/>
          <w:szCs w:val="24"/>
        </w:rPr>
        <w:t>方式</w:t>
      </w:r>
    </w:p>
    <w:p>
      <w:pPr>
        <w:snapToGri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 xml:space="preserve">（一）采购人（受理招标文件相关质疑及答复） </w:t>
      </w:r>
    </w:p>
    <w:p>
      <w:pPr>
        <w:spacing w:line="360" w:lineRule="auto"/>
        <w:ind w:firstLine="480" w:firstLineChars="200"/>
        <w:jc w:val="left"/>
        <w:rPr>
          <w:rFonts w:hint="eastAsia" w:ascii="宋体" w:hAnsi="宋体" w:eastAsia="宋体" w:cs="宋体"/>
          <w:color w:val="auto"/>
          <w:sz w:val="24"/>
          <w:lang w:eastAsia="zh-CN"/>
        </w:rPr>
      </w:pPr>
      <w:r>
        <w:rPr>
          <w:rFonts w:hint="eastAsia" w:ascii="宋体" w:hAnsi="宋体" w:cs="宋体"/>
          <w:color w:val="auto"/>
          <w:sz w:val="24"/>
        </w:rPr>
        <w:t>名 称：</w:t>
      </w:r>
      <w:r>
        <w:rPr>
          <w:rFonts w:hint="eastAsia" w:ascii="宋体" w:hAnsi="宋体" w:cs="宋体"/>
          <w:color w:val="auto"/>
          <w:sz w:val="24"/>
          <w:u w:val="single"/>
          <w:lang w:eastAsia="zh-CN"/>
        </w:rPr>
        <w:t>台州市大数据发展中心</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地址：</w:t>
      </w:r>
      <w:r>
        <w:rPr>
          <w:rFonts w:hint="eastAsia" w:ascii="宋体" w:hAnsi="宋体" w:cs="宋体"/>
          <w:color w:val="auto"/>
          <w:sz w:val="24"/>
          <w:u w:val="single"/>
        </w:rPr>
        <w:t>浙江省台州市椒江区中心大道399号</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询问联系人：</w:t>
      </w:r>
      <w:r>
        <w:rPr>
          <w:rFonts w:hint="eastAsia" w:ascii="宋体" w:hAnsi="宋体" w:cs="宋体"/>
          <w:color w:val="auto"/>
          <w:sz w:val="24"/>
          <w:u w:val="single"/>
        </w:rPr>
        <w:t>林老师</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询问联系电话：</w:t>
      </w:r>
      <w:r>
        <w:rPr>
          <w:rFonts w:hint="eastAsia" w:ascii="宋体" w:hAnsi="宋体" w:cs="宋体"/>
          <w:color w:val="auto"/>
          <w:sz w:val="24"/>
          <w:u w:val="single"/>
        </w:rPr>
        <w:t>0576-88512130</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质疑联系人：</w:t>
      </w:r>
      <w:bookmarkStart w:id="30" w:name="_Toc28359009"/>
      <w:bookmarkStart w:id="31" w:name="_Toc28359086"/>
      <w:r>
        <w:rPr>
          <w:rFonts w:hint="eastAsia" w:ascii="宋体" w:hAnsi="宋体" w:cs="宋体"/>
          <w:color w:val="auto"/>
          <w:sz w:val="24"/>
          <w:u w:val="single"/>
        </w:rPr>
        <w:t>陈老师</w:t>
      </w:r>
      <w:r>
        <w:rPr>
          <w:rFonts w:hint="eastAsia" w:ascii="宋体" w:hAnsi="宋体" w:cs="宋体"/>
          <w:color w:val="auto"/>
          <w:sz w:val="24"/>
        </w:rPr>
        <w:t xml:space="preserve">    联系电话：</w:t>
      </w:r>
      <w:r>
        <w:rPr>
          <w:rFonts w:hint="eastAsia" w:ascii="宋体" w:hAnsi="宋体" w:cs="宋体"/>
          <w:color w:val="auto"/>
          <w:sz w:val="24"/>
          <w:u w:val="single"/>
        </w:rPr>
        <w:t xml:space="preserve">0576-88512130  </w:t>
      </w:r>
    </w:p>
    <w:bookmarkEnd w:id="30"/>
    <w:bookmarkEnd w:id="31"/>
    <w:p>
      <w:pPr>
        <w:spacing w:line="360" w:lineRule="auto"/>
        <w:ind w:firstLine="482" w:firstLineChars="200"/>
        <w:jc w:val="left"/>
        <w:rPr>
          <w:rFonts w:ascii="宋体" w:hAnsi="宋体" w:cs="宋体"/>
          <w:b/>
          <w:bCs/>
          <w:color w:val="auto"/>
          <w:sz w:val="24"/>
        </w:rPr>
      </w:pPr>
      <w:r>
        <w:rPr>
          <w:rFonts w:hint="eastAsia" w:ascii="宋体" w:hAnsi="宋体" w:cs="宋体"/>
          <w:b/>
          <w:bCs/>
          <w:color w:val="auto"/>
          <w:sz w:val="24"/>
        </w:rPr>
        <w:t>（二）采购组织机构</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名 称：</w:t>
      </w:r>
      <w:r>
        <w:rPr>
          <w:rFonts w:hint="eastAsia" w:ascii="宋体" w:hAnsi="宋体" w:cs="宋体"/>
          <w:color w:val="auto"/>
          <w:sz w:val="24"/>
          <w:u w:val="single"/>
        </w:rPr>
        <w:t>台州天兴工程管理咨询有限公司</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single"/>
        </w:rPr>
        <w:t>浙江省台州市椒江区海门街道建设路105-16号</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项目联系人：</w:t>
      </w:r>
      <w:bookmarkStart w:id="32" w:name="_Toc28359087"/>
      <w:bookmarkStart w:id="33" w:name="_Toc28359010"/>
      <w:r>
        <w:rPr>
          <w:rFonts w:hint="eastAsia" w:ascii="宋体" w:hAnsi="宋体" w:cs="宋体"/>
          <w:color w:val="auto"/>
          <w:sz w:val="24"/>
          <w:u w:val="single"/>
        </w:rPr>
        <w:t>陈先生</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联系电话：</w:t>
      </w:r>
      <w:r>
        <w:rPr>
          <w:rFonts w:hint="eastAsia" w:ascii="宋体" w:hAnsi="宋体" w:cs="宋体"/>
          <w:color w:val="auto"/>
          <w:sz w:val="24"/>
          <w:u w:val="single"/>
        </w:rPr>
        <w:t>15057620383</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受理联系人：</w:t>
      </w:r>
      <w:r>
        <w:rPr>
          <w:rFonts w:hint="eastAsia" w:ascii="宋体" w:hAnsi="宋体" w:cs="宋体"/>
          <w:color w:val="auto"/>
          <w:sz w:val="24"/>
          <w:u w:val="single"/>
        </w:rPr>
        <w:t>洪先生（受理注册、中标结果相关质疑及答复）</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联系电话：</w:t>
      </w:r>
      <w:r>
        <w:rPr>
          <w:rFonts w:hint="eastAsia" w:ascii="宋体" w:hAnsi="宋体" w:cs="宋体"/>
          <w:color w:val="auto"/>
          <w:sz w:val="24"/>
          <w:u w:val="single"/>
        </w:rPr>
        <w:t>0576-88322665</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技术人员：</w:t>
      </w:r>
      <w:r>
        <w:rPr>
          <w:rFonts w:hint="eastAsia" w:ascii="宋体" w:hAnsi="宋体" w:cs="宋体"/>
          <w:color w:val="auto"/>
          <w:sz w:val="24"/>
          <w:u w:val="single"/>
        </w:rPr>
        <w:t>洪先生</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联系电话：</w:t>
      </w:r>
      <w:r>
        <w:rPr>
          <w:rFonts w:hint="eastAsia" w:ascii="宋体" w:hAnsi="宋体" w:cs="宋体"/>
          <w:color w:val="auto"/>
          <w:sz w:val="24"/>
          <w:u w:val="single"/>
        </w:rPr>
        <w:t>0576-88322665</w:t>
      </w:r>
    </w:p>
    <w:p>
      <w:pPr>
        <w:spacing w:line="360" w:lineRule="auto"/>
        <w:ind w:firstLine="482" w:firstLineChars="200"/>
        <w:jc w:val="left"/>
        <w:rPr>
          <w:rFonts w:ascii="宋体" w:hAnsi="宋体" w:cs="宋体"/>
          <w:b/>
          <w:color w:val="auto"/>
          <w:sz w:val="24"/>
        </w:rPr>
      </w:pPr>
      <w:r>
        <w:rPr>
          <w:rFonts w:hint="eastAsia" w:ascii="宋体" w:hAnsi="宋体" w:cs="宋体"/>
          <w:b/>
          <w:color w:val="auto"/>
          <w:sz w:val="24"/>
        </w:rPr>
        <w:t>（三）同级政府采购监管机构</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名 称：</w:t>
      </w:r>
      <w:r>
        <w:rPr>
          <w:rFonts w:hint="eastAsia" w:ascii="宋体" w:hAnsi="宋体" w:cs="宋体"/>
          <w:color w:val="auto"/>
          <w:sz w:val="24"/>
          <w:u w:val="single"/>
        </w:rPr>
        <w:t>台州市财政局政府采购监管处</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single"/>
        </w:rPr>
        <w:t>台州市纬一路66号</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single"/>
        </w:rPr>
        <w:t>陈工</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single"/>
        </w:rPr>
        <w:t>0576-88206705</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single"/>
        </w:rPr>
        <w:t>李工</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single"/>
        </w:rPr>
        <w:t>0576-88206731</w:t>
      </w:r>
    </w:p>
    <w:p>
      <w:pPr>
        <w:spacing w:line="360" w:lineRule="auto"/>
        <w:ind w:firstLine="482" w:firstLineChars="200"/>
        <w:jc w:val="left"/>
        <w:rPr>
          <w:rFonts w:ascii="宋体" w:hAnsi="宋体" w:cs="宋体"/>
          <w:b/>
          <w:color w:val="auto"/>
          <w:sz w:val="24"/>
        </w:rPr>
      </w:pPr>
      <w:r>
        <w:rPr>
          <w:rFonts w:hint="eastAsia" w:ascii="宋体" w:hAnsi="宋体" w:cs="宋体"/>
          <w:b/>
          <w:color w:val="auto"/>
          <w:sz w:val="24"/>
        </w:rPr>
        <w:t>（四）政采云平台：联系电话：4008817190</w:t>
      </w:r>
    </w:p>
    <w:p>
      <w:pPr>
        <w:pStyle w:val="2"/>
        <w:ind w:firstLine="0"/>
        <w:rPr>
          <w:color w:val="auto"/>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color w:val="auto"/>
          <w:sz w:val="24"/>
        </w:rPr>
      </w:pPr>
      <w:r>
        <w:rPr>
          <w:rFonts w:hint="eastAsia" w:ascii="宋体" w:hAnsi="宋体" w:cs="宋体"/>
          <w:color w:val="auto"/>
          <w:sz w:val="24"/>
          <w:shd w:val="clear" w:color="auto" w:fill="FFFFFF"/>
        </w:rPr>
        <w:t>台州天兴工程管理咨询有限公司</w:t>
      </w:r>
      <w:r>
        <w:rPr>
          <w:rFonts w:hint="eastAsia" w:ascii="宋体" w:hAnsi="宋体" w:cs="宋体"/>
          <w:color w:val="auto"/>
          <w:kern w:val="0"/>
          <w:sz w:val="24"/>
        </w:rPr>
        <w:t xml:space="preserve"> </w:t>
      </w:r>
    </w:p>
    <w:p>
      <w:pPr>
        <w:widowControl/>
        <w:spacing w:line="360" w:lineRule="auto"/>
        <w:jc w:val="right"/>
        <w:rPr>
          <w:rFonts w:ascii="宋体" w:hAnsi="宋体" w:cs="宋体"/>
          <w:color w:val="auto"/>
          <w:kern w:val="0"/>
          <w:sz w:val="24"/>
        </w:rPr>
      </w:pPr>
      <w:r>
        <w:rPr>
          <w:rFonts w:hint="eastAsia" w:ascii="宋体" w:hAnsi="宋体" w:cs="宋体"/>
          <w:color w:val="auto"/>
          <w:kern w:val="0"/>
          <w:sz w:val="24"/>
        </w:rPr>
        <w:t xml:space="preserve">   2022年</w:t>
      </w:r>
      <w:r>
        <w:rPr>
          <w:rFonts w:hint="eastAsia" w:ascii="宋体" w:hAnsi="宋体" w:cs="宋体"/>
          <w:color w:val="auto"/>
          <w:sz w:val="24"/>
        </w:rPr>
        <w:t>0</w:t>
      </w:r>
      <w:r>
        <w:rPr>
          <w:rFonts w:hint="eastAsia" w:ascii="宋体" w:hAnsi="宋体" w:cs="宋体"/>
          <w:color w:val="auto"/>
          <w:sz w:val="24"/>
          <w:lang w:val="en-US" w:eastAsia="zh-CN"/>
        </w:rPr>
        <w:t>7</w:t>
      </w:r>
      <w:r>
        <w:rPr>
          <w:rFonts w:hint="eastAsia" w:ascii="宋体" w:hAnsi="宋体" w:cs="宋体"/>
          <w:color w:val="auto"/>
          <w:kern w:val="0"/>
          <w:sz w:val="24"/>
        </w:rPr>
        <w:t>月</w:t>
      </w:r>
    </w:p>
    <w:p>
      <w:pPr>
        <w:pStyle w:val="2"/>
        <w:rPr>
          <w:color w:val="auto"/>
        </w:rPr>
      </w:pPr>
    </w:p>
    <w:p>
      <w:pPr>
        <w:rPr>
          <w:color w:val="auto"/>
        </w:rPr>
      </w:pPr>
    </w:p>
    <w:p>
      <w:pPr>
        <w:pStyle w:val="14"/>
        <w:rPr>
          <w:color w:val="auto"/>
        </w:rPr>
      </w:pPr>
    </w:p>
    <w:p>
      <w:pPr>
        <w:pStyle w:val="14"/>
        <w:rPr>
          <w:color w:val="auto"/>
        </w:rPr>
      </w:pPr>
    </w:p>
    <w:p>
      <w:pPr>
        <w:pStyle w:val="14"/>
        <w:rPr>
          <w:color w:val="auto"/>
        </w:rPr>
      </w:pPr>
    </w:p>
    <w:p>
      <w:pPr>
        <w:pStyle w:val="14"/>
        <w:rPr>
          <w:color w:val="auto"/>
        </w:rPr>
      </w:pPr>
    </w:p>
    <w:p>
      <w:pPr>
        <w:pStyle w:val="14"/>
        <w:rPr>
          <w:color w:val="auto"/>
        </w:rPr>
      </w:pPr>
    </w:p>
    <w:p>
      <w:pPr>
        <w:pStyle w:val="14"/>
        <w:rPr>
          <w:color w:val="auto"/>
        </w:rPr>
      </w:pPr>
    </w:p>
    <w:p>
      <w:pPr>
        <w:pStyle w:val="14"/>
        <w:rPr>
          <w:color w:val="auto"/>
        </w:rPr>
      </w:pPr>
    </w:p>
    <w:bookmarkEnd w:id="32"/>
    <w:bookmarkEnd w:id="33"/>
    <w:p>
      <w:pPr>
        <w:numPr>
          <w:ilvl w:val="0"/>
          <w:numId w:val="5"/>
        </w:numPr>
        <w:spacing w:line="360" w:lineRule="auto"/>
        <w:jc w:val="center"/>
        <w:rPr>
          <w:rFonts w:ascii="宋体" w:hAnsi="宋体" w:cs="宋体"/>
          <w:b/>
          <w:color w:val="auto"/>
          <w:sz w:val="24"/>
        </w:rPr>
      </w:pPr>
      <w:bookmarkStart w:id="34" w:name="_Toc25017_WPSOffice_Level1"/>
      <w:r>
        <w:rPr>
          <w:rFonts w:hint="eastAsia" w:ascii="宋体" w:hAnsi="宋体" w:cs="宋体"/>
          <w:b/>
          <w:color w:val="auto"/>
          <w:sz w:val="24"/>
        </w:rPr>
        <w:t>投标人须知</w:t>
      </w:r>
      <w:bookmarkEnd w:id="34"/>
    </w:p>
    <w:p>
      <w:pPr>
        <w:spacing w:line="360" w:lineRule="auto"/>
        <w:rPr>
          <w:rFonts w:ascii="宋体" w:hAnsi="宋体" w:cs="宋体"/>
          <w:b/>
          <w:color w:val="auto"/>
          <w:sz w:val="24"/>
        </w:rPr>
      </w:pPr>
      <w:r>
        <w:rPr>
          <w:rFonts w:hint="eastAsia" w:ascii="宋体" w:hAnsi="宋体" w:cs="宋体"/>
          <w:b/>
          <w:color w:val="auto"/>
          <w:sz w:val="24"/>
        </w:rPr>
        <w:t>一、前附表</w:t>
      </w:r>
    </w:p>
    <w:tbl>
      <w:tblPr>
        <w:tblStyle w:val="25"/>
        <w:tblW w:w="9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 w:val="24"/>
              </w:rPr>
            </w:pPr>
            <w:r>
              <w:rPr>
                <w:rFonts w:hint="eastAsia" w:ascii="宋体" w:hAnsi="宋体" w:cs="宋体"/>
                <w:b/>
                <w:color w:val="auto"/>
                <w:sz w:val="24"/>
              </w:rPr>
              <w:t>序号</w:t>
            </w:r>
          </w:p>
        </w:tc>
        <w:tc>
          <w:tcPr>
            <w:tcW w:w="1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 w:val="24"/>
              </w:rPr>
            </w:pPr>
            <w:r>
              <w:rPr>
                <w:rFonts w:hint="eastAsia" w:ascii="宋体" w:hAnsi="宋体" w:cs="宋体"/>
                <w:b/>
                <w:color w:val="auto"/>
                <w:sz w:val="24"/>
              </w:rPr>
              <w:t>事项</w:t>
            </w:r>
          </w:p>
        </w:tc>
        <w:tc>
          <w:tcPr>
            <w:tcW w:w="6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1</w:t>
            </w:r>
          </w:p>
        </w:tc>
        <w:tc>
          <w:tcPr>
            <w:tcW w:w="17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rPr>
            </w:pPr>
            <w:r>
              <w:rPr>
                <w:rFonts w:hint="eastAsia" w:ascii="宋体" w:hAnsi="宋体" w:eastAsia="宋体" w:cs="宋体"/>
                <w:color w:val="auto"/>
                <w:kern w:val="0"/>
                <w:sz w:val="24"/>
              </w:rPr>
              <w:t>是否允许联合体</w:t>
            </w:r>
          </w:p>
        </w:tc>
        <w:tc>
          <w:tcPr>
            <w:tcW w:w="65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 不接受/□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p>
        </w:tc>
        <w:tc>
          <w:tcPr>
            <w:tcW w:w="17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lang w:eastAsia="zh-CN"/>
              </w:rPr>
            </w:pPr>
            <w:r>
              <w:rPr>
                <w:rFonts w:hint="eastAsia" w:ascii="宋体" w:hAnsi="宋体" w:eastAsia="宋体" w:cs="宋体"/>
                <w:color w:val="auto"/>
                <w:kern w:val="0"/>
                <w:sz w:val="24"/>
              </w:rPr>
              <w:t>是否允许分包</w:t>
            </w:r>
            <w:r>
              <w:rPr>
                <w:rFonts w:hint="eastAsia" w:ascii="宋体" w:hAnsi="宋体" w:eastAsia="宋体" w:cs="宋体"/>
                <w:color w:val="auto"/>
                <w:kern w:val="0"/>
                <w:sz w:val="24"/>
                <w:lang w:eastAsia="zh-CN"/>
              </w:rPr>
              <w:t>或转包</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lang w:val="en-US" w:eastAsia="zh-CN"/>
              </w:rPr>
            </w:pPr>
            <w:r>
              <w:rPr>
                <w:rFonts w:hint="eastAsia" w:ascii="宋体" w:hAnsi="宋体" w:cs="宋体"/>
                <w:color w:val="auto"/>
                <w:kern w:val="0"/>
                <w:sz w:val="24"/>
                <w:lang w:eastAsia="zh-CN"/>
              </w:rPr>
              <w:t>□</w:t>
            </w:r>
            <w:r>
              <w:rPr>
                <w:rFonts w:hint="eastAsia" w:ascii="宋体" w:hAnsi="宋体" w:eastAsia="宋体" w:cs="宋体"/>
                <w:color w:val="auto"/>
                <w:kern w:val="0"/>
                <w:sz w:val="24"/>
              </w:rPr>
              <w:t>不允许/□允许/</w:t>
            </w:r>
            <w:r>
              <w:rPr>
                <w:rFonts w:hint="eastAsia" w:ascii="宋体" w:hAnsi="宋体" w:cs="宋体"/>
                <w:color w:val="auto"/>
                <w:kern w:val="0"/>
                <w:sz w:val="24"/>
                <w:lang w:eastAsia="zh-CN"/>
              </w:rPr>
              <w:t>☑</w:t>
            </w:r>
            <w:r>
              <w:rPr>
                <w:rFonts w:hint="eastAsia" w:ascii="宋体" w:hAnsi="宋体" w:eastAsia="宋体" w:cs="宋体"/>
                <w:color w:val="auto"/>
                <w:kern w:val="0"/>
                <w:sz w:val="24"/>
              </w:rPr>
              <w:t xml:space="preserve"> </w:t>
            </w:r>
            <w:r>
              <w:rPr>
                <w:rFonts w:hint="eastAsia" w:ascii="宋体" w:hAnsi="宋体" w:cs="宋体"/>
                <w:color w:val="auto"/>
                <w:kern w:val="0"/>
                <w:sz w:val="24"/>
                <w:lang w:val="en-US" w:eastAsia="zh-CN"/>
              </w:rPr>
              <w:t>其他 未经招标人允许不得转包或分包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3</w:t>
            </w:r>
          </w:p>
        </w:tc>
        <w:tc>
          <w:tcPr>
            <w:tcW w:w="17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rPr>
            </w:pPr>
            <w:r>
              <w:rPr>
                <w:rFonts w:hint="eastAsia" w:ascii="宋体" w:hAnsi="宋体" w:eastAsia="宋体" w:cs="宋体"/>
                <w:color w:val="auto"/>
                <w:kern w:val="0"/>
                <w:sz w:val="24"/>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 否/□ 是，具体清单见招标需求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4</w:t>
            </w:r>
          </w:p>
        </w:tc>
        <w:tc>
          <w:tcPr>
            <w:tcW w:w="17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4"/>
              </w:rPr>
            </w:pPr>
            <w:r>
              <w:rPr>
                <w:rFonts w:hint="eastAsia" w:ascii="宋体" w:hAnsi="宋体" w:cs="宋体"/>
                <w:color w:val="auto"/>
                <w:kern w:val="0"/>
                <w:sz w:val="24"/>
              </w:rPr>
              <w:t>答疑会或</w:t>
            </w:r>
          </w:p>
          <w:p>
            <w:pPr>
              <w:rPr>
                <w:rFonts w:ascii="宋体" w:hAnsi="宋体" w:cs="宋体"/>
                <w:color w:val="auto"/>
                <w:kern w:val="0"/>
                <w:sz w:val="24"/>
              </w:rPr>
            </w:pPr>
            <w:r>
              <w:rPr>
                <w:rFonts w:hint="eastAsia" w:ascii="宋体" w:hAnsi="宋体" w:cs="宋体"/>
                <w:color w:val="auto"/>
                <w:sz w:val="24"/>
              </w:rPr>
              <w:t>现场踏勘</w:t>
            </w:r>
          </w:p>
        </w:tc>
        <w:tc>
          <w:tcPr>
            <w:tcW w:w="65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4"/>
              </w:rPr>
            </w:pPr>
            <w:r>
              <w:rPr>
                <w:rFonts w:hint="eastAsia" w:ascii="宋体" w:hAnsi="宋体" w:cs="宋体"/>
                <w:color w:val="auto"/>
                <w:kern w:val="0"/>
                <w:sz w:val="24"/>
              </w:rPr>
              <w:t>供应商自行至相关设备场地进行踏勘。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5</w:t>
            </w:r>
          </w:p>
        </w:tc>
        <w:tc>
          <w:tcPr>
            <w:tcW w:w="17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4"/>
              </w:rPr>
            </w:pPr>
            <w:r>
              <w:rPr>
                <w:rFonts w:hint="eastAsia" w:ascii="宋体" w:hAnsi="宋体" w:cs="宋体"/>
                <w:color w:val="auto"/>
                <w:sz w:val="24"/>
              </w:rPr>
              <w:t>投标文件的制作和投标</w:t>
            </w:r>
          </w:p>
        </w:tc>
        <w:tc>
          <w:tcPr>
            <w:tcW w:w="65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请投标人在投标前仔细阅读“政府采购项目电子交易操作指南”。</w:t>
            </w:r>
          </w:p>
          <w:p>
            <w:pPr>
              <w:wordWrap w:val="0"/>
              <w:autoSpaceDE w:val="0"/>
              <w:autoSpaceDN w:val="0"/>
              <w:rPr>
                <w:rFonts w:ascii="宋体" w:hAnsi="宋体" w:cs="宋体"/>
                <w:color w:val="auto"/>
                <w:sz w:val="24"/>
              </w:rPr>
            </w:pPr>
            <w:r>
              <w:rPr>
                <w:rFonts w:hint="eastAsia" w:ascii="宋体" w:hAnsi="宋体" w:cs="宋体"/>
                <w:color w:val="auto"/>
                <w:sz w:val="24"/>
              </w:rPr>
              <w:t>1.投标文件的制作：投标人按照本项目招标文件和政采云平台的要求,通过“政采云电子交易客户端”编制、加密并递交投标文件（下载网址：</w:t>
            </w:r>
            <w:r>
              <w:rPr>
                <w:color w:val="auto"/>
              </w:rPr>
              <w:fldChar w:fldCharType="begin"/>
            </w:r>
            <w:r>
              <w:rPr>
                <w:color w:val="auto"/>
              </w:rPr>
              <w:instrText xml:space="preserve"> HYPERLINK "http://www.zjzfcg.gov.cn/bidClientTemplate/2019-09-24/12975.html）。" </w:instrText>
            </w:r>
            <w:r>
              <w:rPr>
                <w:color w:val="auto"/>
              </w:rPr>
              <w:fldChar w:fldCharType="separate"/>
            </w:r>
            <w:r>
              <w:rPr>
                <w:rFonts w:hint="eastAsia" w:ascii="宋体" w:hAnsi="宋体" w:cs="宋体"/>
                <w:color w:val="auto"/>
                <w:sz w:val="24"/>
              </w:rPr>
              <w:t>https：//zfcg.czt.zj.gov.cn/download/index.html）。</w:t>
            </w:r>
            <w:r>
              <w:rPr>
                <w:color w:val="auto"/>
              </w:rPr>
              <w:fldChar w:fldCharType="end"/>
            </w:r>
          </w:p>
          <w:p>
            <w:pPr>
              <w:rPr>
                <w:rFonts w:ascii="宋体" w:hAnsi="宋体" w:cs="宋体"/>
                <w:color w:val="auto"/>
                <w:sz w:val="24"/>
              </w:rPr>
            </w:pPr>
            <w:r>
              <w:rPr>
                <w:rFonts w:hint="eastAsia" w:ascii="宋体" w:hAnsi="宋体" w:cs="宋体"/>
                <w:color w:val="auto"/>
                <w:sz w:val="24"/>
              </w:rPr>
              <w:t>2.投标：投标人应当在投标截止时间前（开标当天北京时间</w:t>
            </w:r>
            <w:r>
              <w:rPr>
                <w:rFonts w:hint="eastAsia" w:ascii="宋体" w:hAnsi="宋体" w:cs="宋体"/>
                <w:color w:val="auto"/>
                <w:sz w:val="24"/>
                <w:u w:val="single"/>
                <w:lang w:val="en-US" w:eastAsia="zh-CN"/>
              </w:rPr>
              <w:t>14</w:t>
            </w:r>
            <w:r>
              <w:rPr>
                <w:rFonts w:hint="eastAsia" w:ascii="宋体" w:hAnsi="宋体" w:cs="宋体"/>
                <w:color w:val="auto"/>
                <w:sz w:val="24"/>
                <w:u w:val="single"/>
              </w:rPr>
              <w:t>：</w:t>
            </w:r>
            <w:r>
              <w:rPr>
                <w:rFonts w:hint="eastAsia" w:ascii="宋体" w:hAnsi="宋体" w:cs="宋体"/>
                <w:color w:val="auto"/>
                <w:sz w:val="24"/>
                <w:u w:val="single"/>
                <w:lang w:val="en-US" w:eastAsia="zh-CN"/>
              </w:rPr>
              <w:t>30</w:t>
            </w:r>
            <w:r>
              <w:rPr>
                <w:rFonts w:hint="eastAsia" w:ascii="宋体" w:hAnsi="宋体" w:cs="宋体"/>
                <w:color w:val="auto"/>
                <w:sz w:val="24"/>
              </w:rPr>
              <w:t>）完成投标文件的传输递交，逾期上传的投标文件恕不接受。补充或者修改投标文件的，应当先行撤回原文件，补充、修改后重新传输递交。投标截止时间前未完成上传的，视为撤回投标文件。</w:t>
            </w:r>
          </w:p>
          <w:p>
            <w:pPr>
              <w:ind w:left="240" w:hanging="240" w:hangingChars="100"/>
              <w:rPr>
                <w:rFonts w:ascii="宋体" w:hAnsi="宋体" w:cs="宋体"/>
                <w:color w:val="auto"/>
                <w:kern w:val="0"/>
                <w:sz w:val="24"/>
              </w:rPr>
            </w:pPr>
            <w:r>
              <w:rPr>
                <w:rFonts w:hint="eastAsia" w:ascii="宋体" w:hAnsi="宋体" w:cs="宋体"/>
                <w:color w:val="auto"/>
                <w:sz w:val="24"/>
              </w:rPr>
              <w:t>3.投标文件解密：投标人应在开标当天北京时间</w:t>
            </w:r>
            <w:r>
              <w:rPr>
                <w:rFonts w:hint="eastAsia" w:ascii="宋体" w:hAnsi="宋体" w:cs="宋体"/>
                <w:color w:val="auto"/>
                <w:sz w:val="24"/>
                <w:u w:val="single"/>
                <w:lang w:val="en-US" w:eastAsia="zh-CN"/>
              </w:rPr>
              <w:t>14</w:t>
            </w:r>
            <w:r>
              <w:rPr>
                <w:rFonts w:hint="eastAsia" w:ascii="宋体" w:hAnsi="宋体" w:cs="宋体"/>
                <w:color w:val="auto"/>
                <w:sz w:val="24"/>
                <w:u w:val="single"/>
              </w:rPr>
              <w:t>：</w:t>
            </w:r>
            <w:r>
              <w:rPr>
                <w:rFonts w:hint="eastAsia" w:ascii="宋体" w:hAnsi="宋体" w:cs="宋体"/>
                <w:color w:val="auto"/>
                <w:sz w:val="24"/>
                <w:u w:val="single"/>
                <w:lang w:val="en-US" w:eastAsia="zh-CN"/>
              </w:rPr>
              <w:t>30</w:t>
            </w:r>
            <w:r>
              <w:rPr>
                <w:rFonts w:hint="eastAsia" w:ascii="宋体" w:hAnsi="宋体" w:cs="宋体"/>
                <w:color w:val="auto"/>
                <w:sz w:val="24"/>
              </w:rPr>
              <w:t>至</w:t>
            </w:r>
            <w:r>
              <w:rPr>
                <w:rFonts w:hint="eastAsia" w:ascii="宋体" w:hAnsi="宋体" w:cs="宋体"/>
                <w:color w:val="auto"/>
                <w:sz w:val="24"/>
                <w:u w:val="single"/>
                <w:lang w:val="en-US" w:eastAsia="zh-CN"/>
              </w:rPr>
              <w:t>15</w:t>
            </w:r>
            <w:r>
              <w:rPr>
                <w:rFonts w:hint="eastAsia" w:ascii="宋体" w:hAnsi="宋体" w:cs="宋体"/>
                <w:color w:val="auto"/>
                <w:sz w:val="24"/>
                <w:u w:val="single"/>
              </w:rPr>
              <w:t>：</w:t>
            </w:r>
            <w:r>
              <w:rPr>
                <w:rFonts w:hint="eastAsia" w:ascii="宋体" w:hAnsi="宋体" w:cs="宋体"/>
                <w:color w:val="auto"/>
                <w:sz w:val="24"/>
                <w:u w:val="single"/>
                <w:lang w:val="en-US" w:eastAsia="zh-CN"/>
              </w:rPr>
              <w:t>00</w:t>
            </w:r>
            <w:r>
              <w:rPr>
                <w:rFonts w:hint="eastAsia" w:ascii="宋体" w:hAnsi="宋体" w:cs="宋体"/>
                <w:color w:val="auto"/>
                <w:sz w:val="24"/>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6</w:t>
            </w:r>
          </w:p>
        </w:tc>
        <w:tc>
          <w:tcPr>
            <w:tcW w:w="1760"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firstLine="0"/>
              <w:rPr>
                <w:rFonts w:ascii="宋体" w:hAnsi="宋体" w:cs="宋体"/>
                <w:color w:val="auto"/>
                <w:kern w:val="0"/>
                <w:sz w:val="24"/>
              </w:rPr>
            </w:pPr>
            <w:r>
              <w:rPr>
                <w:rFonts w:hint="eastAsia" w:ascii="宋体" w:hAnsi="宋体" w:cs="宋体"/>
                <w:color w:val="auto"/>
                <w:sz w:val="24"/>
              </w:rPr>
              <w:t>备份投标文件的递交</w:t>
            </w:r>
          </w:p>
        </w:tc>
        <w:tc>
          <w:tcPr>
            <w:tcW w:w="6501"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firstLine="0"/>
              <w:rPr>
                <w:rFonts w:ascii="宋体" w:hAnsi="宋体" w:cs="宋体"/>
                <w:color w:val="auto"/>
                <w:sz w:val="24"/>
              </w:rPr>
            </w:pPr>
            <w:r>
              <w:rPr>
                <w:rFonts w:hint="eastAsia" w:ascii="宋体" w:hAnsi="宋体" w:cs="宋体"/>
                <w:color w:val="auto"/>
                <w:sz w:val="24"/>
              </w:rPr>
              <w:t>备份投标文件是通过政采云电子交易客户端制作投标文件产生的备份文件，请投标人自行妥善保管。</w:t>
            </w:r>
          </w:p>
          <w:p>
            <w:pPr>
              <w:pStyle w:val="2"/>
              <w:spacing w:after="0"/>
              <w:ind w:left="0" w:leftChars="0" w:firstLine="0"/>
              <w:rPr>
                <w:rFonts w:ascii="宋体" w:hAnsi="宋体" w:cs="宋体"/>
                <w:color w:val="auto"/>
                <w:sz w:val="24"/>
              </w:rPr>
            </w:pPr>
            <w:r>
              <w:rPr>
                <w:rFonts w:hint="eastAsia" w:ascii="宋体" w:hAnsi="宋体" w:cs="宋体"/>
                <w:color w:val="auto"/>
                <w:sz w:val="24"/>
              </w:rPr>
              <w:t>1.使用前提：投标人自行在线解密操作失败无法按时寻求技术人员帮助解密，或者投标人寻求技术人员帮助仍无法按时完成解密。</w:t>
            </w:r>
          </w:p>
          <w:p>
            <w:pPr>
              <w:pStyle w:val="2"/>
              <w:spacing w:after="0"/>
              <w:ind w:left="0" w:leftChars="0" w:firstLine="0"/>
              <w:rPr>
                <w:rFonts w:ascii="宋体" w:hAnsi="宋体" w:cs="宋体"/>
                <w:color w:val="auto"/>
                <w:sz w:val="24"/>
              </w:rPr>
            </w:pPr>
            <w:r>
              <w:rPr>
                <w:rFonts w:hint="eastAsia" w:ascii="宋体" w:hAnsi="宋体" w:cs="宋体"/>
                <w:color w:val="auto"/>
                <w:sz w:val="24"/>
              </w:rPr>
              <w:t>2.递交截止时间：开标当天</w:t>
            </w:r>
            <w:r>
              <w:rPr>
                <w:rFonts w:hint="eastAsia" w:ascii="宋体" w:hAnsi="宋体" w:cs="宋体"/>
                <w:color w:val="auto"/>
                <w:sz w:val="24"/>
                <w:u w:val="single"/>
                <w:lang w:val="en-US" w:eastAsia="zh-CN"/>
              </w:rPr>
              <w:t>14</w:t>
            </w:r>
            <w:r>
              <w:rPr>
                <w:rFonts w:hint="eastAsia" w:ascii="宋体" w:hAnsi="宋体" w:cs="宋体"/>
                <w:color w:val="auto"/>
                <w:sz w:val="24"/>
                <w:u w:val="single"/>
              </w:rPr>
              <w:t>：</w:t>
            </w:r>
            <w:r>
              <w:rPr>
                <w:rFonts w:hint="eastAsia" w:ascii="宋体" w:hAnsi="宋体" w:cs="宋体"/>
                <w:color w:val="auto"/>
                <w:sz w:val="24"/>
                <w:u w:val="single"/>
                <w:lang w:val="en-US" w:eastAsia="zh-CN"/>
              </w:rPr>
              <w:t>30</w:t>
            </w:r>
            <w:r>
              <w:rPr>
                <w:rFonts w:hint="eastAsia" w:ascii="宋体" w:hAnsi="宋体" w:cs="宋体"/>
                <w:color w:val="auto"/>
                <w:sz w:val="24"/>
              </w:rPr>
              <w:t>（北京时间）</w:t>
            </w:r>
          </w:p>
          <w:p>
            <w:pPr>
              <w:pStyle w:val="2"/>
              <w:spacing w:after="0"/>
              <w:ind w:left="0" w:leftChars="0" w:firstLine="0"/>
              <w:rPr>
                <w:rFonts w:ascii="宋体" w:hAnsi="宋体" w:cs="宋体"/>
                <w:color w:val="auto"/>
                <w:sz w:val="24"/>
              </w:rPr>
            </w:pPr>
            <w:r>
              <w:rPr>
                <w:rFonts w:hint="eastAsia" w:ascii="宋体" w:hAnsi="宋体" w:cs="宋体"/>
                <w:color w:val="auto"/>
                <w:sz w:val="24"/>
              </w:rPr>
              <w:t>3.投递邮箱：解密异常后可发送备份投标文件至61698763@qq.com</w:t>
            </w:r>
          </w:p>
          <w:p>
            <w:pPr>
              <w:pStyle w:val="2"/>
              <w:spacing w:after="0"/>
              <w:ind w:left="0" w:leftChars="0" w:firstLine="0"/>
              <w:rPr>
                <w:rFonts w:ascii="宋体" w:hAnsi="宋体" w:cs="宋体"/>
                <w:color w:val="auto"/>
                <w:kern w:val="0"/>
                <w:sz w:val="24"/>
              </w:rPr>
            </w:pPr>
            <w:r>
              <w:rPr>
                <w:rFonts w:ascii="宋体" w:hAnsi="宋体" w:cs="宋体"/>
                <w:color w:val="auto"/>
                <w:sz w:val="24"/>
              </w:rPr>
              <w:t>4</w:t>
            </w:r>
            <w:r>
              <w:rPr>
                <w:rFonts w:hint="eastAsia" w:ascii="宋体" w:hAnsi="宋体" w:cs="宋体"/>
                <w:color w:val="auto"/>
                <w:sz w:val="24"/>
              </w:rPr>
              <w:t>.中标人纸质备份文件的归档：中标后需提供纸质投标文件给招标代理机构作为备案存档，纸质投标文件系电子投标文件纸质版，两者内容应一致；数量为：资格证明文件2份；商务与技术文件2份；报价文件2份。邮寄到浙江省台州市台州市海门街道建设路105-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7</w:t>
            </w:r>
          </w:p>
        </w:tc>
        <w:tc>
          <w:tcPr>
            <w:tcW w:w="1760" w:type="dxa"/>
            <w:tcBorders>
              <w:top w:val="single" w:color="auto" w:sz="4" w:space="0"/>
              <w:left w:val="single" w:color="auto" w:sz="4" w:space="0"/>
              <w:bottom w:val="single" w:color="auto" w:sz="4" w:space="0"/>
              <w:right w:val="single" w:color="auto" w:sz="4" w:space="0"/>
            </w:tcBorders>
            <w:vAlign w:val="center"/>
          </w:tcPr>
          <w:p>
            <w:pPr>
              <w:pStyle w:val="14"/>
              <w:ind w:firstLine="0"/>
              <w:rPr>
                <w:rFonts w:ascii="宋体" w:hAnsi="宋体" w:cs="宋体"/>
                <w:color w:val="auto"/>
                <w:kern w:val="0"/>
                <w:sz w:val="24"/>
                <w:szCs w:val="24"/>
              </w:rPr>
            </w:pPr>
            <w:r>
              <w:rPr>
                <w:rFonts w:hint="eastAsia" w:ascii="宋体" w:hAnsi="宋体" w:cs="宋体"/>
                <w:color w:val="auto"/>
                <w:sz w:val="24"/>
                <w:szCs w:val="24"/>
              </w:rPr>
              <w:t>不见面开标</w:t>
            </w:r>
          </w:p>
        </w:tc>
        <w:tc>
          <w:tcPr>
            <w:tcW w:w="6501" w:type="dxa"/>
            <w:tcBorders>
              <w:top w:val="single" w:color="auto" w:sz="4" w:space="0"/>
              <w:left w:val="single" w:color="auto" w:sz="4" w:space="0"/>
              <w:bottom w:val="single" w:color="auto" w:sz="4" w:space="0"/>
              <w:right w:val="single" w:color="auto" w:sz="4" w:space="0"/>
            </w:tcBorders>
            <w:vAlign w:val="center"/>
          </w:tcPr>
          <w:p>
            <w:pPr>
              <w:pStyle w:val="20"/>
              <w:spacing w:before="0" w:beforeAutospacing="0" w:after="0" w:afterAutospacing="0"/>
              <w:jc w:val="both"/>
              <w:rPr>
                <w:rFonts w:hint="default" w:cs="宋体"/>
                <w:color w:val="auto"/>
              </w:rPr>
            </w:pPr>
            <w:r>
              <w:rPr>
                <w:rFonts w:cs="宋体"/>
                <w:color w:val="auto"/>
              </w:rPr>
              <w:t>采购组织机构按照招标文件规定的时间通过“政采云平台”组织开标，所有投标人均应当准时在线参加。如未参加，</w:t>
            </w:r>
            <w:r>
              <w:rPr>
                <w:rFonts w:cs="宋体"/>
                <w:bCs/>
                <w:color w:val="auto"/>
              </w:rPr>
              <w:t>造成无法投标、投标失败等后果由投标人自行承担。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8</w:t>
            </w:r>
          </w:p>
        </w:tc>
        <w:tc>
          <w:tcPr>
            <w:tcW w:w="17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4"/>
              </w:rPr>
            </w:pPr>
            <w:r>
              <w:rPr>
                <w:rFonts w:hint="eastAsia" w:ascii="宋体" w:hAnsi="宋体" w:cs="宋体"/>
                <w:color w:val="auto"/>
                <w:sz w:val="24"/>
              </w:rPr>
              <w:t>样品递交要求</w:t>
            </w:r>
          </w:p>
        </w:tc>
        <w:tc>
          <w:tcPr>
            <w:tcW w:w="6501" w:type="dxa"/>
            <w:tcBorders>
              <w:top w:val="single" w:color="auto" w:sz="4" w:space="0"/>
              <w:left w:val="single" w:color="auto" w:sz="4" w:space="0"/>
              <w:bottom w:val="single" w:color="auto" w:sz="4" w:space="0"/>
              <w:right w:val="single" w:color="auto" w:sz="4" w:space="0"/>
            </w:tcBorders>
            <w:vAlign w:val="center"/>
          </w:tcPr>
          <w:p>
            <w:pPr>
              <w:pStyle w:val="10"/>
              <w:jc w:val="both"/>
              <w:rPr>
                <w:rFonts w:ascii="宋体" w:hAnsi="宋体" w:cs="宋体"/>
                <w:color w:val="auto"/>
                <w:kern w:val="0"/>
                <w:sz w:val="24"/>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9</w:t>
            </w:r>
          </w:p>
        </w:tc>
        <w:tc>
          <w:tcPr>
            <w:tcW w:w="17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4"/>
              </w:rPr>
            </w:pPr>
            <w:r>
              <w:rPr>
                <w:rFonts w:hint="eastAsia" w:ascii="宋体" w:hAnsi="宋体" w:cs="宋体"/>
                <w:color w:val="auto"/>
                <w:sz w:val="24"/>
              </w:rPr>
              <w:t>在线演示要求</w:t>
            </w:r>
          </w:p>
        </w:tc>
        <w:tc>
          <w:tcPr>
            <w:tcW w:w="6501" w:type="dxa"/>
            <w:tcBorders>
              <w:top w:val="single" w:color="auto" w:sz="4" w:space="0"/>
              <w:left w:val="single" w:color="auto" w:sz="4" w:space="0"/>
              <w:bottom w:val="single" w:color="auto" w:sz="4" w:space="0"/>
              <w:right w:val="single" w:color="auto" w:sz="4" w:space="0"/>
            </w:tcBorders>
            <w:vAlign w:val="center"/>
          </w:tcPr>
          <w:p>
            <w:pPr>
              <w:pStyle w:val="10"/>
              <w:jc w:val="both"/>
              <w:rPr>
                <w:rFonts w:ascii="宋体" w:hAnsi="宋体" w:cs="宋体"/>
                <w:color w:val="auto"/>
                <w:kern w:val="0"/>
                <w:sz w:val="24"/>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10</w:t>
            </w:r>
          </w:p>
        </w:tc>
        <w:tc>
          <w:tcPr>
            <w:tcW w:w="17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节能产品要求</w:t>
            </w:r>
          </w:p>
        </w:tc>
        <w:tc>
          <w:tcPr>
            <w:tcW w:w="6501" w:type="dxa"/>
            <w:tcBorders>
              <w:top w:val="single" w:color="auto" w:sz="4" w:space="0"/>
              <w:left w:val="single" w:color="auto" w:sz="4" w:space="0"/>
              <w:bottom w:val="single" w:color="auto" w:sz="4" w:space="0"/>
              <w:right w:val="single" w:color="auto" w:sz="4" w:space="0"/>
            </w:tcBorders>
            <w:vAlign w:val="center"/>
          </w:tcPr>
          <w:p>
            <w:pPr>
              <w:pStyle w:val="10"/>
              <w:jc w:val="both"/>
              <w:rPr>
                <w:rFonts w:ascii="宋体" w:hAnsi="宋体" w:cs="宋体"/>
                <w:color w:val="auto"/>
                <w:sz w:val="24"/>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11</w:t>
            </w:r>
          </w:p>
        </w:tc>
        <w:tc>
          <w:tcPr>
            <w:tcW w:w="17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环保产品要求</w:t>
            </w:r>
          </w:p>
        </w:tc>
        <w:tc>
          <w:tcPr>
            <w:tcW w:w="6501" w:type="dxa"/>
            <w:tcBorders>
              <w:top w:val="single" w:color="auto" w:sz="4" w:space="0"/>
              <w:left w:val="single" w:color="auto" w:sz="4" w:space="0"/>
              <w:bottom w:val="single" w:color="auto" w:sz="4" w:space="0"/>
              <w:right w:val="single" w:color="auto" w:sz="4" w:space="0"/>
            </w:tcBorders>
            <w:vAlign w:val="center"/>
          </w:tcPr>
          <w:p>
            <w:pPr>
              <w:pStyle w:val="10"/>
              <w:jc w:val="both"/>
              <w:rPr>
                <w:rFonts w:ascii="宋体" w:hAnsi="宋体" w:cs="宋体"/>
                <w:color w:val="auto"/>
                <w:sz w:val="24"/>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12</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sz w:val="24"/>
              </w:rPr>
            </w:pPr>
            <w:r>
              <w:rPr>
                <w:rFonts w:hint="eastAsia" w:ascii="宋体" w:hAnsi="宋体" w:cs="宋体"/>
                <w:color w:val="auto"/>
                <w:sz w:val="24"/>
              </w:rPr>
              <w:t>投标与开标注意事项</w:t>
            </w:r>
          </w:p>
        </w:tc>
        <w:tc>
          <w:tcPr>
            <w:tcW w:w="6501"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rPr>
                <w:rFonts w:hAnsi="宋体"/>
                <w:bCs/>
                <w:color w:val="auto"/>
                <w:sz w:val="24"/>
              </w:rPr>
            </w:pPr>
            <w:r>
              <w:rPr>
                <w:rFonts w:hint="eastAsia" w:hAnsi="宋体"/>
                <w:bCs/>
                <w:color w:val="auto"/>
                <w:sz w:val="24"/>
              </w:rPr>
              <w:t>1.本项目实行电子投标，投标人自行承担投标一切费用。</w:t>
            </w:r>
          </w:p>
          <w:p>
            <w:pPr>
              <w:pStyle w:val="15"/>
              <w:adjustRightInd w:val="0"/>
              <w:snapToGrid w:val="0"/>
              <w:rPr>
                <w:rFonts w:hAnsi="宋体"/>
                <w:color w:val="auto"/>
                <w:sz w:val="24"/>
              </w:rPr>
            </w:pPr>
            <w:r>
              <w:rPr>
                <w:rFonts w:hint="eastAsia" w:hAnsi="宋体"/>
                <w:bCs/>
                <w:color w:val="auto"/>
                <w:sz w:val="24"/>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13</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sz w:val="24"/>
              </w:rPr>
            </w:pPr>
            <w:r>
              <w:rPr>
                <w:rFonts w:hint="eastAsia" w:ascii="宋体" w:hAnsi="宋体" w:cs="宋体"/>
                <w:color w:val="auto"/>
                <w:sz w:val="24"/>
              </w:rPr>
              <w:t>信用信息查询渠道</w:t>
            </w:r>
          </w:p>
        </w:tc>
        <w:tc>
          <w:tcPr>
            <w:tcW w:w="650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auto"/>
                <w:sz w:val="24"/>
              </w:rPr>
            </w:pPr>
            <w:r>
              <w:rPr>
                <w:rFonts w:hint="eastAsia" w:ascii="宋体" w:hAnsi="宋体" w:cs="宋体"/>
                <w:color w:val="auto"/>
                <w:sz w:val="24"/>
              </w:rPr>
              <w:t>信用中国（网址：</w:t>
            </w:r>
            <w:r>
              <w:rPr>
                <w:color w:val="auto"/>
              </w:rPr>
              <w:fldChar w:fldCharType="begin"/>
            </w:r>
            <w:r>
              <w:rPr>
                <w:color w:val="auto"/>
              </w:rPr>
              <w:instrText xml:space="preserve"> HYPERLINK "http://www.creditchina.gov.cn" </w:instrText>
            </w:r>
            <w:r>
              <w:rPr>
                <w:color w:val="auto"/>
              </w:rPr>
              <w:fldChar w:fldCharType="separate"/>
            </w:r>
            <w:r>
              <w:rPr>
                <w:rFonts w:hint="eastAsia" w:ascii="宋体" w:hAnsi="宋体" w:cs="宋体"/>
                <w:color w:val="auto"/>
                <w:sz w:val="24"/>
              </w:rPr>
              <w:t>http：//www.creditchina.gov.cn</w:t>
            </w:r>
            <w:r>
              <w:rPr>
                <w:color w:val="auto"/>
              </w:rPr>
              <w:fldChar w:fldCharType="end"/>
            </w:r>
            <w:r>
              <w:rPr>
                <w:rFonts w:hint="eastAsia" w:ascii="宋体" w:hAnsi="宋体" w:cs="宋体"/>
                <w:color w:val="auto"/>
                <w:sz w:val="24"/>
              </w:rPr>
              <w:t>）</w:t>
            </w:r>
          </w:p>
          <w:p>
            <w:pPr>
              <w:snapToGrid w:val="0"/>
              <w:rPr>
                <w:rFonts w:ascii="宋体" w:hAnsi="宋体" w:cs="宋体"/>
                <w:color w:val="auto"/>
                <w:sz w:val="24"/>
              </w:rPr>
            </w:pPr>
            <w:r>
              <w:rPr>
                <w:rFonts w:hint="eastAsia" w:ascii="宋体" w:hAnsi="宋体" w:cs="宋体"/>
                <w:color w:val="auto"/>
                <w:sz w:val="24"/>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14</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sz w:val="24"/>
              </w:rPr>
            </w:pPr>
            <w:r>
              <w:rPr>
                <w:rFonts w:hint="eastAsia" w:ascii="宋体" w:hAnsi="宋体" w:cs="宋体"/>
                <w:color w:val="auto"/>
                <w:sz w:val="24"/>
              </w:rPr>
              <w:t>中小企业预留份额情况</w:t>
            </w:r>
          </w:p>
        </w:tc>
        <w:tc>
          <w:tcPr>
            <w:tcW w:w="650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auto"/>
                <w:sz w:val="24"/>
                <w:shd w:val="clear" w:color="auto" w:fill="FFFFFF"/>
              </w:rPr>
            </w:pPr>
            <w:r>
              <w:rPr>
                <w:rFonts w:hint="eastAsia" w:ascii="宋体" w:hAnsi="宋体" w:cs="宋体"/>
                <w:color w:val="auto"/>
                <w:sz w:val="24"/>
              </w:rPr>
              <w:t>根据《政府采购促进中小企业发展管理办法》财库〔2020〕46号文件的规定，本项目☑ 否/□ 是属于专门面向中小企业采购的项目。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15</w:t>
            </w:r>
          </w:p>
        </w:tc>
        <w:tc>
          <w:tcPr>
            <w:tcW w:w="1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中小企业优惠措施</w:t>
            </w:r>
          </w:p>
        </w:tc>
        <w:tc>
          <w:tcPr>
            <w:tcW w:w="65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1.项目属性（服务类）</w:t>
            </w:r>
          </w:p>
          <w:p>
            <w:pPr>
              <w:jc w:val="left"/>
              <w:rPr>
                <w:rFonts w:ascii="宋体" w:hAnsi="宋体" w:cs="宋体"/>
                <w:color w:val="auto"/>
                <w:sz w:val="24"/>
              </w:rPr>
            </w:pPr>
            <w:r>
              <w:rPr>
                <w:rFonts w:hint="eastAsia" w:ascii="宋体" w:hAnsi="宋体" w:cs="宋体"/>
                <w:color w:val="auto"/>
                <w:sz w:val="24"/>
              </w:rPr>
              <w:t>2.中小企业划分标准所属行业（具体根据《中小企业划型标准规定》执行）</w:t>
            </w:r>
          </w:p>
          <w:p>
            <w:pPr>
              <w:jc w:val="left"/>
              <w:rPr>
                <w:rFonts w:ascii="宋体" w:hAnsi="宋体" w:cs="宋体"/>
                <w:color w:val="auto"/>
                <w:sz w:val="24"/>
              </w:rPr>
            </w:pPr>
            <w:r>
              <w:rPr>
                <w:rFonts w:hint="eastAsia" w:ascii="宋体" w:hAnsi="宋体" w:cs="宋体"/>
                <w:color w:val="auto"/>
                <w:sz w:val="24"/>
              </w:rPr>
              <w:t>采购标的：</w:t>
            </w:r>
            <w:r>
              <w:rPr>
                <w:rFonts w:hint="eastAsia" w:ascii="宋体" w:hAnsi="宋体" w:cs="宋体"/>
                <w:bCs/>
                <w:color w:val="auto"/>
                <w:sz w:val="24"/>
              </w:rPr>
              <w:t>台州市一体化智能化公共数据平台（数据资源体系）</w:t>
            </w:r>
            <w:r>
              <w:rPr>
                <w:rFonts w:hint="eastAsia" w:ascii="宋体" w:hAnsi="宋体" w:cs="宋体"/>
                <w:color w:val="auto"/>
                <w:sz w:val="24"/>
              </w:rPr>
              <w:t>，所属行业：软件和信息技术服务业。</w:t>
            </w:r>
          </w:p>
          <w:p>
            <w:pPr>
              <w:jc w:val="left"/>
              <w:rPr>
                <w:rFonts w:ascii="宋体" w:hAnsi="宋体" w:cs="宋体"/>
                <w:color w:val="auto"/>
                <w:sz w:val="24"/>
              </w:rPr>
            </w:pPr>
            <w:r>
              <w:rPr>
                <w:rFonts w:hint="eastAsia" w:ascii="宋体" w:hAnsi="宋体" w:cs="宋体"/>
                <w:color w:val="auto"/>
                <w:sz w:val="24"/>
              </w:rPr>
              <w:t>划分标准如下：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jc w:val="left"/>
              <w:rPr>
                <w:rFonts w:ascii="宋体" w:hAnsi="宋体" w:cs="宋体"/>
                <w:color w:val="auto"/>
                <w:sz w:val="24"/>
              </w:rPr>
            </w:pPr>
            <w:r>
              <w:rPr>
                <w:rFonts w:hint="eastAsia" w:ascii="宋体" w:hAnsi="宋体" w:cs="宋体"/>
                <w:color w:val="auto"/>
                <w:sz w:val="24"/>
              </w:rPr>
              <w:t>3.根据财库</w:t>
            </w:r>
            <w:r>
              <w:rPr>
                <w:rFonts w:hint="eastAsia" w:cs="宋体"/>
                <w:bCs/>
                <w:color w:val="auto"/>
                <w:sz w:val="24"/>
              </w:rPr>
              <w:t>〔</w:t>
            </w:r>
            <w:r>
              <w:rPr>
                <w:rFonts w:hint="eastAsia" w:ascii="宋体" w:hAnsi="宋体" w:cs="宋体"/>
                <w:color w:val="auto"/>
                <w:sz w:val="24"/>
              </w:rPr>
              <w:t>2017〕141号的相关规定，在政府采购活动中，残疾人福利性单位视同小型、微型企业，享受评审中价格扣除政策。属于享受政府采购支持政策的残疾人福利性单位，应满足财库</w:t>
            </w:r>
            <w:r>
              <w:rPr>
                <w:rFonts w:hint="eastAsia" w:cs="宋体"/>
                <w:bCs/>
                <w:color w:val="auto"/>
                <w:sz w:val="24"/>
              </w:rPr>
              <w:t>〔</w:t>
            </w:r>
            <w:r>
              <w:rPr>
                <w:rFonts w:hint="eastAsia" w:ascii="宋体" w:hAnsi="宋体" w:cs="宋体"/>
                <w:color w:val="auto"/>
                <w:sz w:val="24"/>
              </w:rPr>
              <w:t>2017〕141号文件第一条的规定，并在投标文件中提供残疾人福利性单位声明函（见附件）。</w:t>
            </w:r>
          </w:p>
          <w:p>
            <w:pPr>
              <w:jc w:val="left"/>
              <w:rPr>
                <w:rFonts w:ascii="宋体" w:hAnsi="宋体" w:cs="宋体"/>
                <w:color w:val="auto"/>
                <w:sz w:val="24"/>
              </w:rPr>
            </w:pPr>
            <w:r>
              <w:rPr>
                <w:rFonts w:hint="eastAsia" w:ascii="宋体" w:hAnsi="宋体" w:cs="宋体"/>
                <w:color w:val="auto"/>
                <w:sz w:val="24"/>
              </w:rPr>
              <w:t>4.根据财库</w:t>
            </w:r>
            <w:r>
              <w:rPr>
                <w:rFonts w:hint="eastAsia" w:cs="宋体"/>
                <w:bCs/>
                <w:color w:val="auto"/>
                <w:sz w:val="24"/>
              </w:rPr>
              <w:t>〔</w:t>
            </w:r>
            <w:r>
              <w:rPr>
                <w:rFonts w:hint="eastAsia" w:ascii="宋体" w:hAnsi="宋体" w:cs="宋体"/>
                <w:color w:val="auto"/>
                <w:sz w:val="24"/>
              </w:rPr>
              <w:t>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jc w:val="left"/>
              <w:rPr>
                <w:rFonts w:ascii="宋体" w:hAnsi="宋体" w:cs="宋体"/>
                <w:color w:val="auto"/>
                <w:sz w:val="24"/>
              </w:rPr>
            </w:pPr>
            <w:r>
              <w:rPr>
                <w:rFonts w:hint="eastAsia" w:ascii="宋体" w:hAnsi="宋体" w:cs="宋体"/>
                <w:color w:val="auto"/>
                <w:sz w:val="24"/>
              </w:rPr>
              <w:t>(注：未提供以上材料或未填写必要内容的，均不给予价格扣除）。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16</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kern w:val="0"/>
                <w:sz w:val="24"/>
              </w:rPr>
            </w:pPr>
            <w:r>
              <w:rPr>
                <w:rFonts w:hint="eastAsia" w:ascii="宋体" w:hAnsi="宋体" w:cs="宋体"/>
                <w:color w:val="auto"/>
                <w:sz w:val="24"/>
              </w:rPr>
              <w:t>采购代理机构代理费用的收取标准和方式</w:t>
            </w:r>
          </w:p>
        </w:tc>
        <w:tc>
          <w:tcPr>
            <w:tcW w:w="650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auto"/>
                <w:sz w:val="24"/>
              </w:rPr>
            </w:pPr>
            <w:r>
              <w:rPr>
                <w:rFonts w:hint="eastAsia" w:ascii="宋体" w:hAnsi="宋体" w:cs="宋体"/>
                <w:color w:val="auto"/>
                <w:sz w:val="24"/>
              </w:rPr>
              <w:t>根据国家发改委发改价格</w:t>
            </w:r>
            <w:r>
              <w:rPr>
                <w:rFonts w:hint="eastAsia" w:cs="宋体"/>
                <w:bCs/>
                <w:color w:val="auto"/>
                <w:sz w:val="24"/>
              </w:rPr>
              <w:t>〔</w:t>
            </w:r>
            <w:r>
              <w:rPr>
                <w:rFonts w:hint="eastAsia" w:ascii="宋体" w:hAnsi="宋体" w:cs="宋体"/>
                <w:color w:val="auto"/>
                <w:sz w:val="24"/>
              </w:rPr>
              <w:t>2015〕299号通知，本次采购项目招标代理服务费为人民币肆万肆仟伍佰玖拾伍元整（</w:t>
            </w:r>
            <w:r>
              <w:rPr>
                <w:rFonts w:hint="eastAsia" w:ascii="仿宋" w:hAnsi="仿宋" w:eastAsia="仿宋" w:cs="仿宋"/>
                <w:color w:val="auto"/>
                <w:sz w:val="24"/>
              </w:rPr>
              <w:t>￥</w:t>
            </w:r>
            <w:r>
              <w:rPr>
                <w:rFonts w:hint="eastAsia" w:ascii="宋体" w:hAnsi="宋体" w:eastAsia="仿宋" w:cs="宋体"/>
                <w:color w:val="auto"/>
                <w:sz w:val="24"/>
              </w:rPr>
              <w:t>44595.0</w:t>
            </w:r>
            <w:r>
              <w:rPr>
                <w:rFonts w:hint="eastAsia" w:ascii="宋体" w:hAnsi="宋体" w:cs="宋体"/>
                <w:color w:val="auto"/>
                <w:sz w:val="24"/>
              </w:rPr>
              <w:t>0元），由成交供应商在领取成交通知书之前支付给采购代理机构。</w:t>
            </w:r>
          </w:p>
          <w:p>
            <w:pPr>
              <w:snapToGrid w:val="0"/>
              <w:rPr>
                <w:rFonts w:ascii="宋体" w:hAnsi="宋体" w:cs="宋体"/>
                <w:color w:val="auto"/>
                <w:sz w:val="24"/>
              </w:rPr>
            </w:pPr>
            <w:r>
              <w:rPr>
                <w:rFonts w:hint="eastAsia" w:ascii="宋体" w:hAnsi="宋体" w:cs="宋体"/>
                <w:color w:val="auto"/>
                <w:sz w:val="24"/>
              </w:rPr>
              <w:t>服务费缴纳账户信息：</w:t>
            </w:r>
          </w:p>
          <w:p>
            <w:pPr>
              <w:snapToGrid w:val="0"/>
              <w:rPr>
                <w:rFonts w:ascii="宋体" w:hAnsi="宋体" w:cs="宋体"/>
                <w:color w:val="auto"/>
                <w:sz w:val="24"/>
              </w:rPr>
            </w:pPr>
            <w:r>
              <w:rPr>
                <w:rFonts w:hint="eastAsia" w:ascii="宋体" w:hAnsi="宋体" w:cs="宋体"/>
                <w:color w:val="auto"/>
                <w:sz w:val="24"/>
              </w:rPr>
              <w:t>开户行：台州银行椒江支行    账号：540017383000015</w:t>
            </w:r>
          </w:p>
          <w:p>
            <w:pPr>
              <w:snapToGrid w:val="0"/>
              <w:rPr>
                <w:rFonts w:ascii="宋体" w:hAnsi="宋体" w:cs="宋体"/>
                <w:color w:val="auto"/>
                <w:sz w:val="24"/>
              </w:rPr>
            </w:pPr>
            <w:r>
              <w:rPr>
                <w:rFonts w:hint="eastAsia" w:ascii="宋体" w:hAnsi="宋体" w:cs="宋体"/>
                <w:color w:val="auto"/>
                <w:sz w:val="24"/>
              </w:rPr>
              <w:t>开户名：台州天兴工程管理咨询有限公司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17</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sz w:val="24"/>
              </w:rPr>
            </w:pPr>
            <w:r>
              <w:rPr>
                <w:rFonts w:hint="eastAsia" w:ascii="宋体" w:hAnsi="宋体" w:cs="宋体"/>
                <w:color w:val="auto"/>
                <w:sz w:val="24"/>
                <w:lang w:val="zh-CN"/>
              </w:rPr>
              <w:t>实质性条款</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sz w:val="24"/>
              </w:rPr>
            </w:pPr>
            <w:r>
              <w:rPr>
                <w:rFonts w:hint="eastAsia" w:ascii="宋体" w:hAnsi="宋体" w:cs="宋体"/>
                <w:color w:val="auto"/>
                <w:kern w:val="0"/>
                <w:sz w:val="24"/>
                <w:lang w:val="zh-CN"/>
              </w:rPr>
              <w:t>带“</w:t>
            </w:r>
            <w:r>
              <w:rPr>
                <w:rFonts w:hint="eastAsia" w:ascii="宋体" w:hAnsi="宋体" w:cs="宋体"/>
                <w:bCs/>
                <w:color w:val="auto"/>
                <w:sz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18</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sz w:val="24"/>
              </w:rPr>
            </w:pPr>
            <w:r>
              <w:rPr>
                <w:rFonts w:hint="eastAsia" w:ascii="宋体" w:hAnsi="宋体" w:cs="宋体"/>
                <w:color w:val="auto"/>
                <w:sz w:val="24"/>
              </w:rPr>
              <w:t>主要性能参数</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sz w:val="24"/>
              </w:rPr>
            </w:pPr>
            <w:r>
              <w:rPr>
                <w:rFonts w:hint="eastAsia" w:ascii="宋体" w:hAnsi="宋体" w:cs="宋体"/>
                <w:color w:val="auto"/>
                <w:sz w:val="24"/>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19</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sz w:val="24"/>
              </w:rPr>
            </w:pPr>
            <w:r>
              <w:rPr>
                <w:rFonts w:hint="eastAsia" w:ascii="宋体" w:hAnsi="宋体" w:cs="宋体"/>
                <w:color w:val="auto"/>
                <w:sz w:val="24"/>
              </w:rPr>
              <w:t>书面形式</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sz w:val="24"/>
              </w:rPr>
            </w:pPr>
            <w:r>
              <w:rPr>
                <w:rFonts w:hint="eastAsia" w:ascii="宋体" w:hAnsi="宋体" w:cs="宋体"/>
                <w:color w:val="auto"/>
                <w:sz w:val="24"/>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20</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sz w:val="24"/>
              </w:rPr>
            </w:pPr>
            <w:r>
              <w:rPr>
                <w:rFonts w:hint="eastAsia" w:ascii="宋体" w:hAnsi="宋体" w:cs="宋体"/>
                <w:color w:val="auto"/>
                <w:sz w:val="24"/>
              </w:rPr>
              <w:t>解释权</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sz w:val="24"/>
              </w:rPr>
            </w:pPr>
            <w:r>
              <w:rPr>
                <w:rFonts w:hint="eastAsia" w:ascii="宋体" w:hAnsi="宋体" w:cs="宋体"/>
                <w:color w:val="auto"/>
                <w:sz w:val="24"/>
              </w:rPr>
              <w:t>本招标文件解释权属于采购人和采购组织机构</w:t>
            </w:r>
          </w:p>
        </w:tc>
      </w:tr>
    </w:tbl>
    <w:p>
      <w:pPr>
        <w:pStyle w:val="15"/>
        <w:snapToGrid w:val="0"/>
        <w:spacing w:line="360" w:lineRule="auto"/>
        <w:ind w:firstLine="482" w:firstLineChars="200"/>
        <w:rPr>
          <w:rFonts w:hAnsi="宋体"/>
          <w:b/>
          <w:color w:val="auto"/>
          <w:sz w:val="24"/>
        </w:rPr>
      </w:pPr>
      <w:r>
        <w:rPr>
          <w:rFonts w:hint="eastAsia" w:hAnsi="宋体"/>
          <w:b/>
          <w:color w:val="auto"/>
          <w:sz w:val="24"/>
        </w:rPr>
        <w:t>二、说 明</w:t>
      </w:r>
    </w:p>
    <w:p>
      <w:pPr>
        <w:pStyle w:val="15"/>
        <w:snapToGrid w:val="0"/>
        <w:spacing w:line="360" w:lineRule="auto"/>
        <w:ind w:firstLine="482" w:firstLineChars="200"/>
        <w:rPr>
          <w:rFonts w:hAnsi="宋体"/>
          <w:b/>
          <w:color w:val="auto"/>
          <w:sz w:val="24"/>
        </w:rPr>
      </w:pPr>
      <w:r>
        <w:rPr>
          <w:rFonts w:hint="eastAsia" w:hAnsi="宋体"/>
          <w:b/>
          <w:color w:val="auto"/>
          <w:sz w:val="24"/>
        </w:rPr>
        <w:t>（一）总则</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本招标文件依据《中华人民共和国政府采购法》、《中华人民共和国政府采购法实施条例》（国务院令第658号）和《政府采购货物和服务招标投标管理办法》（财政部令第87号）及国家和浙江省有关法律、法规、规章编制。</w:t>
      </w:r>
    </w:p>
    <w:p>
      <w:pPr>
        <w:tabs>
          <w:tab w:val="left" w:pos="7980"/>
        </w:tabs>
        <w:snapToGrid w:val="0"/>
        <w:spacing w:line="360" w:lineRule="auto"/>
        <w:ind w:firstLine="480" w:firstLineChars="200"/>
        <w:rPr>
          <w:rFonts w:ascii="宋体" w:hAnsi="宋体" w:cs="宋体"/>
          <w:color w:val="auto"/>
          <w:sz w:val="24"/>
        </w:rPr>
      </w:pPr>
      <w:r>
        <w:rPr>
          <w:rFonts w:hint="eastAsia" w:ascii="宋体" w:hAnsi="宋体" w:cs="宋体"/>
          <w:color w:val="auto"/>
          <w:sz w:val="24"/>
        </w:rPr>
        <w:t>投标人应仔细阅读本项目招标公告及招标文件的所有内容（包括补充、澄清以及修改等，且均为招标文件的组成部分），按照招标文件要求以及格式编制投标文件，并保证其真实性，否则由此引起的一切后果应由投标人承担。</w:t>
      </w:r>
    </w:p>
    <w:p>
      <w:pPr>
        <w:snapToGrid w:val="0"/>
        <w:spacing w:line="360" w:lineRule="auto"/>
        <w:ind w:firstLine="482" w:firstLineChars="200"/>
        <w:outlineLvl w:val="1"/>
        <w:rPr>
          <w:rFonts w:ascii="宋体" w:hAnsi="宋体" w:cs="宋体"/>
          <w:b/>
          <w:color w:val="auto"/>
          <w:sz w:val="24"/>
        </w:rPr>
      </w:pPr>
      <w:r>
        <w:rPr>
          <w:rFonts w:hint="eastAsia" w:ascii="宋体" w:hAnsi="宋体" w:cs="宋体"/>
          <w:b/>
          <w:color w:val="auto"/>
          <w:sz w:val="24"/>
        </w:rPr>
        <w:t>（二）适用范围</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本招标文件适用于</w:t>
      </w:r>
      <w:r>
        <w:rPr>
          <w:rFonts w:hint="eastAsia" w:ascii="宋体" w:hAnsi="宋体" w:cs="宋体"/>
          <w:bCs/>
          <w:color w:val="auto"/>
          <w:sz w:val="24"/>
        </w:rPr>
        <w:t>本次</w:t>
      </w:r>
      <w:r>
        <w:rPr>
          <w:rFonts w:hint="eastAsia" w:ascii="宋体" w:hAnsi="宋体" w:cs="宋体"/>
          <w:color w:val="auto"/>
          <w:sz w:val="24"/>
        </w:rPr>
        <w:t>项目的招标、投标、评标、定标、验收、合同履约、付款等行为（法律、法规另有规定的，从其规定）。</w:t>
      </w:r>
    </w:p>
    <w:p>
      <w:pPr>
        <w:pStyle w:val="12"/>
        <w:spacing w:line="360" w:lineRule="auto"/>
        <w:ind w:firstLine="480" w:firstLineChars="200"/>
        <w:rPr>
          <w:rFonts w:ascii="宋体" w:hAnsi="宋体" w:cs="宋体"/>
          <w:color w:val="auto"/>
        </w:rPr>
      </w:pPr>
      <w:r>
        <w:rPr>
          <w:rFonts w:hint="eastAsia" w:ascii="宋体" w:hAnsi="宋体" w:cs="宋体"/>
          <w:color w:val="auto"/>
        </w:rPr>
        <w:t>本招标文件仅适用于本次招标公告中所涉及的项目和内容。</w:t>
      </w:r>
    </w:p>
    <w:p>
      <w:pPr>
        <w:snapToGrid w:val="0"/>
        <w:spacing w:line="360" w:lineRule="auto"/>
        <w:ind w:firstLine="482" w:firstLineChars="200"/>
        <w:outlineLvl w:val="1"/>
        <w:rPr>
          <w:rFonts w:ascii="宋体" w:hAnsi="宋体" w:cs="宋体"/>
          <w:b/>
          <w:color w:val="auto"/>
          <w:sz w:val="24"/>
        </w:rPr>
      </w:pPr>
      <w:r>
        <w:rPr>
          <w:rFonts w:hint="eastAsia" w:ascii="宋体" w:hAnsi="宋体" w:cs="宋体"/>
          <w:b/>
          <w:color w:val="auto"/>
          <w:sz w:val="24"/>
        </w:rPr>
        <w:t>（三）当事人</w:t>
      </w:r>
    </w:p>
    <w:p>
      <w:pPr>
        <w:pStyle w:val="6"/>
        <w:keepNext w:val="0"/>
        <w:keepLines w:val="0"/>
        <w:tabs>
          <w:tab w:val="left" w:pos="0"/>
          <w:tab w:val="left" w:pos="851"/>
        </w:tabs>
        <w:snapToGrid w:val="0"/>
        <w:spacing w:before="0" w:after="0" w:line="360" w:lineRule="auto"/>
        <w:ind w:firstLine="480" w:firstLineChars="200"/>
        <w:rPr>
          <w:rFonts w:ascii="宋体" w:hAnsi="宋体" w:cs="宋体"/>
          <w:bCs w:val="0"/>
          <w:color w:val="auto"/>
          <w:sz w:val="24"/>
          <w:szCs w:val="24"/>
        </w:rPr>
      </w:pPr>
      <w:r>
        <w:rPr>
          <w:rFonts w:hint="eastAsia" w:ascii="宋体" w:hAnsi="宋体" w:cs="宋体"/>
          <w:color w:val="auto"/>
          <w:sz w:val="24"/>
          <w:szCs w:val="24"/>
        </w:rPr>
        <w:t>1.</w:t>
      </w:r>
      <w:r>
        <w:rPr>
          <w:rFonts w:hint="eastAsia" w:ascii="宋体" w:hAnsi="宋体" w:cs="宋体"/>
          <w:bCs w:val="0"/>
          <w:color w:val="auto"/>
          <w:sz w:val="24"/>
          <w:szCs w:val="24"/>
          <w:lang w:val="zh-CN"/>
        </w:rPr>
        <w:t>采购组织机构：</w:t>
      </w:r>
      <w:r>
        <w:rPr>
          <w:rFonts w:hint="eastAsia" w:ascii="宋体" w:hAnsi="宋体" w:cs="宋体"/>
          <w:bCs w:val="0"/>
          <w:color w:val="auto"/>
          <w:sz w:val="24"/>
          <w:szCs w:val="24"/>
        </w:rPr>
        <w:t>是</w:t>
      </w:r>
      <w:r>
        <w:rPr>
          <w:rFonts w:hint="eastAsia" w:ascii="宋体" w:hAnsi="宋体" w:cs="宋体"/>
          <w:bCs w:val="0"/>
          <w:color w:val="auto"/>
          <w:sz w:val="24"/>
          <w:szCs w:val="24"/>
          <w:lang w:val="zh-CN"/>
        </w:rPr>
        <w:t>指采购人委托组织招标的集中采购机构</w:t>
      </w:r>
      <w:r>
        <w:rPr>
          <w:rFonts w:hint="eastAsia" w:ascii="宋体" w:hAnsi="宋体" w:cs="宋体"/>
          <w:bCs w:val="0"/>
          <w:color w:val="auto"/>
          <w:sz w:val="24"/>
          <w:szCs w:val="24"/>
        </w:rPr>
        <w:t>或</w:t>
      </w:r>
      <w:r>
        <w:rPr>
          <w:rFonts w:hint="eastAsia" w:ascii="宋体" w:hAnsi="宋体" w:cs="宋体"/>
          <w:bCs w:val="0"/>
          <w:color w:val="auto"/>
          <w:sz w:val="24"/>
          <w:szCs w:val="24"/>
          <w:lang w:val="zh-CN"/>
        </w:rPr>
        <w:t>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2.采购人：是指依法进行政府采购的国家机关、事业单位和团体组织。</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3.投标人：是指响应招标、参加投标竞争的法人、其他组织或者自然人。</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rPr>
        <w:t>4.</w:t>
      </w:r>
      <w:r>
        <w:rPr>
          <w:rFonts w:hint="eastAsia" w:ascii="宋体" w:hAnsi="宋体" w:cs="宋体"/>
          <w:color w:val="auto"/>
          <w:sz w:val="24"/>
          <w:lang w:val="zh-CN"/>
        </w:rPr>
        <w:t>中标</w:t>
      </w:r>
      <w:r>
        <w:rPr>
          <w:rFonts w:hint="eastAsia" w:ascii="宋体" w:hAnsi="宋体" w:cs="宋体"/>
          <w:color w:val="auto"/>
          <w:sz w:val="24"/>
        </w:rPr>
        <w:t>人</w:t>
      </w:r>
      <w:r>
        <w:rPr>
          <w:rFonts w:hint="eastAsia" w:ascii="宋体" w:hAnsi="宋体" w:cs="宋体"/>
          <w:color w:val="auto"/>
          <w:sz w:val="24"/>
          <w:lang w:val="zh-CN"/>
        </w:rPr>
        <w:t>：是指经评</w:t>
      </w:r>
      <w:r>
        <w:rPr>
          <w:rFonts w:hint="eastAsia" w:ascii="宋体" w:hAnsi="宋体" w:cs="宋体"/>
          <w:color w:val="auto"/>
          <w:sz w:val="24"/>
        </w:rPr>
        <w:t>标</w:t>
      </w:r>
      <w:r>
        <w:rPr>
          <w:rFonts w:hint="eastAsia" w:ascii="宋体" w:hAnsi="宋体" w:cs="宋体"/>
          <w:color w:val="auto"/>
          <w:sz w:val="24"/>
          <w:lang w:val="zh-CN"/>
        </w:rPr>
        <w:t>委员会评审确定的对招标文件</w:t>
      </w:r>
      <w:r>
        <w:rPr>
          <w:rFonts w:hint="eastAsia" w:ascii="宋体" w:hAnsi="宋体" w:cs="宋体"/>
          <w:color w:val="auto"/>
          <w:sz w:val="24"/>
        </w:rPr>
        <w:t>作</w:t>
      </w:r>
      <w:r>
        <w:rPr>
          <w:rFonts w:hint="eastAsia" w:ascii="宋体" w:hAnsi="宋体" w:cs="宋体"/>
          <w:color w:val="auto"/>
          <w:sz w:val="24"/>
          <w:lang w:val="zh-CN"/>
        </w:rPr>
        <w:t>出实质性响应，经采购人按照规定在评</w:t>
      </w:r>
      <w:r>
        <w:rPr>
          <w:rFonts w:hint="eastAsia" w:ascii="宋体" w:hAnsi="宋体" w:cs="宋体"/>
          <w:color w:val="auto"/>
          <w:sz w:val="24"/>
        </w:rPr>
        <w:t>标</w:t>
      </w:r>
      <w:r>
        <w:rPr>
          <w:rFonts w:hint="eastAsia" w:ascii="宋体" w:hAnsi="宋体" w:cs="宋体"/>
          <w:color w:val="auto"/>
          <w:sz w:val="24"/>
          <w:lang w:val="zh-CN"/>
        </w:rPr>
        <w:t>委员会推荐的中标候选人中确定的或受采购人委托直接确认的，与采购人签订合同资格的投标</w:t>
      </w:r>
      <w:r>
        <w:rPr>
          <w:rFonts w:hint="eastAsia" w:ascii="宋体" w:hAnsi="宋体" w:cs="宋体"/>
          <w:color w:val="auto"/>
          <w:sz w:val="24"/>
        </w:rPr>
        <w:t>人</w:t>
      </w:r>
      <w:r>
        <w:rPr>
          <w:rFonts w:hint="eastAsia" w:ascii="宋体" w:hAnsi="宋体" w:cs="宋体"/>
          <w:color w:val="auto"/>
          <w:sz w:val="24"/>
          <w:lang w:val="zh-CN"/>
        </w:rPr>
        <w:t>。</w:t>
      </w:r>
    </w:p>
    <w:p>
      <w:pPr>
        <w:snapToGri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（四）语言文字以及度量衡单位</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投标文件以及投标人与采购代理机构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2.所有计量均采用中国法定的计量单位。</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3.所有报价一律使用人民币，货币单位：元。</w:t>
      </w:r>
    </w:p>
    <w:p>
      <w:pPr>
        <w:pStyle w:val="28"/>
        <w:tabs>
          <w:tab w:val="left" w:pos="437"/>
        </w:tabs>
        <w:spacing w:line="360" w:lineRule="auto"/>
        <w:ind w:firstLine="482"/>
        <w:rPr>
          <w:rFonts w:ascii="宋体" w:hAnsi="宋体" w:cs="宋体"/>
          <w:b/>
          <w:bCs/>
          <w:color w:val="auto"/>
          <w:sz w:val="24"/>
          <w:szCs w:val="24"/>
        </w:rPr>
      </w:pPr>
      <w:r>
        <w:rPr>
          <w:rFonts w:hint="eastAsia" w:ascii="宋体" w:hAnsi="宋体" w:cs="宋体"/>
          <w:b/>
          <w:bCs/>
          <w:color w:val="auto"/>
          <w:sz w:val="24"/>
          <w:szCs w:val="24"/>
        </w:rPr>
        <w:t>（五）现场踏勘</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2.投标人自行承担踏勘现场发生的责任、风险和自身费用。</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3.采购人在踏勘现场中介绍的资料和数据等，不构成对招标文件的修改或不作为投标人编制投标文件的依据。</w:t>
      </w:r>
    </w:p>
    <w:p>
      <w:pPr>
        <w:pStyle w:val="15"/>
        <w:snapToGrid w:val="0"/>
        <w:spacing w:line="360" w:lineRule="auto"/>
        <w:ind w:firstLine="482" w:firstLineChars="200"/>
        <w:rPr>
          <w:rFonts w:hAnsi="宋体"/>
          <w:b/>
          <w:color w:val="auto"/>
          <w:sz w:val="24"/>
        </w:rPr>
      </w:pPr>
      <w:r>
        <w:rPr>
          <w:rFonts w:hint="eastAsia" w:hAnsi="宋体"/>
          <w:b/>
          <w:color w:val="auto"/>
          <w:sz w:val="24"/>
        </w:rPr>
        <w:t>（六）特别说明</w:t>
      </w:r>
    </w:p>
    <w:p>
      <w:pPr>
        <w:pStyle w:val="15"/>
        <w:snapToGrid w:val="0"/>
        <w:spacing w:line="360" w:lineRule="auto"/>
        <w:ind w:firstLine="480" w:firstLineChars="200"/>
        <w:rPr>
          <w:rFonts w:hAnsi="宋体"/>
          <w:color w:val="auto"/>
          <w:sz w:val="24"/>
        </w:rPr>
      </w:pPr>
      <w:r>
        <w:rPr>
          <w:rFonts w:hint="eastAsia" w:hAnsi="宋体"/>
          <w:color w:val="auto"/>
          <w:sz w:val="24"/>
        </w:rPr>
        <w:t>1.投标人投标所使用的资格、信誉、荣誉、业绩与企业认证必须为本法人所拥有且所提供的资料都是真实有效的。投标人投标所使用的采购项目实施人员必须为本法人员工。</w:t>
      </w:r>
    </w:p>
    <w:p>
      <w:pPr>
        <w:pStyle w:val="28"/>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如招标文件中未明确规定要求“提供官网截图或相应检测报告的证明材料”的，应提供其他具体有效的证明材料。</w:t>
      </w:r>
    </w:p>
    <w:p>
      <w:pPr>
        <w:pStyle w:val="28"/>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3.本招标文件中关于电子招投标内容、流程如与政采云系统中最新的内容、操作不一致的，以政采云系统中的要求为准。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宋体" w:hAnsi="宋体" w:cs="宋体"/>
          <w:b/>
          <w:color w:val="auto"/>
          <w:kern w:val="0"/>
          <w:sz w:val="24"/>
        </w:rPr>
      </w:pPr>
      <w:r>
        <w:rPr>
          <w:rFonts w:hint="eastAsia" w:ascii="宋体" w:hAnsi="宋体" w:cs="宋体"/>
          <w:b/>
          <w:color w:val="auto"/>
          <w:kern w:val="0"/>
          <w:sz w:val="24"/>
        </w:rPr>
        <w:t>三、招标文件</w:t>
      </w:r>
    </w:p>
    <w:p>
      <w:pPr>
        <w:pStyle w:val="28"/>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（一）招标文件由招标文件总目录所列内容组成。</w:t>
      </w:r>
    </w:p>
    <w:p>
      <w:pPr>
        <w:pStyle w:val="28"/>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（二）投标人在规定的时间内未对招标文件提出疑问、质疑或要求澄清的，将视其为无异议。</w:t>
      </w:r>
    </w:p>
    <w:p>
      <w:pPr>
        <w:pStyle w:val="28"/>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三）对招标文件中描述有歧义或前后不一致的地方，评标委员会有权进行评判，但对同一条款的评判应适用于每个投标人。评标委员会发现招标文件存在歧义、重大缺陷导致评标工作无法进行，或者招标文件内容违反国家强制性规定的，应当停止评标工作，与采购人或者采购代理机构沟通并做书面记录。采购人或者采购代理机构确认后，应当修改招标文件，重新组织采购活动。</w:t>
      </w:r>
    </w:p>
    <w:p>
      <w:pPr>
        <w:pStyle w:val="28"/>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宋体" w:hAnsi="宋体" w:cs="宋体"/>
          <w:b/>
          <w:color w:val="auto"/>
          <w:kern w:val="0"/>
          <w:sz w:val="24"/>
        </w:rPr>
      </w:pPr>
      <w:r>
        <w:rPr>
          <w:rFonts w:hint="eastAsia" w:ascii="宋体" w:hAnsi="宋体" w:cs="宋体"/>
          <w:b/>
          <w:color w:val="auto"/>
          <w:kern w:val="0"/>
          <w:sz w:val="24"/>
        </w:rPr>
        <w:t>四、投标文件</w:t>
      </w:r>
    </w:p>
    <w:p>
      <w:pPr>
        <w:pStyle w:val="14"/>
        <w:spacing w:line="360" w:lineRule="auto"/>
        <w:ind w:firstLine="482" w:firstLineChars="200"/>
        <w:rPr>
          <w:rFonts w:ascii="宋体" w:hAnsi="宋体" w:cs="宋体"/>
          <w:b/>
          <w:color w:val="auto"/>
          <w:kern w:val="0"/>
          <w:sz w:val="24"/>
          <w:szCs w:val="24"/>
        </w:rPr>
      </w:pPr>
      <w:r>
        <w:rPr>
          <w:rFonts w:hint="eastAsia" w:ascii="宋体" w:hAnsi="宋体" w:cs="宋体"/>
          <w:b/>
          <w:color w:val="auto"/>
          <w:kern w:val="0"/>
          <w:sz w:val="24"/>
          <w:szCs w:val="24"/>
        </w:rPr>
        <w:t>（一）投标文件的编制</w:t>
      </w:r>
    </w:p>
    <w:p>
      <w:pPr>
        <w:pStyle w:val="14"/>
        <w:spacing w:line="360" w:lineRule="auto"/>
        <w:ind w:firstLine="480" w:firstLineChars="200"/>
        <w:rPr>
          <w:rFonts w:ascii="宋体" w:hAnsi="宋体" w:cs="宋体"/>
          <w:bCs/>
          <w:color w:val="auto"/>
          <w:kern w:val="0"/>
          <w:sz w:val="24"/>
          <w:szCs w:val="24"/>
        </w:rPr>
      </w:pPr>
      <w:r>
        <w:rPr>
          <w:rFonts w:hint="eastAsia" w:ascii="宋体" w:hAnsi="宋体" w:cs="宋体"/>
          <w:color w:val="auto"/>
          <w:kern w:val="0"/>
          <w:sz w:val="24"/>
          <w:szCs w:val="24"/>
        </w:rPr>
        <w:t xml:space="preserve"> 投标人接到招标文件后，按照采购组织机构的要求提供：资格证明文件、商务与技术文件和报价</w:t>
      </w:r>
      <w:r>
        <w:rPr>
          <w:rFonts w:hint="eastAsia" w:ascii="宋体" w:hAnsi="宋体" w:cs="宋体"/>
          <w:color w:val="auto"/>
          <w:kern w:val="0"/>
          <w:sz w:val="24"/>
          <w:szCs w:val="24"/>
          <w:lang w:val="zh-CN"/>
        </w:rPr>
        <w:t>文件。【特别提示：如在投标时有要求提供资料原件的，将原件扫描放入投标文件。】本招标文件中若有多标项的，若参与多标项投标的，则按每个标项分别独立编制投标文件。</w:t>
      </w:r>
    </w:p>
    <w:p>
      <w:pPr>
        <w:snapToGrid w:val="0"/>
        <w:spacing w:line="360" w:lineRule="auto"/>
        <w:ind w:firstLine="482" w:firstLineChars="200"/>
        <w:rPr>
          <w:rFonts w:ascii="宋体" w:hAnsi="宋体" w:cs="宋体"/>
          <w:color w:val="auto"/>
          <w:kern w:val="0"/>
          <w:sz w:val="24"/>
        </w:rPr>
      </w:pPr>
      <w:r>
        <w:rPr>
          <w:rFonts w:hint="eastAsia" w:ascii="宋体" w:hAnsi="宋体" w:cs="宋体"/>
          <w:b/>
          <w:color w:val="auto"/>
          <w:sz w:val="24"/>
        </w:rPr>
        <w:t>▲1、资格证明文件的组成：</w:t>
      </w:r>
    </w:p>
    <w:p>
      <w:pPr>
        <w:widowControl/>
        <w:numPr>
          <w:ilvl w:val="0"/>
          <w:numId w:val="6"/>
        </w:numPr>
        <w:spacing w:line="360" w:lineRule="auto"/>
        <w:ind w:right="60" w:firstLine="472" w:firstLineChars="197"/>
        <w:jc w:val="left"/>
        <w:outlineLvl w:val="0"/>
        <w:rPr>
          <w:rFonts w:ascii="宋体" w:hAnsi="宋体" w:cs="宋体"/>
          <w:color w:val="auto"/>
          <w:sz w:val="24"/>
        </w:rPr>
      </w:pPr>
      <w:r>
        <w:rPr>
          <w:rFonts w:hint="eastAsia" w:ascii="宋体" w:hAnsi="宋体" w:cs="宋体"/>
          <w:color w:val="auto"/>
          <w:sz w:val="24"/>
        </w:rPr>
        <w:t>投标声明书；</w:t>
      </w:r>
    </w:p>
    <w:p>
      <w:pPr>
        <w:widowControl/>
        <w:numPr>
          <w:ilvl w:val="0"/>
          <w:numId w:val="6"/>
        </w:numPr>
        <w:spacing w:line="360" w:lineRule="auto"/>
        <w:ind w:right="60" w:firstLine="472" w:firstLineChars="197"/>
        <w:jc w:val="left"/>
        <w:outlineLvl w:val="0"/>
        <w:rPr>
          <w:rFonts w:ascii="宋体" w:hAnsi="宋体" w:cs="宋体"/>
          <w:color w:val="auto"/>
          <w:sz w:val="24"/>
        </w:rPr>
      </w:pPr>
      <w:r>
        <w:rPr>
          <w:rFonts w:hint="eastAsia" w:ascii="宋体" w:hAnsi="宋体" w:cs="宋体"/>
          <w:color w:val="auto"/>
          <w:sz w:val="24"/>
        </w:rPr>
        <w:t>授权委托书（法定代表人亲自办理投标事宜的，则无需提交）；</w:t>
      </w:r>
    </w:p>
    <w:p>
      <w:pPr>
        <w:widowControl/>
        <w:numPr>
          <w:ilvl w:val="0"/>
          <w:numId w:val="6"/>
        </w:numPr>
        <w:spacing w:line="360" w:lineRule="auto"/>
        <w:ind w:right="60" w:firstLine="472" w:firstLineChars="197"/>
        <w:jc w:val="left"/>
        <w:outlineLvl w:val="0"/>
        <w:rPr>
          <w:rFonts w:ascii="宋体" w:hAnsi="宋体" w:cs="宋体"/>
          <w:color w:val="auto"/>
          <w:sz w:val="24"/>
        </w:rPr>
      </w:pPr>
      <w:r>
        <w:rPr>
          <w:rFonts w:hint="eastAsia" w:ascii="宋体" w:hAnsi="宋体" w:cs="宋体"/>
          <w:color w:val="auto"/>
          <w:sz w:val="24"/>
        </w:rPr>
        <w:t>法人或者其他组织的营业执照等证明文件，自然人的身份证明；</w:t>
      </w:r>
    </w:p>
    <w:p>
      <w:pPr>
        <w:widowControl/>
        <w:numPr>
          <w:ilvl w:val="0"/>
          <w:numId w:val="6"/>
        </w:numPr>
        <w:spacing w:line="360" w:lineRule="auto"/>
        <w:ind w:right="60" w:firstLine="472" w:firstLineChars="197"/>
        <w:jc w:val="left"/>
        <w:outlineLvl w:val="0"/>
        <w:rPr>
          <w:rFonts w:ascii="宋体" w:hAnsi="宋体" w:cs="宋体"/>
          <w:color w:val="auto"/>
          <w:sz w:val="24"/>
        </w:rPr>
      </w:pPr>
      <w:r>
        <w:rPr>
          <w:rFonts w:hint="eastAsia" w:ascii="宋体" w:hAnsi="宋体" w:cs="宋体"/>
          <w:color w:val="auto"/>
          <w:sz w:val="24"/>
        </w:rPr>
        <w:t>财务状况报告，依法缴纳税收和社会保障资金的相关材料；</w:t>
      </w:r>
    </w:p>
    <w:p>
      <w:pPr>
        <w:widowControl/>
        <w:numPr>
          <w:ilvl w:val="0"/>
          <w:numId w:val="6"/>
        </w:numPr>
        <w:spacing w:line="360" w:lineRule="auto"/>
        <w:ind w:right="60" w:firstLine="472" w:firstLineChars="197"/>
        <w:jc w:val="left"/>
        <w:outlineLvl w:val="0"/>
        <w:rPr>
          <w:rFonts w:ascii="宋体" w:hAnsi="宋体" w:cs="宋体"/>
          <w:color w:val="auto"/>
          <w:sz w:val="24"/>
        </w:rPr>
      </w:pPr>
      <w:r>
        <w:rPr>
          <w:rFonts w:hint="eastAsia" w:ascii="宋体" w:hAnsi="宋体" w:cs="宋体"/>
          <w:color w:val="auto"/>
          <w:sz w:val="24"/>
        </w:rPr>
        <w:t>具备履行合同所必需的设备和专业技术能力的承诺函（根据项目性质提供）；</w:t>
      </w:r>
    </w:p>
    <w:p>
      <w:pPr>
        <w:widowControl/>
        <w:numPr>
          <w:ilvl w:val="0"/>
          <w:numId w:val="6"/>
        </w:numPr>
        <w:spacing w:line="360" w:lineRule="auto"/>
        <w:ind w:right="60" w:firstLine="472" w:firstLineChars="197"/>
        <w:jc w:val="left"/>
        <w:outlineLvl w:val="0"/>
        <w:rPr>
          <w:rFonts w:ascii="宋体" w:hAnsi="宋体" w:cs="宋体"/>
          <w:color w:val="auto"/>
          <w:sz w:val="24"/>
        </w:rPr>
      </w:pPr>
      <w:r>
        <w:rPr>
          <w:rFonts w:hint="eastAsia" w:ascii="宋体" w:hAnsi="宋体" w:cs="宋体"/>
          <w:color w:val="auto"/>
          <w:sz w:val="24"/>
        </w:rPr>
        <w:t>提供采购公告中符合供应商特定条件的有效资质证书扫描件（投标供应商特定条件中有要求的必须提供），以及需要说明的其他资料；</w:t>
      </w:r>
    </w:p>
    <w:p>
      <w:pPr>
        <w:snapToGrid w:val="0"/>
        <w:spacing w:line="360" w:lineRule="auto"/>
        <w:ind w:firstLine="482" w:firstLineChars="200"/>
        <w:rPr>
          <w:rFonts w:ascii="宋体" w:hAnsi="宋体" w:cs="宋体"/>
          <w:color w:val="auto"/>
          <w:sz w:val="24"/>
          <w:u w:val="single"/>
        </w:rPr>
      </w:pPr>
      <w:r>
        <w:rPr>
          <w:rFonts w:hint="eastAsia" w:ascii="宋体" w:hAnsi="宋体" w:cs="宋体"/>
          <w:b/>
          <w:color w:val="auto"/>
          <w:sz w:val="24"/>
        </w:rPr>
        <w:t>2、商务与技术文件的组成：</w:t>
      </w:r>
    </w:p>
    <w:p>
      <w:pPr>
        <w:pStyle w:val="14"/>
        <w:widowControl/>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（1）技术方案描述部分</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投标人情况介绍（人员与技术力量、企业规模、经营业绩等）。</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公共数据基础域方案。</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kern w:val="0"/>
          <w:sz w:val="24"/>
          <w:szCs w:val="24"/>
        </w:rPr>
        <w:t>公共数据共享</w:t>
      </w:r>
      <w:r>
        <w:rPr>
          <w:rFonts w:hint="eastAsia" w:ascii="宋体" w:hAnsi="宋体" w:cs="宋体"/>
          <w:color w:val="auto"/>
          <w:sz w:val="24"/>
          <w:szCs w:val="24"/>
        </w:rPr>
        <w:t>域方案。</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公共数据开放域方案。</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公共数据安全域方案。</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数据N仓方案</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项目实施方案（包括进度计划、人员配置、安装调试测试、验收方案、质量保障方案等）。</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项目实施人员一览表；</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项目负责人资格情况表；</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技术需求响应表。</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投标人需要说明的其他内容；（包括可能影响投标人技术性能评分项的各类证明材料）</w:t>
      </w:r>
    </w:p>
    <w:p>
      <w:pPr>
        <w:autoSpaceDE w:val="0"/>
        <w:autoSpaceDN w:val="0"/>
        <w:adjustRightInd w:val="0"/>
        <w:spacing w:line="360" w:lineRule="auto"/>
        <w:ind w:firstLine="424" w:firstLineChars="177"/>
        <w:rPr>
          <w:rFonts w:ascii="宋体" w:hAnsi="宋体"/>
          <w:color w:val="auto"/>
          <w:kern w:val="0"/>
          <w:sz w:val="24"/>
        </w:rPr>
      </w:pPr>
      <w:r>
        <w:rPr>
          <w:rFonts w:hint="eastAsia" w:ascii="宋体" w:hAnsi="宋体"/>
          <w:color w:val="auto"/>
          <w:kern w:val="0"/>
          <w:sz w:val="24"/>
        </w:rPr>
        <w:t>（2）商务及其他部分</w:t>
      </w:r>
    </w:p>
    <w:p>
      <w:pPr>
        <w:numPr>
          <w:ilvl w:val="0"/>
          <w:numId w:val="7"/>
        </w:numPr>
        <w:autoSpaceDE w:val="0"/>
        <w:autoSpaceDN w:val="0"/>
        <w:adjustRightInd w:val="0"/>
        <w:spacing w:line="360" w:lineRule="auto"/>
        <w:ind w:firstLine="480" w:firstLineChars="200"/>
        <w:rPr>
          <w:rFonts w:ascii="宋体" w:hAnsi="宋体" w:cs="宋体"/>
          <w:color w:val="auto"/>
          <w:sz w:val="24"/>
        </w:rPr>
      </w:pPr>
      <w:r>
        <w:rPr>
          <w:rFonts w:hint="eastAsia"/>
          <w:color w:val="auto"/>
          <w:sz w:val="24"/>
        </w:rPr>
        <w:t>证书一览表（</w:t>
      </w:r>
      <w:r>
        <w:rPr>
          <w:rFonts w:ascii="宋体" w:hAnsi="宋体"/>
          <w:color w:val="auto"/>
          <w:kern w:val="0"/>
          <w:sz w:val="24"/>
        </w:rPr>
        <w:t>投标人通过的</w:t>
      </w:r>
      <w:r>
        <w:rPr>
          <w:rFonts w:hint="eastAsia" w:ascii="宋体" w:hAnsi="宋体"/>
          <w:color w:val="auto"/>
          <w:kern w:val="0"/>
          <w:sz w:val="24"/>
        </w:rPr>
        <w:t>质量管理和</w:t>
      </w:r>
      <w:r>
        <w:rPr>
          <w:rFonts w:ascii="宋体" w:hAnsi="宋体"/>
          <w:color w:val="auto"/>
          <w:kern w:val="0"/>
          <w:sz w:val="24"/>
        </w:rPr>
        <w:t>质量</w:t>
      </w:r>
      <w:r>
        <w:rPr>
          <w:rFonts w:hint="eastAsia" w:ascii="宋体" w:hAnsi="宋体"/>
          <w:color w:val="auto"/>
          <w:kern w:val="0"/>
          <w:sz w:val="24"/>
        </w:rPr>
        <w:t>保证</w:t>
      </w:r>
      <w:r>
        <w:rPr>
          <w:rFonts w:ascii="宋体" w:hAnsi="宋体"/>
          <w:color w:val="auto"/>
          <w:kern w:val="0"/>
          <w:sz w:val="24"/>
        </w:rPr>
        <w:t>体系、环保体系、</w:t>
      </w:r>
      <w:r>
        <w:rPr>
          <w:rFonts w:hint="eastAsia" w:ascii="宋体" w:hAnsi="宋体"/>
          <w:color w:val="auto"/>
          <w:sz w:val="24"/>
        </w:rPr>
        <w:t>自主创新相关证书、软件著作权证等等与本项目相关</w:t>
      </w:r>
      <w:r>
        <w:rPr>
          <w:rFonts w:ascii="宋体" w:hAnsi="宋体"/>
          <w:color w:val="auto"/>
          <w:kern w:val="0"/>
          <w:sz w:val="24"/>
        </w:rPr>
        <w:t>的认证证书</w:t>
      </w:r>
      <w:r>
        <w:rPr>
          <w:rFonts w:hint="eastAsia" w:ascii="宋体" w:hAnsi="宋体"/>
          <w:color w:val="auto"/>
          <w:kern w:val="0"/>
          <w:sz w:val="24"/>
        </w:rPr>
        <w:t>或文件；</w:t>
      </w:r>
      <w:r>
        <w:rPr>
          <w:rFonts w:hint="eastAsia"/>
          <w:color w:val="auto"/>
          <w:sz w:val="24"/>
        </w:rPr>
        <w:t>）</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宋体" w:hAnsi="宋体"/>
          <w:color w:val="auto"/>
          <w:kern w:val="0"/>
          <w:sz w:val="24"/>
          <w:szCs w:val="24"/>
        </w:rPr>
        <w:t>近三年来类似项目的成功案例（投标人类似项目实施情况一览表、合同复印件及其相应的发票、用户验收报告等；</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color w:val="auto"/>
          <w:sz w:val="24"/>
          <w:szCs w:val="24"/>
        </w:rPr>
        <w:t>商务需求响应表。</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Calibri" w:hAnsi="Calibri" w:cs="Calibri"/>
          <w:color w:val="auto"/>
          <w:sz w:val="24"/>
          <w:szCs w:val="24"/>
        </w:rPr>
        <w:t>本地化服务方案。</w:t>
      </w:r>
    </w:p>
    <w:p>
      <w:pPr>
        <w:pStyle w:val="14"/>
        <w:widowControl/>
        <w:numPr>
          <w:ilvl w:val="0"/>
          <w:numId w:val="7"/>
        </w:numPr>
        <w:adjustRightInd w:val="0"/>
        <w:snapToGrid w:val="0"/>
        <w:spacing w:line="360" w:lineRule="auto"/>
        <w:ind w:firstLine="480" w:firstLineChars="200"/>
        <w:rPr>
          <w:rFonts w:ascii="宋体" w:hAnsi="宋体" w:cs="宋体"/>
          <w:color w:val="auto"/>
          <w:sz w:val="24"/>
          <w:szCs w:val="24"/>
        </w:rPr>
      </w:pPr>
      <w:r>
        <w:rPr>
          <w:rFonts w:hint="eastAsia" w:ascii="Calibri" w:hAnsi="Calibri" w:cs="Calibri"/>
          <w:color w:val="auto"/>
          <w:sz w:val="24"/>
          <w:szCs w:val="24"/>
        </w:rPr>
        <w:t>培训方案。</w:t>
      </w:r>
    </w:p>
    <w:p>
      <w:pPr>
        <w:autoSpaceDE w:val="0"/>
        <w:autoSpaceDN w:val="0"/>
        <w:adjustRightInd w:val="0"/>
        <w:spacing w:line="360" w:lineRule="auto"/>
        <w:ind w:left="426" w:firstLine="65" w:firstLineChars="27"/>
        <w:rPr>
          <w:rFonts w:ascii="宋体" w:hAnsi="宋体" w:cs="宋体"/>
          <w:b/>
          <w:color w:val="auto"/>
          <w:kern w:val="0"/>
          <w:sz w:val="24"/>
        </w:rPr>
      </w:pPr>
      <w:r>
        <w:rPr>
          <w:rFonts w:hint="eastAsia" w:ascii="宋体" w:hAnsi="宋体" w:cs="宋体"/>
          <w:b/>
          <w:color w:val="auto"/>
          <w:kern w:val="0"/>
          <w:sz w:val="24"/>
        </w:rPr>
        <w:t>3、报价文件的组成</w:t>
      </w:r>
    </w:p>
    <w:p>
      <w:pPr>
        <w:numPr>
          <w:ilvl w:val="0"/>
          <w:numId w:val="8"/>
        </w:num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开标一览表</w:t>
      </w:r>
    </w:p>
    <w:p>
      <w:pPr>
        <w:numPr>
          <w:ilvl w:val="0"/>
          <w:numId w:val="8"/>
        </w:numPr>
        <w:autoSpaceDE w:val="0"/>
        <w:autoSpaceDN w:val="0"/>
        <w:adjustRightInd w:val="0"/>
        <w:spacing w:line="360" w:lineRule="auto"/>
        <w:rPr>
          <w:rFonts w:ascii="宋体" w:hAnsi="宋体" w:cs="宋体"/>
          <w:color w:val="auto"/>
          <w:kern w:val="0"/>
          <w:sz w:val="24"/>
          <w:lang w:val="en-GB"/>
        </w:rPr>
      </w:pPr>
      <w:r>
        <w:rPr>
          <w:rFonts w:hint="eastAsia" w:ascii="宋体" w:hAnsi="宋体" w:cs="宋体"/>
          <w:color w:val="auto"/>
          <w:kern w:val="0"/>
          <w:sz w:val="24"/>
        </w:rPr>
        <w:t>报价明细表</w:t>
      </w:r>
    </w:p>
    <w:p>
      <w:pPr>
        <w:numPr>
          <w:ilvl w:val="0"/>
          <w:numId w:val="8"/>
        </w:num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中小企业等声明函、</w:t>
      </w:r>
      <w:r>
        <w:rPr>
          <w:rFonts w:hint="eastAsia" w:ascii="宋体" w:hAnsi="宋体" w:cs="宋体"/>
          <w:color w:val="auto"/>
          <w:kern w:val="0"/>
          <w:sz w:val="24"/>
          <w:lang w:val="en-GB"/>
        </w:rPr>
        <w:t>残疾人福利性单位声明函</w:t>
      </w:r>
    </w:p>
    <w:p>
      <w:pPr>
        <w:numPr>
          <w:ilvl w:val="0"/>
          <w:numId w:val="8"/>
        </w:num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针对报价投标人认为其他需要说明的</w:t>
      </w:r>
    </w:p>
    <w:p>
      <w:pPr>
        <w:pStyle w:val="14"/>
        <w:spacing w:line="360" w:lineRule="auto"/>
        <w:ind w:firstLine="482" w:firstLineChars="200"/>
        <w:rPr>
          <w:rFonts w:ascii="宋体" w:hAnsi="宋体" w:cs="宋体"/>
          <w:b/>
          <w:color w:val="auto"/>
          <w:kern w:val="0"/>
          <w:sz w:val="24"/>
          <w:szCs w:val="24"/>
        </w:rPr>
      </w:pPr>
      <w:r>
        <w:rPr>
          <w:rFonts w:hint="eastAsia" w:ascii="宋体" w:hAnsi="宋体" w:cs="宋体"/>
          <w:b/>
          <w:color w:val="auto"/>
          <w:kern w:val="0"/>
          <w:sz w:val="24"/>
          <w:szCs w:val="24"/>
        </w:rPr>
        <w:t>（二）投标报价</w:t>
      </w:r>
    </w:p>
    <w:p>
      <w:pPr>
        <w:pStyle w:val="14"/>
        <w:spacing w:line="360" w:lineRule="auto"/>
        <w:ind w:firstLine="480" w:firstLineChars="200"/>
        <w:rPr>
          <w:rFonts w:ascii="宋体" w:hAnsi="宋体" w:cs="宋体"/>
          <w:bCs/>
          <w:color w:val="auto"/>
          <w:kern w:val="0"/>
          <w:sz w:val="24"/>
          <w:szCs w:val="24"/>
        </w:rPr>
      </w:pPr>
      <w:r>
        <w:rPr>
          <w:rFonts w:hint="eastAsia" w:ascii="宋体" w:hAnsi="宋体" w:cs="宋体"/>
          <w:bCs/>
          <w:color w:val="auto"/>
          <w:kern w:val="0"/>
          <w:sz w:val="24"/>
          <w:szCs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14"/>
        <w:spacing w:line="360" w:lineRule="auto"/>
        <w:ind w:firstLine="480" w:firstLineChars="200"/>
        <w:rPr>
          <w:rFonts w:ascii="宋体" w:hAnsi="宋体" w:cs="宋体"/>
          <w:bCs/>
          <w:color w:val="auto"/>
          <w:kern w:val="0"/>
          <w:sz w:val="24"/>
          <w:szCs w:val="24"/>
        </w:rPr>
      </w:pPr>
      <w:r>
        <w:rPr>
          <w:rFonts w:hint="eastAsia" w:ascii="宋体" w:hAnsi="宋体" w:cs="宋体"/>
          <w:bCs/>
          <w:color w:val="auto"/>
          <w:kern w:val="0"/>
          <w:sz w:val="24"/>
          <w:szCs w:val="24"/>
        </w:rPr>
        <w:t>2.投标报价包括本项目采购需求和投入使用的所有费用，包括但不限于开发、标准附件、备品备件、施工、服务、专用工具、安装、调试、检验、培训、运输、保险、税款等。</w:t>
      </w:r>
    </w:p>
    <w:p>
      <w:pPr>
        <w:pStyle w:val="14"/>
        <w:spacing w:line="360" w:lineRule="auto"/>
        <w:ind w:firstLine="480" w:firstLineChars="200"/>
        <w:rPr>
          <w:rFonts w:ascii="宋体" w:hAnsi="宋体" w:cs="宋体"/>
          <w:bCs/>
          <w:color w:val="auto"/>
          <w:kern w:val="0"/>
          <w:sz w:val="24"/>
          <w:szCs w:val="24"/>
        </w:rPr>
      </w:pPr>
      <w:r>
        <w:rPr>
          <w:rFonts w:hint="eastAsia" w:ascii="宋体" w:hAnsi="宋体" w:cs="宋体"/>
          <w:bCs/>
          <w:color w:val="auto"/>
          <w:kern w:val="0"/>
          <w:sz w:val="24"/>
          <w:szCs w:val="24"/>
        </w:rPr>
        <w:t>3.投标报价不得为选择性报价和附有条件的报价。</w:t>
      </w:r>
    </w:p>
    <w:p>
      <w:pPr>
        <w:pStyle w:val="14"/>
        <w:spacing w:line="360" w:lineRule="auto"/>
        <w:ind w:firstLine="482" w:firstLineChars="200"/>
        <w:rPr>
          <w:rFonts w:ascii="宋体" w:hAnsi="宋体" w:cs="宋体"/>
          <w:b/>
          <w:color w:val="auto"/>
          <w:kern w:val="0"/>
          <w:sz w:val="24"/>
          <w:szCs w:val="24"/>
        </w:rPr>
      </w:pPr>
      <w:r>
        <w:rPr>
          <w:rFonts w:hint="eastAsia" w:ascii="宋体" w:hAnsi="宋体" w:cs="宋体"/>
          <w:b/>
          <w:color w:val="auto"/>
          <w:kern w:val="0"/>
          <w:sz w:val="24"/>
          <w:szCs w:val="24"/>
        </w:rPr>
        <w:t>（三）投标文件的有效期</w:t>
      </w:r>
    </w:p>
    <w:p>
      <w:pPr>
        <w:pStyle w:val="14"/>
        <w:spacing w:line="360" w:lineRule="auto"/>
        <w:ind w:firstLine="480" w:firstLineChars="200"/>
        <w:rPr>
          <w:rFonts w:ascii="宋体" w:hAnsi="宋体" w:cs="宋体"/>
          <w:color w:val="auto"/>
          <w:sz w:val="24"/>
          <w:szCs w:val="24"/>
          <w:lang w:val="en-GB"/>
        </w:rPr>
      </w:pPr>
      <w:r>
        <w:rPr>
          <w:rFonts w:hint="eastAsia" w:ascii="宋体" w:hAnsi="宋体" w:cs="宋体"/>
          <w:color w:val="auto"/>
          <w:sz w:val="24"/>
          <w:szCs w:val="24"/>
        </w:rPr>
        <w:t>1.投标文件有效期为</w:t>
      </w:r>
      <w:r>
        <w:rPr>
          <w:rFonts w:hint="eastAsia" w:ascii="宋体" w:hAnsi="宋体" w:cs="宋体"/>
          <w:color w:val="auto"/>
          <w:sz w:val="24"/>
          <w:szCs w:val="24"/>
          <w:lang w:val="en-GB"/>
        </w:rPr>
        <w:t>投标截止日起90天。</w:t>
      </w:r>
    </w:p>
    <w:p>
      <w:pPr>
        <w:pStyle w:val="14"/>
        <w:spacing w:line="360" w:lineRule="auto"/>
        <w:ind w:firstLine="480" w:firstLineChars="200"/>
        <w:rPr>
          <w:rFonts w:ascii="宋体" w:hAnsi="宋体" w:cs="宋体"/>
          <w:color w:val="auto"/>
          <w:sz w:val="24"/>
          <w:szCs w:val="24"/>
          <w:lang w:val="en-GB"/>
        </w:rPr>
      </w:pPr>
      <w:r>
        <w:rPr>
          <w:rFonts w:hint="eastAsia" w:ascii="宋体" w:hAnsi="宋体" w:cs="宋体"/>
          <w:color w:val="auto"/>
          <w:sz w:val="24"/>
          <w:szCs w:val="24"/>
        </w:rPr>
        <w:t>2.</w:t>
      </w:r>
      <w:r>
        <w:rPr>
          <w:rFonts w:hint="eastAsia" w:ascii="宋体" w:hAnsi="宋体" w:cs="宋体"/>
          <w:color w:val="auto"/>
          <w:sz w:val="24"/>
          <w:szCs w:val="24"/>
          <w:lang w:val="en-GB"/>
        </w:rPr>
        <w:t>在特殊情况下，采购人可与投标人协商延长投标文件的有效期，这种要求和答复均以书面形式进行。</w:t>
      </w:r>
    </w:p>
    <w:p>
      <w:pPr>
        <w:snapToGrid w:val="0"/>
        <w:spacing w:line="360" w:lineRule="auto"/>
        <w:ind w:firstLine="480" w:firstLineChars="200"/>
        <w:outlineLvl w:val="0"/>
        <w:rPr>
          <w:rFonts w:ascii="宋体" w:hAnsi="宋体" w:cs="宋体"/>
          <w:color w:val="auto"/>
          <w:sz w:val="24"/>
        </w:rPr>
      </w:pPr>
      <w:r>
        <w:rPr>
          <w:rFonts w:hint="eastAsia" w:ascii="宋体" w:hAnsi="宋体" w:cs="宋体"/>
          <w:color w:val="auto"/>
          <w:sz w:val="24"/>
        </w:rPr>
        <w:t>3.中标人的投标文件自开标之日起至合同履行完毕均应保持有效。</w:t>
      </w:r>
    </w:p>
    <w:p>
      <w:pPr>
        <w:snapToGrid w:val="0"/>
        <w:spacing w:line="360" w:lineRule="auto"/>
        <w:ind w:firstLine="482" w:firstLineChars="200"/>
        <w:outlineLvl w:val="0"/>
        <w:rPr>
          <w:rFonts w:ascii="宋体" w:hAnsi="宋体" w:cs="宋体"/>
          <w:b/>
          <w:color w:val="auto"/>
          <w:kern w:val="0"/>
          <w:sz w:val="24"/>
        </w:rPr>
      </w:pPr>
      <w:r>
        <w:rPr>
          <w:rFonts w:hint="eastAsia" w:ascii="宋体" w:hAnsi="宋体" w:cs="宋体"/>
          <w:b/>
          <w:color w:val="auto"/>
          <w:kern w:val="0"/>
          <w:sz w:val="24"/>
        </w:rPr>
        <w:t>（四）投标文件的签署</w:t>
      </w:r>
    </w:p>
    <w:p>
      <w:pPr>
        <w:pStyle w:val="14"/>
        <w:spacing w:line="360" w:lineRule="auto"/>
        <w:ind w:firstLine="480" w:firstLineChars="200"/>
        <w:rPr>
          <w:rFonts w:ascii="宋体" w:hAnsi="宋体" w:cs="宋体"/>
          <w:bCs/>
          <w:color w:val="auto"/>
          <w:kern w:val="0"/>
          <w:sz w:val="24"/>
          <w:szCs w:val="24"/>
        </w:rPr>
      </w:pPr>
      <w:r>
        <w:rPr>
          <w:rFonts w:hint="eastAsia" w:ascii="宋体" w:hAnsi="宋体" w:cs="宋体"/>
          <w:bCs/>
          <w:color w:val="auto"/>
          <w:kern w:val="0"/>
          <w:sz w:val="24"/>
          <w:szCs w:val="24"/>
        </w:rPr>
        <w:t>1.投标文件需由法定代表人或授权委托代理人签字或盖章。授权委托代理人须出具书面授权证明，其《法定代表人授权书》应附在投标文件中。</w:t>
      </w:r>
    </w:p>
    <w:p>
      <w:pPr>
        <w:pStyle w:val="14"/>
        <w:spacing w:line="360" w:lineRule="auto"/>
        <w:ind w:firstLine="480" w:firstLineChars="200"/>
        <w:rPr>
          <w:rFonts w:ascii="宋体" w:hAnsi="宋体" w:cs="宋体"/>
          <w:bCs/>
          <w:color w:val="auto"/>
          <w:kern w:val="0"/>
          <w:sz w:val="24"/>
          <w:szCs w:val="24"/>
        </w:rPr>
      </w:pPr>
      <w:r>
        <w:rPr>
          <w:rFonts w:hint="eastAsia" w:ascii="宋体" w:hAnsi="宋体" w:cs="宋体"/>
          <w:bCs/>
          <w:color w:val="auto"/>
          <w:kern w:val="0"/>
          <w:sz w:val="24"/>
          <w:szCs w:val="24"/>
        </w:rPr>
        <w:t>2.投标文件中所有的插字、涂改和增删，必须由法定代表人或经其正式授权的代表在旁边签字或盖章才有效。</w:t>
      </w:r>
    </w:p>
    <w:p>
      <w:pPr>
        <w:autoSpaceDE w:val="0"/>
        <w:autoSpaceDN w:val="0"/>
        <w:adjustRightIn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（五）投标文件的递交要求</w:t>
      </w:r>
    </w:p>
    <w:p>
      <w:pPr>
        <w:tabs>
          <w:tab w:val="left" w:pos="1418"/>
        </w:tabs>
        <w:autoSpaceDE w:val="0"/>
        <w:autoSpaceDN w:val="0"/>
        <w:adjustRightInd w:val="0"/>
        <w:spacing w:line="360" w:lineRule="auto"/>
        <w:ind w:firstLine="480" w:firstLineChars="200"/>
        <w:rPr>
          <w:rFonts w:ascii="宋体" w:hAnsi="宋体" w:cs="宋体"/>
          <w:color w:val="auto"/>
          <w:kern w:val="0"/>
          <w:sz w:val="24"/>
        </w:rPr>
      </w:pPr>
      <w:r>
        <w:rPr>
          <w:rFonts w:hint="eastAsia" w:ascii="宋体" w:hAnsi="宋体" w:cs="宋体"/>
          <w:color w:val="auto"/>
          <w:sz w:val="24"/>
        </w:rPr>
        <w:t>按照前附表要求提交，</w:t>
      </w:r>
      <w:r>
        <w:rPr>
          <w:rFonts w:hint="eastAsia" w:ascii="宋体" w:hAnsi="宋体" w:cs="宋体"/>
          <w:color w:val="auto"/>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宋体" w:hAnsi="宋体" w:cs="宋体"/>
          <w:b/>
          <w:color w:val="auto"/>
          <w:kern w:val="0"/>
          <w:sz w:val="24"/>
        </w:rPr>
      </w:pPr>
      <w:r>
        <w:rPr>
          <w:rFonts w:hint="eastAsia" w:ascii="宋体" w:hAnsi="宋体" w:cs="宋体"/>
          <w:b/>
          <w:color w:val="auto"/>
          <w:kern w:val="0"/>
          <w:sz w:val="24"/>
        </w:rPr>
        <w:t>五、开标</w:t>
      </w:r>
    </w:p>
    <w:p>
      <w:pPr>
        <w:autoSpaceDE w:val="0"/>
        <w:autoSpaceDN w:val="0"/>
        <w:adjustRightInd w:val="0"/>
        <w:spacing w:line="360" w:lineRule="auto"/>
        <w:ind w:firstLine="482" w:firstLineChars="200"/>
        <w:rPr>
          <w:rFonts w:ascii="宋体" w:hAnsi="宋体" w:cs="宋体"/>
          <w:b/>
          <w:color w:val="auto"/>
          <w:sz w:val="24"/>
        </w:rPr>
      </w:pPr>
      <w:r>
        <w:rPr>
          <w:rFonts w:hint="eastAsia" w:ascii="宋体" w:hAnsi="宋体" w:cs="宋体"/>
          <w:b/>
          <w:color w:val="auto"/>
          <w:sz w:val="24"/>
        </w:rPr>
        <w:t>（一）开标程序</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1.开标时间到后，主持人准时组织开标；</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2.宣布开标纪律；</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3.宣布采购组织机构工作人员；</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4.投标人登录政采云平台，用“项目采购-开标评标”功能对电子投标文件进行在线解密。在线解密时间为开标时间起半个小时内；</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5.采购组织机构工作人员当众宣布投标人名称、投标价格和招标文件规定的需要宣布的其他内容；（以开标一览表要求为准）</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6.公布开标结果。</w:t>
      </w:r>
    </w:p>
    <w:p>
      <w:pPr>
        <w:pStyle w:val="14"/>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（二）开标异议</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14"/>
        <w:spacing w:line="360" w:lineRule="auto"/>
        <w:ind w:firstLine="482" w:firstLineChars="200"/>
        <w:rPr>
          <w:rFonts w:ascii="宋体" w:hAnsi="宋体" w:cs="宋体"/>
          <w:color w:val="auto"/>
          <w:sz w:val="24"/>
          <w:szCs w:val="24"/>
        </w:rPr>
      </w:pPr>
      <w:r>
        <w:rPr>
          <w:rFonts w:hint="eastAsia" w:ascii="宋体" w:hAnsi="宋体" w:cs="宋体"/>
          <w:b/>
          <w:bCs/>
          <w:color w:val="auto"/>
          <w:sz w:val="24"/>
          <w:szCs w:val="24"/>
        </w:rPr>
        <w:t>（三）</w:t>
      </w:r>
      <w:r>
        <w:rPr>
          <w:rFonts w:hint="eastAsia" w:ascii="宋体" w:hAnsi="宋体" w:cs="宋体"/>
          <w:color w:val="auto"/>
          <w:sz w:val="24"/>
          <w:szCs w:val="24"/>
        </w:rPr>
        <w:t>投标人不足三家，不得开标。</w:t>
      </w:r>
    </w:p>
    <w:p>
      <w:pPr>
        <w:pStyle w:val="15"/>
        <w:snapToGrid w:val="0"/>
        <w:spacing w:line="360" w:lineRule="auto"/>
        <w:ind w:firstLine="482" w:firstLineChars="200"/>
        <w:outlineLvl w:val="1"/>
        <w:rPr>
          <w:rFonts w:hAnsi="宋体"/>
          <w:b/>
          <w:color w:val="auto"/>
          <w:sz w:val="24"/>
        </w:rPr>
      </w:pPr>
      <w:r>
        <w:rPr>
          <w:rFonts w:hint="eastAsia" w:hAnsi="宋体"/>
          <w:b/>
          <w:color w:val="auto"/>
          <w:sz w:val="24"/>
        </w:rPr>
        <w:t>六、评标（详见第四章）</w:t>
      </w:r>
    </w:p>
    <w:p>
      <w:pPr>
        <w:pStyle w:val="20"/>
        <w:spacing w:before="0" w:beforeAutospacing="0" w:after="0" w:afterAutospacing="0" w:line="360" w:lineRule="auto"/>
        <w:ind w:firstLine="482" w:firstLineChars="200"/>
        <w:jc w:val="both"/>
        <w:rPr>
          <w:rFonts w:hint="default" w:cs="宋体"/>
          <w:b/>
          <w:color w:val="auto"/>
        </w:rPr>
      </w:pPr>
      <w:r>
        <w:rPr>
          <w:rFonts w:cs="宋体"/>
          <w:b/>
          <w:color w:val="auto"/>
        </w:rPr>
        <w:t>七、定标</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一）确定中标人。评标委员会根据采购单位的《授权意见确认书》，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0" w:firstLineChars="200"/>
        <w:rPr>
          <w:rFonts w:ascii="宋体" w:hAnsi="宋体" w:cs="宋体"/>
          <w:color w:val="auto"/>
          <w:kern w:val="0"/>
          <w:sz w:val="24"/>
        </w:rPr>
      </w:pPr>
      <w:r>
        <w:rPr>
          <w:rFonts w:hint="eastAsia" w:ascii="宋体" w:hAnsi="宋体" w:cs="宋体"/>
          <w:color w:val="auto"/>
          <w:sz w:val="24"/>
        </w:rPr>
        <w:t>（二）</w:t>
      </w:r>
      <w:r>
        <w:rPr>
          <w:rFonts w:hint="eastAsia" w:ascii="宋体" w:hAnsi="宋体" w:cs="宋体"/>
          <w:color w:val="auto"/>
          <w:kern w:val="0"/>
          <w:sz w:val="24"/>
        </w:rPr>
        <w:t>发布</w:t>
      </w:r>
      <w:r>
        <w:rPr>
          <w:rFonts w:hint="eastAsia" w:ascii="宋体" w:hAnsi="宋体" w:cs="宋体"/>
          <w:color w:val="auto"/>
          <w:sz w:val="24"/>
        </w:rPr>
        <w:t>中标</w:t>
      </w:r>
      <w:r>
        <w:rPr>
          <w:rFonts w:hint="eastAsia" w:ascii="宋体" w:hAnsi="宋体" w:cs="宋体"/>
          <w:color w:val="auto"/>
          <w:kern w:val="0"/>
          <w:sz w:val="24"/>
        </w:rPr>
        <w:t>结果公告。采购组织机构自中标人确定之日起2个工作日内，在浙江省政府采购网和台州市公共资源交易网上公告中标结果，</w:t>
      </w:r>
      <w:r>
        <w:rPr>
          <w:rFonts w:hint="eastAsia" w:ascii="宋体" w:hAnsi="宋体" w:cs="宋体"/>
          <w:color w:val="auto"/>
          <w:sz w:val="24"/>
        </w:rPr>
        <w:t>中标结果公告期为 1 个工作日</w:t>
      </w:r>
      <w:r>
        <w:rPr>
          <w:rFonts w:hint="eastAsia" w:ascii="宋体" w:hAnsi="宋体" w:cs="宋体"/>
          <w:color w:val="auto"/>
          <w:kern w:val="0"/>
          <w:sz w:val="24"/>
        </w:rPr>
        <w:t>。</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kern w:val="0"/>
          <w:sz w:val="24"/>
        </w:rPr>
        <w:t>（三）发放中标通知书。采购组织机构在发布中标结果公告的同时，</w:t>
      </w:r>
      <w:r>
        <w:rPr>
          <w:rFonts w:hint="eastAsia" w:ascii="宋体" w:hAnsi="宋体" w:cs="宋体"/>
          <w:color w:val="auto"/>
          <w:sz w:val="24"/>
        </w:rPr>
        <w:t>通过政采云平台</w:t>
      </w:r>
      <w:r>
        <w:rPr>
          <w:rFonts w:hint="eastAsia" w:ascii="宋体" w:hAnsi="宋体" w:cs="宋体"/>
          <w:color w:val="auto"/>
          <w:kern w:val="0"/>
          <w:sz w:val="24"/>
        </w:rPr>
        <w:t>向中标人</w:t>
      </w:r>
      <w:r>
        <w:rPr>
          <w:rFonts w:hint="eastAsia" w:ascii="宋体" w:hAnsi="宋体" w:cs="宋体"/>
          <w:color w:val="auto"/>
          <w:sz w:val="24"/>
        </w:rPr>
        <w:t>发放中标通知书</w:t>
      </w:r>
      <w:r>
        <w:rPr>
          <w:rFonts w:hint="eastAsia" w:ascii="宋体" w:hAnsi="宋体" w:cs="宋体"/>
          <w:color w:val="auto"/>
          <w:kern w:val="0"/>
          <w:sz w:val="24"/>
        </w:rPr>
        <w:t>。</w:t>
      </w:r>
    </w:p>
    <w:p>
      <w:pPr>
        <w:spacing w:line="360" w:lineRule="auto"/>
        <w:ind w:firstLine="482" w:firstLineChars="200"/>
        <w:rPr>
          <w:rFonts w:ascii="宋体" w:hAnsi="宋体" w:cs="宋体"/>
          <w:color w:val="auto"/>
          <w:kern w:val="0"/>
          <w:sz w:val="24"/>
        </w:rPr>
      </w:pPr>
      <w:r>
        <w:rPr>
          <w:rFonts w:hint="eastAsia" w:ascii="宋体" w:hAnsi="宋体" w:cs="宋体"/>
          <w:b/>
          <w:color w:val="auto"/>
          <w:sz w:val="24"/>
        </w:rPr>
        <w:t>八、</w:t>
      </w:r>
      <w:r>
        <w:rPr>
          <w:rFonts w:hint="eastAsia" w:ascii="宋体" w:hAnsi="宋体" w:cs="宋体"/>
          <w:b/>
          <w:color w:val="auto"/>
          <w:kern w:val="0"/>
          <w:sz w:val="24"/>
        </w:rPr>
        <w:t>合同签订及公告</w:t>
      </w:r>
    </w:p>
    <w:p>
      <w:pPr>
        <w:spacing w:line="360" w:lineRule="auto"/>
        <w:ind w:firstLine="482" w:firstLineChars="200"/>
        <w:rPr>
          <w:rFonts w:ascii="宋体" w:hAnsi="宋体" w:cs="宋体"/>
          <w:b/>
          <w:color w:val="auto"/>
          <w:kern w:val="0"/>
          <w:sz w:val="24"/>
        </w:rPr>
      </w:pPr>
      <w:r>
        <w:rPr>
          <w:rFonts w:hint="eastAsia" w:ascii="宋体" w:hAnsi="宋体" w:cs="宋体"/>
          <w:b/>
          <w:color w:val="auto"/>
          <w:sz w:val="24"/>
        </w:rPr>
        <w:t>（一）签订合同</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2.采购人不得向中标人提出任何不合理的要求作为签订合同的条件。</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3.中标人无故拖延、拒签合同的,将取消中标资格。</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5.询问或者质疑事项可能影响中标结果的，采购人应当暂停签订合同，已经签订合同的，应当中止履行合同。</w:t>
      </w:r>
    </w:p>
    <w:p>
      <w:pPr>
        <w:pStyle w:val="20"/>
        <w:spacing w:before="0" w:beforeAutospacing="0" w:after="0" w:afterAutospacing="0" w:line="360" w:lineRule="auto"/>
        <w:ind w:firstLine="482" w:firstLineChars="200"/>
        <w:jc w:val="both"/>
        <w:rPr>
          <w:rFonts w:hint="default" w:cs="宋体"/>
          <w:b/>
          <w:color w:val="auto"/>
        </w:rPr>
      </w:pPr>
      <w:r>
        <w:rPr>
          <w:rFonts w:cs="宋体"/>
          <w:b/>
          <w:color w:val="auto"/>
        </w:rPr>
        <w:t>（二）合同公告及备案</w:t>
      </w:r>
    </w:p>
    <w:p>
      <w:pPr>
        <w:pStyle w:val="3"/>
        <w:spacing w:after="0" w:line="360" w:lineRule="auto"/>
        <w:ind w:left="0" w:leftChars="0" w:firstLine="480" w:firstLineChars="200"/>
        <w:rPr>
          <w:rFonts w:ascii="宋体" w:hAnsi="宋体" w:cs="宋体"/>
          <w:color w:val="auto"/>
          <w:sz w:val="24"/>
        </w:rPr>
      </w:pPr>
      <w:r>
        <w:rPr>
          <w:rFonts w:hint="eastAsia" w:ascii="宋体" w:hAnsi="宋体" w:cs="宋体"/>
          <w:color w:val="auto"/>
          <w:sz w:val="24"/>
        </w:rPr>
        <w:t>1.采购人应当自合同签订之日起2个工作日内，</w:t>
      </w:r>
      <w:r>
        <w:rPr>
          <w:rFonts w:hint="eastAsia" w:ascii="宋体" w:hAnsi="宋体" w:cs="宋体"/>
          <w:color w:val="auto"/>
          <w:kern w:val="0"/>
          <w:sz w:val="24"/>
        </w:rPr>
        <w:t>在省级以上财政部门指定的政府采购信息发布媒体及相关网站上公告</w:t>
      </w:r>
      <w:r>
        <w:rPr>
          <w:rFonts w:hint="eastAsia" w:ascii="宋体" w:hAnsi="宋体" w:cs="宋体"/>
          <w:color w:val="auto"/>
          <w:sz w:val="24"/>
        </w:rPr>
        <w:t>。</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2.采购人应当自合同签订之日起7个工作日内，将合同通过政采云平台提交至同级人民政府财政部门备案存档。</w:t>
      </w:r>
    </w:p>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九、询问、质疑与投诉</w:t>
      </w:r>
    </w:p>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（一）询问</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（二）质疑</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1.报名本项目的投标人认为招标文件、采购过程和中标结果使自己的权益受到损害的，以书面形式或政采云平台的质疑系统一次性向采购人或采购组织机构提出质疑：</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（1）投标人认为招标文件的内容损害其权益的，对采购文件提出质疑的，应当在获取采购文件或者采购文件公告期限届满之日起7个工作日内提出；</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（2）投标人对采购过程提出质疑的，应当在各采购程序环节结束之日起7个工作日内提出质疑；</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（3）投标人对中标结果提出质疑的，应当在中标结果公告期限届满之日起7个工作日内提出质疑；</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2.采购人或采购组织机构在收到投标人的书面质疑后7个工作日内作出答复，并以书面形式或政采云平台回复质疑投标人和其他有关投标人，但答复内容不涉及商业秘密。</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（三）投诉</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投标人对采购人或采购组织机构的质疑答复不满意或在规定时间内未得到答复的，可以在答复期满后15个工作日内，向同级政府采购监督管理机构投诉。</w:t>
      </w: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pStyle w:val="10"/>
        <w:spacing w:line="360" w:lineRule="auto"/>
        <w:ind w:firstLine="480" w:firstLineChars="200"/>
        <w:jc w:val="both"/>
        <w:rPr>
          <w:rFonts w:ascii="宋体" w:hAnsi="宋体" w:cs="宋体"/>
          <w:color w:val="auto"/>
          <w:sz w:val="24"/>
        </w:rPr>
      </w:pPr>
    </w:p>
    <w:p>
      <w:pPr>
        <w:numPr>
          <w:ilvl w:val="0"/>
          <w:numId w:val="5"/>
        </w:numPr>
        <w:spacing w:line="360" w:lineRule="auto"/>
        <w:jc w:val="center"/>
        <w:rPr>
          <w:rFonts w:ascii="宋体" w:hAnsi="宋体" w:cs="宋体"/>
          <w:b/>
          <w:color w:val="auto"/>
          <w:sz w:val="24"/>
        </w:rPr>
      </w:pPr>
      <w:bookmarkStart w:id="35" w:name="_Toc13072_WPSOffice_Level1"/>
      <w:r>
        <w:rPr>
          <w:rFonts w:hint="eastAsia" w:ascii="宋体" w:hAnsi="宋体" w:cs="宋体"/>
          <w:b/>
          <w:color w:val="auto"/>
          <w:sz w:val="24"/>
        </w:rPr>
        <w:t>招标需求</w:t>
      </w:r>
      <w:bookmarkEnd w:id="35"/>
    </w:p>
    <w:p>
      <w:pPr>
        <w:tabs>
          <w:tab w:val="left" w:pos="8280"/>
        </w:tabs>
        <w:autoSpaceDE w:val="0"/>
        <w:autoSpaceDN w:val="0"/>
        <w:adjustRightInd w:val="0"/>
        <w:spacing w:line="360" w:lineRule="auto"/>
        <w:ind w:firstLine="482" w:firstLineChars="200"/>
        <w:rPr>
          <w:rFonts w:ascii="宋体" w:hAnsi="宋体" w:cs="宋体"/>
          <w:color w:val="auto"/>
          <w:sz w:val="24"/>
        </w:rPr>
      </w:pPr>
      <w:r>
        <w:rPr>
          <w:rFonts w:hint="eastAsia" w:ascii="宋体" w:hAnsi="宋体" w:cs="宋体"/>
          <w:b/>
          <w:color w:val="auto"/>
          <w:sz w:val="24"/>
        </w:rPr>
        <w:t>一、招标项目一览表</w:t>
      </w:r>
    </w:p>
    <w:p>
      <w:pPr>
        <w:tabs>
          <w:tab w:val="left" w:pos="8280"/>
        </w:tabs>
        <w:autoSpaceDE w:val="0"/>
        <w:autoSpaceDN w:val="0"/>
        <w:adjustRightInd w:val="0"/>
        <w:spacing w:line="360" w:lineRule="auto"/>
        <w:ind w:firstLine="480" w:firstLineChars="200"/>
        <w:rPr>
          <w:rFonts w:ascii="宋体" w:hAnsi="宋体" w:cs="宋体"/>
          <w:color w:val="auto"/>
          <w:sz w:val="24"/>
        </w:rPr>
      </w:pPr>
      <w:r>
        <w:rPr>
          <w:rFonts w:hint="eastAsia" w:ascii="宋体" w:hAnsi="宋体" w:cs="宋体"/>
          <w:color w:val="auto"/>
          <w:sz w:val="24"/>
        </w:rPr>
        <w:t>本次招标共</w:t>
      </w:r>
      <w:r>
        <w:rPr>
          <w:rFonts w:hint="eastAsia" w:ascii="宋体" w:hAnsi="宋体" w:cs="宋体"/>
          <w:color w:val="auto"/>
          <w:sz w:val="24"/>
          <w:u w:val="single"/>
        </w:rPr>
        <w:t xml:space="preserve"> 1 </w:t>
      </w:r>
      <w:r>
        <w:rPr>
          <w:rFonts w:hint="eastAsia" w:ascii="宋体" w:hAnsi="宋体" w:cs="宋体"/>
          <w:color w:val="auto"/>
          <w:sz w:val="24"/>
        </w:rPr>
        <w:t>个标项，具体内容如下表：</w:t>
      </w:r>
    </w:p>
    <w:tbl>
      <w:tblPr>
        <w:tblStyle w:val="25"/>
        <w:tblW w:w="8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835"/>
        <w:gridCol w:w="785"/>
        <w:gridCol w:w="838"/>
        <w:gridCol w:w="1302"/>
        <w:gridCol w:w="1324"/>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172" w:type="dxa"/>
            <w:vAlign w:val="center"/>
          </w:tcPr>
          <w:p>
            <w:pPr>
              <w:tabs>
                <w:tab w:val="left" w:pos="8280"/>
              </w:tabs>
              <w:autoSpaceDE w:val="0"/>
              <w:autoSpaceDN w:val="0"/>
              <w:adjustRightInd w:val="0"/>
              <w:jc w:val="center"/>
              <w:rPr>
                <w:rFonts w:ascii="宋体" w:hAnsi="宋体" w:cs="宋体"/>
                <w:b/>
                <w:color w:val="auto"/>
                <w:sz w:val="24"/>
              </w:rPr>
            </w:pPr>
            <w:r>
              <w:rPr>
                <w:rFonts w:hint="eastAsia" w:ascii="宋体" w:hAnsi="宋体" w:cs="宋体"/>
                <w:b/>
                <w:color w:val="auto"/>
                <w:sz w:val="24"/>
              </w:rPr>
              <w:t>标项号</w:t>
            </w:r>
          </w:p>
        </w:tc>
        <w:tc>
          <w:tcPr>
            <w:tcW w:w="1835" w:type="dxa"/>
            <w:vAlign w:val="center"/>
          </w:tcPr>
          <w:p>
            <w:pPr>
              <w:tabs>
                <w:tab w:val="left" w:pos="8280"/>
              </w:tabs>
              <w:autoSpaceDE w:val="0"/>
              <w:autoSpaceDN w:val="0"/>
              <w:adjustRightInd w:val="0"/>
              <w:ind w:firstLine="120" w:firstLineChars="50"/>
              <w:jc w:val="center"/>
              <w:rPr>
                <w:rFonts w:ascii="宋体" w:hAnsi="宋体" w:cs="宋体"/>
                <w:b/>
                <w:color w:val="auto"/>
                <w:sz w:val="24"/>
              </w:rPr>
            </w:pPr>
            <w:r>
              <w:rPr>
                <w:rFonts w:hint="eastAsia" w:ascii="宋体" w:hAnsi="宋体" w:cs="宋体"/>
                <w:b/>
                <w:color w:val="auto"/>
                <w:sz w:val="24"/>
              </w:rPr>
              <w:t>标项名称</w:t>
            </w:r>
          </w:p>
        </w:tc>
        <w:tc>
          <w:tcPr>
            <w:tcW w:w="785" w:type="dxa"/>
            <w:vAlign w:val="center"/>
          </w:tcPr>
          <w:p>
            <w:pPr>
              <w:tabs>
                <w:tab w:val="left" w:pos="8280"/>
              </w:tabs>
              <w:autoSpaceDE w:val="0"/>
              <w:autoSpaceDN w:val="0"/>
              <w:adjustRightInd w:val="0"/>
              <w:jc w:val="center"/>
              <w:rPr>
                <w:rFonts w:ascii="宋体" w:hAnsi="宋体" w:cs="宋体"/>
                <w:b/>
                <w:color w:val="auto"/>
                <w:sz w:val="24"/>
              </w:rPr>
            </w:pPr>
            <w:r>
              <w:rPr>
                <w:rFonts w:hint="eastAsia" w:ascii="宋体" w:hAnsi="宋体" w:cs="宋体"/>
                <w:b/>
                <w:color w:val="auto"/>
                <w:kern w:val="0"/>
                <w:sz w:val="24"/>
              </w:rPr>
              <w:t>数量</w:t>
            </w:r>
          </w:p>
        </w:tc>
        <w:tc>
          <w:tcPr>
            <w:tcW w:w="838" w:type="dxa"/>
            <w:vAlign w:val="center"/>
          </w:tcPr>
          <w:p>
            <w:pPr>
              <w:tabs>
                <w:tab w:val="left" w:pos="8280"/>
              </w:tabs>
              <w:autoSpaceDE w:val="0"/>
              <w:autoSpaceDN w:val="0"/>
              <w:adjustRightInd w:val="0"/>
              <w:jc w:val="center"/>
              <w:rPr>
                <w:rFonts w:ascii="宋体" w:hAnsi="宋体" w:cs="宋体"/>
                <w:b/>
                <w:color w:val="auto"/>
                <w:sz w:val="24"/>
              </w:rPr>
            </w:pPr>
            <w:r>
              <w:rPr>
                <w:rFonts w:hint="eastAsia" w:ascii="宋体" w:hAnsi="宋体" w:cs="宋体"/>
                <w:b/>
                <w:color w:val="auto"/>
                <w:sz w:val="24"/>
              </w:rPr>
              <w:t>单位</w:t>
            </w:r>
          </w:p>
        </w:tc>
        <w:tc>
          <w:tcPr>
            <w:tcW w:w="1302" w:type="dxa"/>
            <w:vAlign w:val="center"/>
          </w:tcPr>
          <w:p>
            <w:pPr>
              <w:tabs>
                <w:tab w:val="left" w:pos="8280"/>
              </w:tabs>
              <w:autoSpaceDE w:val="0"/>
              <w:autoSpaceDN w:val="0"/>
              <w:adjustRightInd w:val="0"/>
              <w:jc w:val="center"/>
              <w:rPr>
                <w:rFonts w:ascii="宋体" w:hAnsi="宋体" w:cs="宋体"/>
                <w:b/>
                <w:color w:val="auto"/>
                <w:sz w:val="24"/>
              </w:rPr>
            </w:pPr>
            <w:r>
              <w:rPr>
                <w:rFonts w:hint="eastAsia" w:ascii="宋体" w:hAnsi="宋体" w:cs="宋体"/>
                <w:b/>
                <w:color w:val="auto"/>
                <w:sz w:val="24"/>
              </w:rPr>
              <w:t>预算</w:t>
            </w:r>
          </w:p>
          <w:p>
            <w:pPr>
              <w:tabs>
                <w:tab w:val="left" w:pos="8280"/>
              </w:tabs>
              <w:autoSpaceDE w:val="0"/>
              <w:autoSpaceDN w:val="0"/>
              <w:adjustRightInd w:val="0"/>
              <w:jc w:val="center"/>
              <w:rPr>
                <w:rFonts w:ascii="宋体" w:hAnsi="宋体" w:cs="宋体"/>
                <w:b/>
                <w:color w:val="auto"/>
                <w:sz w:val="24"/>
              </w:rPr>
            </w:pPr>
            <w:r>
              <w:rPr>
                <w:rFonts w:hint="eastAsia" w:ascii="宋体" w:hAnsi="宋体" w:cs="宋体"/>
                <w:b/>
                <w:color w:val="auto"/>
                <w:sz w:val="24"/>
              </w:rPr>
              <w:t>（万元）</w:t>
            </w:r>
          </w:p>
        </w:tc>
        <w:tc>
          <w:tcPr>
            <w:tcW w:w="1324" w:type="dxa"/>
            <w:vAlign w:val="center"/>
          </w:tcPr>
          <w:p>
            <w:pPr>
              <w:tabs>
                <w:tab w:val="left" w:pos="8280"/>
              </w:tabs>
              <w:autoSpaceDE w:val="0"/>
              <w:autoSpaceDN w:val="0"/>
              <w:adjustRightInd w:val="0"/>
              <w:jc w:val="center"/>
              <w:rPr>
                <w:rFonts w:ascii="宋体" w:hAnsi="宋体" w:cs="宋体"/>
                <w:b/>
                <w:color w:val="auto"/>
                <w:sz w:val="24"/>
              </w:rPr>
            </w:pPr>
            <w:r>
              <w:rPr>
                <w:rFonts w:hint="eastAsia" w:ascii="宋体" w:hAnsi="宋体" w:cs="宋体"/>
                <w:b/>
                <w:color w:val="auto"/>
                <w:sz w:val="24"/>
              </w:rPr>
              <w:t>最高限价（万元）</w:t>
            </w:r>
          </w:p>
        </w:tc>
        <w:tc>
          <w:tcPr>
            <w:tcW w:w="1293" w:type="dxa"/>
            <w:vAlign w:val="center"/>
          </w:tcPr>
          <w:p>
            <w:pPr>
              <w:jc w:val="center"/>
              <w:rPr>
                <w:rFonts w:ascii="宋体" w:hAnsi="宋体" w:cs="宋体"/>
                <w:b/>
                <w:color w:val="auto"/>
                <w:sz w:val="24"/>
              </w:rPr>
            </w:pPr>
            <w:r>
              <w:rPr>
                <w:rFonts w:hint="eastAsia" w:ascii="宋体" w:hAnsi="宋体" w:cs="宋体"/>
                <w:b/>
                <w:color w:val="auto"/>
                <w:sz w:val="24"/>
              </w:rPr>
              <w:t>交付期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172" w:type="dxa"/>
            <w:vAlign w:val="center"/>
          </w:tcPr>
          <w:p>
            <w:pPr>
              <w:tabs>
                <w:tab w:val="left" w:pos="8280"/>
              </w:tabs>
              <w:autoSpaceDE w:val="0"/>
              <w:autoSpaceDN w:val="0"/>
              <w:adjustRightInd w:val="0"/>
              <w:jc w:val="center"/>
              <w:rPr>
                <w:rFonts w:ascii="宋体" w:hAnsi="宋体" w:cs="宋体"/>
                <w:bCs/>
                <w:color w:val="auto"/>
                <w:sz w:val="24"/>
              </w:rPr>
            </w:pPr>
            <w:r>
              <w:rPr>
                <w:rFonts w:hint="eastAsia" w:ascii="宋体" w:hAnsi="宋体" w:cs="宋体"/>
                <w:bCs/>
                <w:color w:val="auto"/>
                <w:sz w:val="24"/>
              </w:rPr>
              <w:t>1</w:t>
            </w:r>
          </w:p>
        </w:tc>
        <w:tc>
          <w:tcPr>
            <w:tcW w:w="1835" w:type="dxa"/>
            <w:vAlign w:val="center"/>
          </w:tcPr>
          <w:p>
            <w:pPr>
              <w:tabs>
                <w:tab w:val="left" w:pos="8280"/>
              </w:tabs>
              <w:autoSpaceDE w:val="0"/>
              <w:autoSpaceDN w:val="0"/>
              <w:adjustRightInd w:val="0"/>
              <w:jc w:val="center"/>
              <w:rPr>
                <w:rFonts w:ascii="宋体" w:hAnsi="宋体" w:cs="宋体"/>
                <w:bCs/>
                <w:color w:val="auto"/>
                <w:sz w:val="24"/>
              </w:rPr>
            </w:pPr>
            <w:r>
              <w:rPr>
                <w:rFonts w:hint="eastAsia" w:ascii="宋体" w:hAnsi="宋体" w:cs="宋体"/>
                <w:bCs/>
                <w:color w:val="auto"/>
                <w:sz w:val="24"/>
              </w:rPr>
              <w:t>台州市一体化智能化公共数据平台（数据资源体系）项目</w:t>
            </w:r>
          </w:p>
        </w:tc>
        <w:tc>
          <w:tcPr>
            <w:tcW w:w="785" w:type="dxa"/>
            <w:vAlign w:val="center"/>
          </w:tcPr>
          <w:p>
            <w:pPr>
              <w:tabs>
                <w:tab w:val="left" w:pos="8280"/>
              </w:tabs>
              <w:autoSpaceDE w:val="0"/>
              <w:autoSpaceDN w:val="0"/>
              <w:adjustRightInd w:val="0"/>
              <w:jc w:val="center"/>
              <w:rPr>
                <w:rFonts w:ascii="宋体" w:hAnsi="宋体" w:cs="宋体"/>
                <w:bCs/>
                <w:color w:val="auto"/>
                <w:sz w:val="24"/>
              </w:rPr>
            </w:pPr>
            <w:r>
              <w:rPr>
                <w:rFonts w:hint="eastAsia" w:ascii="宋体" w:hAnsi="宋体" w:cs="宋体"/>
                <w:bCs/>
                <w:color w:val="auto"/>
                <w:sz w:val="24"/>
              </w:rPr>
              <w:t>1</w:t>
            </w:r>
          </w:p>
        </w:tc>
        <w:tc>
          <w:tcPr>
            <w:tcW w:w="838" w:type="dxa"/>
            <w:vAlign w:val="center"/>
          </w:tcPr>
          <w:p>
            <w:pPr>
              <w:tabs>
                <w:tab w:val="left" w:pos="8280"/>
              </w:tabs>
              <w:autoSpaceDE w:val="0"/>
              <w:autoSpaceDN w:val="0"/>
              <w:adjustRightInd w:val="0"/>
              <w:jc w:val="center"/>
              <w:rPr>
                <w:rFonts w:ascii="宋体" w:hAnsi="宋体" w:cs="宋体"/>
                <w:bCs/>
                <w:color w:val="auto"/>
                <w:sz w:val="24"/>
              </w:rPr>
            </w:pPr>
            <w:r>
              <w:rPr>
                <w:rFonts w:hint="eastAsia" w:ascii="宋体" w:hAnsi="宋体" w:cs="宋体"/>
                <w:bCs/>
                <w:color w:val="auto"/>
                <w:sz w:val="24"/>
              </w:rPr>
              <w:t>项</w:t>
            </w:r>
          </w:p>
        </w:tc>
        <w:tc>
          <w:tcPr>
            <w:tcW w:w="1302" w:type="dxa"/>
            <w:vAlign w:val="center"/>
          </w:tcPr>
          <w:p>
            <w:pPr>
              <w:tabs>
                <w:tab w:val="left" w:pos="8280"/>
              </w:tabs>
              <w:autoSpaceDE w:val="0"/>
              <w:autoSpaceDN w:val="0"/>
              <w:adjustRightInd w:val="0"/>
              <w:ind w:right="25"/>
              <w:jc w:val="center"/>
              <w:rPr>
                <w:rFonts w:hint="eastAsia" w:ascii="宋体" w:hAnsi="宋体" w:eastAsia="宋体" w:cs="宋体"/>
                <w:bCs/>
                <w:color w:val="auto"/>
                <w:sz w:val="24"/>
                <w:lang w:val="en-US" w:eastAsia="zh-CN"/>
              </w:rPr>
            </w:pPr>
            <w:r>
              <w:rPr>
                <w:rFonts w:hint="eastAsia" w:asciiTheme="minorEastAsia" w:hAnsiTheme="minorEastAsia"/>
                <w:color w:val="auto"/>
                <w:sz w:val="24"/>
                <w:lang w:val="en-US" w:eastAsia="zh-CN"/>
              </w:rPr>
              <w:t>1300</w:t>
            </w:r>
          </w:p>
        </w:tc>
        <w:tc>
          <w:tcPr>
            <w:tcW w:w="1324" w:type="dxa"/>
            <w:vAlign w:val="center"/>
          </w:tcPr>
          <w:p>
            <w:pPr>
              <w:tabs>
                <w:tab w:val="left" w:pos="8280"/>
              </w:tabs>
              <w:autoSpaceDE w:val="0"/>
              <w:autoSpaceDN w:val="0"/>
              <w:adjustRightInd w:val="0"/>
              <w:ind w:right="25"/>
              <w:jc w:val="center"/>
              <w:rPr>
                <w:rFonts w:ascii="宋体" w:hAnsi="宋体" w:cs="宋体"/>
                <w:bCs/>
                <w:color w:val="auto"/>
                <w:sz w:val="24"/>
              </w:rPr>
            </w:pPr>
            <w:r>
              <w:rPr>
                <w:rFonts w:asciiTheme="minorEastAsia" w:hAnsiTheme="minorEastAsia"/>
                <w:color w:val="auto"/>
                <w:sz w:val="24"/>
              </w:rPr>
              <w:t>1229</w:t>
            </w:r>
          </w:p>
        </w:tc>
        <w:tc>
          <w:tcPr>
            <w:tcW w:w="1293" w:type="dxa"/>
            <w:vAlign w:val="center"/>
          </w:tcPr>
          <w:p>
            <w:pPr>
              <w:tabs>
                <w:tab w:val="left" w:pos="8280"/>
              </w:tabs>
              <w:autoSpaceDE w:val="0"/>
              <w:autoSpaceDN w:val="0"/>
              <w:adjustRightInd w:val="0"/>
              <w:jc w:val="center"/>
              <w:rPr>
                <w:rFonts w:ascii="宋体" w:hAnsi="宋体" w:cs="宋体"/>
                <w:bCs/>
                <w:color w:val="auto"/>
                <w:sz w:val="24"/>
              </w:rPr>
            </w:pPr>
            <w:r>
              <w:rPr>
                <w:rFonts w:hint="eastAsia" w:ascii="宋体" w:hAnsi="宋体"/>
                <w:bCs/>
                <w:color w:val="auto"/>
                <w:sz w:val="24"/>
              </w:rPr>
              <w:t>合同签订后</w:t>
            </w:r>
            <w:r>
              <w:rPr>
                <w:rFonts w:ascii="宋体" w:hAnsi="宋体"/>
                <w:bCs/>
                <w:color w:val="auto"/>
                <w:sz w:val="24"/>
              </w:rPr>
              <w:t>3</w:t>
            </w:r>
            <w:r>
              <w:rPr>
                <w:rFonts w:hint="eastAsia" w:ascii="宋体" w:hAnsi="宋体"/>
                <w:bCs/>
                <w:color w:val="auto"/>
                <w:sz w:val="24"/>
              </w:rPr>
              <w:t>个月内交付部署试运营</w:t>
            </w:r>
          </w:p>
        </w:tc>
      </w:tr>
    </w:tbl>
    <w:p>
      <w:pPr>
        <w:tabs>
          <w:tab w:val="left" w:pos="8280"/>
        </w:tabs>
        <w:autoSpaceDE w:val="0"/>
        <w:autoSpaceDN w:val="0"/>
        <w:adjustRightInd w:val="0"/>
        <w:spacing w:line="360" w:lineRule="auto"/>
        <w:ind w:firstLine="482" w:firstLineChars="200"/>
        <w:rPr>
          <w:rFonts w:ascii="宋体" w:hAnsi="宋体" w:cs="宋体"/>
          <w:b/>
          <w:color w:val="auto"/>
          <w:sz w:val="24"/>
        </w:rPr>
      </w:pPr>
      <w:r>
        <w:rPr>
          <w:rFonts w:hint="eastAsia" w:ascii="宋体" w:hAnsi="宋体" w:cs="宋体"/>
          <w:b/>
          <w:color w:val="auto"/>
          <w:sz w:val="24"/>
        </w:rPr>
        <w:t>二、技术需求</w:t>
      </w:r>
    </w:p>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 xml:space="preserve">（一）建设背景 </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 xml:space="preserve">通过台州市一体化智能化公共数据平台（数据资源体系）的建设，完善全市统一的数据资源目录，优化数据供需对接，提高数据归集的时效性、完整性和可靠性，提升数据共享保障能力和效率，进一步巩固台州市一体化智能化公共数据平台的数据安全防护能力。根据业务需求对数据仓不断进行迭代更新，全面保障专题库数据的完整性、准确性、及时性，长效支撑数字化改革应用。 </w:t>
      </w:r>
    </w:p>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（二）建设规模</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项目建设覆盖市本级和县（市）区。建设1套市县一体的公共数据平台。涉及县（市）区共享专区、开放专区建设，以及市县两级公共数据仓、数字化改革任务仓和专题库服务。</w:t>
      </w:r>
    </w:p>
    <w:p>
      <w:pPr>
        <w:pStyle w:val="10"/>
        <w:numPr>
          <w:ilvl w:val="0"/>
          <w:numId w:val="9"/>
        </w:numPr>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建设内容</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台州市一体化智能化公共数据平台（数据资源体系）具体建设内容主要为数据资源体系建设，具体包括公共数据基础域、公共数据共享域、公共数据开放域、公共数据安全域、数据N仓服务等内容。</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公共数据基础域包括数据资源目录升级、数据治理升级、统一用户体系升级和统计分析等内容。</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公共数据共享域包括对接IRS资源管理系统、区县专区建设及服务、日志分析系统等内容。</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公共数据开放域包括开放平台（企业侧）建设、开放平台（运营侧）建设、数据授权系统建设、数据沙箱系统建设、开放门户升级、开放门户管理端建设和区县开放专区建设。</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公共数据安全域包括公共数据入侵防御系统建设、数据安全态势感知系统升级、数据防泄漏系统建设、数据安全运营服务、数据分级分类服务等内容。</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数据N仓服务：一体化数据仓管理平台服务、数据仓服务、数据专题库建设服务、数据治理服务、数据归集服务、数据运维服务等内容。</w:t>
      </w:r>
    </w:p>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 xml:space="preserve">（四）项目采购清单 </w:t>
      </w:r>
    </w:p>
    <w:tbl>
      <w:tblPr>
        <w:tblStyle w:val="25"/>
        <w:tblW w:w="7223" w:type="dxa"/>
        <w:jc w:val="center"/>
        <w:tblInd w:w="0" w:type="dxa"/>
        <w:tblLayout w:type="fixed"/>
        <w:tblCellMar>
          <w:top w:w="0" w:type="dxa"/>
          <w:left w:w="108" w:type="dxa"/>
          <w:bottom w:w="0" w:type="dxa"/>
          <w:right w:w="108" w:type="dxa"/>
        </w:tblCellMar>
      </w:tblPr>
      <w:tblGrid>
        <w:gridCol w:w="924"/>
        <w:gridCol w:w="4235"/>
        <w:gridCol w:w="1029"/>
        <w:gridCol w:w="1035"/>
      </w:tblGrid>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序号</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建设内容</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单位</w:t>
            </w:r>
          </w:p>
        </w:tc>
      </w:tr>
      <w:tr>
        <w:tblPrEx>
          <w:tblLayout w:type="fixed"/>
          <w:tblCellMar>
            <w:top w:w="0" w:type="dxa"/>
            <w:left w:w="108" w:type="dxa"/>
            <w:bottom w:w="0" w:type="dxa"/>
            <w:right w:w="108" w:type="dxa"/>
          </w:tblCellMar>
        </w:tblPrEx>
        <w:trPr>
          <w:trHeight w:val="280" w:hRule="atLeast"/>
          <w:jc w:val="center"/>
        </w:trPr>
        <w:tc>
          <w:tcPr>
            <w:tcW w:w="7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一、公共数据基础域</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数据资源目录升级</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数据治理升级</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统一用户体系升级</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统计分析</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w:t>
            </w:r>
          </w:p>
        </w:tc>
      </w:tr>
      <w:tr>
        <w:tblPrEx>
          <w:tblLayout w:type="fixed"/>
          <w:tblCellMar>
            <w:top w:w="0" w:type="dxa"/>
            <w:left w:w="108" w:type="dxa"/>
            <w:bottom w:w="0" w:type="dxa"/>
            <w:right w:w="108" w:type="dxa"/>
          </w:tblCellMar>
        </w:tblPrEx>
        <w:trPr>
          <w:trHeight w:val="280" w:hRule="atLeast"/>
          <w:jc w:val="center"/>
        </w:trPr>
        <w:tc>
          <w:tcPr>
            <w:tcW w:w="7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二、公共数据共享域</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对接IRS资源管理系统</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区县专区建设及服务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42"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日志分析系统</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7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三、公共数据开放域</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开放平台（企业侧）</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开放平台（运营侧）</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数据授权系统</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9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数据沙箱系统</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开放门户升级</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开放门户管理端建设</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区县开放专区建设</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7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四、公共数据安全域</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sz w:val="24"/>
              </w:rPr>
              <w:t>公共数据入侵防御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sz w:val="24"/>
              </w:rPr>
              <w:t>数据防泄漏系统建设</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ascii="宋体" w:hAnsi="宋体" w:cs="宋体"/>
                <w:color w:val="auto"/>
                <w:kern w:val="0"/>
                <w:sz w:val="24"/>
                <w:lang w:bidi="ar"/>
              </w:rPr>
              <w:t>3</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数据安全态势感知升级</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ascii="宋体" w:hAnsi="宋体" w:cs="宋体"/>
                <w:color w:val="auto"/>
                <w:kern w:val="0"/>
                <w:sz w:val="24"/>
                <w:lang w:bidi="ar"/>
              </w:rPr>
              <w:t>4</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数据分级分类服务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套</w:t>
            </w:r>
          </w:p>
        </w:tc>
      </w:tr>
      <w:tr>
        <w:tblPrEx>
          <w:tblLayout w:type="fixed"/>
          <w:tblCellMar>
            <w:top w:w="0" w:type="dxa"/>
            <w:left w:w="108" w:type="dxa"/>
            <w:bottom w:w="0" w:type="dxa"/>
            <w:right w:w="108" w:type="dxa"/>
          </w:tblCellMar>
        </w:tblPrEx>
        <w:trPr>
          <w:trHeight w:val="280" w:hRule="atLeast"/>
          <w:jc w:val="center"/>
        </w:trPr>
        <w:tc>
          <w:tcPr>
            <w:tcW w:w="7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五、数据N仓</w:t>
            </w:r>
          </w:p>
        </w:tc>
      </w:tr>
      <w:tr>
        <w:tblPrEx>
          <w:tblLayout w:type="fixed"/>
          <w:tblCellMar>
            <w:top w:w="0" w:type="dxa"/>
            <w:left w:w="108" w:type="dxa"/>
            <w:bottom w:w="0" w:type="dxa"/>
            <w:right w:w="108" w:type="dxa"/>
          </w:tblCellMar>
        </w:tblPrEx>
        <w:trPr>
          <w:trHeight w:val="9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数据管理服务（提供一年的</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一体化数据仓管理服务。）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w:t>
            </w:r>
          </w:p>
        </w:tc>
      </w:tr>
      <w:tr>
        <w:tblPrEx>
          <w:tblLayout w:type="fixed"/>
          <w:tblCellMar>
            <w:top w:w="0" w:type="dxa"/>
            <w:left w:w="108" w:type="dxa"/>
            <w:bottom w:w="0" w:type="dxa"/>
            <w:right w:w="108" w:type="dxa"/>
          </w:tblCellMar>
        </w:tblPrEx>
        <w:trPr>
          <w:trHeight w:val="9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数据仓服务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w:t>
            </w:r>
          </w:p>
        </w:tc>
      </w:tr>
      <w:tr>
        <w:tblPrEx>
          <w:tblLayout w:type="fixed"/>
          <w:tblCellMar>
            <w:top w:w="0" w:type="dxa"/>
            <w:left w:w="108" w:type="dxa"/>
            <w:bottom w:w="0" w:type="dxa"/>
            <w:right w:w="108" w:type="dxa"/>
          </w:tblCellMar>
        </w:tblPrEx>
        <w:trPr>
          <w:trHeight w:val="305"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数据运维服务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数据治理服务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专题库建设服务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w:t>
            </w:r>
          </w:p>
        </w:tc>
      </w:tr>
      <w:tr>
        <w:tblPrEx>
          <w:tblLayout w:type="fixed"/>
          <w:tblCellMar>
            <w:top w:w="0" w:type="dxa"/>
            <w:left w:w="108" w:type="dxa"/>
            <w:bottom w:w="0" w:type="dxa"/>
            <w:right w:w="108" w:type="dxa"/>
          </w:tblCellMar>
        </w:tblPrEx>
        <w:trPr>
          <w:trHeight w:val="280"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w:t>
            </w:r>
          </w:p>
        </w:tc>
        <w:tc>
          <w:tcPr>
            <w:tcW w:w="4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数据归集服务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w:t>
            </w:r>
          </w:p>
        </w:tc>
      </w:tr>
    </w:tbl>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（五）技术功能项</w:t>
      </w:r>
    </w:p>
    <w:tbl>
      <w:tblPr>
        <w:tblStyle w:val="25"/>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728"/>
        <w:gridCol w:w="1340"/>
        <w:gridCol w:w="1262"/>
        <w:gridCol w:w="2903"/>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496" w:type="dxa"/>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序号</w:t>
            </w:r>
          </w:p>
        </w:tc>
        <w:tc>
          <w:tcPr>
            <w:tcW w:w="728" w:type="dxa"/>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建设内容</w:t>
            </w:r>
          </w:p>
        </w:tc>
        <w:tc>
          <w:tcPr>
            <w:tcW w:w="1340" w:type="dxa"/>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模块</w:t>
            </w:r>
          </w:p>
        </w:tc>
        <w:tc>
          <w:tcPr>
            <w:tcW w:w="1262" w:type="dxa"/>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子模块</w:t>
            </w:r>
          </w:p>
        </w:tc>
        <w:tc>
          <w:tcPr>
            <w:tcW w:w="5458" w:type="dxa"/>
            <w:gridSpan w:val="2"/>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284" w:type="dxa"/>
            <w:gridSpan w:val="6"/>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1、公共数据基础域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496"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c>
          <w:tcPr>
            <w:tcW w:w="728"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数据资源目录升级</w:t>
            </w:r>
          </w:p>
        </w:tc>
        <w:tc>
          <w:tcPr>
            <w:tcW w:w="1340"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数据专区目录</w:t>
            </w:r>
          </w:p>
        </w:tc>
        <w:tc>
          <w:tcPr>
            <w:tcW w:w="1262"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开发县级公共数据目录逻辑门户</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开发县级公共数据目录逻辑门户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vMerge w:val="continue"/>
            <w:shd w:val="clear" w:color="auto" w:fill="auto"/>
            <w:vAlign w:val="center"/>
          </w:tcPr>
          <w:p>
            <w:pPr>
              <w:jc w:val="center"/>
              <w:rPr>
                <w:rFonts w:ascii="宋体" w:hAnsi="宋体" w:cs="宋体"/>
                <w:color w:val="auto"/>
                <w:sz w:val="24"/>
              </w:rPr>
            </w:pP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提供县级专区目录管理权限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引用上级信息系统</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提供区县单位引用省级、市级单位信息系统功能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引用上级数据目录</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提供区县单位引用省级、市级单位数据目录功能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县级专区展示、检索</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专区目录按照所属层级、主题分类展示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数据仓目录管理</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提供数据回流的标记功能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vMerge w:val="continue"/>
            <w:shd w:val="clear" w:color="auto" w:fill="auto"/>
            <w:vAlign w:val="center"/>
          </w:tcPr>
          <w:p>
            <w:pPr>
              <w:jc w:val="center"/>
              <w:rPr>
                <w:rFonts w:ascii="宋体" w:hAnsi="宋体" w:cs="宋体"/>
                <w:color w:val="auto"/>
                <w:sz w:val="24"/>
              </w:rPr>
            </w:pP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提供对应数据仓目录的展示与检索、展示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数据仓目录认领</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提供省级回流目录分发和市级目录下放分发功能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vMerge w:val="continue"/>
            <w:shd w:val="clear" w:color="auto" w:fill="auto"/>
            <w:vAlign w:val="center"/>
          </w:tcPr>
          <w:p>
            <w:pPr>
              <w:jc w:val="center"/>
              <w:rPr>
                <w:rFonts w:ascii="宋体" w:hAnsi="宋体" w:cs="宋体"/>
                <w:color w:val="auto"/>
                <w:sz w:val="24"/>
              </w:rPr>
            </w:pP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提供回流目录的认领功能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数据仓目录共享申请</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回流目录与数据对接。对接回流数据目录与归集平台归集数据的对接处理；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vMerge w:val="continue"/>
            <w:shd w:val="clear" w:color="auto" w:fill="auto"/>
            <w:vAlign w:val="center"/>
          </w:tcPr>
          <w:p>
            <w:pPr>
              <w:jc w:val="center"/>
              <w:rPr>
                <w:rFonts w:ascii="宋体" w:hAnsi="宋体" w:cs="宋体"/>
                <w:color w:val="auto"/>
                <w:sz w:val="24"/>
              </w:rPr>
            </w:pP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根据省市相关规定及实际需求，改造对回流数据的共享申请流程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一体化数字资源对接</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对接省一体化数字资源系统，实现数据资源开通、数据资源表单申请、数字资源编码等对接。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vMerge w:val="continue"/>
            <w:shd w:val="clear" w:color="auto" w:fill="auto"/>
            <w:vAlign w:val="center"/>
          </w:tcPr>
          <w:p>
            <w:pPr>
              <w:jc w:val="center"/>
              <w:rPr>
                <w:rFonts w:ascii="宋体" w:hAnsi="宋体" w:cs="宋体"/>
                <w:color w:val="auto"/>
                <w:sz w:val="24"/>
              </w:rPr>
            </w:pP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共享接口申请、批量数据授权、导出等表单对接。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数据标准管理系统</w:t>
            </w: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标准数据元库</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提供基础库及各部门共性的公共数据元梳理，规范公共数据元的标准，明确数据元的名称、定义、数据类型、数据长度、数据字段，建立标准数据元库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数据分类编码管理</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提供数据分类编码基本信息管理、标准导入、导出管理等功能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数据元管理</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数据元管理模块提供数据元信息管理、数据元的导入导出等功能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数据元标注功能</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提供对指标库中数据项进行数据元标注功能，根据数据元可检索到对应关联过的指标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数据标准比对功能</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提供对已标注数据元的指标数据项进行标准比对，通过比对查看数据项的标准率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数据目录治理服务</w:t>
            </w: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数据项标准化服务</w:t>
            </w:r>
          </w:p>
        </w:tc>
        <w:tc>
          <w:tcPr>
            <w:tcW w:w="2903"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针对台州市全市目录数据项，按照全省统一公共数据元规范，对历史数据项进行标准化处理</w:t>
            </w:r>
          </w:p>
        </w:tc>
        <w:tc>
          <w:tcPr>
            <w:tcW w:w="2555" w:type="dxa"/>
            <w:vMerge w:val="restart"/>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在提供上述两项的服务过程中，为方便工作对接，要求保证至少驻场1人，驻场时间为本项目开始至本项目验收。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数据质量检查服务</w:t>
            </w:r>
          </w:p>
        </w:tc>
        <w:tc>
          <w:tcPr>
            <w:tcW w:w="2903"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按照每月不少于5次的频率，根据省统一目录要求及考核要求对市县数据目录进行抽查，形成检查报告，包括存在问题、整改措施等。</w:t>
            </w:r>
          </w:p>
        </w:tc>
        <w:tc>
          <w:tcPr>
            <w:tcW w:w="2555" w:type="dxa"/>
            <w:vMerge w:val="continue"/>
            <w:shd w:val="clear" w:color="auto" w:fill="auto"/>
            <w:vAlign w:val="center"/>
          </w:tcPr>
          <w:p>
            <w:pPr>
              <w:widowControl/>
              <w:jc w:val="center"/>
              <w:textAlignment w:val="center"/>
              <w:rPr>
                <w:rFonts w:ascii="宋体" w:hAnsi="宋体" w:cs="宋体"/>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496"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c>
          <w:tcPr>
            <w:tcW w:w="728"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数据治理升级</w:t>
            </w:r>
          </w:p>
        </w:tc>
        <w:tc>
          <w:tcPr>
            <w:tcW w:w="1340" w:type="dxa"/>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省问题反馈系统对接</w:t>
            </w:r>
          </w:p>
        </w:tc>
        <w:tc>
          <w:tcPr>
            <w:tcW w:w="1262" w:type="dxa"/>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省问题反馈系统对接</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通过接口进行工单信息对接、文件上传等方式，完成省市数据问题反馈系统一体化对接，及时向省平台上报数据问题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数据可视化</w:t>
            </w: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数据可视化</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通过对问题反馈数据的统计分析，以时间、应用、区域、部门等指标为维度，对目前发现问题数量、处理问题数量情况进行可视化展示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数据工单系统</w:t>
            </w: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工单列表</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包含提交的工单、接收的工单、需分派的工单、需审核的工单等功能，实现从工单产生到工单分派、审核的全流程管理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工单总览</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工单总览通过列表的形式，对问题反馈系统中的所有问题数据整改工单进行了展示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工单统计</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工单统计功能按照数量、质量、异常、渠道四个维度，对登录人权限范围内的数据问题工单进行可视化展示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工单报告</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对本部门或多个部门的问题数据工单报告的类型、时间范围进行选择，生成并导出问题数据年报、月报、周报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联系人管理</w:t>
            </w: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联系人管理</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对每个部门数据质量管理负责人及分管领导进行管理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问题管理中心</w:t>
            </w: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流程管理</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数据处理的流程进行灵活配置、修改、启用、停用。制定数据质量评分模型，确保数据问题反馈闭环。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渠道管理</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查看已接入的应用系统及其网址、接入时间、接入状态应用系统负责人等详情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权限管理</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主要提供用户、角色管理功能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人员驻场</w:t>
            </w: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人员驻场服务</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提供人员驻场服务，实现与省级及区县部门数据治理问题对接。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496"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w:t>
            </w:r>
          </w:p>
        </w:tc>
        <w:tc>
          <w:tcPr>
            <w:tcW w:w="728"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统一用户体系升级</w:t>
            </w:r>
          </w:p>
        </w:tc>
        <w:tc>
          <w:tcPr>
            <w:tcW w:w="1340" w:type="dxa"/>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组织架构及人员信息获取</w:t>
            </w:r>
          </w:p>
        </w:tc>
        <w:tc>
          <w:tcPr>
            <w:tcW w:w="1262" w:type="dxa"/>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组织架构及人员信息获取</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通过全量获取的方式拉取组织架构及人员信息，采用实时更新的方式推送用户信息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restart"/>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统一身份认证对接</w:t>
            </w: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前端单点插件集成</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前端单点插件集成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后端单点用户信息解析</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后端单点用户信息解析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vMerge w:val="continue"/>
            <w:shd w:val="clear" w:color="auto" w:fill="auto"/>
            <w:vAlign w:val="center"/>
          </w:tcPr>
          <w:p>
            <w:pPr>
              <w:jc w:val="center"/>
              <w:rPr>
                <w:rFonts w:ascii="宋体" w:hAnsi="宋体" w:cs="宋体"/>
                <w:color w:val="auto"/>
                <w:sz w:val="24"/>
              </w:rPr>
            </w:pP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数据迁移</w:t>
            </w:r>
          </w:p>
        </w:tc>
        <w:tc>
          <w:tcPr>
            <w:tcW w:w="5458" w:type="dxa"/>
            <w:gridSpan w:val="2"/>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开发用户权限部门功能，给个人用户设置部门用户目录管理权限。将目录从原有的易和部门用户对应到idaas的用户上。在用户权限部门功能中根据部门提供的人员，配置用户权限部门。将与易和部门绑定的目录，切换到idaas部门上。用户用idaas账号登录，检查目录，查漏补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496" w:type="dxa"/>
            <w:vMerge w:val="continue"/>
            <w:shd w:val="clear" w:color="auto" w:fill="auto"/>
            <w:vAlign w:val="center"/>
          </w:tcPr>
          <w:p>
            <w:pPr>
              <w:widowControl/>
              <w:jc w:val="center"/>
              <w:textAlignment w:val="center"/>
              <w:rPr>
                <w:rFonts w:ascii="宋体" w:hAnsi="宋体" w:cs="宋体"/>
                <w:color w:val="auto"/>
                <w:sz w:val="24"/>
              </w:rPr>
            </w:pPr>
          </w:p>
        </w:tc>
        <w:tc>
          <w:tcPr>
            <w:tcW w:w="728" w:type="dxa"/>
            <w:vMerge w:val="continue"/>
            <w:shd w:val="clear" w:color="auto" w:fill="auto"/>
            <w:vAlign w:val="center"/>
          </w:tcPr>
          <w:p>
            <w:pPr>
              <w:jc w:val="center"/>
              <w:rPr>
                <w:rFonts w:ascii="宋体" w:hAnsi="宋体" w:cs="宋体"/>
                <w:color w:val="auto"/>
                <w:sz w:val="24"/>
              </w:rPr>
            </w:pPr>
          </w:p>
        </w:tc>
        <w:tc>
          <w:tcPr>
            <w:tcW w:w="1340"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共享域与IDaaS统一用户中心的对接</w:t>
            </w:r>
          </w:p>
        </w:tc>
        <w:tc>
          <w:tcPr>
            <w:tcW w:w="1262" w:type="dxa"/>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与IDaaS统一用户中心的对接</w:t>
            </w:r>
          </w:p>
        </w:tc>
        <w:tc>
          <w:tcPr>
            <w:tcW w:w="5458" w:type="dxa"/>
            <w:gridSpan w:val="2"/>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共享域将完成与IDaaS统一用户中心的对接工作；获取易和与浙政钉用户关联关系，与部门确认更新关联关系。同时，针对历史用户数据，做好数据映射，本地数据存储易和ID、浙政钉ID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96"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w:t>
            </w:r>
          </w:p>
        </w:tc>
        <w:tc>
          <w:tcPr>
            <w:tcW w:w="728"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统计分析</w:t>
            </w:r>
          </w:p>
        </w:tc>
        <w:tc>
          <w:tcPr>
            <w:tcW w:w="1340"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统计分析</w:t>
            </w:r>
          </w:p>
        </w:tc>
        <w:tc>
          <w:tcPr>
            <w:tcW w:w="1262" w:type="dxa"/>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sz w:val="24"/>
              </w:rPr>
              <w:t>统计分析</w:t>
            </w:r>
          </w:p>
        </w:tc>
        <w:tc>
          <w:tcPr>
            <w:tcW w:w="5458" w:type="dxa"/>
            <w:gridSpan w:val="2"/>
            <w:shd w:val="clear" w:color="auto" w:fill="auto"/>
            <w:vAlign w:val="center"/>
          </w:tcPr>
          <w:p>
            <w:pPr>
              <w:widowControl/>
              <w:jc w:val="center"/>
              <w:textAlignment w:val="center"/>
              <w:rPr>
                <w:rFonts w:ascii="宋体" w:hAnsi="宋体" w:cs="宋体"/>
                <w:b/>
                <w:bCs/>
                <w:color w:val="auto"/>
                <w:kern w:val="0"/>
                <w:sz w:val="24"/>
                <w:lang w:bidi="ar"/>
              </w:rPr>
            </w:pPr>
            <w:r>
              <w:rPr>
                <w:rFonts w:hint="eastAsia" w:ascii="宋体" w:hAnsi="宋体" w:cs="宋体"/>
                <w:color w:val="auto"/>
                <w:kern w:val="0"/>
                <w:sz w:val="24"/>
                <w:lang w:bidi="ar"/>
              </w:rPr>
              <w:t>通过对省回流目录、本地目录、数据接口数据的统计分析，对目前台州市各县、市（区）目录数量情况进行可视化展示；以时间、部门、目录为维度，展现目录归集率、接口调用量、部门调用量、开放数据量、汇聚数据总数等情况；通过对数据归集过程的监控，对目前台州市一体化智能化公共数据平台归集全流程进行可视化展示；以时间、地区、部门、目录为维度，展现目录归集率、日归集数据量、市本级部门数据量排名、汇聚数据总数、月归集数据量、区县归集数据量等情况；通过多维度的统计分析</w:t>
            </w:r>
          </w:p>
        </w:tc>
      </w:tr>
    </w:tbl>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2、公共数据共享域</w:t>
      </w:r>
    </w:p>
    <w:tbl>
      <w:tblPr>
        <w:tblStyle w:val="25"/>
        <w:tblW w:w="9284" w:type="dxa"/>
        <w:tblInd w:w="0" w:type="dxa"/>
        <w:tblLayout w:type="fixed"/>
        <w:tblCellMar>
          <w:top w:w="0" w:type="dxa"/>
          <w:left w:w="108" w:type="dxa"/>
          <w:bottom w:w="0" w:type="dxa"/>
          <w:right w:w="108" w:type="dxa"/>
        </w:tblCellMar>
      </w:tblPr>
      <w:tblGrid>
        <w:gridCol w:w="338"/>
        <w:gridCol w:w="954"/>
        <w:gridCol w:w="954"/>
        <w:gridCol w:w="954"/>
        <w:gridCol w:w="6084"/>
      </w:tblGrid>
      <w:tr>
        <w:tblPrEx>
          <w:tblLayout w:type="fixed"/>
          <w:tblCellMar>
            <w:top w:w="0" w:type="dxa"/>
            <w:left w:w="108" w:type="dxa"/>
            <w:bottom w:w="0" w:type="dxa"/>
            <w:right w:w="108" w:type="dxa"/>
          </w:tblCellMar>
        </w:tblPrEx>
        <w:trPr>
          <w:trHeight w:val="285" w:hRule="atLeast"/>
        </w:trPr>
        <w:tc>
          <w:tcPr>
            <w:tcW w:w="92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2、公共数据共享域</w:t>
            </w:r>
          </w:p>
        </w:tc>
      </w:tr>
      <w:tr>
        <w:tblPrEx>
          <w:tblLayout w:type="fixed"/>
          <w:tblCellMar>
            <w:top w:w="0" w:type="dxa"/>
            <w:left w:w="108" w:type="dxa"/>
            <w:bottom w:w="0" w:type="dxa"/>
            <w:right w:w="108" w:type="dxa"/>
          </w:tblCellMar>
        </w:tblPrEx>
        <w:trPr>
          <w:trHeight w:val="937" w:hRule="atLeast"/>
        </w:trPr>
        <w:tc>
          <w:tcPr>
            <w:tcW w:w="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对接IRS资源管理系统</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对接IRS资源管理系统</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对接IRS资源管理系统</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由台州市级公共数据服务平台负责对接IRS【数据资源开通通知接口】，统一接收IRS完成数据审批后向对应的数据资源平台发送IRS流程单编码和应用ID</w:t>
            </w:r>
          </w:p>
        </w:tc>
      </w:tr>
      <w:tr>
        <w:tblPrEx>
          <w:tblLayout w:type="fixed"/>
          <w:tblCellMar>
            <w:top w:w="0" w:type="dxa"/>
            <w:left w:w="108" w:type="dxa"/>
            <w:bottom w:w="0" w:type="dxa"/>
            <w:right w:w="108" w:type="dxa"/>
          </w:tblCellMar>
        </w:tblPrEx>
        <w:trPr>
          <w:trHeight w:val="285" w:hRule="atLeast"/>
        </w:trPr>
        <w:tc>
          <w:tcPr>
            <w:tcW w:w="33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区县专区建设及服务</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用户权限管理升级</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可视化分区</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可视化分区增加区县权限</w:t>
            </w:r>
          </w:p>
        </w:tc>
      </w:tr>
      <w:tr>
        <w:tblPrEx>
          <w:tblLayout w:type="fixed"/>
          <w:tblCellMar>
            <w:top w:w="0" w:type="dxa"/>
            <w:left w:w="108" w:type="dxa"/>
            <w:bottom w:w="0" w:type="dxa"/>
            <w:right w:w="108" w:type="dxa"/>
          </w:tblCellMar>
        </w:tblPrEx>
        <w:trPr>
          <w:trHeight w:val="28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共享市场分区</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共享市场分区增加区县权限</w:t>
            </w:r>
          </w:p>
        </w:tc>
      </w:tr>
      <w:tr>
        <w:tblPrEx>
          <w:tblLayout w:type="fixed"/>
          <w:tblCellMar>
            <w:top w:w="0" w:type="dxa"/>
            <w:left w:w="108" w:type="dxa"/>
            <w:bottom w:w="0" w:type="dxa"/>
            <w:right w:w="108" w:type="dxa"/>
          </w:tblCellMar>
        </w:tblPrEx>
        <w:trPr>
          <w:trHeight w:val="28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应用管控权限</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应用管控权限增加区县权限</w:t>
            </w:r>
          </w:p>
        </w:tc>
      </w:tr>
      <w:tr>
        <w:tblPrEx>
          <w:tblLayout w:type="fixed"/>
          <w:tblCellMar>
            <w:top w:w="0" w:type="dxa"/>
            <w:left w:w="108" w:type="dxa"/>
            <w:bottom w:w="0" w:type="dxa"/>
            <w:right w:w="108" w:type="dxa"/>
          </w:tblCellMar>
        </w:tblPrEx>
        <w:trPr>
          <w:trHeight w:val="28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接口服务审批权</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接口服务审批权增加区县权限</w:t>
            </w:r>
          </w:p>
        </w:tc>
      </w:tr>
      <w:tr>
        <w:tblPrEx>
          <w:tblLayout w:type="fixed"/>
          <w:tblCellMar>
            <w:top w:w="0" w:type="dxa"/>
            <w:left w:w="108" w:type="dxa"/>
            <w:bottom w:w="0" w:type="dxa"/>
            <w:right w:w="108" w:type="dxa"/>
          </w:tblCellMar>
        </w:tblPrEx>
        <w:trPr>
          <w:trHeight w:val="28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安全检测权限</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安全检测权限增加区县权限</w:t>
            </w:r>
          </w:p>
        </w:tc>
      </w:tr>
      <w:tr>
        <w:tblPrEx>
          <w:tblLayout w:type="fixed"/>
          <w:tblCellMar>
            <w:top w:w="0" w:type="dxa"/>
            <w:left w:w="108" w:type="dxa"/>
            <w:bottom w:w="0" w:type="dxa"/>
            <w:right w:w="108" w:type="dxa"/>
          </w:tblCellMar>
        </w:tblPrEx>
        <w:trPr>
          <w:trHeight w:val="872"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区县共享技术实施服务</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接口开发</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接口开发服务是基于区县业务部门提出的明确且具体的接口需求，将数据治理后产生的优质数据及专题库内的专题数据开发成接口，注册到台州市数据共享平台上。</w:t>
            </w:r>
          </w:p>
        </w:tc>
      </w:tr>
      <w:tr>
        <w:tblPrEx>
          <w:tblLayout w:type="fixed"/>
          <w:tblCellMar>
            <w:top w:w="0" w:type="dxa"/>
            <w:left w:w="108" w:type="dxa"/>
            <w:bottom w:w="0" w:type="dxa"/>
            <w:right w:w="108" w:type="dxa"/>
          </w:tblCellMar>
        </w:tblPrEx>
        <w:trPr>
          <w:trHeight w:val="942"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接口注册</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将已开发的接口注册到台州市数据共享平台区县专区上。由台州市数据共享平台作为区县公共数据的统一出口，实现数据在部门间、应用内的安全流转。</w:t>
            </w:r>
          </w:p>
        </w:tc>
      </w:tr>
      <w:tr>
        <w:tblPrEx>
          <w:tblLayout w:type="fixed"/>
          <w:tblCellMar>
            <w:top w:w="0" w:type="dxa"/>
            <w:left w:w="108" w:type="dxa"/>
            <w:bottom w:w="0" w:type="dxa"/>
            <w:right w:w="108" w:type="dxa"/>
          </w:tblCellMar>
        </w:tblPrEx>
        <w:trPr>
          <w:trHeight w:val="1181"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接口申请</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根据区县各级业务部门数据使用需求，协助各部门进行接口使用材料的准备，主要包括接口使用申请填写讲解、初步判断接口使用申请是否合规，接口使用申请通过后的接口封装、接口配置等</w:t>
            </w:r>
          </w:p>
        </w:tc>
      </w:tr>
      <w:tr>
        <w:tblPrEx>
          <w:tblLayout w:type="fixed"/>
          <w:tblCellMar>
            <w:top w:w="0" w:type="dxa"/>
            <w:left w:w="108" w:type="dxa"/>
            <w:bottom w:w="0" w:type="dxa"/>
            <w:right w:w="108" w:type="dxa"/>
          </w:tblCellMar>
        </w:tblPrEx>
        <w:trPr>
          <w:trHeight w:val="85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接口审批</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在区县专区建设规划中提供接口审批服务，根据受限接口和非受限接口申请情况分别建立相应审批流程</w:t>
            </w:r>
          </w:p>
        </w:tc>
      </w:tr>
      <w:tr>
        <w:tblPrEx>
          <w:tblLayout w:type="fixed"/>
          <w:tblCellMar>
            <w:top w:w="0" w:type="dxa"/>
            <w:left w:w="108" w:type="dxa"/>
            <w:bottom w:w="0" w:type="dxa"/>
            <w:right w:w="108" w:type="dxa"/>
          </w:tblCellMar>
        </w:tblPrEx>
        <w:trPr>
          <w:trHeight w:val="838" w:hRule="atLeast"/>
        </w:trPr>
        <w:tc>
          <w:tcPr>
            <w:tcW w:w="33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接口应用统计</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提供接口应用统计服务，对区县专区接口共享服务情况进行统计，包括接口调用量、接口申请审批办理实效性、接口应用服务场景等进行统计</w:t>
            </w:r>
          </w:p>
        </w:tc>
      </w:tr>
      <w:tr>
        <w:tblPrEx>
          <w:tblLayout w:type="fixed"/>
          <w:tblCellMar>
            <w:top w:w="0" w:type="dxa"/>
            <w:left w:w="108" w:type="dxa"/>
            <w:bottom w:w="0" w:type="dxa"/>
            <w:right w:w="108" w:type="dxa"/>
          </w:tblCellMar>
        </w:tblPrEx>
        <w:trPr>
          <w:trHeight w:val="1258" w:hRule="atLeast"/>
        </w:trPr>
        <w:tc>
          <w:tcPr>
            <w:tcW w:w="33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日志分析系统</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分析规则梳理</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分析规则梳理</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分析规则梳理.异常调用分析以被调用的接口为主线，主要从日调用量、非工作时间调用、瞬时调用三个时间维度对应用对应接口的异常调用进行分析；敏感调用分析。主要从接口的敏感等级以及从接口出参中的敏感数据两个角度进行分析。</w:t>
            </w:r>
          </w:p>
        </w:tc>
      </w:tr>
      <w:tr>
        <w:tblPrEx>
          <w:tblLayout w:type="fixed"/>
          <w:tblCellMar>
            <w:top w:w="0" w:type="dxa"/>
            <w:left w:w="108" w:type="dxa"/>
            <w:bottom w:w="0" w:type="dxa"/>
            <w:right w:w="108" w:type="dxa"/>
          </w:tblCellMar>
        </w:tblPrEx>
        <w:trPr>
          <w:trHeight w:val="1139"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模型搭建</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模型搭建</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针对异常分析规则进行模型搭建，包含异常调用分析模型、敏感调用分析模型两大类。异常调用分析模型的底层异常指标主要分为异常调用量、非工作时间调用、敏感调用分析三大类。敏感调用分析模型主要针对个人信息进行安全分级评估，并对接口进行敏感等级标注。</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规则管理</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规则管理</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规则列表进行检索、规则配置和对不适用规则的应用进行增删改查操</w:t>
            </w:r>
          </w:p>
        </w:tc>
      </w:tr>
      <w:tr>
        <w:tblPrEx>
          <w:tblLayout w:type="fixed"/>
          <w:tblCellMar>
            <w:top w:w="0" w:type="dxa"/>
            <w:left w:w="108" w:type="dxa"/>
            <w:bottom w:w="0" w:type="dxa"/>
            <w:right w:w="108" w:type="dxa"/>
          </w:tblCellMar>
        </w:tblPrEx>
        <w:trPr>
          <w:trHeight w:val="672"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异常总览</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异常总览</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包含调用异常统计总量、报警情况统计、部门报警情况列表、报警应用明细</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异常分析</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异常分析</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由条件筛选、异常应用列表、查看详情等模块组成</w:t>
            </w:r>
          </w:p>
        </w:tc>
      </w:tr>
      <w:tr>
        <w:tblPrEx>
          <w:tblLayout w:type="fixed"/>
          <w:tblCellMar>
            <w:top w:w="0" w:type="dxa"/>
            <w:left w:w="108" w:type="dxa"/>
            <w:bottom w:w="0" w:type="dxa"/>
            <w:right w:w="108" w:type="dxa"/>
          </w:tblCellMar>
        </w:tblPrEx>
        <w:trPr>
          <w:trHeight w:val="522"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异常查询</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异常查询</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异常查询以调用时间异常、日调用量异常、瞬时调用异常、敏感信息调用</w:t>
            </w:r>
            <w:r>
              <w:rPr>
                <w:rFonts w:hint="eastAsia" w:ascii="宋体" w:hAnsi="宋体" w:cs="宋体"/>
                <w:color w:val="auto"/>
                <w:sz w:val="24"/>
              </w:rPr>
              <w:t>、调用阀域（IP）异常</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报警处理</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报警处理</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报警处理模块包括未处理列表功能和已处理列表功能</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日志查询</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日志查询</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系统将以列表的形式展示接口名称、调用应用、部门、appkey等信息</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日志服务</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日志服务</w:t>
            </w:r>
          </w:p>
        </w:tc>
        <w:tc>
          <w:tcPr>
            <w:tcW w:w="6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提供日志分析人工服务，包括分析、跟踪、整改督促等</w:t>
            </w:r>
          </w:p>
        </w:tc>
      </w:tr>
    </w:tbl>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kern w:val="0"/>
          <w:sz w:val="24"/>
          <w:lang w:bidi="ar"/>
        </w:rPr>
        <w:t>3、公共数据开放域</w:t>
      </w:r>
    </w:p>
    <w:tbl>
      <w:tblPr>
        <w:tblStyle w:val="25"/>
        <w:tblW w:w="9285" w:type="dxa"/>
        <w:tblInd w:w="0" w:type="dxa"/>
        <w:tblLayout w:type="fixed"/>
        <w:tblCellMar>
          <w:top w:w="0" w:type="dxa"/>
          <w:left w:w="108" w:type="dxa"/>
          <w:bottom w:w="0" w:type="dxa"/>
          <w:right w:w="108" w:type="dxa"/>
        </w:tblCellMar>
      </w:tblPr>
      <w:tblGrid>
        <w:gridCol w:w="338"/>
        <w:gridCol w:w="1037"/>
        <w:gridCol w:w="1315"/>
        <w:gridCol w:w="1315"/>
        <w:gridCol w:w="5280"/>
      </w:tblGrid>
      <w:tr>
        <w:tblPrEx>
          <w:tblLayout w:type="fixed"/>
          <w:tblCellMar>
            <w:top w:w="0" w:type="dxa"/>
            <w:left w:w="108" w:type="dxa"/>
            <w:bottom w:w="0" w:type="dxa"/>
            <w:right w:w="108" w:type="dxa"/>
          </w:tblCellMar>
        </w:tblPrEx>
        <w:trPr>
          <w:trHeight w:val="285" w:hRule="atLeast"/>
        </w:trPr>
        <w:tc>
          <w:tcPr>
            <w:tcW w:w="92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3、公共数据开放域</w:t>
            </w:r>
          </w:p>
        </w:tc>
      </w:tr>
      <w:tr>
        <w:tblPrEx>
          <w:tblLayout w:type="fixed"/>
          <w:tblCellMar>
            <w:top w:w="0" w:type="dxa"/>
            <w:left w:w="108" w:type="dxa"/>
            <w:bottom w:w="0" w:type="dxa"/>
            <w:right w:w="108" w:type="dxa"/>
          </w:tblCellMar>
        </w:tblPrEx>
        <w:trPr>
          <w:trHeight w:val="285" w:hRule="atLeast"/>
        </w:trPr>
        <w:tc>
          <w:tcPr>
            <w:tcW w:w="33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sz w:val="24"/>
              </w:rPr>
              <w:t>1</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开放平台（企业侧）建设</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sz w:val="24"/>
              </w:rPr>
              <w:t>数据开放实验室门户</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sz w:val="24"/>
              </w:rPr>
              <w:t>数据开放实验室门户</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sz w:val="24"/>
              </w:rPr>
              <w:t>数据开放实验室入口，展示数据开放平台简介、工作流程</w:t>
            </w:r>
          </w:p>
        </w:tc>
      </w:tr>
      <w:tr>
        <w:tblPrEx>
          <w:tblLayout w:type="fixed"/>
          <w:tblCellMar>
            <w:top w:w="0" w:type="dxa"/>
            <w:left w:w="108" w:type="dxa"/>
            <w:bottom w:w="0" w:type="dxa"/>
            <w:right w:w="108" w:type="dxa"/>
          </w:tblCellMar>
        </w:tblPrEx>
        <w:trPr>
          <w:trHeight w:val="28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auto"/>
                <w:sz w:val="24"/>
              </w:rPr>
            </w:pPr>
            <w:r>
              <w:rPr>
                <w:rFonts w:hint="eastAsia" w:ascii="宋体" w:hAnsi="宋体" w:cs="宋体"/>
                <w:color w:val="auto"/>
                <w:kern w:val="0"/>
                <w:sz w:val="24"/>
                <w:lang w:bidi="ar"/>
              </w:rPr>
              <w:t>注册登陆</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用户注册、登陆、认证</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4"/>
                <w:lang w:bidi="ar"/>
              </w:rPr>
            </w:pPr>
            <w:r>
              <w:rPr>
                <w:rFonts w:hint="eastAsia" w:ascii="宋体" w:hAnsi="宋体" w:cs="宋体"/>
                <w:color w:val="auto"/>
                <w:kern w:val="0"/>
                <w:sz w:val="24"/>
                <w:lang w:bidi="ar"/>
              </w:rPr>
              <w:t>支持合作方注册、登陆和密码找回及密码修改。</w:t>
            </w:r>
          </w:p>
        </w:tc>
      </w:tr>
      <w:tr>
        <w:tblPrEx>
          <w:tblLayout w:type="fixed"/>
          <w:tblCellMar>
            <w:top w:w="0" w:type="dxa"/>
            <w:left w:w="108" w:type="dxa"/>
            <w:bottom w:w="0" w:type="dxa"/>
            <w:right w:w="108" w:type="dxa"/>
          </w:tblCellMar>
        </w:tblPrEx>
        <w:trPr>
          <w:trHeight w:val="28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浙里办账号体系打通</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4"/>
                <w:lang w:bidi="ar"/>
              </w:rPr>
            </w:pPr>
            <w:r>
              <w:rPr>
                <w:rFonts w:hint="eastAsia" w:ascii="宋体" w:hAnsi="宋体" w:cs="宋体"/>
                <w:color w:val="auto"/>
                <w:kern w:val="0"/>
                <w:sz w:val="24"/>
                <w:lang w:bidi="ar"/>
              </w:rPr>
              <w:t>支持与浙里办合作方账号体系打通，支持浙里办的合作方账号登录</w:t>
            </w:r>
          </w:p>
        </w:tc>
      </w:tr>
      <w:tr>
        <w:tblPrEx>
          <w:tblLayout w:type="fixed"/>
          <w:tblCellMar>
            <w:top w:w="0" w:type="dxa"/>
            <w:left w:w="108" w:type="dxa"/>
            <w:bottom w:w="0" w:type="dxa"/>
            <w:right w:w="108" w:type="dxa"/>
          </w:tblCellMar>
        </w:tblPrEx>
        <w:trPr>
          <w:trHeight w:val="28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实名认证</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4"/>
                <w:lang w:bidi="ar"/>
              </w:rPr>
            </w:pPr>
            <w:r>
              <w:rPr>
                <w:rFonts w:hint="eastAsia" w:ascii="宋体" w:hAnsi="宋体" w:cs="宋体"/>
                <w:color w:val="auto"/>
                <w:kern w:val="0"/>
                <w:sz w:val="24"/>
                <w:lang w:bidi="ar"/>
              </w:rPr>
              <w:t>支持合作方实名认证（浙里办）</w:t>
            </w:r>
          </w:p>
        </w:tc>
      </w:tr>
      <w:tr>
        <w:tblPrEx>
          <w:tblLayout w:type="fixed"/>
          <w:tblCellMar>
            <w:top w:w="0" w:type="dxa"/>
            <w:left w:w="108" w:type="dxa"/>
            <w:bottom w:w="0" w:type="dxa"/>
            <w:right w:w="108" w:type="dxa"/>
          </w:tblCellMar>
        </w:tblPrEx>
        <w:trPr>
          <w:trHeight w:val="499"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数据资源申请</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数据资源申请</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支持合作方提交申请材料（“四个一”流程）、查看申请进度，反馈等</w:t>
            </w:r>
          </w:p>
        </w:tc>
      </w:tr>
      <w:tr>
        <w:tblPrEx>
          <w:tblLayout w:type="fixed"/>
          <w:tblCellMar>
            <w:top w:w="0" w:type="dxa"/>
            <w:left w:w="108" w:type="dxa"/>
            <w:bottom w:w="0" w:type="dxa"/>
            <w:right w:w="108" w:type="dxa"/>
          </w:tblCellMar>
        </w:tblPrEx>
        <w:trPr>
          <w:trHeight w:val="28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数据资源目录</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支持合作方查看数据资源目录</w:t>
            </w:r>
          </w:p>
        </w:tc>
      </w:tr>
      <w:tr>
        <w:tblPrEx>
          <w:tblLayout w:type="fixed"/>
          <w:tblCellMar>
            <w:top w:w="0" w:type="dxa"/>
            <w:left w:w="108" w:type="dxa"/>
            <w:bottom w:w="0" w:type="dxa"/>
            <w:right w:w="108" w:type="dxa"/>
          </w:tblCellMar>
        </w:tblPrEx>
        <w:trPr>
          <w:trHeight w:val="22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数据服务管理</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数据服务管理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支持合作方查看当前所有数据服务的基本信息、当前状态</w:t>
            </w:r>
          </w:p>
        </w:tc>
      </w:tr>
      <w:tr>
        <w:tblPrEx>
          <w:tblLayout w:type="fixed"/>
          <w:tblCellMar>
            <w:top w:w="0" w:type="dxa"/>
            <w:left w:w="108" w:type="dxa"/>
            <w:bottom w:w="0" w:type="dxa"/>
            <w:right w:w="108" w:type="dxa"/>
          </w:tblCellMar>
        </w:tblPrEx>
        <w:trPr>
          <w:trHeight w:val="499"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数据服务发布</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在数据服务开发完成后，提交发布数据服务申请，审批通过后完成数据服务的发布</w:t>
            </w:r>
          </w:p>
        </w:tc>
      </w:tr>
      <w:tr>
        <w:tblPrEx>
          <w:tblLayout w:type="fixed"/>
          <w:tblCellMar>
            <w:top w:w="0" w:type="dxa"/>
            <w:left w:w="108" w:type="dxa"/>
            <w:bottom w:w="0" w:type="dxa"/>
            <w:right w:w="108" w:type="dxa"/>
          </w:tblCellMar>
        </w:tblPrEx>
        <w:trPr>
          <w:trHeight w:val="19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平台用户管理</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子账号创建</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支持合作方管理员创建平台的子账号</w:t>
            </w:r>
          </w:p>
        </w:tc>
      </w:tr>
      <w:tr>
        <w:tblPrEx>
          <w:tblLayout w:type="fixed"/>
          <w:tblCellMar>
            <w:top w:w="0" w:type="dxa"/>
            <w:left w:w="108" w:type="dxa"/>
            <w:bottom w:w="0" w:type="dxa"/>
            <w:right w:w="108" w:type="dxa"/>
          </w:tblCellMar>
        </w:tblPrEx>
        <w:trPr>
          <w:trHeight w:val="341" w:hRule="atLeast"/>
        </w:trPr>
        <w:tc>
          <w:tcPr>
            <w:tcW w:w="33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子账号管理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支持合作方管理员管理平台的子账号</w:t>
            </w:r>
          </w:p>
        </w:tc>
      </w:tr>
      <w:tr>
        <w:tblPrEx>
          <w:tblLayout w:type="fixed"/>
          <w:tblCellMar>
            <w:top w:w="0" w:type="dxa"/>
            <w:left w:w="108" w:type="dxa"/>
            <w:bottom w:w="0" w:type="dxa"/>
            <w:right w:w="108" w:type="dxa"/>
          </w:tblCellMar>
        </w:tblPrEx>
        <w:trPr>
          <w:trHeight w:val="704" w:hRule="atLeast"/>
        </w:trPr>
        <w:tc>
          <w:tcPr>
            <w:tcW w:w="33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开放平台（运营侧）建设</w:t>
            </w: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合作方管理</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待审核合作方</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支持运营人员新增合作方、审核合作方的基本信息、通过合作方名称或联系人的相关信息查询待审核合作方的基本信息。</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合作方信息查询</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支持运营人员通过合作方名称、联系人信息查询合作方的基本信息</w:t>
            </w:r>
          </w:p>
        </w:tc>
      </w:tr>
      <w:tr>
        <w:tblPrEx>
          <w:tblLayout w:type="fixed"/>
          <w:tblCellMar>
            <w:top w:w="0" w:type="dxa"/>
            <w:left w:w="108" w:type="dxa"/>
            <w:bottom w:w="0" w:type="dxa"/>
            <w:right w:w="108" w:type="dxa"/>
          </w:tblCellMar>
        </w:tblPrEx>
        <w:trPr>
          <w:trHeight w:val="418"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合作方申请管理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提供合作方信息审核、管理、“四个一”申请材料审核、管理等功能。</w:t>
            </w:r>
          </w:p>
        </w:tc>
      </w:tr>
      <w:tr>
        <w:tblPrEx>
          <w:tblLayout w:type="fixed"/>
          <w:tblCellMar>
            <w:top w:w="0" w:type="dxa"/>
            <w:left w:w="108" w:type="dxa"/>
            <w:bottom w:w="0" w:type="dxa"/>
            <w:right w:w="108" w:type="dxa"/>
          </w:tblCellMar>
        </w:tblPrEx>
        <w:trPr>
          <w:trHeight w:val="461"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云资源账号维护</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支持运营人员在合作方数据资源申请审核通过后，维护ODPS相关云账号的信息，并与ODLAB的合作方做关联。</w:t>
            </w:r>
          </w:p>
        </w:tc>
      </w:tr>
      <w:tr>
        <w:tblPrEx>
          <w:tblLayout w:type="fixed"/>
          <w:tblCellMar>
            <w:top w:w="0" w:type="dxa"/>
            <w:left w:w="108" w:type="dxa"/>
            <w:bottom w:w="0" w:type="dxa"/>
            <w:right w:w="108" w:type="dxa"/>
          </w:tblCellMar>
        </w:tblPrEx>
        <w:trPr>
          <w:trHeight w:val="976"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服务上架管理</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数据服务创建</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在合作方完成数据服务开发，提交数据服务发布申请时使用。支持运营人员填写数据服务名称、类型、地址等信息，并由运营人员后台同步脚本至ODPS环境。</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数据服务展示</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在合作方完成数据开发，提交数据服务发布申请，经审批后，提供数据服务结果查看功能</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数据服务配置</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为运营人员提供数据服务生成API配置的工作流。</w:t>
            </w:r>
          </w:p>
        </w:tc>
      </w:tr>
      <w:tr>
        <w:tblPrEx>
          <w:tblLayout w:type="fixed"/>
          <w:tblCellMar>
            <w:top w:w="0" w:type="dxa"/>
            <w:left w:w="108" w:type="dxa"/>
            <w:bottom w:w="0" w:type="dxa"/>
            <w:right w:w="108" w:type="dxa"/>
          </w:tblCellMar>
        </w:tblPrEx>
        <w:trPr>
          <w:trHeight w:val="896"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数据服务发布</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选配，支持运营人员进行导出表的申请和实际导出表至RDS的操作。（如需以API形式发布至网关，则进行相应的数据服务上架网关的发布操作）</w:t>
            </w:r>
          </w:p>
        </w:tc>
      </w:tr>
      <w:tr>
        <w:tblPrEx>
          <w:tblLayout w:type="fixed"/>
          <w:tblCellMar>
            <w:top w:w="0" w:type="dxa"/>
            <w:left w:w="108" w:type="dxa"/>
            <w:bottom w:w="0" w:type="dxa"/>
            <w:right w:w="108" w:type="dxa"/>
          </w:tblCellMar>
        </w:tblPrEx>
        <w:trPr>
          <w:trHeight w:val="623"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资源管理</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数据资源对接</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1、公开数据、受限数据的目录快捷对接，并能经由运营人员确认是否纳入数据资源管理。经确认后，自动完成数据资源对接。2、开放域系统承接用户自有数据开放目录平台的对接。</w:t>
            </w:r>
          </w:p>
        </w:tc>
      </w:tr>
      <w:tr>
        <w:tblPrEx>
          <w:tblLayout w:type="fixed"/>
          <w:tblCellMar>
            <w:top w:w="0" w:type="dxa"/>
            <w:left w:w="108" w:type="dxa"/>
            <w:bottom w:w="0" w:type="dxa"/>
            <w:right w:w="108" w:type="dxa"/>
          </w:tblCellMar>
        </w:tblPrEx>
        <w:trPr>
          <w:trHeight w:val="714"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数据资源管理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使用图表、列表展示经由运营人员确认后的数据资源情况，包含且不限于基本信息、来源信息、数据更新状态、关联应用数量。</w:t>
            </w:r>
          </w:p>
        </w:tc>
      </w:tr>
      <w:tr>
        <w:tblPrEx>
          <w:tblLayout w:type="fixed"/>
          <w:tblCellMar>
            <w:top w:w="0" w:type="dxa"/>
            <w:left w:w="108" w:type="dxa"/>
            <w:bottom w:w="0" w:type="dxa"/>
            <w:right w:w="108" w:type="dxa"/>
          </w:tblCellMar>
        </w:tblPrEx>
        <w:trPr>
          <w:trHeight w:val="476"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网关管理</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应用关系维护</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提供应用及各类API关系维护功能，包含是否校验、是否限流、限流次数等</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应用日志</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各类应用API调用次数等应用日志查看，包括：调用次数等，并提供基础日志查询功能</w:t>
            </w:r>
          </w:p>
        </w:tc>
      </w:tr>
      <w:tr>
        <w:tblPrEx>
          <w:tblLayout w:type="fixed"/>
          <w:tblCellMar>
            <w:top w:w="0" w:type="dxa"/>
            <w:left w:w="108" w:type="dxa"/>
            <w:bottom w:w="0" w:type="dxa"/>
            <w:right w:w="108" w:type="dxa"/>
          </w:tblCellMar>
        </w:tblPrEx>
        <w:trPr>
          <w:trHeight w:val="28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来源API</w:t>
            </w:r>
          </w:p>
        </w:tc>
        <w:tc>
          <w:tcPr>
            <w:tcW w:w="5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第三方来源支持多平台的鉴权逻辑维护，来源API将多平台的接口注册在网关上，出口API可以对来源API设置出口规则，包括映射关系，脱敏规则，限流规则等。网关提供基础的日志查询功能</w:t>
            </w:r>
          </w:p>
        </w:tc>
      </w:tr>
      <w:tr>
        <w:tblPrEx>
          <w:tblLayout w:type="fixed"/>
          <w:tblCellMar>
            <w:top w:w="0" w:type="dxa"/>
            <w:left w:w="108" w:type="dxa"/>
            <w:bottom w:w="0" w:type="dxa"/>
            <w:right w:w="108" w:type="dxa"/>
          </w:tblCellMar>
        </w:tblPrEx>
        <w:trPr>
          <w:trHeight w:val="28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出口API</w:t>
            </w:r>
          </w:p>
        </w:tc>
        <w:tc>
          <w:tcPr>
            <w:tcW w:w="5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r>
      <w:tr>
        <w:tblPrEx>
          <w:tblLayout w:type="fixed"/>
          <w:tblCellMar>
            <w:top w:w="0" w:type="dxa"/>
            <w:left w:w="108" w:type="dxa"/>
            <w:bottom w:w="0" w:type="dxa"/>
            <w:right w:w="108" w:type="dxa"/>
          </w:tblCellMar>
        </w:tblPrEx>
        <w:trPr>
          <w:trHeight w:val="28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第三方来源</w:t>
            </w:r>
          </w:p>
        </w:tc>
        <w:tc>
          <w:tcPr>
            <w:tcW w:w="5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r>
      <w:tr>
        <w:tblPrEx>
          <w:tblLayout w:type="fixed"/>
          <w:tblCellMar>
            <w:top w:w="0" w:type="dxa"/>
            <w:left w:w="108" w:type="dxa"/>
            <w:bottom w:w="0" w:type="dxa"/>
            <w:right w:w="108" w:type="dxa"/>
          </w:tblCellMar>
        </w:tblPrEx>
        <w:trPr>
          <w:trHeight w:val="28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API管理</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数据源管理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提供对多来源的数据源进行管理。</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API创建</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提供API数据服务生成功能，将多数据源的数据快速定义成API接口。</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脱敏管理</w:t>
            </w: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脱敏函数管理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定义脱敏函数的相关设置，针对不同的对象设置不同脱敏规则。</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定义脱敏函数，对存储的数据进行静态脱敏处理。</w:t>
            </w:r>
          </w:p>
        </w:tc>
      </w:tr>
      <w:tr>
        <w:tblPrEx>
          <w:tblLayout w:type="fixed"/>
          <w:tblCellMar>
            <w:top w:w="0" w:type="dxa"/>
            <w:left w:w="108" w:type="dxa"/>
            <w:bottom w:w="0" w:type="dxa"/>
            <w:right w:w="108" w:type="dxa"/>
          </w:tblCellMar>
        </w:tblPrEx>
        <w:trPr>
          <w:trHeight w:val="533"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用户权限管理</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用户管理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管理后台创建账号、分配角色，实现运营管理账号创建以及管理</w:t>
            </w:r>
          </w:p>
        </w:tc>
      </w:tr>
      <w:tr>
        <w:tblPrEx>
          <w:tblLayout w:type="fixed"/>
          <w:tblCellMar>
            <w:top w:w="0" w:type="dxa"/>
            <w:left w:w="108" w:type="dxa"/>
            <w:bottom w:w="0" w:type="dxa"/>
            <w:right w:w="108" w:type="dxa"/>
          </w:tblCellMar>
        </w:tblPrEx>
        <w:trPr>
          <w:trHeight w:val="772" w:hRule="atLeast"/>
        </w:trPr>
        <w:tc>
          <w:tcPr>
            <w:tcW w:w="33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权限管理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管理后台创建角色，分配页面访问权限、功能使用权限，支持对角色的编辑</w:t>
            </w:r>
          </w:p>
        </w:tc>
      </w:tr>
      <w:tr>
        <w:tblPrEx>
          <w:tblLayout w:type="fixed"/>
          <w:tblCellMar>
            <w:top w:w="0" w:type="dxa"/>
            <w:left w:w="108" w:type="dxa"/>
            <w:bottom w:w="0" w:type="dxa"/>
            <w:right w:w="108" w:type="dxa"/>
          </w:tblCellMar>
        </w:tblPrEx>
        <w:trPr>
          <w:trHeight w:val="657" w:hRule="atLeast"/>
        </w:trPr>
        <w:tc>
          <w:tcPr>
            <w:tcW w:w="33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数据授权系统建设</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个人数据授权系统（端）</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个人数据宝（端）</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提供数据宝授权端，可在浙里办/微信等多端上架应用。提供对接认证登陆、授权列表、档案中心（个人）等功能。实现受限开放数据的可用不可见。</w:t>
            </w:r>
          </w:p>
        </w:tc>
      </w:tr>
      <w:tr>
        <w:tblPrEx>
          <w:tblLayout w:type="fixed"/>
          <w:tblCellMar>
            <w:top w:w="0" w:type="dxa"/>
            <w:left w:w="108" w:type="dxa"/>
            <w:bottom w:w="0" w:type="dxa"/>
            <w:right w:w="108" w:type="dxa"/>
          </w:tblCellMar>
        </w:tblPrEx>
        <w:trPr>
          <w:trHeight w:val="564"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企业数据授权系统（端）</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企业数据宝（端）</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提供数据宝授权端，可在浙里办/微信等多端上架应用。提供对接认证登陆、授权列表、档案中心（企业）等功能。实现受限开放数据的可用不可见。</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数据授权管理模块</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授权场景配置</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配置授权场景，定义数据合作类型、授权模式、API数据包及管理授权场景下的合作方应用。</w:t>
            </w:r>
          </w:p>
        </w:tc>
      </w:tr>
      <w:tr>
        <w:tblPrEx>
          <w:tblLayout w:type="fixed"/>
          <w:tblCellMar>
            <w:top w:w="0" w:type="dxa"/>
            <w:left w:w="108" w:type="dxa"/>
            <w:bottom w:w="0" w:type="dxa"/>
            <w:right w:w="108" w:type="dxa"/>
          </w:tblCellMar>
        </w:tblPrEx>
        <w:trPr>
          <w:trHeight w:val="302"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授权模式配置</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配置授权的有效期或计次模式相关类型和参数。</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个档数据服务</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个档数据服务</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提供个档标准数据服务（以省开放域为准）</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企档数据服务</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企档数据服务</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提供企档标准数据服务（以省开放域为准）</w:t>
            </w:r>
          </w:p>
        </w:tc>
      </w:tr>
      <w:tr>
        <w:tblPrEx>
          <w:tblLayout w:type="fixed"/>
          <w:tblCellMar>
            <w:top w:w="0" w:type="dxa"/>
            <w:left w:w="108" w:type="dxa"/>
            <w:bottom w:w="0" w:type="dxa"/>
            <w:right w:w="108" w:type="dxa"/>
          </w:tblCellMar>
        </w:tblPrEx>
        <w:trPr>
          <w:trHeight w:val="570" w:hRule="atLeast"/>
        </w:trPr>
        <w:tc>
          <w:tcPr>
            <w:tcW w:w="33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数据沙箱系统建设</w:t>
            </w: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脱敏核心服务</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脱敏中间件</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结合网关，在出口API处调用脱敏服务，完成对接口参数的脱敏处理。</w:t>
            </w:r>
          </w:p>
        </w:tc>
      </w:tr>
      <w:tr>
        <w:tblPrEx>
          <w:tblLayout w:type="fixed"/>
          <w:tblCellMar>
            <w:top w:w="0" w:type="dxa"/>
            <w:left w:w="108" w:type="dxa"/>
            <w:bottom w:w="0" w:type="dxa"/>
            <w:right w:w="108" w:type="dxa"/>
          </w:tblCellMar>
        </w:tblPrEx>
        <w:trPr>
          <w:trHeight w:val="557"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脱敏工具箱</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在ODPS中，根据业务需求提供遮挡类、假名类、信息转换类等漂白函数。</w:t>
            </w:r>
          </w:p>
        </w:tc>
      </w:tr>
      <w:tr>
        <w:tblPrEx>
          <w:tblLayout w:type="fixed"/>
          <w:tblCellMar>
            <w:top w:w="0" w:type="dxa"/>
            <w:left w:w="108" w:type="dxa"/>
            <w:bottom w:w="0" w:type="dxa"/>
            <w:right w:w="108" w:type="dxa"/>
          </w:tblCellMar>
        </w:tblPrEx>
        <w:trPr>
          <w:trHeight w:val="533"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开发生产环境分离方案</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开发生产环境分离方案</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提供2套-4套环境标准分离方案可供选择。</w:t>
            </w:r>
          </w:p>
        </w:tc>
      </w:tr>
      <w:tr>
        <w:tblPrEx>
          <w:tblLayout w:type="fixed"/>
          <w:tblCellMar>
            <w:top w:w="0" w:type="dxa"/>
            <w:left w:w="108" w:type="dxa"/>
            <w:bottom w:w="0" w:type="dxa"/>
            <w:right w:w="108" w:type="dxa"/>
          </w:tblCellMar>
        </w:tblPrEx>
        <w:trPr>
          <w:trHeight w:val="381"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基础网关服务</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API接口及网关搭建</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搭建满足数据开放场景需求的API接口平台及对应的网关环境，</w:t>
            </w:r>
          </w:p>
        </w:tc>
      </w:tr>
      <w:tr>
        <w:tblPrEx>
          <w:tblLayout w:type="fixed"/>
          <w:tblCellMar>
            <w:top w:w="0" w:type="dxa"/>
            <w:left w:w="108" w:type="dxa"/>
            <w:bottom w:w="0" w:type="dxa"/>
            <w:right w:w="108" w:type="dxa"/>
          </w:tblCellMar>
        </w:tblPrEx>
        <w:trPr>
          <w:trHeight w:val="611"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数据接口打通发布</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数据沙箱的模型结果可以申请同步到RDS关系型数据库中，运维人员使用工具，将RDS的数据生成接口并注册到数据网关上</w:t>
            </w:r>
          </w:p>
        </w:tc>
      </w:tr>
      <w:tr>
        <w:tblPrEx>
          <w:tblLayout w:type="fixed"/>
          <w:tblCellMar>
            <w:top w:w="0" w:type="dxa"/>
            <w:left w:w="108" w:type="dxa"/>
            <w:bottom w:w="0" w:type="dxa"/>
            <w:right w:w="108" w:type="dxa"/>
          </w:tblCellMar>
        </w:tblPrEx>
        <w:trPr>
          <w:trHeight w:val="204" w:hRule="atLeast"/>
        </w:trPr>
        <w:tc>
          <w:tcPr>
            <w:tcW w:w="33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数据合规性校验</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数据合规性校验是对数据出口内容的最后一道关卡，是数据安全的最后保障，可分为两部分：一是数据校验，对开放出口数据进行合规性校验，保障数据明细不透出，个体信息不泄露；二是代码校验，对企业操作代码执行日志进行记录对代码进行检测，防止敏感操作。</w:t>
            </w:r>
          </w:p>
        </w:tc>
      </w:tr>
      <w:tr>
        <w:tblPrEx>
          <w:tblLayout w:type="fixed"/>
          <w:tblCellMar>
            <w:top w:w="0" w:type="dxa"/>
            <w:left w:w="108" w:type="dxa"/>
            <w:bottom w:w="0" w:type="dxa"/>
            <w:right w:w="108" w:type="dxa"/>
          </w:tblCellMar>
        </w:tblPrEx>
        <w:trPr>
          <w:trHeight w:val="669" w:hRule="atLeast"/>
        </w:trPr>
        <w:tc>
          <w:tcPr>
            <w:tcW w:w="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开放门户升级</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开放门户升级</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开放门户升级</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对接数林指数评价结果，对开放门户进行功能升级，提升指数排名提供在线问题解答、受限数据集申请、可视化分析</w:t>
            </w:r>
          </w:p>
        </w:tc>
      </w:tr>
      <w:tr>
        <w:tblPrEx>
          <w:tblLayout w:type="fixed"/>
          <w:tblCellMar>
            <w:top w:w="0" w:type="dxa"/>
            <w:left w:w="108" w:type="dxa"/>
            <w:bottom w:w="0" w:type="dxa"/>
            <w:right w:w="108" w:type="dxa"/>
          </w:tblCellMar>
        </w:tblPrEx>
        <w:trPr>
          <w:trHeight w:val="612" w:hRule="atLeast"/>
        </w:trPr>
        <w:tc>
          <w:tcPr>
            <w:tcW w:w="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开放门户管理端建设</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开放门户管理端设计</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开放门户管理端设计</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管理端，从目录管理、资源管理、网站审核、开放统计、政策管理、问卷管理、系统管理</w:t>
            </w:r>
          </w:p>
        </w:tc>
      </w:tr>
      <w:tr>
        <w:tblPrEx>
          <w:tblLayout w:type="fixed"/>
          <w:tblCellMar>
            <w:top w:w="0" w:type="dxa"/>
            <w:left w:w="108" w:type="dxa"/>
            <w:bottom w:w="0" w:type="dxa"/>
            <w:right w:w="108" w:type="dxa"/>
          </w:tblCellMar>
        </w:tblPrEx>
        <w:trPr>
          <w:trHeight w:val="876" w:hRule="atLeast"/>
        </w:trPr>
        <w:tc>
          <w:tcPr>
            <w:tcW w:w="33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区县开放专区建设</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区县特色开放目录</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区县特色开放目录</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区县特色开放目录可对信息资源名称、信息资源代码、信息资源摘要、信息资源格式、标签、数据领域、行业分类进行管理</w:t>
            </w:r>
          </w:p>
        </w:tc>
      </w:tr>
      <w:tr>
        <w:tblPrEx>
          <w:tblLayout w:type="fixed"/>
          <w:tblCellMar>
            <w:top w:w="0" w:type="dxa"/>
            <w:left w:w="108" w:type="dxa"/>
            <w:bottom w:w="0" w:type="dxa"/>
            <w:right w:w="108" w:type="dxa"/>
          </w:tblCellMar>
        </w:tblPrEx>
        <w:trPr>
          <w:trHeight w:val="1123"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开放数据集发布</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开放数据集发布</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梳理出台州市各区县开放数据集，并在台州市开放平台区县专区进行展示。用户可进行数据集的查询、查看、预览、下载等操作，还可对数据集进行订阅、收藏、纠错及评论</w:t>
            </w:r>
          </w:p>
        </w:tc>
      </w:tr>
      <w:tr>
        <w:tblPrEx>
          <w:tblLayout w:type="fixed"/>
          <w:tblCellMar>
            <w:top w:w="0" w:type="dxa"/>
            <w:left w:w="108" w:type="dxa"/>
            <w:bottom w:w="0" w:type="dxa"/>
            <w:right w:w="108" w:type="dxa"/>
          </w:tblCellMar>
        </w:tblPrEx>
        <w:trPr>
          <w:trHeight w:val="855"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开放数据接口</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开放数据接口</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梳理出台州市各区县开放数据接口，并在台州市开放平台区县专区进行展示。</w:t>
            </w:r>
          </w:p>
        </w:tc>
      </w:tr>
      <w:tr>
        <w:tblPrEx>
          <w:tblLayout w:type="fixed"/>
          <w:tblCellMar>
            <w:top w:w="0" w:type="dxa"/>
            <w:left w:w="108" w:type="dxa"/>
            <w:bottom w:w="0" w:type="dxa"/>
            <w:right w:w="108" w:type="dxa"/>
          </w:tblCellMar>
        </w:tblPrEx>
        <w:trPr>
          <w:trHeight w:val="691"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开放平台区县管理端用户权限</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开放平台区县管理端用户权限</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对台州市开放平台的用户权限体系进行升级，与浙江省统一用户进行对接。接入区县级用户，在开放后台新增区县级管理员角色。</w:t>
            </w:r>
          </w:p>
        </w:tc>
      </w:tr>
      <w:tr>
        <w:tblPrEx>
          <w:tblLayout w:type="fixed"/>
          <w:tblCellMar>
            <w:top w:w="0" w:type="dxa"/>
            <w:left w:w="108" w:type="dxa"/>
            <w:bottom w:w="0" w:type="dxa"/>
            <w:right w:w="108" w:type="dxa"/>
          </w:tblCellMar>
        </w:tblPrEx>
        <w:trPr>
          <w:trHeight w:val="85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区县目录管理</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区县目录管理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区县管理员可通过领域、场景、时间等维度的筛选对平台内数据开放资源目录进行精准定位，并对区县所属的开放目录进行审核、发布、查看、删除等操作。</w:t>
            </w:r>
          </w:p>
        </w:tc>
      </w:tr>
      <w:tr>
        <w:tblPrEx>
          <w:tblLayout w:type="fixed"/>
          <w:tblCellMar>
            <w:top w:w="0" w:type="dxa"/>
            <w:left w:w="108" w:type="dxa"/>
            <w:bottom w:w="0" w:type="dxa"/>
            <w:right w:w="108" w:type="dxa"/>
          </w:tblCellMar>
        </w:tblPrEx>
        <w:trPr>
          <w:trHeight w:val="784"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区县开放资源管理</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区县开放资源管理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要包括数据集管理、接口管理，为区县管理员提供开放数据集的发布、撤回和开放接口的发布、撤回的能力</w:t>
            </w:r>
          </w:p>
        </w:tc>
      </w:tr>
      <w:tr>
        <w:tblPrEx>
          <w:tblLayout w:type="fixed"/>
          <w:tblCellMar>
            <w:top w:w="0" w:type="dxa"/>
            <w:left w:w="108" w:type="dxa"/>
            <w:bottom w:w="0" w:type="dxa"/>
            <w:right w:w="108" w:type="dxa"/>
          </w:tblCellMar>
        </w:tblPrEx>
        <w:trPr>
          <w:trHeight w:val="570" w:hRule="atLeast"/>
        </w:trPr>
        <w:tc>
          <w:tcPr>
            <w:tcW w:w="33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区县审核管理</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区县审核管理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主要包括数据集下载审核、接口注册审核、接口申请审核</w:t>
            </w:r>
          </w:p>
        </w:tc>
      </w:tr>
      <w:tr>
        <w:tblPrEx>
          <w:tblLayout w:type="fixed"/>
          <w:tblCellMar>
            <w:top w:w="0" w:type="dxa"/>
            <w:left w:w="108" w:type="dxa"/>
            <w:bottom w:w="0" w:type="dxa"/>
            <w:right w:w="108" w:type="dxa"/>
          </w:tblCellMar>
        </w:tblPrEx>
        <w:trPr>
          <w:trHeight w:val="1008" w:hRule="atLeast"/>
        </w:trPr>
        <w:tc>
          <w:tcPr>
            <w:tcW w:w="33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区县开放统计看板</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区县开放统计看板</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管理端中新增区县开放统计的看板，对各区县的数据开放与其使用情况进行统计并做可视化展示，展示内容包括目录审核统计、数据集下载统计、接口申请统计、开放领域统计、开放数据统计等板块</w:t>
            </w:r>
          </w:p>
        </w:tc>
      </w:tr>
    </w:tbl>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kern w:val="0"/>
          <w:sz w:val="24"/>
          <w:lang w:bidi="ar"/>
        </w:rPr>
        <w:t>4、公共数据安全域</w:t>
      </w:r>
    </w:p>
    <w:tbl>
      <w:tblPr>
        <w:tblStyle w:val="25"/>
        <w:tblW w:w="9344" w:type="dxa"/>
        <w:tblInd w:w="-28" w:type="dxa"/>
        <w:tblLayout w:type="fixed"/>
        <w:tblCellMar>
          <w:top w:w="0" w:type="dxa"/>
          <w:left w:w="108" w:type="dxa"/>
          <w:bottom w:w="0" w:type="dxa"/>
          <w:right w:w="108" w:type="dxa"/>
        </w:tblCellMar>
      </w:tblPr>
      <w:tblGrid>
        <w:gridCol w:w="456"/>
        <w:gridCol w:w="456"/>
        <w:gridCol w:w="2045"/>
        <w:gridCol w:w="6387"/>
      </w:tblGrid>
      <w:tr>
        <w:tblPrEx>
          <w:tblLayout w:type="fixed"/>
          <w:tblCellMar>
            <w:top w:w="0" w:type="dxa"/>
            <w:left w:w="108" w:type="dxa"/>
            <w:bottom w:w="0" w:type="dxa"/>
            <w:right w:w="108" w:type="dxa"/>
          </w:tblCellMar>
        </w:tblPrEx>
        <w:trPr>
          <w:trHeight w:val="23" w:hRule="atLeast"/>
        </w:trPr>
        <w:tc>
          <w:tcPr>
            <w:tcW w:w="93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b/>
                <w:bCs/>
                <w:color w:val="auto"/>
                <w:kern w:val="0"/>
                <w:sz w:val="24"/>
                <w:lang w:bidi="ar"/>
              </w:rPr>
              <w:t>4、公共数据安全域</w:t>
            </w:r>
          </w:p>
        </w:tc>
      </w:tr>
      <w:tr>
        <w:tblPrEx>
          <w:tblLayout w:type="fixed"/>
          <w:tblCellMar>
            <w:top w:w="0" w:type="dxa"/>
            <w:left w:w="108" w:type="dxa"/>
            <w:bottom w:w="0" w:type="dxa"/>
            <w:right w:w="108" w:type="dxa"/>
          </w:tblCellMar>
        </w:tblPrEx>
        <w:trPr>
          <w:trHeight w:val="23"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序号</w:t>
            </w:r>
          </w:p>
        </w:tc>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内容</w:t>
            </w: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指标项</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详细要求</w:t>
            </w:r>
          </w:p>
        </w:tc>
      </w:tr>
      <w:tr>
        <w:tblPrEx>
          <w:tblLayout w:type="fixed"/>
          <w:tblCellMar>
            <w:top w:w="0" w:type="dxa"/>
            <w:left w:w="108" w:type="dxa"/>
            <w:bottom w:w="0" w:type="dxa"/>
            <w:right w:w="108" w:type="dxa"/>
          </w:tblCellMar>
        </w:tblPrEx>
        <w:trPr>
          <w:trHeight w:val="23" w:hRule="atLeast"/>
        </w:trPr>
        <w:tc>
          <w:tcPr>
            <w:tcW w:w="4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c>
          <w:tcPr>
            <w:tcW w:w="4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公共数据入侵防御系统建设</w:t>
            </w: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入侵防御防护目标</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对公共数据平台上部署的公共数据库提供入侵防御服务同时要求能够支持ORACLE（含12C、18C、19C）、MYSQL、SQLSERVER、DB2、GBASE、HIVE、达梦、PG、优炫、人大金仓、神舟通用、MongoDB、SYBASE、巨杉、上海热璞、HANA、informix、cache、OceanBase、RDS-Mysql、RDS-PG、TIDB、Mariadb、Greenplum、PostgreSQL、EnterpriseDB、GaussDB、K-DB、HBase、redis、TDSQL、teledb、Vertica等主流数据库、国产数据库、大数据平台等。</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部署方式</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在政务云平台上采用反向代理方式接入数据库。</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SQL语句学习能力</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 xml:space="preserve">能够自主学习业务和数据库的交互SQL语句，识别安全SQL；内置机器模型，通过学习的SQL语句形成应用SQL白名单，设置自动激活模式，在学习到一定时间后，SQL白名单自动执行生效。 </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SQL注入防护</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可以检测SQL访问语句是否含有SQL注入特征，能够对正常SQL特征及SQL注入特征双重防护，防止SQL注入工具。</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虚拟补丁防护</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根据CVE漏洞提供的数据库漏洞形成数据库漏洞虚拟补丁，同时服务团队需要具备CVE漏洞挖掘能力，能够提供数据库漏洞挖掘服务，要求在本次项目中提供不少于1600个数据库漏洞虚拟补丁。</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入侵防护策略定制服务</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能够针对已建设的数据安全监管平台对公共数据资产梳理形成的敏感数据集合进行访问管理，提供访问授权服务，业务访问前先通过入侵防御服务配置合适的访问权限，通过授权才可以访问，不具备访问权限的操作，明确阻断拒绝并提供错误信号。</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在入侵防御过程中设置敏感标签身份，使之具备合法访问指定敏感数据的权限。未明确注册的身份，默认表示为不合法身份，不能访问任何敏感表格。</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对数据行数(阀值)进行精细管控，超出阀值的行为进行阻断或拦截，避免数据大量泄漏。</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支持访问频次控制，避免一定时间内的高频次访问。</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识别真实应用程序，防止假冒应用访问数据库。</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入侵防御防护能力</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对数据库访问流量的峰值SQL吞吐不低于50000条语句/秒，峰值QPS吞吐量70000,响应延时小于1毫秒，在线SQL存储160亿条。本次服务要求针对60个数据库实例提供入侵防御服务。</w:t>
            </w:r>
          </w:p>
        </w:tc>
      </w:tr>
      <w:tr>
        <w:tblPrEx>
          <w:tblLayout w:type="fixed"/>
          <w:tblCellMar>
            <w:top w:w="0" w:type="dxa"/>
            <w:left w:w="108" w:type="dxa"/>
            <w:bottom w:w="0" w:type="dxa"/>
            <w:right w:w="108" w:type="dxa"/>
          </w:tblCellMar>
        </w:tblPrEx>
        <w:trPr>
          <w:trHeight w:val="23" w:hRule="atLeast"/>
        </w:trPr>
        <w:tc>
          <w:tcPr>
            <w:tcW w:w="4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2</w:t>
            </w:r>
          </w:p>
        </w:tc>
        <w:tc>
          <w:tcPr>
            <w:tcW w:w="4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bookmarkStart w:id="36" w:name="_Toc104234425"/>
            <w:r>
              <w:rPr>
                <w:rFonts w:hint="eastAsia" w:ascii="宋体" w:hAnsi="宋体" w:cs="宋体"/>
                <w:color w:val="auto"/>
                <w:sz w:val="24"/>
              </w:rPr>
              <w:t>数据防泄漏系统</w:t>
            </w:r>
            <w:bookmarkEnd w:id="36"/>
            <w:r>
              <w:rPr>
                <w:rFonts w:hint="eastAsia" w:ascii="宋体" w:hAnsi="宋体" w:cs="宋体"/>
                <w:color w:val="auto"/>
                <w:sz w:val="24"/>
              </w:rPr>
              <w:t>建设</w:t>
            </w:r>
          </w:p>
        </w:tc>
        <w:tc>
          <w:tcPr>
            <w:tcW w:w="20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r>
              <w:rPr>
                <w:rFonts w:hint="eastAsia" w:ascii="宋体" w:hAnsi="宋体" w:cs="宋体"/>
                <w:color w:val="auto"/>
                <w:sz w:val="24"/>
              </w:rPr>
              <w:t>数据识别</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系统内置多种数据内容识别规则，支持内置规则根据行业特性自主添加。</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支持多种文件编码格式。</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内置图片内容识别。</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支持识别多层压缩文件、嵌套文件的内容，嵌套层数可自定义。</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支持关键字对规则识别，能够设置关键字间距。</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关键字匹配支持次数匹配，支持去重匹配</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支持识别故意打乱的关键字</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支持英文识别忽略大小写</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支持全字匹配</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支持简体繁体自适应</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支持词典规则识别</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★支持正则表达式规则识别，支持次数匹配，支持去重匹配。</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★支持通过数据标识符对数据本身的规则和校验功能进行判断，支持二次校验进行更精确识别。</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支持通过后处理脚本对发现的敏感数据进行进一步校验，提高准确率</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支持结构化数据指纹，结构化数据指纹可指定具体敏感的数据列</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支持非结构化数据指纹，非结构化数据指纹识别依据指纹匹配的百分比（相似度）进行响应，匹配百分比可设置</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支持图章</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★支持基于自然语义的机器学习结果进行内容识别。</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rPr>
                <w:rFonts w:ascii="宋体" w:hAnsi="宋体" w:cs="宋体"/>
                <w:color w:val="auto"/>
                <w:sz w:val="24"/>
              </w:rPr>
            </w:pPr>
            <w:r>
              <w:rPr>
                <w:rFonts w:hint="eastAsia" w:ascii="宋体" w:hAnsi="宋体" w:cs="宋体"/>
                <w:color w:val="auto"/>
                <w:sz w:val="24"/>
              </w:rPr>
              <w:t>支持位置识别，须包含但不限于以下位置识别方式：</w:t>
            </w:r>
          </w:p>
          <w:p>
            <w:pPr>
              <w:numPr>
                <w:ilvl w:val="0"/>
                <w:numId w:val="10"/>
              </w:numPr>
              <w:spacing w:line="276" w:lineRule="auto"/>
              <w:rPr>
                <w:rFonts w:ascii="宋体" w:hAnsi="宋体" w:cs="宋体"/>
                <w:color w:val="auto"/>
                <w:sz w:val="24"/>
              </w:rPr>
            </w:pPr>
            <w:r>
              <w:rPr>
                <w:rFonts w:hint="eastAsia" w:ascii="宋体" w:hAnsi="宋体" w:cs="宋体"/>
                <w:color w:val="auto"/>
                <w:sz w:val="24"/>
              </w:rPr>
              <w:t>识别文档正文、页眉页脚、文本框、office宏等各种不同位置中的敏感内容</w:t>
            </w:r>
          </w:p>
          <w:p>
            <w:pPr>
              <w:numPr>
                <w:ilvl w:val="0"/>
                <w:numId w:val="10"/>
              </w:numPr>
              <w:spacing w:line="276" w:lineRule="auto"/>
              <w:rPr>
                <w:rFonts w:ascii="宋体" w:hAnsi="宋体" w:cs="宋体"/>
                <w:color w:val="auto"/>
                <w:sz w:val="24"/>
              </w:rPr>
            </w:pPr>
            <w:r>
              <w:rPr>
                <w:rFonts w:hint="eastAsia" w:ascii="宋体" w:hAnsi="宋体" w:cs="宋体"/>
                <w:color w:val="auto"/>
                <w:sz w:val="24"/>
              </w:rPr>
              <w:t>识别office正文、批注、模板等位置的敏感内容</w:t>
            </w:r>
          </w:p>
          <w:p>
            <w:pPr>
              <w:numPr>
                <w:ilvl w:val="0"/>
                <w:numId w:val="10"/>
              </w:numPr>
              <w:spacing w:line="276" w:lineRule="auto"/>
              <w:rPr>
                <w:rFonts w:ascii="宋体" w:hAnsi="宋体" w:cs="宋体"/>
                <w:color w:val="auto"/>
                <w:sz w:val="24"/>
              </w:rPr>
            </w:pPr>
            <w:r>
              <w:rPr>
                <w:rFonts w:hint="eastAsia" w:ascii="宋体" w:hAnsi="宋体" w:cs="宋体"/>
                <w:color w:val="auto"/>
                <w:sz w:val="24"/>
              </w:rPr>
              <w:t xml:space="preserve">对于office、pdf类嵌套文件，支持按组件粒度或文件粒度进行敏感内容识别 </w:t>
            </w:r>
          </w:p>
          <w:p>
            <w:pPr>
              <w:numPr>
                <w:ilvl w:val="0"/>
                <w:numId w:val="10"/>
              </w:numPr>
              <w:spacing w:line="276" w:lineRule="auto"/>
              <w:rPr>
                <w:rFonts w:ascii="宋体" w:hAnsi="宋体" w:cs="宋体"/>
                <w:color w:val="auto"/>
                <w:sz w:val="24"/>
              </w:rPr>
            </w:pPr>
            <w:r>
              <w:rPr>
                <w:rFonts w:hint="eastAsia" w:ascii="宋体" w:hAnsi="宋体" w:cs="宋体"/>
                <w:color w:val="auto"/>
                <w:sz w:val="24"/>
              </w:rPr>
              <w:t xml:space="preserve">对于excel文件，支持按工作表或工作薄进行内容识别 </w:t>
            </w:r>
          </w:p>
          <w:p>
            <w:pPr>
              <w:numPr>
                <w:ilvl w:val="0"/>
                <w:numId w:val="10"/>
              </w:numPr>
              <w:spacing w:line="276" w:lineRule="auto"/>
              <w:rPr>
                <w:rFonts w:ascii="宋体" w:hAnsi="宋体" w:cs="宋体"/>
                <w:color w:val="auto"/>
                <w:sz w:val="24"/>
              </w:rPr>
            </w:pPr>
            <w:r>
              <w:rPr>
                <w:rFonts w:hint="eastAsia" w:ascii="宋体" w:hAnsi="宋体" w:cs="宋体"/>
                <w:color w:val="auto"/>
                <w:sz w:val="24"/>
              </w:rPr>
              <w:t>支持识别邮件标题、正文、附件等位置的敏感内容</w:t>
            </w:r>
          </w:p>
          <w:p>
            <w:pPr>
              <w:numPr>
                <w:ilvl w:val="0"/>
                <w:numId w:val="10"/>
              </w:numPr>
              <w:spacing w:line="276" w:lineRule="auto"/>
              <w:rPr>
                <w:rFonts w:ascii="宋体" w:hAnsi="宋体" w:cs="宋体"/>
                <w:color w:val="auto"/>
                <w:sz w:val="24"/>
              </w:rPr>
            </w:pPr>
            <w:r>
              <w:rPr>
                <w:rFonts w:hint="eastAsia" w:ascii="宋体" w:hAnsi="宋体" w:cs="宋体"/>
                <w:color w:val="auto"/>
                <w:sz w:val="24"/>
              </w:rPr>
              <w:t>支持人员、组织、设备、IP、URL、电子邮件地址进行识别</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cs="宋体"/>
                <w:color w:val="auto"/>
                <w:sz w:val="24"/>
              </w:rPr>
            </w:pPr>
            <w:r>
              <w:rPr>
                <w:rFonts w:hint="eastAsia" w:ascii="宋体" w:hAnsi="宋体" w:cs="宋体"/>
                <w:color w:val="auto"/>
                <w:sz w:val="24"/>
              </w:rPr>
              <w:t>支持数据属性识别，须包含但不限于以下数据属性识别方式：</w:t>
            </w:r>
          </w:p>
          <w:p>
            <w:pPr>
              <w:numPr>
                <w:ilvl w:val="0"/>
                <w:numId w:val="11"/>
              </w:numPr>
              <w:spacing w:line="276" w:lineRule="auto"/>
              <w:rPr>
                <w:rFonts w:ascii="宋体" w:hAnsi="宋体" w:cs="宋体"/>
                <w:color w:val="auto"/>
                <w:sz w:val="24"/>
              </w:rPr>
            </w:pPr>
            <w:r>
              <w:rPr>
                <w:rFonts w:hint="eastAsia" w:ascii="宋体" w:hAnsi="宋体" w:cs="宋体"/>
                <w:color w:val="auto"/>
                <w:sz w:val="24"/>
              </w:rPr>
              <w:t>支持识别常见的文件类型，包括office办公软件（doc、docx、xls、xlsx、ppt、pptx、wps、visio）、pdf、网络文件、压缩文件（zip、rar、rar5、7z）、txt、mpp、vsd等。对于不带扩展名或修改扩展名的文件，能根据其文件特征识别其文件类型；</w:t>
            </w:r>
          </w:p>
          <w:p>
            <w:pPr>
              <w:numPr>
                <w:ilvl w:val="0"/>
                <w:numId w:val="11"/>
              </w:numPr>
              <w:spacing w:line="276" w:lineRule="auto"/>
              <w:rPr>
                <w:rFonts w:ascii="宋体" w:hAnsi="宋体" w:cs="宋体"/>
                <w:color w:val="auto"/>
                <w:sz w:val="24"/>
              </w:rPr>
            </w:pPr>
            <w:r>
              <w:rPr>
                <w:rFonts w:hint="eastAsia" w:ascii="宋体" w:hAnsi="宋体" w:cs="宋体"/>
                <w:color w:val="auto"/>
                <w:sz w:val="24"/>
              </w:rPr>
              <w:t>支持识别加密的Office类文档、RAR、ZIP、ARJ压缩包、PDF文档，以及通过指定加密软件加密的文档；</w:t>
            </w:r>
          </w:p>
          <w:p>
            <w:pPr>
              <w:numPr>
                <w:ilvl w:val="0"/>
                <w:numId w:val="11"/>
              </w:numPr>
              <w:spacing w:line="276" w:lineRule="auto"/>
              <w:rPr>
                <w:rFonts w:ascii="宋体" w:hAnsi="宋体" w:cs="宋体"/>
                <w:color w:val="auto"/>
                <w:sz w:val="24"/>
              </w:rPr>
            </w:pPr>
            <w:r>
              <w:rPr>
                <w:rFonts w:hint="eastAsia" w:ascii="宋体" w:hAnsi="宋体" w:cs="宋体"/>
                <w:color w:val="auto"/>
                <w:sz w:val="24"/>
              </w:rPr>
              <w:t>支持识别图片、影音、多媒体文件，以及多种绘图文件；</w:t>
            </w:r>
          </w:p>
          <w:p>
            <w:pPr>
              <w:numPr>
                <w:ilvl w:val="0"/>
                <w:numId w:val="11"/>
              </w:numPr>
              <w:spacing w:line="276" w:lineRule="auto"/>
              <w:rPr>
                <w:rFonts w:ascii="宋体" w:hAnsi="宋体" w:cs="宋体"/>
                <w:color w:val="auto"/>
                <w:sz w:val="24"/>
              </w:rPr>
            </w:pPr>
            <w:r>
              <w:rPr>
                <w:rFonts w:hint="eastAsia" w:ascii="宋体" w:hAnsi="宋体" w:cs="宋体"/>
                <w:color w:val="auto"/>
                <w:sz w:val="24"/>
              </w:rPr>
              <w:t>支持识别office、pdf、wps、iwork类加密文件；</w:t>
            </w:r>
          </w:p>
          <w:p>
            <w:pPr>
              <w:numPr>
                <w:ilvl w:val="0"/>
                <w:numId w:val="11"/>
              </w:numPr>
              <w:spacing w:line="276" w:lineRule="auto"/>
              <w:rPr>
                <w:rFonts w:ascii="宋体" w:hAnsi="宋体" w:cs="宋体"/>
                <w:color w:val="auto"/>
                <w:sz w:val="24"/>
              </w:rPr>
            </w:pPr>
            <w:r>
              <w:rPr>
                <w:rFonts w:hint="eastAsia" w:ascii="宋体" w:hAnsi="宋体" w:cs="宋体"/>
                <w:color w:val="auto"/>
                <w:sz w:val="24"/>
              </w:rPr>
              <w:t>支持识别zip、rar、rar5等加密压缩文件；</w:t>
            </w:r>
          </w:p>
          <w:p>
            <w:pPr>
              <w:numPr>
                <w:ilvl w:val="0"/>
                <w:numId w:val="11"/>
              </w:numPr>
              <w:spacing w:line="276" w:lineRule="auto"/>
              <w:rPr>
                <w:rFonts w:ascii="宋体" w:hAnsi="宋体" w:cs="宋体"/>
                <w:color w:val="auto"/>
                <w:sz w:val="24"/>
              </w:rPr>
            </w:pPr>
            <w:r>
              <w:rPr>
                <w:rFonts w:hint="eastAsia" w:ascii="宋体" w:hAnsi="宋体" w:cs="宋体"/>
                <w:color w:val="auto"/>
                <w:sz w:val="24"/>
              </w:rPr>
              <w:t>支持用户自定义文件格式、未知文件格式识别；</w:t>
            </w:r>
          </w:p>
          <w:p>
            <w:pPr>
              <w:numPr>
                <w:ilvl w:val="0"/>
                <w:numId w:val="11"/>
              </w:numPr>
              <w:spacing w:line="276" w:lineRule="auto"/>
              <w:rPr>
                <w:rFonts w:ascii="宋体" w:hAnsi="宋体" w:cs="宋体"/>
                <w:color w:val="auto"/>
                <w:sz w:val="24"/>
              </w:rPr>
            </w:pPr>
            <w:r>
              <w:rPr>
                <w:rFonts w:hint="eastAsia" w:ascii="宋体" w:hAnsi="宋体" w:cs="宋体"/>
                <w:color w:val="auto"/>
                <w:sz w:val="24"/>
              </w:rPr>
              <w:t>支持Unicode、GB18030、GBK编码格式；</w:t>
            </w:r>
          </w:p>
          <w:p>
            <w:pPr>
              <w:numPr>
                <w:ilvl w:val="0"/>
                <w:numId w:val="11"/>
              </w:numPr>
              <w:spacing w:line="276" w:lineRule="auto"/>
              <w:rPr>
                <w:rFonts w:ascii="宋体" w:hAnsi="宋体" w:cs="宋体"/>
                <w:color w:val="auto"/>
                <w:sz w:val="24"/>
              </w:rPr>
            </w:pPr>
            <w:r>
              <w:rPr>
                <w:rFonts w:hint="eastAsia" w:ascii="宋体" w:hAnsi="宋体" w:cs="宋体"/>
                <w:color w:val="auto"/>
                <w:sz w:val="24"/>
              </w:rPr>
              <w:t>支持识别文件名、文件大小、文件修改时间等属性，文件名支持通配符匹配。</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cs="宋体"/>
                <w:color w:val="auto"/>
                <w:sz w:val="24"/>
              </w:rPr>
            </w:pPr>
            <w:r>
              <w:rPr>
                <w:rFonts w:hint="eastAsia" w:ascii="宋体" w:hAnsi="宋体" w:cs="宋体"/>
                <w:color w:val="auto"/>
                <w:sz w:val="24"/>
              </w:rPr>
              <w:t>支持组合识别，须包含但不限于以下组合识别方式：</w:t>
            </w:r>
          </w:p>
          <w:p>
            <w:pPr>
              <w:numPr>
                <w:ilvl w:val="0"/>
                <w:numId w:val="12"/>
              </w:numPr>
              <w:spacing w:line="276" w:lineRule="auto"/>
              <w:rPr>
                <w:rFonts w:ascii="宋体" w:hAnsi="宋体" w:cs="宋体"/>
                <w:color w:val="auto"/>
                <w:sz w:val="24"/>
              </w:rPr>
            </w:pPr>
            <w:r>
              <w:rPr>
                <w:rFonts w:hint="eastAsia" w:ascii="宋体" w:hAnsi="宋体" w:cs="宋体"/>
                <w:color w:val="auto"/>
                <w:sz w:val="24"/>
              </w:rPr>
              <w:t>支持各种识别技术通过与、或运算进行任意组合；</w:t>
            </w:r>
          </w:p>
          <w:p>
            <w:pPr>
              <w:numPr>
                <w:ilvl w:val="0"/>
                <w:numId w:val="12"/>
              </w:numPr>
              <w:spacing w:line="276" w:lineRule="auto"/>
              <w:rPr>
                <w:rFonts w:ascii="宋体" w:hAnsi="宋体" w:cs="宋体"/>
                <w:color w:val="auto"/>
                <w:sz w:val="24"/>
              </w:rPr>
            </w:pPr>
            <w:r>
              <w:rPr>
                <w:rFonts w:hint="eastAsia" w:ascii="宋体" w:hAnsi="宋体" w:cs="宋体"/>
                <w:color w:val="auto"/>
                <w:sz w:val="24"/>
              </w:rPr>
              <w:t>支持检测算法例外，例外可以支持全局例外或局部例外。</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r>
              <w:rPr>
                <w:rFonts w:hint="eastAsia" w:ascii="宋体" w:hAnsi="宋体" w:cs="宋体"/>
                <w:color w:val="auto"/>
                <w:sz w:val="24"/>
              </w:rPr>
              <w:t>网络防泄漏</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sz w:val="24"/>
              </w:rPr>
            </w:pPr>
            <w:r>
              <w:rPr>
                <w:rFonts w:hint="eastAsia" w:ascii="宋体" w:hAnsi="宋体" w:cs="宋体"/>
                <w:color w:val="auto"/>
                <w:sz w:val="24"/>
              </w:rPr>
              <w:t>支持旁路镜像、多路镜像、透明网桥、路由模式、正向代理、反向代理  等部署方式。</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sz w:val="24"/>
              </w:rPr>
            </w:pPr>
            <w:r>
              <w:rPr>
                <w:rFonts w:hint="eastAsia" w:ascii="宋体" w:hAnsi="宋体" w:cs="宋体"/>
                <w:color w:val="auto"/>
                <w:sz w:val="24"/>
              </w:rPr>
              <w:t>支持bypass模式、主备模式。</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rPr>
                <w:rFonts w:ascii="宋体" w:hAnsi="宋体" w:cs="宋体"/>
                <w:color w:val="auto"/>
                <w:sz w:val="24"/>
              </w:rPr>
            </w:pPr>
            <w:r>
              <w:rPr>
                <w:rFonts w:hint="eastAsia" w:ascii="宋体" w:hAnsi="宋体" w:cs="宋体"/>
                <w:color w:val="auto"/>
                <w:sz w:val="24"/>
              </w:rPr>
              <w:t>支持HTTP、HTTPS、SMTP、POP3、IMAP、samba、NFS、IM等协议识别、内容恢复和扫描。</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rPr>
                <w:rFonts w:ascii="宋体" w:hAnsi="宋体" w:cs="宋体"/>
                <w:color w:val="auto"/>
                <w:sz w:val="24"/>
              </w:rPr>
            </w:pPr>
            <w:r>
              <w:rPr>
                <w:rFonts w:hint="eastAsia" w:ascii="宋体" w:hAnsi="宋体" w:cs="宋体"/>
                <w:color w:val="auto"/>
                <w:sz w:val="24"/>
              </w:rPr>
              <w:t>扫描维度须支持但不限于以下方式：</w:t>
            </w:r>
          </w:p>
          <w:p>
            <w:pPr>
              <w:widowControl/>
              <w:numPr>
                <w:ilvl w:val="0"/>
                <w:numId w:val="13"/>
              </w:numPr>
              <w:spacing w:line="276" w:lineRule="auto"/>
              <w:textAlignment w:val="center"/>
              <w:rPr>
                <w:rFonts w:ascii="宋体" w:hAnsi="宋体" w:cs="宋体"/>
                <w:color w:val="auto"/>
                <w:sz w:val="24"/>
              </w:rPr>
            </w:pPr>
            <w:r>
              <w:rPr>
                <w:rFonts w:hint="eastAsia" w:ascii="宋体" w:hAnsi="宋体" w:cs="宋体"/>
                <w:color w:val="auto"/>
                <w:sz w:val="24"/>
              </w:rPr>
              <w:t>支持按触发者定义不同外发权限；</w:t>
            </w:r>
          </w:p>
          <w:p>
            <w:pPr>
              <w:widowControl/>
              <w:numPr>
                <w:ilvl w:val="0"/>
                <w:numId w:val="13"/>
              </w:numPr>
              <w:spacing w:line="276" w:lineRule="auto"/>
              <w:textAlignment w:val="center"/>
              <w:rPr>
                <w:rFonts w:ascii="宋体" w:hAnsi="宋体" w:cs="宋体"/>
                <w:color w:val="auto"/>
                <w:sz w:val="24"/>
              </w:rPr>
            </w:pPr>
            <w:r>
              <w:rPr>
                <w:rFonts w:hint="eastAsia" w:ascii="宋体" w:hAnsi="宋体" w:cs="宋体"/>
                <w:color w:val="auto"/>
                <w:sz w:val="24"/>
              </w:rPr>
              <w:t>支持按目的地址定义不同上传权限；</w:t>
            </w:r>
          </w:p>
          <w:p>
            <w:pPr>
              <w:widowControl/>
              <w:numPr>
                <w:ilvl w:val="0"/>
                <w:numId w:val="13"/>
              </w:numPr>
              <w:spacing w:line="276" w:lineRule="auto"/>
              <w:textAlignment w:val="center"/>
              <w:rPr>
                <w:rFonts w:ascii="宋体" w:hAnsi="宋体" w:cs="宋体"/>
                <w:color w:val="auto"/>
                <w:sz w:val="24"/>
              </w:rPr>
            </w:pPr>
            <w:r>
              <w:rPr>
                <w:rFonts w:hint="eastAsia" w:ascii="宋体" w:hAnsi="宋体" w:cs="宋体"/>
                <w:color w:val="auto"/>
                <w:sz w:val="24"/>
              </w:rPr>
              <w:t>支持按外发内容等级进行不同处理；</w:t>
            </w:r>
          </w:p>
          <w:p>
            <w:pPr>
              <w:widowControl/>
              <w:numPr>
                <w:ilvl w:val="0"/>
                <w:numId w:val="13"/>
              </w:numPr>
              <w:spacing w:line="276" w:lineRule="auto"/>
              <w:textAlignment w:val="center"/>
              <w:rPr>
                <w:rFonts w:ascii="宋体" w:hAnsi="宋体" w:cs="宋体"/>
                <w:color w:val="auto"/>
                <w:sz w:val="24"/>
              </w:rPr>
            </w:pPr>
            <w:r>
              <w:rPr>
                <w:rFonts w:hint="eastAsia" w:ascii="宋体" w:hAnsi="宋体" w:cs="宋体"/>
                <w:color w:val="auto"/>
                <w:sz w:val="24"/>
              </w:rPr>
              <w:t>支持根据IP地址、URL配置黑白名单；</w:t>
            </w:r>
          </w:p>
          <w:p>
            <w:pPr>
              <w:widowControl/>
              <w:numPr>
                <w:ilvl w:val="0"/>
                <w:numId w:val="13"/>
              </w:numPr>
              <w:spacing w:line="276" w:lineRule="auto"/>
              <w:textAlignment w:val="center"/>
              <w:rPr>
                <w:rFonts w:ascii="宋体" w:hAnsi="宋体" w:cs="宋体"/>
                <w:color w:val="auto"/>
                <w:sz w:val="24"/>
              </w:rPr>
            </w:pPr>
            <w:r>
              <w:rPr>
                <w:rFonts w:hint="eastAsia" w:ascii="宋体" w:hAnsi="宋体" w:cs="宋体"/>
                <w:color w:val="auto"/>
                <w:sz w:val="24"/>
              </w:rPr>
              <w:t>对于外发的邮件，可配置收件人、发件人黑白名单。</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rPr>
                <w:rFonts w:ascii="宋体" w:hAnsi="宋体" w:cs="宋体"/>
                <w:color w:val="auto"/>
                <w:sz w:val="24"/>
              </w:rPr>
            </w:pPr>
            <w:r>
              <w:rPr>
                <w:rFonts w:hint="eastAsia" w:ascii="宋体" w:hAnsi="宋体" w:cs="宋体"/>
                <w:color w:val="auto"/>
                <w:sz w:val="24"/>
              </w:rPr>
              <w:t>支持审计、告警、阻断、证据留存、邮件通知等系统响应方式。</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rPr>
                <w:rFonts w:ascii="宋体" w:hAnsi="宋体" w:cs="宋体"/>
                <w:color w:val="auto"/>
                <w:sz w:val="24"/>
              </w:rPr>
            </w:pPr>
            <w:r>
              <w:rPr>
                <w:rFonts w:hint="eastAsia" w:ascii="宋体" w:hAnsi="宋体" w:cs="宋体"/>
                <w:color w:val="auto"/>
                <w:sz w:val="24"/>
              </w:rPr>
              <w:t>支持按触发的不同条件触发不同动作，条件包括但不限于事件严重程度、内容扫描结果、终端信息等。</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rPr>
                <w:rFonts w:ascii="宋体" w:hAnsi="宋体" w:cs="宋体"/>
                <w:color w:val="auto"/>
                <w:sz w:val="24"/>
              </w:rPr>
            </w:pPr>
            <w:r>
              <w:rPr>
                <w:rFonts w:hint="eastAsia" w:ascii="宋体" w:hAnsi="宋体" w:cs="宋体"/>
                <w:color w:val="auto"/>
                <w:sz w:val="24"/>
              </w:rPr>
              <w:t>程序管理须支持但不限于以下功能：</w:t>
            </w:r>
          </w:p>
          <w:p>
            <w:pPr>
              <w:numPr>
                <w:ilvl w:val="0"/>
                <w:numId w:val="14"/>
              </w:numPr>
              <w:spacing w:line="276" w:lineRule="auto"/>
              <w:ind w:firstLine="0"/>
              <w:rPr>
                <w:rFonts w:ascii="宋体" w:hAnsi="宋体" w:cs="宋体"/>
                <w:color w:val="auto"/>
                <w:sz w:val="24"/>
              </w:rPr>
            </w:pPr>
            <w:r>
              <w:rPr>
                <w:rFonts w:hint="eastAsia" w:ascii="宋体" w:hAnsi="宋体" w:cs="宋体"/>
                <w:color w:val="auto"/>
                <w:sz w:val="24"/>
              </w:rPr>
              <w:t>支持客户端软件一键安装，一键卸载；</w:t>
            </w:r>
          </w:p>
          <w:p>
            <w:pPr>
              <w:numPr>
                <w:ilvl w:val="0"/>
                <w:numId w:val="14"/>
              </w:numPr>
              <w:spacing w:line="276" w:lineRule="auto"/>
              <w:ind w:firstLine="0"/>
              <w:rPr>
                <w:rFonts w:ascii="宋体" w:hAnsi="宋体" w:cs="宋体"/>
                <w:color w:val="auto"/>
                <w:sz w:val="24"/>
              </w:rPr>
            </w:pPr>
            <w:r>
              <w:rPr>
                <w:rFonts w:hint="eastAsia" w:ascii="宋体" w:hAnsi="宋体" w:cs="宋体"/>
                <w:color w:val="auto"/>
                <w:sz w:val="24"/>
              </w:rPr>
              <w:t>支持平滑升级；</w:t>
            </w:r>
          </w:p>
          <w:p>
            <w:pPr>
              <w:numPr>
                <w:ilvl w:val="0"/>
                <w:numId w:val="14"/>
              </w:numPr>
              <w:spacing w:line="276" w:lineRule="auto"/>
              <w:ind w:firstLine="0"/>
              <w:rPr>
                <w:rFonts w:ascii="宋体" w:hAnsi="宋体" w:cs="宋体"/>
                <w:color w:val="auto"/>
                <w:sz w:val="24"/>
              </w:rPr>
            </w:pPr>
            <w:r>
              <w:rPr>
                <w:rFonts w:hint="eastAsia" w:ascii="宋体" w:hAnsi="宋体" w:cs="宋体"/>
                <w:color w:val="auto"/>
                <w:sz w:val="24"/>
              </w:rPr>
              <w:t>支持对相关程序运行状态进行监控；</w:t>
            </w:r>
          </w:p>
          <w:p>
            <w:pPr>
              <w:numPr>
                <w:ilvl w:val="0"/>
                <w:numId w:val="14"/>
              </w:numPr>
              <w:spacing w:line="276" w:lineRule="auto"/>
              <w:ind w:firstLine="0"/>
              <w:rPr>
                <w:rFonts w:ascii="宋体" w:hAnsi="宋体" w:cs="宋体"/>
                <w:color w:val="auto"/>
                <w:kern w:val="0"/>
                <w:sz w:val="24"/>
                <w:lang w:bidi="ar"/>
              </w:rPr>
            </w:pPr>
            <w:r>
              <w:rPr>
                <w:rFonts w:hint="eastAsia" w:ascii="宋体" w:hAnsi="宋体" w:cs="宋体"/>
                <w:color w:val="auto"/>
                <w:sz w:val="24"/>
              </w:rPr>
              <w:t>定时与管理平台同步状态，同步周期可自定义。</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r>
              <w:rPr>
                <w:rFonts w:hint="eastAsia" w:ascii="宋体" w:hAnsi="宋体" w:cs="宋体"/>
                <w:color w:val="auto"/>
                <w:kern w:val="0"/>
                <w:sz w:val="24"/>
              </w:rPr>
              <w:t>终端防泄漏</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cs="宋体"/>
                <w:color w:val="auto"/>
                <w:kern w:val="0"/>
                <w:sz w:val="24"/>
                <w:lang w:bidi="ar"/>
              </w:rPr>
            </w:pPr>
            <w:r>
              <w:rPr>
                <w:rFonts w:hint="eastAsia" w:ascii="宋体" w:hAnsi="宋体" w:cs="宋体"/>
                <w:color w:val="auto"/>
                <w:kern w:val="0"/>
                <w:sz w:val="24"/>
              </w:rPr>
              <w:t>支持终端节点数：100</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cs="宋体"/>
                <w:color w:val="auto"/>
                <w:kern w:val="0"/>
                <w:sz w:val="24"/>
                <w:lang w:bidi="ar"/>
              </w:rPr>
            </w:pPr>
            <w:r>
              <w:rPr>
                <w:rFonts w:hint="eastAsia" w:ascii="宋体" w:hAnsi="宋体" w:cs="宋体"/>
                <w:color w:val="auto"/>
                <w:kern w:val="0"/>
                <w:sz w:val="24"/>
              </w:rPr>
              <w:t>支持Windows、Windows Server、macOS、Linux系统，可实现外设管控、应用程序管控，可实现审计、阻断等操作；</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cs="宋体"/>
                <w:color w:val="auto"/>
                <w:kern w:val="0"/>
                <w:sz w:val="24"/>
              </w:rPr>
            </w:pPr>
            <w:r>
              <w:rPr>
                <w:rFonts w:hint="eastAsia" w:ascii="宋体" w:hAnsi="宋体" w:cs="宋体"/>
                <w:color w:val="auto"/>
                <w:kern w:val="0"/>
                <w:sz w:val="24"/>
              </w:rPr>
              <w:t>★支持对移动存储设备进行使用管控，须包含但不限于下列管控手段：</w:t>
            </w:r>
          </w:p>
          <w:p>
            <w:pPr>
              <w:numPr>
                <w:ilvl w:val="0"/>
                <w:numId w:val="15"/>
              </w:numPr>
              <w:spacing w:line="276" w:lineRule="auto"/>
              <w:rPr>
                <w:rFonts w:ascii="宋体" w:hAnsi="宋体" w:cs="宋体"/>
                <w:color w:val="auto"/>
                <w:kern w:val="0"/>
                <w:sz w:val="24"/>
              </w:rPr>
            </w:pPr>
            <w:r>
              <w:rPr>
                <w:rFonts w:hint="eastAsia" w:ascii="宋体" w:hAnsi="宋体" w:cs="宋体"/>
                <w:color w:val="auto"/>
                <w:kern w:val="0"/>
                <w:sz w:val="24"/>
              </w:rPr>
              <w:t>禁用不允许的外接设备</w:t>
            </w:r>
          </w:p>
          <w:p>
            <w:pPr>
              <w:numPr>
                <w:ilvl w:val="0"/>
                <w:numId w:val="15"/>
              </w:numPr>
              <w:spacing w:line="276" w:lineRule="auto"/>
              <w:rPr>
                <w:rFonts w:ascii="宋体" w:hAnsi="宋体" w:cs="宋体"/>
                <w:color w:val="auto"/>
                <w:kern w:val="0"/>
                <w:sz w:val="24"/>
              </w:rPr>
            </w:pPr>
            <w:r>
              <w:rPr>
                <w:rFonts w:hint="eastAsia" w:ascii="宋体" w:hAnsi="宋体" w:cs="宋体"/>
                <w:color w:val="auto"/>
                <w:kern w:val="0"/>
                <w:sz w:val="24"/>
              </w:rPr>
              <w:t>支持通过对内容的识别，可阻止敏感文件拷贝、压缩、解压、另存到外接设备</w:t>
            </w:r>
          </w:p>
          <w:p>
            <w:pPr>
              <w:numPr>
                <w:ilvl w:val="0"/>
                <w:numId w:val="15"/>
              </w:numPr>
              <w:spacing w:line="276" w:lineRule="auto"/>
              <w:rPr>
                <w:rFonts w:ascii="宋体" w:hAnsi="宋体" w:cs="宋体"/>
                <w:color w:val="auto"/>
                <w:kern w:val="0"/>
                <w:sz w:val="24"/>
              </w:rPr>
            </w:pPr>
            <w:r>
              <w:rPr>
                <w:rFonts w:hint="eastAsia" w:ascii="宋体" w:hAnsi="宋体" w:cs="宋体"/>
                <w:color w:val="auto"/>
                <w:kern w:val="0"/>
                <w:sz w:val="24"/>
              </w:rPr>
              <w:t xml:space="preserve">支持移动存储白名单，白名单设备可以拷贝敏感内容，非白名单设备无法拷贝敏感内容 </w:t>
            </w:r>
          </w:p>
          <w:p>
            <w:pPr>
              <w:numPr>
                <w:ilvl w:val="0"/>
                <w:numId w:val="15"/>
              </w:numPr>
              <w:spacing w:line="276" w:lineRule="auto"/>
              <w:rPr>
                <w:rFonts w:ascii="宋体" w:hAnsi="宋体" w:cs="宋体"/>
                <w:color w:val="auto"/>
                <w:kern w:val="0"/>
                <w:sz w:val="24"/>
                <w:lang w:bidi="ar"/>
              </w:rPr>
            </w:pPr>
            <w:r>
              <w:rPr>
                <w:rFonts w:hint="eastAsia" w:ascii="宋体" w:hAnsi="宋体" w:cs="宋体"/>
                <w:color w:val="auto"/>
                <w:kern w:val="0"/>
                <w:sz w:val="24"/>
              </w:rPr>
              <w:t xml:space="preserve">支持禁止运行移动设备上的应用程序，避免危险程序对本机造成危害 </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cs="宋体"/>
                <w:color w:val="auto"/>
                <w:kern w:val="0"/>
                <w:sz w:val="24"/>
              </w:rPr>
            </w:pPr>
            <w:r>
              <w:rPr>
                <w:rFonts w:hint="eastAsia" w:ascii="宋体" w:hAnsi="宋体" w:cs="宋体"/>
                <w:color w:val="auto"/>
                <w:kern w:val="0"/>
                <w:sz w:val="24"/>
              </w:rPr>
              <w:t>支持应用管控，须包含但不限于下列功能：</w:t>
            </w:r>
          </w:p>
          <w:p>
            <w:pPr>
              <w:numPr>
                <w:ilvl w:val="0"/>
                <w:numId w:val="16"/>
              </w:numPr>
              <w:spacing w:line="276" w:lineRule="auto"/>
              <w:rPr>
                <w:rFonts w:ascii="宋体" w:hAnsi="宋体" w:cs="宋体"/>
                <w:color w:val="auto"/>
                <w:kern w:val="0"/>
                <w:sz w:val="24"/>
              </w:rPr>
            </w:pPr>
            <w:r>
              <w:rPr>
                <w:rFonts w:hint="eastAsia" w:ascii="宋体" w:hAnsi="宋体" w:cs="宋体"/>
                <w:color w:val="auto"/>
                <w:kern w:val="0"/>
                <w:sz w:val="24"/>
              </w:rPr>
              <w:t>自动收集所有安装的应用程序；</w:t>
            </w:r>
          </w:p>
          <w:p>
            <w:pPr>
              <w:numPr>
                <w:ilvl w:val="0"/>
                <w:numId w:val="16"/>
              </w:numPr>
              <w:spacing w:line="276" w:lineRule="auto"/>
              <w:rPr>
                <w:rFonts w:ascii="宋体" w:hAnsi="宋体" w:cs="宋体"/>
                <w:color w:val="auto"/>
                <w:kern w:val="0"/>
                <w:sz w:val="24"/>
              </w:rPr>
            </w:pPr>
            <w:r>
              <w:rPr>
                <w:rFonts w:hint="eastAsia" w:ascii="宋体" w:hAnsi="宋体" w:cs="宋体"/>
                <w:color w:val="auto"/>
                <w:kern w:val="0"/>
                <w:sz w:val="24"/>
              </w:rPr>
              <w:t>支持黑白名单定义不同应用程序运行级别；</w:t>
            </w:r>
          </w:p>
          <w:p>
            <w:pPr>
              <w:numPr>
                <w:ilvl w:val="0"/>
                <w:numId w:val="16"/>
              </w:numPr>
              <w:spacing w:line="276" w:lineRule="auto"/>
              <w:rPr>
                <w:rFonts w:ascii="宋体" w:hAnsi="宋体" w:cs="宋体"/>
                <w:color w:val="auto"/>
                <w:kern w:val="0"/>
                <w:sz w:val="24"/>
              </w:rPr>
            </w:pPr>
            <w:r>
              <w:rPr>
                <w:rFonts w:hint="eastAsia" w:ascii="宋体" w:hAnsi="宋体" w:cs="宋体"/>
                <w:color w:val="auto"/>
                <w:kern w:val="0"/>
                <w:sz w:val="24"/>
              </w:rPr>
              <w:t>支持对应用程序伪装、改名后的文件访问行为进行监控；</w:t>
            </w:r>
          </w:p>
          <w:p>
            <w:pPr>
              <w:numPr>
                <w:ilvl w:val="0"/>
                <w:numId w:val="16"/>
              </w:numPr>
              <w:spacing w:line="276" w:lineRule="auto"/>
              <w:rPr>
                <w:rFonts w:ascii="宋体" w:hAnsi="宋体" w:cs="宋体"/>
                <w:color w:val="auto"/>
                <w:kern w:val="0"/>
                <w:sz w:val="24"/>
                <w:lang w:bidi="ar"/>
              </w:rPr>
            </w:pPr>
            <w:r>
              <w:rPr>
                <w:rFonts w:hint="eastAsia" w:ascii="宋体" w:hAnsi="宋体" w:cs="宋体"/>
                <w:color w:val="auto"/>
                <w:kern w:val="0"/>
                <w:sz w:val="24"/>
              </w:rPr>
              <w:t>支持对应用程序访问敏感文件的行为进行监控。</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支持共享管控，须包含但不限于下列功能：</w:t>
            </w:r>
          </w:p>
          <w:p>
            <w:pPr>
              <w:widowControl/>
              <w:numPr>
                <w:ilvl w:val="0"/>
                <w:numId w:val="17"/>
              </w:numPr>
              <w:spacing w:line="276" w:lineRule="auto"/>
              <w:textAlignment w:val="center"/>
              <w:rPr>
                <w:rFonts w:ascii="宋体" w:hAnsi="宋体" w:cs="宋体"/>
                <w:color w:val="auto"/>
                <w:kern w:val="0"/>
                <w:sz w:val="24"/>
              </w:rPr>
            </w:pPr>
            <w:r>
              <w:rPr>
                <w:rFonts w:hint="eastAsia" w:ascii="宋体" w:hAnsi="宋体" w:cs="宋体"/>
                <w:color w:val="auto"/>
                <w:kern w:val="0"/>
                <w:sz w:val="24"/>
              </w:rPr>
              <w:t>对上传到共享目录的文件进行监控，可阻止上传敏感文件；</w:t>
            </w:r>
          </w:p>
          <w:p>
            <w:pPr>
              <w:widowControl/>
              <w:numPr>
                <w:ilvl w:val="0"/>
                <w:numId w:val="17"/>
              </w:numPr>
              <w:spacing w:line="276" w:lineRule="auto"/>
              <w:textAlignment w:val="center"/>
              <w:rPr>
                <w:rFonts w:ascii="宋体" w:hAnsi="宋体" w:cs="宋体"/>
                <w:color w:val="auto"/>
                <w:kern w:val="0"/>
                <w:sz w:val="24"/>
              </w:rPr>
            </w:pPr>
            <w:r>
              <w:rPr>
                <w:rFonts w:hint="eastAsia" w:ascii="宋体" w:hAnsi="宋体" w:cs="宋体"/>
                <w:color w:val="auto"/>
                <w:kern w:val="0"/>
                <w:sz w:val="24"/>
              </w:rPr>
              <w:t>对本地共享的文件进行监控，可阻止共享敏感文件；</w:t>
            </w:r>
          </w:p>
          <w:p>
            <w:pPr>
              <w:widowControl/>
              <w:numPr>
                <w:ilvl w:val="0"/>
                <w:numId w:val="17"/>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支持远程共享目录例外，对上传到例外目录的文件不进行拦截。</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支持打印管控，须包含但不限于下列功能：</w:t>
            </w:r>
          </w:p>
          <w:p>
            <w:pPr>
              <w:widowControl/>
              <w:numPr>
                <w:ilvl w:val="0"/>
                <w:numId w:val="18"/>
              </w:numPr>
              <w:spacing w:line="276" w:lineRule="auto"/>
              <w:textAlignment w:val="center"/>
              <w:rPr>
                <w:rFonts w:ascii="宋体" w:hAnsi="宋体" w:cs="宋体"/>
                <w:color w:val="auto"/>
                <w:kern w:val="0"/>
                <w:sz w:val="24"/>
              </w:rPr>
            </w:pPr>
            <w:r>
              <w:rPr>
                <w:rFonts w:hint="eastAsia" w:ascii="宋体" w:hAnsi="宋体" w:cs="宋体"/>
                <w:color w:val="auto"/>
                <w:kern w:val="0"/>
                <w:sz w:val="24"/>
              </w:rPr>
              <w:t>对本地打印机、远程打印机进行监控，对打印的敏感文件进行控制；</w:t>
            </w:r>
          </w:p>
          <w:p>
            <w:pPr>
              <w:widowControl/>
              <w:numPr>
                <w:ilvl w:val="0"/>
                <w:numId w:val="18"/>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支持添加打印水印，水印内容可自定义。</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支持IM消息管控，须包含但不限于下列功能：</w:t>
            </w:r>
          </w:p>
          <w:p>
            <w:pPr>
              <w:widowControl/>
              <w:numPr>
                <w:ilvl w:val="0"/>
                <w:numId w:val="19"/>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支持对QQ外发的敏感消息进行监控；</w:t>
            </w:r>
          </w:p>
          <w:p>
            <w:pPr>
              <w:widowControl/>
              <w:numPr>
                <w:ilvl w:val="0"/>
                <w:numId w:val="19"/>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支持对TIM外发的敏感消息进行监控。</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支持屏幕管控，须包含但不限于下列功能：</w:t>
            </w:r>
          </w:p>
          <w:p>
            <w:pPr>
              <w:widowControl/>
              <w:numPr>
                <w:ilvl w:val="0"/>
                <w:numId w:val="20"/>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支持敏感文件打开时禁止截屏，可不区分截屏软件，敏感文件最小化或关闭后可以正常截屏；</w:t>
            </w:r>
          </w:p>
          <w:p>
            <w:pPr>
              <w:widowControl/>
              <w:numPr>
                <w:ilvl w:val="0"/>
                <w:numId w:val="20"/>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支持禁止对敏感内容进行远程屏幕分享、无线投屏、远程协助；</w:t>
            </w:r>
          </w:p>
          <w:p>
            <w:pPr>
              <w:widowControl/>
              <w:numPr>
                <w:ilvl w:val="0"/>
                <w:numId w:val="20"/>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支持屏幕水印，支持文字、二维码、图片，水印大小、颜色、内容、透明度可自定义。</w:t>
            </w:r>
          </w:p>
          <w:p>
            <w:pPr>
              <w:widowControl/>
              <w:numPr>
                <w:ilvl w:val="0"/>
                <w:numId w:val="20"/>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支持窗口水印，水印可随程序窗口移动。</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支持离线模式，须包含但不限于下列功能：</w:t>
            </w:r>
          </w:p>
          <w:p>
            <w:pPr>
              <w:widowControl/>
              <w:numPr>
                <w:ilvl w:val="0"/>
                <w:numId w:val="21"/>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支持安全策略由各终端本地离线缓存及处理；</w:t>
            </w:r>
          </w:p>
          <w:p>
            <w:pPr>
              <w:widowControl/>
              <w:numPr>
                <w:ilvl w:val="0"/>
                <w:numId w:val="21"/>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支持离线状态下事件、日志的保存；重新连接后事件、日志上传；</w:t>
            </w:r>
          </w:p>
          <w:p>
            <w:pPr>
              <w:widowControl/>
              <w:numPr>
                <w:ilvl w:val="0"/>
                <w:numId w:val="21"/>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支持终端在接入公司内网后自动对本地的安全策略进行更新；</w:t>
            </w:r>
          </w:p>
          <w:p>
            <w:pPr>
              <w:widowControl/>
              <w:numPr>
                <w:ilvl w:val="0"/>
                <w:numId w:val="21"/>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支持客户端在离线情况下根据本地策略正常工作。</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支持审计、提醒告警、阻断、申述放行、审批、加密、证据留存、邮件通知等系统响应方式；</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支持自定义审批流，审批节点、审核人员自定义，支持同节点审核人间关系自定义（或、与），支持移交审批等处理方式；</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文档加密外发下，对有权限的设备可以无密钥解密文件；</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支持按触发的不同条件触发不同动作，条件包括但不限于事件严重程度、内容扫描结果、终端信息等；</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程序管理须支持但不限于下列功能：</w:t>
            </w:r>
          </w:p>
          <w:p>
            <w:pPr>
              <w:widowControl/>
              <w:numPr>
                <w:ilvl w:val="0"/>
                <w:numId w:val="22"/>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支持一键安装，一键卸载；</w:t>
            </w:r>
          </w:p>
          <w:p>
            <w:pPr>
              <w:widowControl/>
              <w:numPr>
                <w:ilvl w:val="0"/>
                <w:numId w:val="22"/>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支持通过第三方工具进行推送安装、远程卸载；</w:t>
            </w:r>
          </w:p>
          <w:p>
            <w:pPr>
              <w:widowControl/>
              <w:numPr>
                <w:ilvl w:val="0"/>
                <w:numId w:val="22"/>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支持在线升级；</w:t>
            </w:r>
          </w:p>
          <w:p>
            <w:pPr>
              <w:widowControl/>
              <w:numPr>
                <w:ilvl w:val="0"/>
                <w:numId w:val="22"/>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支持设备与用户的关联，可按用户权限进行设备管理，未登陆时无法访问安全区中的文件；</w:t>
            </w:r>
          </w:p>
          <w:p>
            <w:pPr>
              <w:widowControl/>
              <w:numPr>
                <w:ilvl w:val="0"/>
                <w:numId w:val="22"/>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支持对相关程序运行状态进行监控（自我保护）；</w:t>
            </w:r>
          </w:p>
          <w:p>
            <w:pPr>
              <w:widowControl/>
              <w:numPr>
                <w:ilvl w:val="0"/>
                <w:numId w:val="22"/>
              </w:numPr>
              <w:spacing w:line="276" w:lineRule="auto"/>
              <w:textAlignment w:val="center"/>
              <w:rPr>
                <w:rFonts w:ascii="宋体" w:hAnsi="宋体" w:cs="宋体"/>
                <w:color w:val="auto"/>
                <w:kern w:val="0"/>
                <w:sz w:val="24"/>
              </w:rPr>
            </w:pPr>
            <w:r>
              <w:rPr>
                <w:rFonts w:hint="eastAsia" w:ascii="宋体" w:hAnsi="宋体" w:cs="宋体"/>
                <w:color w:val="auto"/>
                <w:kern w:val="0"/>
                <w:sz w:val="24"/>
              </w:rPr>
              <w:t>定时与管理平台同步状态，同步周期可自定义；</w:t>
            </w:r>
          </w:p>
          <w:p>
            <w:pPr>
              <w:widowControl/>
              <w:numPr>
                <w:ilvl w:val="0"/>
                <w:numId w:val="22"/>
              </w:numPr>
              <w:spacing w:line="276" w:lineRule="auto"/>
              <w:textAlignment w:val="center"/>
              <w:rPr>
                <w:rFonts w:ascii="宋体" w:hAnsi="宋体" w:cs="宋体"/>
                <w:color w:val="auto"/>
                <w:kern w:val="0"/>
                <w:sz w:val="24"/>
              </w:rPr>
            </w:pPr>
            <w:r>
              <w:rPr>
                <w:rFonts w:hint="eastAsia" w:ascii="宋体" w:hAnsi="宋体" w:cs="宋体"/>
                <w:color w:val="auto"/>
                <w:kern w:val="0"/>
                <w:sz w:val="24"/>
              </w:rPr>
              <w:t>支持通过管理平台进行远程卸载；</w:t>
            </w:r>
          </w:p>
          <w:p>
            <w:pPr>
              <w:widowControl/>
              <w:numPr>
                <w:ilvl w:val="0"/>
                <w:numId w:val="22"/>
              </w:numPr>
              <w:spacing w:line="276" w:lineRule="auto"/>
              <w:textAlignment w:val="center"/>
              <w:rPr>
                <w:rFonts w:ascii="宋体" w:hAnsi="宋体" w:cs="宋体"/>
                <w:color w:val="auto"/>
                <w:kern w:val="0"/>
                <w:sz w:val="24"/>
              </w:rPr>
            </w:pPr>
            <w:r>
              <w:rPr>
                <w:rFonts w:hint="eastAsia" w:ascii="宋体" w:hAnsi="宋体" w:cs="宋体"/>
                <w:color w:val="auto"/>
                <w:kern w:val="0"/>
                <w:sz w:val="24"/>
              </w:rPr>
              <w:t>在自我保护下，支持通过密码卸载。</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支持以图表方式按文件密级、文件类别展示整体、部门、设备上各文件密级及对应数量；</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支持以图表方式按文件泄漏严重性展示整体、部门、设备上各严重性及对应数量；</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支持设置终端安全区，安全区内文件可正常使用，文件脱离安全区（拷贝至其他路径）则无法打开；</w:t>
            </w:r>
          </w:p>
        </w:tc>
      </w:tr>
      <w:tr>
        <w:tblPrEx>
          <w:tblLayout w:type="fixed"/>
          <w:tblCellMar>
            <w:top w:w="0" w:type="dxa"/>
            <w:left w:w="108" w:type="dxa"/>
            <w:bottom w:w="0" w:type="dxa"/>
            <w:right w:w="108" w:type="dxa"/>
          </w:tblCellMar>
        </w:tblPrEx>
        <w:trPr>
          <w:trHeight w:val="23" w:hRule="atLeast"/>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bidi="ar"/>
              </w:rPr>
            </w:pPr>
            <w:r>
              <w:rPr>
                <w:rFonts w:hint="eastAsia" w:ascii="宋体" w:hAnsi="宋体" w:cs="宋体"/>
                <w:color w:val="auto"/>
                <w:kern w:val="0"/>
                <w:sz w:val="24"/>
                <w:lang w:eastAsia="zh-Hans"/>
              </w:rPr>
              <w:t>资质证书</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textAlignment w:val="center"/>
              <w:rPr>
                <w:rFonts w:ascii="宋体" w:hAnsi="宋体" w:cs="宋体"/>
                <w:color w:val="auto"/>
                <w:kern w:val="0"/>
                <w:sz w:val="24"/>
              </w:rPr>
            </w:pPr>
            <w:r>
              <w:rPr>
                <w:rFonts w:hint="eastAsia" w:ascii="宋体" w:hAnsi="宋体" w:cs="宋体"/>
                <w:color w:val="auto"/>
                <w:kern w:val="0"/>
                <w:sz w:val="24"/>
              </w:rPr>
              <w:t>★非OEM产品。产品具有自主知识产权。</w:t>
            </w:r>
          </w:p>
        </w:tc>
      </w:tr>
      <w:tr>
        <w:tblPrEx>
          <w:tblLayout w:type="fixed"/>
          <w:tblCellMar>
            <w:top w:w="0" w:type="dxa"/>
            <w:left w:w="108" w:type="dxa"/>
            <w:bottom w:w="0" w:type="dxa"/>
            <w:right w:w="108" w:type="dxa"/>
          </w:tblCellMar>
        </w:tblPrEx>
        <w:trPr>
          <w:trHeight w:val="23" w:hRule="atLeast"/>
        </w:trPr>
        <w:tc>
          <w:tcPr>
            <w:tcW w:w="456"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3</w:t>
            </w:r>
          </w:p>
        </w:tc>
        <w:tc>
          <w:tcPr>
            <w:tcW w:w="456"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color w:val="auto"/>
                <w:sz w:val="24"/>
              </w:rPr>
            </w:pPr>
            <w:bookmarkStart w:id="37" w:name="_Toc104234426"/>
            <w:r>
              <w:rPr>
                <w:rFonts w:hint="eastAsia" w:ascii="宋体" w:hAnsi="宋体" w:cs="宋体"/>
                <w:color w:val="auto"/>
                <w:sz w:val="24"/>
              </w:rPr>
              <w:t>数据安全态势感知系统</w:t>
            </w:r>
            <w:bookmarkEnd w:id="37"/>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auto"/>
                <w:kern w:val="0"/>
                <w:sz w:val="24"/>
                <w:lang w:eastAsia="zh-Hans"/>
              </w:rPr>
            </w:pPr>
            <w:r>
              <w:rPr>
                <w:rFonts w:hint="eastAsia" w:ascii="宋体" w:hAnsi="宋体" w:cs="宋体"/>
                <w:color w:val="auto"/>
                <w:kern w:val="0"/>
                <w:sz w:val="24"/>
                <w:lang w:eastAsia="zh-Hans"/>
              </w:rPr>
              <w:t>服务内容</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rPr>
                <w:rFonts w:ascii="宋体" w:hAnsi="宋体" w:cs="宋体"/>
                <w:color w:val="auto"/>
                <w:kern w:val="0"/>
                <w:sz w:val="24"/>
              </w:rPr>
            </w:pPr>
            <w:r>
              <w:rPr>
                <w:rFonts w:hint="eastAsia" w:ascii="宋体" w:hAnsi="宋体" w:cs="宋体"/>
                <w:color w:val="auto"/>
                <w:kern w:val="0"/>
                <w:sz w:val="24"/>
              </w:rPr>
              <w:t>1、支持安全日志采集处理分析、网络安全监管、数据安全监管、风险预警通报、工单管理及指标上传</w:t>
            </w:r>
          </w:p>
          <w:p>
            <w:pPr>
              <w:widowControl/>
              <w:spacing w:line="276" w:lineRule="auto"/>
              <w:rPr>
                <w:rFonts w:ascii="宋体" w:hAnsi="宋体" w:cs="宋体"/>
                <w:color w:val="auto"/>
                <w:kern w:val="0"/>
                <w:sz w:val="24"/>
                <w:lang w:eastAsia="zh-Hans"/>
              </w:rPr>
            </w:pPr>
            <w:r>
              <w:rPr>
                <w:rFonts w:hint="eastAsia" w:ascii="宋体" w:hAnsi="宋体" w:cs="宋体"/>
                <w:color w:val="auto"/>
                <w:kern w:val="0"/>
                <w:sz w:val="24"/>
                <w:lang w:eastAsia="zh-Hans"/>
              </w:rPr>
              <w:t>2、针对监管的业务应用场景，定制化数据安全监管大屏。</w:t>
            </w:r>
          </w:p>
          <w:p>
            <w:pPr>
              <w:widowControl/>
              <w:spacing w:line="276" w:lineRule="auto"/>
              <w:rPr>
                <w:rFonts w:ascii="宋体" w:hAnsi="宋体" w:cs="宋体"/>
                <w:color w:val="auto"/>
                <w:kern w:val="0"/>
                <w:sz w:val="24"/>
                <w:lang w:eastAsia="zh-Hans"/>
              </w:rPr>
            </w:pPr>
            <w:r>
              <w:rPr>
                <w:rFonts w:hint="eastAsia" w:ascii="宋体" w:hAnsi="宋体" w:cs="宋体"/>
                <w:color w:val="auto"/>
                <w:kern w:val="0"/>
                <w:sz w:val="24"/>
                <w:lang w:eastAsia="zh-Hans"/>
              </w:rPr>
              <w:t>3、提供重点应用场景的流程梳理服务，结合业务逻辑制定安全监测规则策略，实现基于业务规则的数据流动安全监管。</w:t>
            </w:r>
          </w:p>
        </w:tc>
      </w:tr>
      <w:tr>
        <w:tblPrEx>
          <w:tblLayout w:type="fixed"/>
          <w:tblCellMar>
            <w:top w:w="0" w:type="dxa"/>
            <w:left w:w="108" w:type="dxa"/>
            <w:bottom w:w="0" w:type="dxa"/>
            <w:right w:w="108" w:type="dxa"/>
          </w:tblCellMar>
        </w:tblPrEx>
        <w:trPr>
          <w:trHeight w:val="23" w:hRule="atLeast"/>
        </w:trPr>
        <w:tc>
          <w:tcPr>
            <w:tcW w:w="45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auto"/>
                <w:kern w:val="0"/>
                <w:sz w:val="24"/>
                <w:lang w:eastAsia="zh-Hans"/>
              </w:rPr>
            </w:pPr>
            <w:r>
              <w:rPr>
                <w:rFonts w:hint="eastAsia" w:ascii="宋体" w:hAnsi="宋体" w:cs="宋体"/>
                <w:color w:val="auto"/>
                <w:kern w:val="0"/>
                <w:sz w:val="24"/>
                <w:lang w:eastAsia="zh-Hans"/>
              </w:rPr>
              <w:t>服务交付物</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rPr>
                <w:rFonts w:ascii="宋体" w:hAnsi="宋体" w:cs="宋体"/>
                <w:color w:val="auto"/>
                <w:kern w:val="0"/>
                <w:sz w:val="24"/>
                <w:lang w:eastAsia="zh-Hans"/>
              </w:rPr>
            </w:pPr>
            <w:r>
              <w:rPr>
                <w:rFonts w:hint="eastAsia" w:ascii="宋体" w:hAnsi="宋体" w:cs="宋体"/>
                <w:color w:val="auto"/>
                <w:kern w:val="0"/>
                <w:sz w:val="24"/>
                <w:lang w:eastAsia="zh-Hans"/>
              </w:rPr>
              <w:t>1、数据资产态势：数据资产态势作为数据资产的全景视图，包括数据资产视图、敏感数据资产视图、数据分级分类视图</w:t>
            </w:r>
          </w:p>
          <w:p>
            <w:pPr>
              <w:widowControl/>
              <w:spacing w:line="276" w:lineRule="auto"/>
              <w:rPr>
                <w:rFonts w:ascii="宋体" w:hAnsi="宋体" w:cs="宋体"/>
                <w:color w:val="auto"/>
                <w:kern w:val="0"/>
                <w:sz w:val="24"/>
              </w:rPr>
            </w:pPr>
            <w:r>
              <w:rPr>
                <w:rFonts w:hint="eastAsia" w:ascii="宋体" w:hAnsi="宋体" w:cs="宋体"/>
                <w:color w:val="auto"/>
                <w:kern w:val="0"/>
                <w:sz w:val="24"/>
                <w:lang w:eastAsia="zh-Hans"/>
              </w:rPr>
              <w:t>2、数据风险态势：数据风险态势作为数据风险的全景视图，包括数据安全事件概述视图、数据安全事件量视图、数据安全风险趋势视图、数据资产流向视图、应用行为视图等</w:t>
            </w:r>
          </w:p>
        </w:tc>
      </w:tr>
      <w:tr>
        <w:tblPrEx>
          <w:tblLayout w:type="fixed"/>
          <w:tblCellMar>
            <w:top w:w="0" w:type="dxa"/>
            <w:left w:w="108" w:type="dxa"/>
            <w:bottom w:w="0" w:type="dxa"/>
            <w:right w:w="108" w:type="dxa"/>
          </w:tblCellMar>
        </w:tblPrEx>
        <w:trPr>
          <w:trHeight w:val="23" w:hRule="atLeast"/>
        </w:trPr>
        <w:tc>
          <w:tcPr>
            <w:tcW w:w="45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auto"/>
                <w:kern w:val="0"/>
                <w:sz w:val="24"/>
                <w:lang w:eastAsia="zh-Hans"/>
              </w:rPr>
            </w:pPr>
            <w:r>
              <w:rPr>
                <w:rFonts w:hint="eastAsia" w:ascii="宋体" w:hAnsi="宋体" w:cs="宋体"/>
                <w:color w:val="auto"/>
                <w:kern w:val="0"/>
                <w:sz w:val="24"/>
                <w:lang w:eastAsia="zh-Hans"/>
              </w:rPr>
              <w:t>态势感知大屏</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rPr>
                <w:rFonts w:ascii="宋体" w:hAnsi="宋体" w:cs="宋体"/>
                <w:color w:val="auto"/>
                <w:kern w:val="0"/>
                <w:sz w:val="24"/>
                <w:lang w:eastAsia="zh-Hans"/>
              </w:rPr>
            </w:pPr>
            <w:r>
              <w:rPr>
                <w:rFonts w:hint="eastAsia" w:ascii="宋体" w:hAnsi="宋体" w:cs="宋体"/>
                <w:color w:val="auto"/>
                <w:kern w:val="0"/>
                <w:sz w:val="24"/>
              </w:rPr>
              <w:t>★</w:t>
            </w:r>
            <w:r>
              <w:rPr>
                <w:rFonts w:hint="eastAsia" w:ascii="宋体" w:hAnsi="宋体" w:cs="宋体"/>
                <w:color w:val="auto"/>
                <w:sz w:val="24"/>
              </w:rPr>
              <w:t>支持数据资产安全大屏，可为用户提供全网的数据资产分布情况、数据资产安全水位、敏感数据流转态势等信息。</w:t>
            </w:r>
          </w:p>
        </w:tc>
      </w:tr>
      <w:tr>
        <w:tblPrEx>
          <w:tblLayout w:type="fixed"/>
          <w:tblCellMar>
            <w:top w:w="0" w:type="dxa"/>
            <w:left w:w="108" w:type="dxa"/>
            <w:bottom w:w="0" w:type="dxa"/>
            <w:right w:w="108" w:type="dxa"/>
          </w:tblCellMar>
        </w:tblPrEx>
        <w:trPr>
          <w:trHeight w:val="23" w:hRule="atLeast"/>
        </w:trPr>
        <w:tc>
          <w:tcPr>
            <w:tcW w:w="456"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4</w:t>
            </w:r>
          </w:p>
        </w:tc>
        <w:tc>
          <w:tcPr>
            <w:tcW w:w="456"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数据分类分级服务</w:t>
            </w: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color w:val="auto"/>
                <w:kern w:val="0"/>
                <w:sz w:val="24"/>
                <w:lang w:eastAsia="zh-Hans"/>
              </w:rPr>
            </w:pPr>
            <w:r>
              <w:rPr>
                <w:rFonts w:hint="eastAsia" w:ascii="宋体" w:hAnsi="宋体" w:cs="宋体"/>
                <w:color w:val="auto"/>
                <w:sz w:val="24"/>
              </w:rPr>
              <w:t>数据分类分级咨询服务</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根据台州市公共数据平台情况进行数据分类分级咨询调研服务，调研内容包括但不限于以下内容：</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数据基础信息调研：资源提供方、所属目录资源分类、信息资源摘要、所属系统名称、信息资源格式、数据保存位置、数据量大小、主题分类、重点领域分类、更新周期、共享方式、英文表名、数据类型、中文名称、字段描述等20余项信息。</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数据安全等级：数据级别、级别标识、影响范围、影响程度以及判断标准等。</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信息资源格式：电子文件、电子表格、数据库、图形图像、流媒体、其他等。</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kern w:val="0"/>
                <w:sz w:val="24"/>
              </w:rPr>
            </w:pPr>
            <w:r>
              <w:rPr>
                <w:rFonts w:hint="eastAsia" w:ascii="宋体" w:hAnsi="宋体" w:cs="宋体"/>
                <w:color w:val="auto"/>
                <w:sz w:val="24"/>
              </w:rPr>
              <w:t>在对以上信息收集完成、字段含义识别完成之后，形成数据资源列表，并且按照《数字化改革公共数据分类分级指南》制定适合台州公共数据平台的分类分级标准。</w:t>
            </w:r>
          </w:p>
        </w:tc>
      </w:tr>
      <w:tr>
        <w:tblPrEx>
          <w:tblLayout w:type="fixed"/>
          <w:tblCellMar>
            <w:top w:w="0" w:type="dxa"/>
            <w:left w:w="108" w:type="dxa"/>
            <w:bottom w:w="0" w:type="dxa"/>
            <w:right w:w="108" w:type="dxa"/>
          </w:tblCellMar>
        </w:tblPrEx>
        <w:trPr>
          <w:trHeight w:val="23" w:hRule="atLeast"/>
        </w:trPr>
        <w:tc>
          <w:tcPr>
            <w:tcW w:w="45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color w:val="auto"/>
                <w:sz w:val="24"/>
                <w:lang w:eastAsia="zh-Hans"/>
              </w:rPr>
            </w:pPr>
            <w:r>
              <w:rPr>
                <w:rFonts w:hint="eastAsia" w:ascii="宋体" w:hAnsi="宋体" w:cs="宋体"/>
                <w:color w:val="auto"/>
                <w:sz w:val="24"/>
              </w:rPr>
              <w:t>数据分类分级建模服务</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根据数据分类分级的咨询标准结果，生成数据分类分级模型，能够将数据分类分级模型定制到数据分类分级平台，通过数据分类分级平台能够直观的查看分类分级模型指标。</w:t>
            </w:r>
          </w:p>
        </w:tc>
      </w:tr>
      <w:tr>
        <w:tblPrEx>
          <w:tblLayout w:type="fixed"/>
          <w:tblCellMar>
            <w:top w:w="0" w:type="dxa"/>
            <w:left w:w="108" w:type="dxa"/>
            <w:bottom w:w="0" w:type="dxa"/>
            <w:right w:w="108" w:type="dxa"/>
          </w:tblCellMar>
        </w:tblPrEx>
        <w:trPr>
          <w:trHeight w:val="23" w:hRule="atLeast"/>
        </w:trPr>
        <w:tc>
          <w:tcPr>
            <w:tcW w:w="45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color w:val="auto"/>
                <w:sz w:val="24"/>
                <w:lang w:eastAsia="zh-Hans"/>
              </w:rPr>
            </w:pPr>
            <w:r>
              <w:rPr>
                <w:rFonts w:hint="eastAsia" w:ascii="宋体" w:hAnsi="宋体" w:cs="宋体"/>
                <w:color w:val="auto"/>
                <w:sz w:val="24"/>
              </w:rPr>
              <w:t>分类模型及策略制定及分类实施</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确定数据分级分类原则;数据分类分级基于前期梳理完成的数据资源，按照业务属性和数据重要程度等多方面因素进行细分。数据分类分级可参考对应模型，数据分类分级模型具有数据分类、数据分级和行业实践三个维度。数据分类一般分为重要数据、个人信息数据和其他业务数据的大类，数据分级一般分为合规性等级、敏感性等级和风险控制等级的大类;然后按照数据性质、重要程度、管理需求或使用需求等进行数据分类进而得到数据一级分类，形成数据表、数据项、数据文件等不同的组合。分类和分级后，需要结合国家政策、行业及自身特点，确定数据分类分级策略，将分类和分级进行对应，形成数据分类分级策略，通常是表单的方式提供，根据组织的实际需求，制定数据分类分级管理规范，为组织分类分级管理提供依据，为后续的业务应用奠定基础分级分类实施数据分类分级按照分类分级咨询建立数据分类分级模型后，会将数据分类分级模型算法内置到数据分类分级平台，然后通过数据分类分级平台对数据项进行数据扫描，扫描后的结果通过数据分类分级平台进行数据类别和安全级别进行匹配，数据分类分级平台扫描的结果需要进行人工复核，复核过程涉及大量的人工操作，需要专业的具备数据治理能力的人员进行数据复核，同时还需要和各业务部门进行数据沟通，确定分类分级结果的准确性和可用性。</w:t>
            </w:r>
          </w:p>
        </w:tc>
      </w:tr>
      <w:tr>
        <w:tblPrEx>
          <w:tblLayout w:type="fixed"/>
          <w:tblCellMar>
            <w:top w:w="0" w:type="dxa"/>
            <w:left w:w="108" w:type="dxa"/>
            <w:bottom w:w="0" w:type="dxa"/>
            <w:right w:w="108" w:type="dxa"/>
          </w:tblCellMar>
        </w:tblPrEx>
        <w:trPr>
          <w:trHeight w:val="23" w:hRule="atLeast"/>
        </w:trPr>
        <w:tc>
          <w:tcPr>
            <w:tcW w:w="45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color w:val="auto"/>
                <w:sz w:val="24"/>
                <w:lang w:eastAsia="zh-Hans"/>
              </w:rPr>
            </w:pPr>
            <w:r>
              <w:rPr>
                <w:rFonts w:hint="eastAsia" w:ascii="宋体" w:hAnsi="宋体" w:cs="宋体"/>
                <w:color w:val="auto"/>
                <w:sz w:val="24"/>
              </w:rPr>
              <w:t>数据分类分级工具服务</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分类分级服务提供分类分级工具服务，该工具能够适配多种数据源，支持主流关系型数据库（Oracle，Mysql，sqlServer，DB2，PostgreSQL，浪潮K-DB、大数据平台（hive）、云数据库（阿里云RDS for mysql）等。</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能够对不同行业的数据标准和分类分级标准进行灵活适配，内置专业行业模版至少包括公共（通用）、医疗、金融、证券等行业模版，保障准确率，页面支持用户自定义业务类型及规则配置，同时支持按照模版导入数据标准、数据字典等信息。</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提供完整的对接接口方案以及标准接口文档，能与其他系统进行交互；支持横向拓展，根据业务需要可以动态扩展。</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能够手工新增、批量导入、数据源发现三种方式添加数据源，可根据业务部门划分归属，页面支持查看数据源的关联用户、角色、权限。</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支持根据网段范围自动探测网络中的数据库，可扫描发现不限于Oracle、MySQL、SQL sever、DB2、postgresql、Sybase、 redis 、hbase、mongodb、informix等类型的数据库IP、端口、数据库类型等信息，支持仅对数据库常见的端口进行扫描以缩短扫描所用时间。</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支持定时执行数据源发现任务，可自定义定时周期和启动时间，启动时间可精确到小时、分、秒。</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支持对任务进行跟踪，展示发现作业名称、扫描IP范围、开始时间、扫描用时、发现数据库数量、任务执行状态等信息。</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支持用户选择两个不同的作业发现结果进行对比，包括数据库类型分布、数据库IP分布、数据库新增或者信息变化情况，支持导出对比报告。</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支持用户上传数据库台账文件，和扫描结果进行对比，并生成对比分析报告。</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支持用户创建资产发现作业，支持按照schema或者表选择需要发现的数据范围。</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支持选择发现模板自定义发现内容。</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支持自定义抽样行数范围、抽样行数（最小为10行）、输出命中率。</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支持查看发现作业分析进度，并可以对每一步的结果进行修改和确认。</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支持通过列内容匹配、列注释匹配、列名称匹配、函数分析等方式对数据语义内容进行自动识别，识别字段代表的业务类型。</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支持自动分析字段数据内容是否为空数据和脏数据。</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支持对存在数据特征比较明显的字段，自动分析并整理为规则，包括可整理为数据字典、可整理为规则，辅助用户快速确认结果。</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字段业务类型分析完成后，会分组展示分析结果，包括已识别、自动配置和人工配置三部分，支持用户分别查看、确认和修改识别结果。</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支持在业务类型识别的基础上，根据分类分级标准自动化完成数据的分类分级。分类结果确认</w:t>
            </w:r>
            <w:r>
              <w:rPr>
                <w:rFonts w:hint="eastAsia" w:ascii="宋体" w:hAnsi="宋体" w:cs="宋体"/>
                <w:color w:val="auto"/>
                <w:sz w:val="24"/>
              </w:rPr>
              <w:tab/>
            </w:r>
            <w:r>
              <w:rPr>
                <w:rFonts w:hint="eastAsia" w:ascii="宋体" w:hAnsi="宋体" w:cs="宋体"/>
                <w:color w:val="auto"/>
                <w:sz w:val="24"/>
              </w:rPr>
              <w:t>在自动完成数据分类分级时，支持用户对业务类型未分类的、字段对应业务类型存在多个分类的字段进行确认，确认完成后输出最终分类分级结果。</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支持通过业务含义识别对多种敏感数据类型进行自动识别；支持用户自定义需要发现的敏感类型，并对识别结果进行确认。</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按照数据表内包含的敏感字段数量和敏感等级，提供敏感指数帮助用户快速确认表格敏感程度，支持查看表格包含的敏感字段信息支持对敏感表格发现结果进行导出，格式为excel。</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支持以清单的形式资产发现的结果，包括字段业务类型、分类、分级、是否敏感等信息。</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支持导出资产发现清单，格式为Excel、XML。</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支持提供完整、直观、内容丰富的发现结果报告，包括数据统计信息，敏感数据统计、数据分类统计等；支持用户进行导出，格式为pdf。</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支持以分类分级目录形式查看数据资产的自动发现的结果和分类分级情况。</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支持按照分组-数据源-schema-表的维度，展示不同对象下的数据分类分级和敏感数据信息。</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支持用户导出资产发现总览和敏感数据统计报告，格式为Excel。</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支持通过手动新增和批量导入的方式添加规则配置中需要的数据字典。配置完成后可在“业务类型管理-规则配置”中进行选择。</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支持用户维护和定义数据资产的业务标准，支持用户自定义业务类型。</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支持用户自定义发现规则，包括列内容匹配、列注释匹配、字段名匹配等方式</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支持自定义业务类型的导入和导出。</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支持用户按照资产发现的需求，选择需要发现的业务类型，并以模板的形式进行管理</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支持用户对字段业务类型的分类和分级信息进行编辑</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对于发现流程中可配置的参数，提供前端页面进行配置，从而提高识别的效果。</w:t>
            </w:r>
          </w:p>
        </w:tc>
      </w:tr>
      <w:tr>
        <w:tblPrEx>
          <w:tblLayout w:type="fixed"/>
          <w:tblCellMar>
            <w:top w:w="0" w:type="dxa"/>
            <w:left w:w="108" w:type="dxa"/>
            <w:bottom w:w="0" w:type="dxa"/>
            <w:right w:w="108" w:type="dxa"/>
          </w:tblCellMar>
        </w:tblPrEx>
        <w:trPr>
          <w:trHeight w:val="23" w:hRule="atLeast"/>
        </w:trPr>
        <w:tc>
          <w:tcPr>
            <w:tcW w:w="45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color w:val="auto"/>
                <w:sz w:val="24"/>
                <w:lang w:eastAsia="zh-Hans"/>
              </w:rPr>
            </w:pPr>
            <w:r>
              <w:rPr>
                <w:rFonts w:hint="eastAsia" w:ascii="宋体" w:hAnsi="宋体" w:cs="宋体"/>
                <w:color w:val="auto"/>
                <w:sz w:val="24"/>
              </w:rPr>
              <w:t>分类分级梳理服务</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color w:val="auto"/>
                <w:sz w:val="24"/>
              </w:rPr>
            </w:pPr>
            <w:r>
              <w:rPr>
                <w:rFonts w:hint="eastAsia" w:ascii="宋体" w:hAnsi="宋体" w:cs="宋体"/>
                <w:color w:val="auto"/>
                <w:sz w:val="24"/>
              </w:rPr>
              <w:t>提供数据分类分级梳理服务，要求分类分级平台服务商具备较强的数据治理能力，能够通过前期的数据分类分级咨询产生的分类分级标准，分类分级执行过程中通过分类分级平台定的分类分级模型对公共数据进行分类分级扫描，扫描后提供人工梳理服务，对台州市全部已归集、已回流公共数据分类分级进行校对和修订，服务厂商提供至少3名DAMA数据治理服务工程师。</w:t>
            </w:r>
          </w:p>
        </w:tc>
      </w:tr>
      <w:tr>
        <w:tblPrEx>
          <w:tblLayout w:type="fixed"/>
          <w:tblCellMar>
            <w:top w:w="0" w:type="dxa"/>
            <w:left w:w="108" w:type="dxa"/>
            <w:bottom w:w="0" w:type="dxa"/>
            <w:right w:w="108" w:type="dxa"/>
          </w:tblCellMar>
        </w:tblPrEx>
        <w:trPr>
          <w:trHeight w:val="23" w:hRule="atLeast"/>
        </w:trPr>
        <w:tc>
          <w:tcPr>
            <w:tcW w:w="456"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56"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2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lang w:eastAsia="zh-Hans"/>
              </w:rPr>
            </w:pPr>
            <w:r>
              <w:rPr>
                <w:rFonts w:hint="eastAsia" w:ascii="宋体" w:hAnsi="宋体" w:cs="宋体"/>
                <w:color w:val="auto"/>
                <w:sz w:val="24"/>
              </w:rPr>
              <w:t>数据安全运营服务</w:t>
            </w:r>
          </w:p>
        </w:tc>
        <w:tc>
          <w:tcPr>
            <w:tcW w:w="6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rPr>
            </w:pPr>
            <w:r>
              <w:rPr>
                <w:rFonts w:hint="eastAsia" w:ascii="宋体" w:hAnsi="宋体" w:cs="宋体"/>
                <w:color w:val="auto"/>
                <w:sz w:val="24"/>
              </w:rPr>
              <w:t>提供一名数据安全驻场工程师，负责公共数据平台日常运营服务，主要服务内容包括：</w:t>
            </w:r>
          </w:p>
          <w:p>
            <w:pPr>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rPr>
            </w:pPr>
            <w:r>
              <w:rPr>
                <w:rFonts w:hint="eastAsia" w:ascii="宋体" w:hAnsi="宋体" w:cs="宋体"/>
                <w:color w:val="auto"/>
                <w:sz w:val="24"/>
              </w:rPr>
              <w:t>1)数据分级分类结果应用</w:t>
            </w:r>
          </w:p>
          <w:p>
            <w:pPr>
              <w:pStyle w:val="14"/>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szCs w:val="24"/>
              </w:rPr>
            </w:pPr>
            <w:r>
              <w:rPr>
                <w:rFonts w:hint="eastAsia" w:ascii="宋体" w:hAnsi="宋体" w:cs="宋体"/>
                <w:color w:val="auto"/>
                <w:sz w:val="24"/>
                <w:szCs w:val="24"/>
              </w:rPr>
              <w:t>对数据分类分级结果进行对接到数据安全监管平台，通过数据安全监管平台将分类分级后的结果数据推动给各数据安全模块，进行数据安全管理，需要推送的模块包括已建设的数据库访问控制模块、数据脱敏模块、数据库审计模块以及本次建设的数据库入侵防御、数据库防泄漏模块。</w:t>
            </w:r>
          </w:p>
          <w:p>
            <w:pPr>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rPr>
            </w:pPr>
            <w:r>
              <w:rPr>
                <w:rFonts w:hint="eastAsia" w:ascii="宋体" w:hAnsi="宋体" w:cs="宋体"/>
                <w:color w:val="auto"/>
                <w:sz w:val="24"/>
              </w:rPr>
              <w:t>2)数据权限管理</w:t>
            </w:r>
          </w:p>
          <w:p>
            <w:pPr>
              <w:pStyle w:val="14"/>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szCs w:val="24"/>
              </w:rPr>
            </w:pPr>
            <w:r>
              <w:rPr>
                <w:rFonts w:hint="eastAsia" w:ascii="宋体" w:hAnsi="宋体" w:cs="宋体"/>
                <w:color w:val="auto"/>
                <w:sz w:val="24"/>
                <w:szCs w:val="24"/>
              </w:rPr>
              <w:t>梳理公共数据访问权限，通过数据库访问控制模块对数据访问权限进行管理。</w:t>
            </w:r>
          </w:p>
          <w:p>
            <w:pPr>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rPr>
            </w:pPr>
            <w:r>
              <w:rPr>
                <w:rFonts w:hint="eastAsia" w:ascii="宋体" w:hAnsi="宋体" w:cs="宋体"/>
                <w:color w:val="auto"/>
                <w:sz w:val="24"/>
              </w:rPr>
              <w:t>3)敏感接口审查和确认</w:t>
            </w:r>
          </w:p>
          <w:p>
            <w:pPr>
              <w:pStyle w:val="14"/>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szCs w:val="24"/>
              </w:rPr>
            </w:pPr>
            <w:r>
              <w:rPr>
                <w:rFonts w:hint="eastAsia" w:ascii="宋体" w:hAnsi="宋体" w:cs="宋体"/>
                <w:color w:val="auto"/>
                <w:sz w:val="24"/>
                <w:szCs w:val="24"/>
              </w:rPr>
              <w:t>梳理公共数据敏感接口，对敏感接口进行定期审查服务，排除数据接口中的非法接口，对接口进行安全管理。</w:t>
            </w:r>
          </w:p>
          <w:p>
            <w:pPr>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rPr>
            </w:pPr>
            <w:r>
              <w:rPr>
                <w:rFonts w:hint="eastAsia" w:ascii="宋体" w:hAnsi="宋体" w:cs="宋体"/>
                <w:color w:val="auto"/>
                <w:sz w:val="24"/>
              </w:rPr>
              <w:t>4)自定义风控规则制定</w:t>
            </w:r>
          </w:p>
          <w:p>
            <w:pPr>
              <w:pStyle w:val="14"/>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szCs w:val="24"/>
              </w:rPr>
            </w:pPr>
            <w:r>
              <w:rPr>
                <w:rFonts w:hint="eastAsia" w:ascii="宋体" w:hAnsi="宋体" w:cs="宋体"/>
                <w:color w:val="auto"/>
                <w:sz w:val="24"/>
                <w:szCs w:val="24"/>
              </w:rPr>
              <w:t>根据公共数据平台实际情况梳理风险控制规则，通过防护模块对风险规则进行防御配置。</w:t>
            </w:r>
          </w:p>
          <w:p>
            <w:pPr>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rPr>
            </w:pPr>
            <w:r>
              <w:rPr>
                <w:rFonts w:hint="eastAsia" w:ascii="宋体" w:hAnsi="宋体" w:cs="宋体"/>
                <w:color w:val="auto"/>
                <w:sz w:val="24"/>
              </w:rPr>
              <w:t>5)日常监控巡检服务</w:t>
            </w:r>
          </w:p>
          <w:p>
            <w:pPr>
              <w:pStyle w:val="14"/>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szCs w:val="24"/>
              </w:rPr>
            </w:pPr>
            <w:r>
              <w:rPr>
                <w:rFonts w:hint="eastAsia" w:ascii="宋体" w:hAnsi="宋体" w:cs="宋体"/>
                <w:color w:val="auto"/>
                <w:sz w:val="24"/>
                <w:szCs w:val="24"/>
              </w:rPr>
              <w:t>定时对数据安全防护各模块进行巡检服务。</w:t>
            </w:r>
          </w:p>
          <w:p>
            <w:pPr>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rPr>
            </w:pPr>
            <w:r>
              <w:rPr>
                <w:rFonts w:hint="eastAsia" w:ascii="宋体" w:hAnsi="宋体" w:cs="宋体"/>
                <w:color w:val="auto"/>
                <w:sz w:val="24"/>
              </w:rPr>
              <w:t>6)风险预警处理</w:t>
            </w:r>
          </w:p>
          <w:p>
            <w:pPr>
              <w:pStyle w:val="14"/>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szCs w:val="24"/>
              </w:rPr>
            </w:pPr>
            <w:r>
              <w:rPr>
                <w:rFonts w:hint="eastAsia" w:ascii="宋体" w:hAnsi="宋体" w:cs="宋体"/>
                <w:color w:val="auto"/>
                <w:sz w:val="24"/>
                <w:szCs w:val="24"/>
              </w:rPr>
              <w:t>通过数据安全监管平台进行风险预警发现和处置，对风险监管平台发现的风险进行处置，处置后形成处置过程文档，留档并定期汇总给公共数据平台管理员。</w:t>
            </w:r>
          </w:p>
          <w:p>
            <w:pPr>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rPr>
            </w:pPr>
            <w:r>
              <w:rPr>
                <w:rFonts w:hint="eastAsia" w:ascii="宋体" w:hAnsi="宋体" w:cs="宋体"/>
                <w:color w:val="auto"/>
                <w:sz w:val="24"/>
              </w:rPr>
              <w:t>7)访问行为分析和审计</w:t>
            </w:r>
          </w:p>
          <w:p>
            <w:pPr>
              <w:pStyle w:val="14"/>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szCs w:val="24"/>
              </w:rPr>
            </w:pPr>
            <w:r>
              <w:rPr>
                <w:rFonts w:hint="eastAsia" w:ascii="宋体" w:hAnsi="宋体" w:cs="宋体"/>
                <w:color w:val="auto"/>
                <w:sz w:val="24"/>
                <w:szCs w:val="24"/>
              </w:rPr>
              <w:t>通过数据安全监管平台对数据方位行为进行分析和审计，对风险访问行为进行记录，追溯具体的访问行为原因和目标，审核是否具有安全违规行为。</w:t>
            </w:r>
          </w:p>
          <w:p>
            <w:pPr>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rPr>
            </w:pPr>
            <w:r>
              <w:rPr>
                <w:rFonts w:hint="eastAsia" w:ascii="宋体" w:hAnsi="宋体" w:cs="宋体"/>
                <w:color w:val="auto"/>
                <w:sz w:val="24"/>
              </w:rPr>
              <w:t>8)数据泄漏事件溯源</w:t>
            </w:r>
          </w:p>
          <w:p>
            <w:pPr>
              <w:pStyle w:val="14"/>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szCs w:val="24"/>
              </w:rPr>
            </w:pPr>
            <w:r>
              <w:rPr>
                <w:rFonts w:hint="eastAsia" w:ascii="宋体" w:hAnsi="宋体" w:cs="宋体"/>
                <w:color w:val="auto"/>
                <w:sz w:val="24"/>
                <w:szCs w:val="24"/>
              </w:rPr>
              <w:t>对于数据泄露事件进行溯源审查，追溯到具体的泄露源和泄露点，并进行通报处置。</w:t>
            </w:r>
          </w:p>
          <w:p>
            <w:pPr>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rPr>
            </w:pPr>
            <w:r>
              <w:rPr>
                <w:rFonts w:hint="eastAsia" w:ascii="宋体" w:hAnsi="宋体" w:cs="宋体"/>
                <w:color w:val="auto"/>
                <w:sz w:val="24"/>
              </w:rPr>
              <w:t>9)高危人员数据行为审查</w:t>
            </w:r>
          </w:p>
          <w:p>
            <w:pPr>
              <w:pStyle w:val="14"/>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szCs w:val="24"/>
              </w:rPr>
            </w:pPr>
            <w:r>
              <w:rPr>
                <w:rFonts w:hint="eastAsia" w:ascii="宋体" w:hAnsi="宋体" w:cs="宋体"/>
                <w:color w:val="auto"/>
                <w:sz w:val="24"/>
                <w:szCs w:val="24"/>
              </w:rPr>
              <w:t>对访问行文分析出的高危人员进行分析归类，对高危人员对数据的访问行为进行审查追溯，确认其访问行为风险等级，并配置对应的处置条件和行为。</w:t>
            </w:r>
          </w:p>
          <w:p>
            <w:pPr>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rPr>
            </w:pPr>
            <w:r>
              <w:rPr>
                <w:rFonts w:hint="eastAsia" w:ascii="宋体" w:hAnsi="宋体" w:cs="宋体"/>
                <w:color w:val="auto"/>
                <w:sz w:val="24"/>
              </w:rPr>
              <w:t>10)定期运营服务总结</w:t>
            </w:r>
          </w:p>
          <w:p>
            <w:pPr>
              <w:pStyle w:val="14"/>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szCs w:val="24"/>
              </w:rPr>
            </w:pPr>
            <w:r>
              <w:rPr>
                <w:rFonts w:hint="eastAsia" w:ascii="宋体" w:hAnsi="宋体" w:cs="宋体"/>
                <w:color w:val="auto"/>
                <w:sz w:val="24"/>
                <w:szCs w:val="24"/>
              </w:rPr>
              <w:t>定期对运行服务进行总结报告，提叫总结报告归档。</w:t>
            </w:r>
          </w:p>
          <w:p>
            <w:pPr>
              <w:keepNext w:val="0"/>
              <w:keepLines w:val="0"/>
              <w:pageBreakBefore w:val="0"/>
              <w:kinsoku/>
              <w:wordWrap/>
              <w:overflowPunct/>
              <w:topLinePunct w:val="0"/>
              <w:autoSpaceDE/>
              <w:autoSpaceDN/>
              <w:bidi w:val="0"/>
              <w:adjustRightInd/>
              <w:snapToGrid/>
              <w:spacing w:line="240" w:lineRule="auto"/>
              <w:outlineLvl w:val="9"/>
              <w:rPr>
                <w:rFonts w:ascii="宋体" w:hAnsi="宋体" w:cs="宋体"/>
                <w:color w:val="auto"/>
                <w:sz w:val="24"/>
              </w:rPr>
            </w:pPr>
            <w:r>
              <w:rPr>
                <w:rFonts w:hint="eastAsia" w:ascii="宋体" w:hAnsi="宋体" w:cs="宋体"/>
                <w:color w:val="auto"/>
                <w:sz w:val="24"/>
              </w:rPr>
              <w:t>11)数据安全应急服务</w:t>
            </w:r>
          </w:p>
          <w:p>
            <w:pPr>
              <w:keepNext w:val="0"/>
              <w:keepLines w:val="0"/>
              <w:pageBreakBefore w:val="0"/>
              <w:widowControl/>
              <w:kinsoku/>
              <w:wordWrap/>
              <w:overflowPunct/>
              <w:topLinePunct w:val="0"/>
              <w:autoSpaceDE/>
              <w:autoSpaceDN/>
              <w:bidi w:val="0"/>
              <w:adjustRightInd/>
              <w:snapToGrid/>
              <w:spacing w:line="240" w:lineRule="auto"/>
              <w:textAlignment w:val="center"/>
              <w:outlineLvl w:val="9"/>
              <w:rPr>
                <w:rFonts w:ascii="宋体" w:hAnsi="宋体" w:cs="宋体"/>
                <w:color w:val="auto"/>
                <w:kern w:val="0"/>
                <w:sz w:val="24"/>
              </w:rPr>
            </w:pPr>
            <w:r>
              <w:rPr>
                <w:rFonts w:hint="eastAsia" w:ascii="宋体" w:hAnsi="宋体" w:cs="宋体"/>
                <w:color w:val="auto"/>
                <w:sz w:val="24"/>
              </w:rPr>
              <w:t>在发生数据安全事件后，能够提供数据安全应急服务，能够调动服务团队进行应急服务支撑，服务结束提供应急服务报告，并进行原因分析，同步对防护弱点进行补足。</w:t>
            </w:r>
          </w:p>
        </w:tc>
      </w:tr>
    </w:tbl>
    <w:p>
      <w:pPr>
        <w:pStyle w:val="14"/>
        <w:ind w:firstLine="0"/>
        <w:rPr>
          <w:color w:val="auto"/>
        </w:rPr>
      </w:pPr>
    </w:p>
    <w:p>
      <w:pPr>
        <w:wordWrap w:val="0"/>
        <w:spacing w:line="360" w:lineRule="auto"/>
        <w:ind w:firstLine="482" w:firstLineChars="200"/>
        <w:rPr>
          <w:rFonts w:ascii="宋体" w:hAnsi="宋体" w:cs="宋体"/>
          <w:b/>
          <w:bCs/>
          <w:color w:val="auto"/>
          <w:sz w:val="24"/>
        </w:rPr>
      </w:pPr>
      <w:r>
        <w:rPr>
          <w:rFonts w:hint="eastAsia" w:ascii="宋体" w:hAnsi="宋体" w:cs="宋体"/>
          <w:b/>
          <w:bCs/>
          <w:color w:val="auto"/>
          <w:sz w:val="24"/>
        </w:rPr>
        <w:t>5、数据N仓</w:t>
      </w:r>
    </w:p>
    <w:tbl>
      <w:tblPr>
        <w:tblStyle w:val="25"/>
        <w:tblW w:w="9288" w:type="dxa"/>
        <w:tblInd w:w="0" w:type="dxa"/>
        <w:tblLayout w:type="fixed"/>
        <w:tblCellMar>
          <w:top w:w="0" w:type="dxa"/>
          <w:left w:w="108" w:type="dxa"/>
          <w:bottom w:w="0" w:type="dxa"/>
          <w:right w:w="108" w:type="dxa"/>
        </w:tblCellMar>
      </w:tblPr>
      <w:tblGrid>
        <w:gridCol w:w="385"/>
        <w:gridCol w:w="690"/>
        <w:gridCol w:w="1595"/>
        <w:gridCol w:w="1145"/>
        <w:gridCol w:w="5473"/>
      </w:tblGrid>
      <w:tr>
        <w:tblPrEx>
          <w:tblLayout w:type="fixed"/>
          <w:tblCellMar>
            <w:top w:w="0" w:type="dxa"/>
            <w:left w:w="108" w:type="dxa"/>
            <w:bottom w:w="0" w:type="dxa"/>
            <w:right w:w="108" w:type="dxa"/>
          </w:tblCellMar>
        </w:tblPrEx>
        <w:trPr>
          <w:trHeight w:val="285" w:hRule="atLeast"/>
        </w:trPr>
        <w:tc>
          <w:tcPr>
            <w:tcW w:w="92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5、数据N仓</w:t>
            </w:r>
          </w:p>
        </w:tc>
      </w:tr>
      <w:tr>
        <w:tblPrEx>
          <w:tblLayout w:type="fixed"/>
          <w:tblCellMar>
            <w:top w:w="0" w:type="dxa"/>
            <w:left w:w="108" w:type="dxa"/>
            <w:bottom w:w="0" w:type="dxa"/>
            <w:right w:w="108" w:type="dxa"/>
          </w:tblCellMar>
        </w:tblPrEx>
        <w:trPr>
          <w:trHeight w:val="57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数据管理服务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一体化数据仓管理</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提供一年的一体化数据仓管理服务。</w:t>
            </w:r>
          </w:p>
        </w:tc>
        <w:tc>
          <w:tcPr>
            <w:tcW w:w="5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一体化数据仓平台管理规范主要包括平台的授权管理</w:t>
            </w:r>
          </w:p>
        </w:tc>
      </w:tr>
      <w:tr>
        <w:tblPrEx>
          <w:tblLayout w:type="fixed"/>
          <w:tblCellMar>
            <w:top w:w="0" w:type="dxa"/>
            <w:left w:w="108" w:type="dxa"/>
            <w:bottom w:w="0" w:type="dxa"/>
            <w:right w:w="108" w:type="dxa"/>
          </w:tblCellMar>
        </w:tblPrEx>
        <w:trPr>
          <w:trHeight w:val="1204" w:hRule="atLeast"/>
        </w:trPr>
        <w:tc>
          <w:tcPr>
            <w:tcW w:w="38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数据仓服务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台州市级数据仓管理</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台州市级数据仓管理</w:t>
            </w:r>
          </w:p>
        </w:tc>
        <w:tc>
          <w:tcPr>
            <w:tcW w:w="5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建设台州市级数据仓，用于承接省级下发的台州地域数据、整理归集台州市本级数据，做好台州市数据仓的管理和服务工作，并可在确保安全可控的前提下，按需将省市两级数据进行融合分析。</w:t>
            </w:r>
          </w:p>
        </w:tc>
      </w:tr>
      <w:tr>
        <w:tblPrEx>
          <w:tblLayout w:type="fixed"/>
          <w:tblCellMar>
            <w:top w:w="0" w:type="dxa"/>
            <w:left w:w="108" w:type="dxa"/>
            <w:bottom w:w="0" w:type="dxa"/>
            <w:right w:w="108" w:type="dxa"/>
          </w:tblCellMar>
        </w:tblPrEx>
        <w:trPr>
          <w:trHeight w:val="570" w:hRule="atLeast"/>
        </w:trPr>
        <w:tc>
          <w:tcPr>
            <w:tcW w:w="38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县市区数据仓服务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县市区数据仓服务</w:t>
            </w:r>
          </w:p>
        </w:tc>
        <w:tc>
          <w:tcPr>
            <w:tcW w:w="5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提供各县市区数据仓平台的软件远程运维支撑和数据申请需求响应。</w:t>
            </w:r>
          </w:p>
        </w:tc>
      </w:tr>
      <w:tr>
        <w:tblPrEx>
          <w:tblLayout w:type="fixed"/>
          <w:tblCellMar>
            <w:top w:w="0" w:type="dxa"/>
            <w:left w:w="108" w:type="dxa"/>
            <w:bottom w:w="0" w:type="dxa"/>
            <w:right w:w="108" w:type="dxa"/>
          </w:tblCellMar>
        </w:tblPrEx>
        <w:trPr>
          <w:trHeight w:val="1193" w:hRule="atLeast"/>
        </w:trPr>
        <w:tc>
          <w:tcPr>
            <w:tcW w:w="38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数字化改革任务数据仓服务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数字化改革任务数据仓服务</w:t>
            </w:r>
          </w:p>
        </w:tc>
        <w:tc>
          <w:tcPr>
            <w:tcW w:w="5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对接省大数据平台-台州空间中的台州市数字化改革任务数据仓，将数据仓同步至台州市本级任务数据仓中，并按照特定的拆分规则，对市任务数据仓数据进行拆分，并同步至区县数据仓中</w:t>
            </w:r>
          </w:p>
        </w:tc>
      </w:tr>
      <w:tr>
        <w:tblPrEx>
          <w:tblLayout w:type="fixed"/>
          <w:tblCellMar>
            <w:top w:w="0" w:type="dxa"/>
            <w:left w:w="108" w:type="dxa"/>
            <w:bottom w:w="0" w:type="dxa"/>
            <w:right w:w="108" w:type="dxa"/>
          </w:tblCellMar>
        </w:tblPrEx>
        <w:trPr>
          <w:trHeight w:val="1146"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数据运维服务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数据运维服务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数据运维服务</w:t>
            </w:r>
          </w:p>
        </w:tc>
        <w:tc>
          <w:tcPr>
            <w:tcW w:w="5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提供一年的公共数据平台驻场服务。提供涵盖事件管理、问题管理、配置管理、变更管理、发布管理等全方位的运维服务。服务过程中提供不少于8人工程师驻场运维及远程专家运维服务。</w:t>
            </w:r>
          </w:p>
        </w:tc>
      </w:tr>
      <w:tr>
        <w:tblPrEx>
          <w:tblLayout w:type="fixed"/>
          <w:tblCellMar>
            <w:top w:w="0" w:type="dxa"/>
            <w:left w:w="108" w:type="dxa"/>
            <w:bottom w:w="0" w:type="dxa"/>
            <w:right w:w="108" w:type="dxa"/>
          </w:tblCellMar>
        </w:tblPrEx>
        <w:trPr>
          <w:trHeight w:val="2206"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数据治理服务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数据治理服务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提供一年的一体化数据仓数据治理服务。</w:t>
            </w:r>
          </w:p>
        </w:tc>
        <w:tc>
          <w:tcPr>
            <w:tcW w:w="5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依托台州市县乡一体化数据仓平台-数据治理工具，在充分遵循国家、省、市的相关数据标准和治理规则的前提下，开展本地数据数据的清洗治理工作，逐步形成标准统一、质量可靠、纬度全面的本地数据，同时，将本地归集的个性数据制定成本地特色标准发布，作为后续该个性数据的治理标准规范，相关标准可依托市一体化数据仓-数据标准模块进行市标准的查询、关联、治理等，本地个性标准的录入、关联、治理等。</w:t>
            </w:r>
          </w:p>
        </w:tc>
      </w:tr>
      <w:tr>
        <w:tblPrEx>
          <w:tblLayout w:type="fixed"/>
          <w:tblCellMar>
            <w:top w:w="0" w:type="dxa"/>
            <w:left w:w="108" w:type="dxa"/>
            <w:bottom w:w="0" w:type="dxa"/>
            <w:right w:w="108" w:type="dxa"/>
          </w:tblCellMar>
        </w:tblPrEx>
        <w:trPr>
          <w:trHeight w:val="1069" w:hRule="atLeast"/>
        </w:trPr>
        <w:tc>
          <w:tcPr>
            <w:tcW w:w="38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专题仓建设服务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专题仓建设服务</w:t>
            </w:r>
          </w:p>
        </w:tc>
        <w:tc>
          <w:tcPr>
            <w:tcW w:w="6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依托公共数据平台梳理各部门专题数据仓，并根据用户要求提供数据标签体系服务。</w:t>
            </w:r>
          </w:p>
        </w:tc>
      </w:tr>
      <w:tr>
        <w:tblPrEx>
          <w:tblLayout w:type="fixed"/>
          <w:tblCellMar>
            <w:top w:w="0" w:type="dxa"/>
            <w:left w:w="108" w:type="dxa"/>
            <w:bottom w:w="0" w:type="dxa"/>
            <w:right w:w="108" w:type="dxa"/>
          </w:tblCellMar>
        </w:tblPrEx>
        <w:trPr>
          <w:trHeight w:val="1922"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数据归集服务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数据归集服务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auto"/>
                <w:sz w:val="24"/>
              </w:rPr>
            </w:pPr>
            <w:r>
              <w:rPr>
                <w:rFonts w:hint="eastAsia" w:ascii="宋体" w:hAnsi="宋体" w:cs="宋体"/>
                <w:color w:val="auto"/>
                <w:kern w:val="0"/>
                <w:sz w:val="24"/>
                <w:lang w:bidi="ar"/>
              </w:rPr>
              <w:t>提供一年的数据归集服务</w:t>
            </w:r>
          </w:p>
        </w:tc>
        <w:tc>
          <w:tcPr>
            <w:tcW w:w="5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协助各部门归集数据，其中包含根据用户网络环境，帮助用户选择合适的归集方式；并协助用户打通归集网络；根据目录系统及用户提供的相关信息，进行数据交换配置，完成数据的归集传输；协助部门进入归集平台使用excel导入数据的方式实现数据的归集；对数据实时性高的数据通过数据高铁开展公共数据归集。加强逾期数据监控，对部门逾期数据通知部门负责人按时归集</w:t>
            </w:r>
          </w:p>
        </w:tc>
      </w:tr>
    </w:tbl>
    <w:p>
      <w:pPr>
        <w:numPr>
          <w:ilvl w:val="0"/>
          <w:numId w:val="23"/>
        </w:numPr>
        <w:wordWrap w:val="0"/>
        <w:spacing w:line="360" w:lineRule="auto"/>
        <w:ind w:firstLine="482" w:firstLineChars="200"/>
        <w:rPr>
          <w:rFonts w:ascii="宋体" w:hAnsi="宋体" w:cs="宋体"/>
          <w:b/>
          <w:bCs/>
          <w:color w:val="auto"/>
          <w:sz w:val="24"/>
        </w:rPr>
      </w:pPr>
      <w:r>
        <w:rPr>
          <w:rFonts w:hint="eastAsia" w:ascii="宋体" w:hAnsi="宋体" w:cs="宋体"/>
          <w:b/>
          <w:bCs/>
          <w:color w:val="auto"/>
          <w:sz w:val="24"/>
        </w:rPr>
        <w:t>项目建设管理需求</w:t>
      </w:r>
    </w:p>
    <w:p>
      <w:pPr>
        <w:wordWrap w:val="0"/>
        <w:spacing w:line="360" w:lineRule="auto"/>
        <w:ind w:firstLine="482" w:firstLineChars="200"/>
        <w:rPr>
          <w:rFonts w:ascii="宋体" w:hAnsi="宋体" w:cs="宋体"/>
          <w:b/>
          <w:bCs/>
          <w:color w:val="auto"/>
          <w:sz w:val="24"/>
        </w:rPr>
      </w:pPr>
      <w:r>
        <w:rPr>
          <w:rFonts w:hint="eastAsia" w:ascii="宋体" w:hAnsi="宋体" w:cs="宋体"/>
          <w:b/>
          <w:bCs/>
          <w:color w:val="auto"/>
          <w:sz w:val="24"/>
        </w:rPr>
        <w:t>1、进度要求</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本项目要求合同签订后</w:t>
      </w:r>
      <w:r>
        <w:rPr>
          <w:rFonts w:ascii="宋体" w:hAnsi="宋体" w:cs="宋体"/>
          <w:color w:val="auto"/>
          <w:sz w:val="24"/>
        </w:rPr>
        <w:t>3</w:t>
      </w:r>
      <w:r>
        <w:rPr>
          <w:rFonts w:hint="eastAsia" w:ascii="宋体" w:hAnsi="宋体" w:cs="宋体"/>
          <w:color w:val="auto"/>
          <w:sz w:val="24"/>
        </w:rPr>
        <w:t>个月内为项目实施期，软件部署并进行初验。</w:t>
      </w:r>
    </w:p>
    <w:p>
      <w:pPr>
        <w:wordWrap w:val="0"/>
        <w:spacing w:line="360" w:lineRule="auto"/>
        <w:ind w:firstLine="480" w:firstLineChars="200"/>
        <w:rPr>
          <w:rFonts w:ascii="宋体" w:hAnsi="宋体" w:cs="宋体"/>
          <w:b/>
          <w:bCs/>
          <w:color w:val="auto"/>
          <w:sz w:val="24"/>
        </w:rPr>
      </w:pPr>
      <w:r>
        <w:rPr>
          <w:rFonts w:hint="eastAsia" w:ascii="宋体" w:hAnsi="宋体" w:cs="宋体"/>
          <w:color w:val="auto"/>
          <w:sz w:val="24"/>
        </w:rPr>
        <w:t>系统试运行期为3个月，试运行结束组织验收，验收通过后进入项目2年质保期。</w:t>
      </w:r>
      <w:r>
        <w:rPr>
          <w:rFonts w:hint="eastAsia" w:ascii="宋体" w:hAnsi="宋体" w:cs="宋体"/>
          <w:color w:val="auto"/>
          <w:sz w:val="24"/>
          <w:lang w:val="zh-CN"/>
        </w:rPr>
        <w:t xml:space="preserve"> </w:t>
      </w:r>
      <w:r>
        <w:rPr>
          <w:rFonts w:hint="eastAsia" w:ascii="宋体" w:hAnsi="宋体" w:cs="宋体"/>
          <w:b/>
          <w:bCs/>
          <w:color w:val="auto"/>
          <w:sz w:val="24"/>
        </w:rPr>
        <w:t xml:space="preserve">（1）项目组织及实施要求 </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投标方应保证投标项目在招标方条件成熟时应立即开展实施；</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投标方在项目实施过程中应服从招标方的统一领导和协调，招标方有权裁决投标方的责任范围，投标方必须执行，在招标方限定的时间内解决问题。如果投标方不能按时完成评估内容，招标方有权中止项目、索赔或拒付款项；</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投标方需根据自己的工程实施经验结合招标方的实际需求进一步细化和完善工作任务书，作为工程实施的指导性文件；</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投标方应根据招标方工作需求、进度要求、实际情况制定详细的项目实施管理规范和项目实施计划，对工程目标、工作任务、阶段性工作、项目组织机构、职责分工、项目进度、质量控制等内容进行详细的说明，以确保工程实施按时保质的完成；</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投标方应负责配合招标方制定相关验收标准，并完成工程实施等验收工作。</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 ▲本项目投标方必须提供：</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1.数据目录治理服务提供驻场人员1人；</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2.数据治理升级提供驻场人员1人；</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3.数据安全运营服务提供数据安全驻场服务工程师1人；</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4.数据运维服务提供不少于8人工程师驻场运维及远程专家运维。</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以上人员自项目终验通过后提供一年驻场运维服务。</w:t>
      </w:r>
    </w:p>
    <w:p>
      <w:pPr>
        <w:wordWrap w:val="0"/>
        <w:spacing w:line="360" w:lineRule="auto"/>
        <w:ind w:firstLine="482" w:firstLineChars="200"/>
        <w:rPr>
          <w:rFonts w:ascii="宋体" w:hAnsi="宋体" w:cs="宋体"/>
          <w:b/>
          <w:bCs/>
          <w:color w:val="auto"/>
          <w:sz w:val="24"/>
        </w:rPr>
      </w:pPr>
      <w:r>
        <w:rPr>
          <w:rFonts w:hint="eastAsia" w:ascii="宋体" w:hAnsi="宋体" w:cs="宋体"/>
          <w:b/>
          <w:bCs/>
          <w:color w:val="auto"/>
          <w:sz w:val="24"/>
        </w:rPr>
        <w:t>（2）等保测评</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项目建成后第一年的等级保护测评由业主方组织第三方等保测评单位实施，系统定级为等保三级。相关费用不含在本次投标报价内，投标人需要配合完成等保测评和整改工作，直至通过第三方安全等保测评。</w:t>
      </w:r>
    </w:p>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（3）项目质量保证</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1.投标方须保证所提供的所有产品、中间件、数据库符合国家有关规定。投标方须保证所提供产品具有合法的版权或使用权，本项目采购的产品，如在本项目范围内使用过程中出现版权或使用权纠纷，应由投标方负责，采购方不承担责任，并且不得影响采购人对产品软件的使用。</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2.投标方必须保证解决项目所涉及的技术问题，如因技术原因无法满足采购人需求，由此产生的风险由投标人承担。</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3.投标方在质保期内，如遇软件产品升级、改版，应免费提供更新、升级服务；在质保期内如市政府有新系统上线，经业主方确认需要是否对接后，中标商应针对该新系统按照业主要求进行免费数据对接。</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4.质保期限结束后，本项目建设内容的所有软件产权、数据产权需移交给采购人，具体时间由采购人提出。 </w:t>
      </w:r>
    </w:p>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 xml:space="preserve">（4）培训要求 </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1.现场培训</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在所有产品部署现场，投标方负责用户的现场技术培训，包括产品的功能、部署条件、部署步骤和注意事项、产品升级、日常维护事项等方面，使用户达到能独立进行管理、维护测试和故障处理等工作，以使所提供的软硬件产品能够正常、安全的运行。</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2.课程培训</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投标方应提供专门的课程培训，包括理论教授，问题讨论和上机操作，以便采购人能够迅速掌握相应的培训内容，同时为采购人自主组织开展培训推广提供支持。</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应提供详细的培训计划，包括课程的内容、资料讲义、授课方式、课程目标。 </w:t>
      </w:r>
    </w:p>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 xml:space="preserve">（5）售后要求 </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1.投标方需对所提交的系统提供自终验合格之日起2年的免费质保期服务。</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2.质保期内须提供（7*24）上门维护、升级服务，对故障即时响应，2小时以内到现场，4小时以内提出问题解决方案并实施。逾期未作出响应，投标方应承担由于故障所造成的全部损失。质保期内产生的维护费用均由投标人承担。</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3.技术服务特别提示</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采购人需求在开发期和试运行期内，仍有可能不断完善，投标人须承诺在采购需求或政策法规范围内，随着采购人需求的变动随时作出响应，修改应用软件。正式验收通过后，若有需求变动，在免费维护期内，投标人须承诺在采购需求和政策法规范围内，仍应免费按采购人需求对整个系统做出相应修改，以满足采购人的需求。</w:t>
      </w:r>
    </w:p>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 xml:space="preserve">（6）项目验收要求 </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系统通过试运行后，中标方向采购人提出终验申请，采购人组织相关单位进行系统的终验。系统终验合格的条件必须至少满足以下三个要求：已提供了合同要求的全部软件系统、应用软件的所有开发源代码、开发环境和可执行文件，涉及到加密的要提供解密算法；提供完整的系统配套的产品资料，包括系统安装配置手册、系统功能设计说明书、用户使用手册等；试运行时性能满足合同要求；测试和试运行时出现的问题已被解决。 </w:t>
      </w:r>
    </w:p>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 xml:space="preserve">（7）其他要求 </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1.针对本项目开发的软件著作权归双方共同所有。</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2.需向采购单位开放本项目的源代码、数据结构、涉及到加密的要提供解密算法。</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3.开放涉及本系统所有的相关接口。</w:t>
      </w:r>
    </w:p>
    <w:p>
      <w:pPr>
        <w:tabs>
          <w:tab w:val="left" w:pos="8280"/>
        </w:tabs>
        <w:autoSpaceDE w:val="0"/>
        <w:autoSpaceDN w:val="0"/>
        <w:adjustRightInd w:val="0"/>
        <w:spacing w:line="360" w:lineRule="auto"/>
        <w:ind w:firstLine="482" w:firstLineChars="200"/>
        <w:rPr>
          <w:rFonts w:ascii="宋体" w:hAnsi="宋体" w:cs="宋体"/>
          <w:b/>
          <w:color w:val="auto"/>
          <w:sz w:val="24"/>
        </w:rPr>
      </w:pPr>
      <w:r>
        <w:rPr>
          <w:rFonts w:hint="eastAsia" w:ascii="宋体" w:hAnsi="宋体" w:cs="宋体"/>
          <w:b/>
          <w:color w:val="auto"/>
          <w:sz w:val="24"/>
        </w:rPr>
        <w:t>三、商务需求</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（一）</w:t>
      </w:r>
      <w:r>
        <w:rPr>
          <w:rFonts w:hint="eastAsia" w:asciiTheme="minorEastAsia" w:hAnsiTheme="minorEastAsia" w:eastAsiaTheme="minorEastAsia"/>
          <w:b/>
          <w:color w:val="auto"/>
          <w:sz w:val="24"/>
        </w:rPr>
        <w:t>服务期：</w:t>
      </w:r>
      <w:r>
        <w:rPr>
          <w:rFonts w:hint="eastAsia" w:ascii="宋体" w:hAnsi="宋体"/>
          <w:color w:val="auto"/>
          <w:sz w:val="24"/>
        </w:rPr>
        <w:t>验收合格后</w:t>
      </w:r>
      <w:r>
        <w:rPr>
          <w:rFonts w:hint="eastAsia" w:asciiTheme="minorEastAsia" w:hAnsiTheme="minorEastAsia" w:eastAsiaTheme="minorEastAsia"/>
          <w:color w:val="auto"/>
          <w:sz w:val="24"/>
        </w:rPr>
        <w:t>免费</w:t>
      </w:r>
      <w:r>
        <w:rPr>
          <w:rFonts w:hint="eastAsia" w:ascii="宋体" w:hAnsi="宋体" w:cs="宋体"/>
          <w:color w:val="auto"/>
          <w:sz w:val="24"/>
        </w:rPr>
        <w:t>质保</w:t>
      </w:r>
      <w:r>
        <w:rPr>
          <w:rFonts w:hAnsi="宋体" w:cs="宋体"/>
          <w:color w:val="auto"/>
          <w:sz w:val="24"/>
        </w:rPr>
        <w:t>2</w:t>
      </w:r>
      <w:r>
        <w:rPr>
          <w:rFonts w:hint="eastAsia" w:ascii="宋体" w:hAnsi="宋体" w:cs="宋体"/>
          <w:color w:val="auto"/>
          <w:sz w:val="24"/>
        </w:rPr>
        <w:t>年。</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（二）</w:t>
      </w:r>
      <w:r>
        <w:rPr>
          <w:rFonts w:hint="eastAsia" w:asciiTheme="minorEastAsia" w:hAnsiTheme="minorEastAsia" w:eastAsiaTheme="minorEastAsia"/>
          <w:b/>
          <w:color w:val="auto"/>
          <w:kern w:val="0"/>
          <w:sz w:val="24"/>
        </w:rPr>
        <w:t>交付时间及地点：</w:t>
      </w:r>
      <w:r>
        <w:rPr>
          <w:rFonts w:hint="eastAsia" w:asciiTheme="minorEastAsia" w:hAnsiTheme="minorEastAsia" w:eastAsiaTheme="minorEastAsia"/>
          <w:color w:val="auto"/>
          <w:kern w:val="0"/>
          <w:sz w:val="24"/>
        </w:rPr>
        <w:t>合同签订后</w:t>
      </w:r>
      <w:r>
        <w:rPr>
          <w:rFonts w:asciiTheme="minorEastAsia" w:hAnsiTheme="minorEastAsia" w:eastAsiaTheme="minorEastAsia"/>
          <w:color w:val="auto"/>
          <w:kern w:val="0"/>
          <w:sz w:val="24"/>
        </w:rPr>
        <w:t>3</w:t>
      </w:r>
      <w:r>
        <w:rPr>
          <w:rFonts w:hint="eastAsia" w:asciiTheme="minorEastAsia" w:hAnsiTheme="minorEastAsia" w:eastAsiaTheme="minorEastAsia"/>
          <w:color w:val="auto"/>
          <w:kern w:val="0"/>
          <w:sz w:val="24"/>
        </w:rPr>
        <w:t>个月内交付至采购人指定地点并部署软件进行试运营。</w:t>
      </w:r>
    </w:p>
    <w:p>
      <w:pPr>
        <w:wordWrap w:val="0"/>
        <w:spacing w:line="360" w:lineRule="auto"/>
        <w:ind w:firstLine="480" w:firstLineChars="200"/>
        <w:rPr>
          <w:rFonts w:ascii="宋体" w:hAnsi="宋体" w:cs="宋体"/>
          <w:color w:val="auto"/>
          <w:sz w:val="24"/>
          <w:lang w:val="zh-CN"/>
        </w:rPr>
      </w:pPr>
      <w:r>
        <w:rPr>
          <w:rFonts w:hint="eastAsia" w:ascii="宋体" w:hAnsi="宋体" w:cs="宋体"/>
          <w:color w:val="auto"/>
          <w:sz w:val="24"/>
        </w:rPr>
        <w:t>（三）</w:t>
      </w:r>
      <w:r>
        <w:rPr>
          <w:rFonts w:hint="eastAsia" w:asciiTheme="minorEastAsia" w:hAnsiTheme="minorEastAsia" w:eastAsiaTheme="minorEastAsia"/>
          <w:b/>
          <w:color w:val="auto"/>
          <w:sz w:val="24"/>
        </w:rPr>
        <w:t>付款条件：</w:t>
      </w:r>
      <w:r>
        <w:rPr>
          <w:rFonts w:hint="eastAsia" w:asciiTheme="minorEastAsia" w:hAnsiTheme="minorEastAsia" w:cstheme="minorEastAsia"/>
          <w:color w:val="auto"/>
          <w:sz w:val="24"/>
        </w:rPr>
        <w:t>待合同生效后且在财政资金到位的前提下</w:t>
      </w:r>
      <w:r>
        <w:rPr>
          <w:rFonts w:asciiTheme="minorEastAsia" w:hAnsiTheme="minorEastAsia" w:cstheme="minorEastAsia"/>
          <w:color w:val="auto"/>
          <w:sz w:val="24"/>
        </w:rPr>
        <w:t>7</w:t>
      </w:r>
      <w:r>
        <w:rPr>
          <w:rFonts w:hint="eastAsia" w:asciiTheme="minorEastAsia" w:hAnsiTheme="minorEastAsia" w:eastAsiaTheme="minorEastAsia" w:cstheme="minorEastAsia"/>
          <w:color w:val="auto"/>
          <w:sz w:val="24"/>
        </w:rPr>
        <w:t>个工作日内支付合同金额的</w:t>
      </w:r>
      <w:r>
        <w:rPr>
          <w:rFonts w:hint="eastAsia" w:asciiTheme="minorEastAsia" w:hAnsiTheme="minorEastAsia" w:cstheme="minorEastAsia"/>
          <w:color w:val="auto"/>
          <w:sz w:val="24"/>
        </w:rPr>
        <w:t>4</w:t>
      </w:r>
      <w:r>
        <w:rPr>
          <w:rFonts w:hint="eastAsia" w:asciiTheme="minorEastAsia" w:hAnsiTheme="minorEastAsia" w:eastAsiaTheme="minorEastAsia" w:cstheme="minorEastAsia"/>
          <w:color w:val="auto"/>
          <w:sz w:val="24"/>
        </w:rPr>
        <w:t>0%，初验通过后</w:t>
      </w:r>
      <w:r>
        <w:rPr>
          <w:rFonts w:asciiTheme="minorEastAsia" w:hAnsiTheme="minorEastAsia" w:eastAsiaTheme="minorEastAsia" w:cstheme="minorEastAsia"/>
          <w:color w:val="auto"/>
          <w:sz w:val="24"/>
        </w:rPr>
        <w:t>7</w:t>
      </w:r>
      <w:r>
        <w:rPr>
          <w:rFonts w:hint="eastAsia" w:asciiTheme="minorEastAsia" w:hAnsiTheme="minorEastAsia" w:eastAsiaTheme="minorEastAsia" w:cstheme="minorEastAsia"/>
          <w:color w:val="auto"/>
          <w:sz w:val="24"/>
        </w:rPr>
        <w:t>个工作日内支付合同金额的30%，终验通过后</w:t>
      </w:r>
      <w:r>
        <w:rPr>
          <w:rFonts w:asciiTheme="minorEastAsia" w:hAnsiTheme="minorEastAsia" w:eastAsiaTheme="minorEastAsia" w:cstheme="minorEastAsia"/>
          <w:color w:val="auto"/>
          <w:sz w:val="24"/>
        </w:rPr>
        <w:t>7</w:t>
      </w:r>
      <w:r>
        <w:rPr>
          <w:rFonts w:hint="eastAsia" w:asciiTheme="minorEastAsia" w:hAnsiTheme="minorEastAsia" w:eastAsiaTheme="minorEastAsia" w:cstheme="minorEastAsia"/>
          <w:color w:val="auto"/>
          <w:sz w:val="24"/>
        </w:rPr>
        <w:t>个工作日内支付合同金额的</w:t>
      </w:r>
      <w:r>
        <w:rPr>
          <w:rFonts w:hint="eastAsia" w:asciiTheme="minorEastAsia" w:hAnsiTheme="minorEastAsia" w:cstheme="minorEastAsia"/>
          <w:color w:val="auto"/>
          <w:sz w:val="24"/>
        </w:rPr>
        <w:t>3</w:t>
      </w:r>
      <w:r>
        <w:rPr>
          <w:rFonts w:hint="eastAsia" w:asciiTheme="minorEastAsia" w:hAnsiTheme="minorEastAsia" w:eastAsiaTheme="minorEastAsia" w:cstheme="minorEastAsia"/>
          <w:color w:val="auto"/>
          <w:sz w:val="24"/>
        </w:rPr>
        <w:t>0%。</w:t>
      </w:r>
    </w:p>
    <w:p>
      <w:pPr>
        <w:wordWrap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（四）</w:t>
      </w:r>
      <w:r>
        <w:rPr>
          <w:rFonts w:hint="eastAsia" w:ascii="宋体" w:hAnsi="宋体" w:cs="宋体"/>
          <w:b/>
          <w:bCs/>
          <w:color w:val="auto"/>
          <w:sz w:val="24"/>
          <w:lang w:val="zh-CN"/>
        </w:rPr>
        <w:t>履约保证金：</w:t>
      </w:r>
      <w:r>
        <w:rPr>
          <w:rFonts w:hint="eastAsia" w:ascii="宋体" w:hAnsi="宋体" w:cs="宋体"/>
          <w:color w:val="auto"/>
          <w:sz w:val="24"/>
          <w:lang w:val="zh-CN"/>
        </w:rPr>
        <w:t>本项目履约保证金为合同金额的_</w:t>
      </w:r>
      <w:r>
        <w:rPr>
          <w:rFonts w:hint="eastAsia" w:ascii="宋体" w:hAnsi="宋体" w:cs="宋体"/>
          <w:color w:val="auto"/>
          <w:sz w:val="24"/>
          <w:lang w:val="en-US" w:eastAsia="zh-CN"/>
        </w:rPr>
        <w:t>1</w:t>
      </w:r>
      <w:r>
        <w:rPr>
          <w:rFonts w:hint="eastAsia" w:ascii="宋体" w:hAnsi="宋体" w:cs="宋体"/>
          <w:color w:val="auto"/>
          <w:sz w:val="24"/>
          <w:lang w:val="zh-CN"/>
        </w:rPr>
        <w:t>_% 。[履约保证金交至</w:t>
      </w:r>
      <w:r>
        <w:rPr>
          <w:rFonts w:hint="eastAsia" w:ascii="宋体" w:hAnsi="宋体" w:cs="宋体"/>
          <w:color w:val="auto"/>
          <w:sz w:val="24"/>
          <w:lang w:val="en-US" w:eastAsia="zh-CN"/>
        </w:rPr>
        <w:t>招标</w:t>
      </w:r>
      <w:r>
        <w:rPr>
          <w:rFonts w:hint="eastAsia" w:ascii="宋体" w:hAnsi="宋体" w:cs="宋体"/>
          <w:color w:val="auto"/>
          <w:sz w:val="24"/>
          <w:lang w:val="zh-CN"/>
        </w:rPr>
        <w:t>人处，在终验合格后</w:t>
      </w:r>
      <w:r>
        <w:rPr>
          <w:rFonts w:hint="eastAsia" w:ascii="宋体" w:hAnsi="宋体" w:cs="宋体"/>
          <w:color w:val="auto"/>
          <w:sz w:val="24"/>
          <w:lang w:val="en-US" w:eastAsia="zh-CN"/>
        </w:rPr>
        <w:t>7</w:t>
      </w:r>
      <w:r>
        <w:rPr>
          <w:rFonts w:hint="eastAsia" w:ascii="宋体" w:hAnsi="宋体" w:cs="宋体"/>
          <w:color w:val="auto"/>
          <w:sz w:val="24"/>
          <w:lang w:val="zh-CN"/>
        </w:rPr>
        <w:t>个工作日内无息退还，履约保证金支持履约保函（银行保函或保险保函）形式]。</w:t>
      </w:r>
    </w:p>
    <w:p>
      <w:pPr>
        <w:tabs>
          <w:tab w:val="left" w:pos="8280"/>
        </w:tabs>
        <w:autoSpaceDE w:val="0"/>
        <w:autoSpaceDN w:val="0"/>
        <w:adjustRightInd w:val="0"/>
        <w:spacing w:line="360" w:lineRule="auto"/>
        <w:ind w:firstLine="482" w:firstLineChars="200"/>
        <w:rPr>
          <w:rFonts w:ascii="宋体" w:hAnsi="宋体" w:cs="宋体"/>
          <w:b/>
          <w:color w:val="auto"/>
          <w:sz w:val="24"/>
        </w:rPr>
      </w:pPr>
      <w:r>
        <w:rPr>
          <w:rFonts w:hint="eastAsia" w:ascii="宋体" w:hAnsi="宋体" w:cs="宋体"/>
          <w:b/>
          <w:color w:val="auto"/>
          <w:sz w:val="24"/>
        </w:rPr>
        <w:t>四、其他需求：</w:t>
      </w:r>
    </w:p>
    <w:p>
      <w:pPr>
        <w:wordWrap w:val="0"/>
        <w:spacing w:line="360" w:lineRule="auto"/>
        <w:ind w:firstLine="480" w:firstLineChars="200"/>
        <w:rPr>
          <w:rFonts w:hAnsi="宋体" w:cs="宋体"/>
          <w:b/>
          <w:color w:val="auto"/>
          <w:sz w:val="24"/>
        </w:rPr>
      </w:pPr>
      <w:r>
        <w:rPr>
          <w:rFonts w:hint="eastAsia" w:ascii="宋体" w:hAnsi="宋体" w:cs="宋体"/>
          <w:color w:val="auto"/>
          <w:sz w:val="24"/>
        </w:rPr>
        <w:t>（一）本项目中标（成交）供应商应在浙江省政府采购网（http：//www.zjzfcg.gov.cn/new/）上注册成为”政府采购供应商”，如不按要求注册的，采购人有权延期发布中标（成交）通知书和中标（成交）公告，后果由供应商自行承担。</w:t>
      </w:r>
      <w:bookmarkStart w:id="38" w:name="_Toc31173_WPSOffice_Level1"/>
    </w:p>
    <w:p>
      <w:pPr>
        <w:pStyle w:val="16"/>
        <w:ind w:left="5250"/>
        <w:rPr>
          <w:rFonts w:hAnsi="宋体"/>
          <w:b/>
          <w:color w:val="auto"/>
          <w:sz w:val="24"/>
        </w:rPr>
      </w:pPr>
    </w:p>
    <w:p>
      <w:pPr>
        <w:rPr>
          <w:rFonts w:hAnsi="宋体" w:cs="宋体"/>
          <w:b/>
          <w:color w:val="auto"/>
          <w:sz w:val="24"/>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2"/>
        <w:rPr>
          <w:rFonts w:hAnsi="宋体" w:cs="宋体"/>
          <w:b/>
          <w:color w:val="auto"/>
        </w:rPr>
      </w:pPr>
    </w:p>
    <w:p>
      <w:pPr>
        <w:pStyle w:val="15"/>
        <w:tabs>
          <w:tab w:val="left" w:pos="630"/>
        </w:tabs>
        <w:snapToGrid w:val="0"/>
        <w:spacing w:line="360" w:lineRule="auto"/>
        <w:jc w:val="center"/>
        <w:rPr>
          <w:rFonts w:hint="eastAsia" w:hAnsi="宋体"/>
          <w:b/>
          <w:color w:val="auto"/>
          <w:sz w:val="24"/>
        </w:rPr>
      </w:pPr>
    </w:p>
    <w:p>
      <w:pPr>
        <w:pStyle w:val="15"/>
        <w:tabs>
          <w:tab w:val="left" w:pos="630"/>
        </w:tabs>
        <w:snapToGrid w:val="0"/>
        <w:spacing w:line="360" w:lineRule="auto"/>
        <w:jc w:val="center"/>
        <w:rPr>
          <w:rFonts w:hAnsi="宋体"/>
          <w:b/>
          <w:color w:val="auto"/>
          <w:sz w:val="24"/>
        </w:rPr>
      </w:pPr>
      <w:r>
        <w:rPr>
          <w:rFonts w:hint="eastAsia" w:hAnsi="宋体"/>
          <w:b/>
          <w:color w:val="auto"/>
          <w:sz w:val="24"/>
        </w:rPr>
        <w:t>第四章  评标</w:t>
      </w:r>
      <w:bookmarkEnd w:id="38"/>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一、评标方法</w:t>
      </w:r>
    </w:p>
    <w:p>
      <w:pPr>
        <w:spacing w:line="360" w:lineRule="auto"/>
        <w:ind w:firstLine="480" w:firstLineChars="200"/>
        <w:rPr>
          <w:rFonts w:ascii="宋体" w:hAnsi="宋体" w:cs="宋体"/>
          <w:color w:val="auto"/>
          <w:sz w:val="24"/>
        </w:rPr>
      </w:pPr>
      <w:r>
        <w:rPr>
          <w:rFonts w:hint="eastAsia" w:ascii="宋体" w:hAnsi="宋体" w:cs="宋体"/>
          <w:color w:val="auto"/>
          <w:sz w:val="24"/>
        </w:rPr>
        <w:t>综合评分法,是指投标文件满足招标文件全部实质性要求，且按照评审因素的量化指标评审得分最高的投标人为中标候选人的评标方法。</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二、评标原则</w:t>
      </w:r>
    </w:p>
    <w:p>
      <w:pPr>
        <w:spacing w:line="360" w:lineRule="auto"/>
        <w:ind w:firstLine="480" w:firstLineChars="200"/>
        <w:rPr>
          <w:rFonts w:ascii="宋体" w:hAnsi="宋体" w:cs="宋体"/>
          <w:color w:val="auto"/>
          <w:sz w:val="24"/>
        </w:rPr>
      </w:pPr>
      <w:r>
        <w:rPr>
          <w:rFonts w:hint="eastAsia" w:ascii="宋体" w:hAnsi="宋体" w:cs="宋体"/>
          <w:color w:val="auto"/>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color w:val="auto"/>
          <w:sz w:val="24"/>
        </w:rPr>
      </w:pPr>
      <w:r>
        <w:rPr>
          <w:rFonts w:hint="eastAsia" w:ascii="宋体" w:hAnsi="宋体" w:cs="宋体"/>
          <w:color w:val="auto"/>
          <w:sz w:val="24"/>
        </w:rPr>
        <w:t>（二）任何单位和个人不得干扰、影响评标的正常进行；评标委员会及有关工作人员应不带任何倾向性和启发性，不得向外界透露任何与评标有关的内容，不得私下与投标人接触。</w:t>
      </w:r>
    </w:p>
    <w:p>
      <w:pPr>
        <w:pStyle w:val="2"/>
        <w:spacing w:after="0" w:line="360" w:lineRule="auto"/>
        <w:ind w:left="0" w:leftChars="0" w:firstLine="482" w:firstLineChars="200"/>
        <w:rPr>
          <w:rFonts w:ascii="宋体" w:hAnsi="宋体" w:cs="宋体"/>
          <w:b/>
          <w:color w:val="auto"/>
          <w:sz w:val="24"/>
        </w:rPr>
      </w:pPr>
      <w:r>
        <w:rPr>
          <w:rFonts w:hint="eastAsia" w:ascii="宋体" w:hAnsi="宋体" w:cs="宋体"/>
          <w:b/>
          <w:color w:val="auto"/>
          <w:sz w:val="24"/>
        </w:rPr>
        <w:t>三、评标委员会</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（一）本项目评标委员会由采购人代表和评审专家组成，成员人数为5人，其中评审专家不得少于成员总数的三分之二。</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（二）评标委员会成员与参与投标的供应商有下列情形之一的，应当回避：</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1.参加采购活动前3年内与供应商存在劳动关系；</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2.参加采购活动前3年内担任供应商的董事、监事；</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3.参加采购活动前3年内是供应商的控股股东或者实际控制人；</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4.与供应商的法定代表人或者负责人有夫妻、直系血亲、三代以内旁系血亲或者近姻亲关系；</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5.与供应商有其他可能影响政府采购活动公平、公正进行的关系。</w:t>
      </w:r>
    </w:p>
    <w:p>
      <w:pPr>
        <w:pStyle w:val="14"/>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（三）评标委员会负责具体评标事务，并独立履行下列职责：</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1.审查、评价投标文件是否符合招标文件的商务、技术等实质性要求；</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2.要求投标人对投标文件有关事项作出澄清或者说明；</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3.对投标文件进行比较和评价；</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4.确定中标候选人名单，以及根据采购人委托直接确定中标人；</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5.向采购人、采购组织机构或者有关部门报告评标中发现的违法行为；</w:t>
      </w:r>
    </w:p>
    <w:p>
      <w:pPr>
        <w:pStyle w:val="1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6.法律法规规定的其他职责。</w:t>
      </w:r>
    </w:p>
    <w:p>
      <w:pPr>
        <w:pStyle w:val="20"/>
        <w:spacing w:before="0" w:beforeAutospacing="0" w:after="0" w:afterAutospacing="0" w:line="360" w:lineRule="auto"/>
        <w:ind w:firstLine="482" w:firstLineChars="200"/>
        <w:jc w:val="both"/>
        <w:rPr>
          <w:rFonts w:hint="default" w:cs="宋体"/>
          <w:b/>
          <w:color w:val="auto"/>
        </w:rPr>
      </w:pPr>
      <w:r>
        <w:rPr>
          <w:rFonts w:cs="宋体"/>
          <w:b/>
          <w:color w:val="auto"/>
        </w:rPr>
        <w:t>四、无效标情形</w:t>
      </w:r>
    </w:p>
    <w:p>
      <w:pPr>
        <w:adjustRightInd w:val="0"/>
        <w:snapToGrid w:val="0"/>
        <w:spacing w:line="360" w:lineRule="auto"/>
        <w:ind w:firstLine="480" w:firstLineChars="200"/>
        <w:rPr>
          <w:rFonts w:ascii="宋体" w:hAnsi="宋体" w:cs="宋体"/>
          <w:b/>
          <w:bCs/>
          <w:color w:val="auto"/>
          <w:sz w:val="24"/>
        </w:rPr>
      </w:pPr>
      <w:r>
        <w:rPr>
          <w:rFonts w:hint="eastAsia" w:ascii="宋体" w:hAnsi="宋体" w:cs="宋体"/>
          <w:color w:val="auto"/>
          <w:kern w:val="0"/>
          <w:sz w:val="24"/>
        </w:rPr>
        <w:t>（一）在资格证明文件或商务与技术文件中出现投标报价的，或者报价文件中报价的货物跟商务与技术文件中的投标货物出现重大偏差的；</w:t>
      </w:r>
    </w:p>
    <w:p>
      <w:pPr>
        <w:pStyle w:val="20"/>
        <w:tabs>
          <w:tab w:val="left" w:pos="7380"/>
        </w:tabs>
        <w:adjustRightInd w:val="0"/>
        <w:snapToGrid w:val="0"/>
        <w:spacing w:before="0" w:beforeAutospacing="0" w:after="0" w:afterAutospacing="0" w:line="360" w:lineRule="auto"/>
        <w:ind w:firstLine="480" w:firstLineChars="200"/>
        <w:jc w:val="both"/>
        <w:rPr>
          <w:rFonts w:hint="default" w:cs="宋体"/>
          <w:color w:val="auto"/>
        </w:rPr>
      </w:pPr>
      <w:r>
        <w:rPr>
          <w:rFonts w:cs="宋体"/>
          <w:color w:val="auto"/>
        </w:rPr>
        <w:t>（二）不具备招标文件中规定的资格要求的；</w:t>
      </w:r>
      <w:r>
        <w:rPr>
          <w:rFonts w:cs="宋体"/>
          <w:color w:val="auto"/>
        </w:rPr>
        <w:tab/>
      </w:r>
    </w:p>
    <w:p>
      <w:pPr>
        <w:pStyle w:val="20"/>
        <w:adjustRightInd w:val="0"/>
        <w:snapToGrid w:val="0"/>
        <w:spacing w:before="0" w:beforeAutospacing="0" w:after="0" w:afterAutospacing="0" w:line="360" w:lineRule="auto"/>
        <w:ind w:firstLine="480" w:firstLineChars="200"/>
        <w:jc w:val="both"/>
        <w:rPr>
          <w:rFonts w:hint="default" w:cs="宋体"/>
          <w:color w:val="auto"/>
        </w:rPr>
      </w:pPr>
      <w:r>
        <w:rPr>
          <w:rFonts w:cs="宋体"/>
          <w:color w:val="auto"/>
        </w:rPr>
        <w:t>（三）投标文件含有采购人不能接受的附加条件的；</w:t>
      </w:r>
    </w:p>
    <w:p>
      <w:pPr>
        <w:pStyle w:val="10"/>
        <w:spacing w:line="360" w:lineRule="auto"/>
        <w:ind w:firstLine="480" w:firstLineChars="200"/>
        <w:jc w:val="both"/>
        <w:rPr>
          <w:rFonts w:ascii="宋体" w:hAnsi="宋体" w:cs="宋体"/>
          <w:bCs/>
          <w:color w:val="auto"/>
          <w:kern w:val="0"/>
          <w:sz w:val="24"/>
        </w:rPr>
      </w:pPr>
      <w:r>
        <w:rPr>
          <w:rFonts w:hint="eastAsia" w:ascii="宋体" w:hAnsi="宋体" w:cs="宋体"/>
          <w:color w:val="auto"/>
          <w:kern w:val="0"/>
          <w:sz w:val="24"/>
        </w:rPr>
        <w:t>（四）</w:t>
      </w:r>
      <w:r>
        <w:rPr>
          <w:rFonts w:hint="eastAsia" w:ascii="宋体" w:hAnsi="宋体" w:cs="宋体"/>
          <w:color w:val="auto"/>
          <w:sz w:val="24"/>
          <w:shd w:val="clear" w:color="auto" w:fill="FFFFFF"/>
        </w:rPr>
        <w:t>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 xml:space="preserve">（五）报价超过招标文件中规定的预算金额/最高限价或未填写投标报价的； </w:t>
      </w:r>
    </w:p>
    <w:p>
      <w:pPr>
        <w:tabs>
          <w:tab w:val="left" w:pos="1898"/>
        </w:tabs>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 xml:space="preserve">（六）投标文件存在虚假材料的； </w:t>
      </w:r>
    </w:p>
    <w:p>
      <w:pPr>
        <w:tabs>
          <w:tab w:val="left" w:pos="1898"/>
        </w:tabs>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（七）有中华人民共和国财政部令第87号《政府采购货物和服务招标投标管理办法》第三十七条情形之一的，视为投标人串通投标，其投标无效，并移送采购监管部门：</w:t>
      </w:r>
    </w:p>
    <w:p>
      <w:pPr>
        <w:tabs>
          <w:tab w:val="left" w:pos="1898"/>
        </w:tabs>
        <w:autoSpaceDE w:val="0"/>
        <w:autoSpaceDN w:val="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1、不同投标人的投标文件由同一单位或者个人编制；</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2、不同投标人委托同一单位或者个人办理投标事宜；</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3、不同投标人的投标文件载明的项目管理成员或者联系人员为同一人；</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4、不同投标人的投标文件异常一致或者投标报价呈规律性差异；</w:t>
      </w:r>
    </w:p>
    <w:p>
      <w:pPr>
        <w:pStyle w:val="20"/>
        <w:spacing w:before="0" w:beforeAutospacing="0" w:after="0" w:afterAutospacing="0" w:line="360" w:lineRule="auto"/>
        <w:ind w:firstLine="480" w:firstLineChars="200"/>
        <w:jc w:val="both"/>
        <w:rPr>
          <w:rFonts w:hint="default" w:cs="宋体"/>
          <w:color w:val="auto"/>
        </w:rPr>
      </w:pPr>
      <w:r>
        <w:rPr>
          <w:rFonts w:cs="宋体"/>
          <w:color w:val="auto"/>
          <w:shd w:val="clear" w:color="auto" w:fill="FFFFFF"/>
        </w:rPr>
        <w:t>5、不同投标人的投标文件相互混装；</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（八）实质性要求（招标文件中打“▲”内容）不响应的；</w:t>
      </w:r>
    </w:p>
    <w:p>
      <w:pPr>
        <w:pStyle w:val="14"/>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（九）商务条款不响应的；</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（十）投标文件有效期不足的；</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（十一）逾期或未按要求提交投标文件的；</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（十二）其他不符合法律法规相关规定的。</w:t>
      </w:r>
    </w:p>
    <w:p>
      <w:pPr>
        <w:autoSpaceDE w:val="0"/>
        <w:autoSpaceDN w:val="0"/>
        <w:adjustRightInd w:val="0"/>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五、废标情形</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（一）出现影响采购公正的违法、违规行为的；</w:t>
      </w:r>
    </w:p>
    <w:p>
      <w:pPr>
        <w:pStyle w:val="20"/>
        <w:spacing w:before="0" w:beforeAutospacing="0" w:after="0" w:afterAutospacing="0" w:line="360" w:lineRule="auto"/>
        <w:ind w:firstLine="480" w:firstLineChars="200"/>
        <w:jc w:val="both"/>
        <w:rPr>
          <w:rFonts w:hint="default" w:cs="宋体"/>
          <w:b/>
          <w:bCs/>
          <w:color w:val="auto"/>
        </w:rPr>
      </w:pPr>
      <w:r>
        <w:rPr>
          <w:rFonts w:cs="宋体"/>
          <w:color w:val="auto"/>
        </w:rPr>
        <w:t>（二）评标委员会发现招标文件存在歧义、重大缺陷导致评标工作无法进行，或者招标文件内容违反国家有关强制性规定的；</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（三）因重大变故，采购任务取消的；</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（四）法律、法规和招标文件规定的其他导致评标结果无效的。</w:t>
      </w:r>
    </w:p>
    <w:p>
      <w:pPr>
        <w:pStyle w:val="15"/>
        <w:snapToGrid w:val="0"/>
        <w:spacing w:line="360" w:lineRule="auto"/>
        <w:ind w:firstLine="482" w:firstLineChars="200"/>
        <w:rPr>
          <w:rFonts w:hAnsi="宋体"/>
          <w:b/>
          <w:color w:val="auto"/>
          <w:sz w:val="24"/>
        </w:rPr>
      </w:pPr>
      <w:r>
        <w:rPr>
          <w:rFonts w:hint="eastAsia" w:hAnsi="宋体"/>
          <w:b/>
          <w:color w:val="auto"/>
          <w:sz w:val="24"/>
        </w:rPr>
        <w:t>六、评标过程的监控</w:t>
      </w:r>
    </w:p>
    <w:p>
      <w:pPr>
        <w:pStyle w:val="20"/>
        <w:spacing w:before="0" w:beforeAutospacing="0" w:after="0" w:afterAutospacing="0" w:line="360" w:lineRule="auto"/>
        <w:ind w:firstLine="480" w:firstLineChars="200"/>
        <w:jc w:val="both"/>
        <w:rPr>
          <w:rFonts w:hint="default" w:cs="宋体"/>
          <w:color w:val="auto"/>
        </w:rPr>
      </w:pPr>
      <w:r>
        <w:rPr>
          <w:rFonts w:cs="宋体"/>
          <w:color w:val="auto"/>
        </w:rPr>
        <w:t>本项目评标过程实行全程录音、录像监控，政府采购监管部门视情进行现场监督，投标人在评标过程中所进行的试图影响评标结果的不公正活动，可能导致其投标被拒绝。</w:t>
      </w:r>
    </w:p>
    <w:p>
      <w:pPr>
        <w:pStyle w:val="15"/>
        <w:snapToGrid w:val="0"/>
        <w:spacing w:line="360" w:lineRule="auto"/>
        <w:ind w:firstLine="482" w:firstLineChars="200"/>
        <w:rPr>
          <w:rFonts w:hAnsi="宋体"/>
          <w:b/>
          <w:bCs/>
          <w:color w:val="auto"/>
          <w:sz w:val="24"/>
        </w:rPr>
      </w:pPr>
      <w:r>
        <w:rPr>
          <w:rFonts w:hint="eastAsia" w:hAnsi="宋体"/>
          <w:b/>
          <w:bCs/>
          <w:color w:val="auto"/>
          <w:sz w:val="24"/>
        </w:rPr>
        <w:t>七、政府采购政策落实</w:t>
      </w:r>
    </w:p>
    <w:p>
      <w:pPr>
        <w:autoSpaceDE w:val="0"/>
        <w:autoSpaceDN w:val="0"/>
        <w:adjustRightInd w:val="0"/>
        <w:spacing w:line="360" w:lineRule="auto"/>
        <w:ind w:firstLine="480" w:firstLineChars="200"/>
        <w:rPr>
          <w:rFonts w:ascii="宋体"/>
          <w:color w:val="auto"/>
          <w:sz w:val="24"/>
          <w:lang w:val="zh-CN"/>
        </w:rPr>
      </w:pPr>
      <w:r>
        <w:rPr>
          <w:rFonts w:hint="eastAsia" w:ascii="宋体"/>
          <w:color w:val="auto"/>
          <w:sz w:val="24"/>
        </w:rPr>
        <w:t>（一）</w:t>
      </w:r>
      <w:r>
        <w:rPr>
          <w:rFonts w:hint="eastAsia" w:ascii="宋体"/>
          <w:color w:val="auto"/>
          <w:sz w:val="24"/>
          <w:lang w:val="zh-CN"/>
        </w:rPr>
        <w:t>政府采购政策及优惠：</w:t>
      </w:r>
    </w:p>
    <w:p>
      <w:pPr>
        <w:autoSpaceDE w:val="0"/>
        <w:autoSpaceDN w:val="0"/>
        <w:adjustRightInd w:val="0"/>
        <w:spacing w:line="360" w:lineRule="auto"/>
        <w:ind w:firstLine="480" w:firstLineChars="200"/>
        <w:rPr>
          <w:rFonts w:ascii="宋体"/>
          <w:color w:val="auto"/>
          <w:sz w:val="24"/>
        </w:rPr>
      </w:pPr>
      <w:r>
        <w:rPr>
          <w:rFonts w:hint="eastAsia" w:ascii="宋体"/>
          <w:color w:val="auto"/>
          <w:sz w:val="24"/>
        </w:rPr>
        <w:t>1.</w:t>
      </w:r>
      <w:r>
        <w:rPr>
          <w:rFonts w:hint="eastAsia" w:ascii="宋体"/>
          <w:color w:val="auto"/>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产品适用政府采购政策情况表》（见附件</w:t>
      </w:r>
      <w:r>
        <w:rPr>
          <w:rFonts w:hint="eastAsia" w:ascii="宋体"/>
          <w:color w:val="auto"/>
          <w:sz w:val="24"/>
        </w:rPr>
        <w:t>19</w:t>
      </w:r>
      <w:r>
        <w:rPr>
          <w:rFonts w:hint="eastAsia" w:ascii="宋体"/>
          <w:color w:val="auto"/>
          <w:sz w:val="24"/>
          <w:lang w:val="zh-CN"/>
        </w:rPr>
        <w:t>）、《</w:t>
      </w:r>
      <w:r>
        <w:rPr>
          <w:rFonts w:hint="eastAsia" w:ascii="宋体"/>
          <w:color w:val="auto"/>
          <w:sz w:val="24"/>
        </w:rPr>
        <w:t>中</w:t>
      </w:r>
      <w:r>
        <w:rPr>
          <w:rFonts w:hint="eastAsia" w:ascii="宋体"/>
          <w:color w:val="auto"/>
          <w:sz w:val="24"/>
          <w:lang w:val="zh-CN"/>
        </w:rPr>
        <w:t>小企业声明函》（</w:t>
      </w:r>
      <w:r>
        <w:rPr>
          <w:rFonts w:hint="eastAsia" w:ascii="宋体"/>
          <w:color w:val="auto"/>
          <w:sz w:val="24"/>
        </w:rPr>
        <w:t>见附件18</w:t>
      </w:r>
      <w:r>
        <w:rPr>
          <w:rFonts w:hint="eastAsia" w:ascii="宋体"/>
          <w:color w:val="auto"/>
          <w:sz w:val="24"/>
          <w:lang w:val="zh-CN"/>
        </w:rPr>
        <w:t>），</w:t>
      </w:r>
      <w:r>
        <w:rPr>
          <w:rFonts w:hint="eastAsia" w:ascii="宋体"/>
          <w:color w:val="auto"/>
          <w:sz w:val="24"/>
        </w:rPr>
        <w:t>投标人未提供以上资料或者经</w:t>
      </w:r>
      <w:r>
        <w:rPr>
          <w:rFonts w:hint="eastAsia" w:ascii="宋体"/>
          <w:color w:val="auto"/>
          <w:sz w:val="24"/>
          <w:lang w:val="zh-CN"/>
        </w:rPr>
        <w:t>评标委员会核查不符的</w:t>
      </w:r>
      <w:r>
        <w:rPr>
          <w:rFonts w:hint="eastAsia" w:ascii="宋体"/>
          <w:color w:val="auto"/>
          <w:sz w:val="24"/>
        </w:rPr>
        <w:t>，将不能享受</w:t>
      </w:r>
      <w:r>
        <w:rPr>
          <w:rFonts w:hint="eastAsia"/>
          <w:color w:val="auto"/>
          <w:sz w:val="24"/>
        </w:rPr>
        <w:t>相应的</w:t>
      </w:r>
      <w:r>
        <w:rPr>
          <w:rFonts w:hint="eastAsia" w:ascii="宋体"/>
          <w:color w:val="auto"/>
          <w:sz w:val="24"/>
        </w:rPr>
        <w:t>小微企业优惠政策。</w:t>
      </w:r>
    </w:p>
    <w:p>
      <w:pPr>
        <w:autoSpaceDE w:val="0"/>
        <w:autoSpaceDN w:val="0"/>
        <w:adjustRightInd w:val="0"/>
        <w:spacing w:line="360" w:lineRule="auto"/>
        <w:ind w:firstLine="480" w:firstLineChars="200"/>
        <w:rPr>
          <w:rFonts w:ascii="宋体"/>
          <w:color w:val="auto"/>
          <w:sz w:val="24"/>
          <w:lang w:val="zh-CN"/>
        </w:rPr>
      </w:pPr>
      <w:r>
        <w:rPr>
          <w:rFonts w:hint="eastAsia" w:ascii="宋体"/>
          <w:color w:val="auto"/>
          <w:sz w:val="24"/>
        </w:rPr>
        <w:t>2.</w:t>
      </w:r>
      <w:r>
        <w:rPr>
          <w:rFonts w:hint="eastAsia" w:ascii="宋体"/>
          <w:color w:val="auto"/>
          <w:sz w:val="24"/>
          <w:lang w:val="zh-CN"/>
        </w:rPr>
        <w:t>监狱企业参加政府采购活动时，应当提供由省级以上监狱管理局、戒毒管理局（含新疆生产建设兵团）出具的属于监狱企业的证明文件和《产品适用政府采购政策情况表》，视同小型、微型企业，享受小微企业政府采购优惠政策；</w:t>
      </w:r>
    </w:p>
    <w:p>
      <w:pPr>
        <w:autoSpaceDE w:val="0"/>
        <w:autoSpaceDN w:val="0"/>
        <w:adjustRightInd w:val="0"/>
        <w:spacing w:line="360" w:lineRule="auto"/>
        <w:ind w:firstLine="480" w:firstLineChars="200"/>
        <w:rPr>
          <w:rFonts w:ascii="宋体"/>
          <w:color w:val="auto"/>
          <w:sz w:val="24"/>
          <w:lang w:val="zh-CN"/>
        </w:rPr>
      </w:pPr>
      <w:r>
        <w:rPr>
          <w:rFonts w:hint="eastAsia" w:ascii="宋体"/>
          <w:color w:val="auto"/>
          <w:sz w:val="24"/>
        </w:rPr>
        <w:t>3.</w:t>
      </w:r>
      <w:r>
        <w:rPr>
          <w:rFonts w:hint="eastAsia" w:ascii="宋体"/>
          <w:color w:val="auto"/>
          <w:sz w:val="24"/>
          <w:lang w:val="zh-CN"/>
        </w:rPr>
        <w:t>残疾人福利性单位在参加政府采购活动时，应提供《残疾人福利性单位声明函》和《产品适用政府采购政策情况表》，视同小型、微型企业，享受小微企业政府采购优惠政策。</w:t>
      </w:r>
    </w:p>
    <w:p>
      <w:pPr>
        <w:pStyle w:val="10"/>
        <w:spacing w:line="360" w:lineRule="auto"/>
        <w:ind w:firstLine="480" w:firstLineChars="200"/>
        <w:jc w:val="both"/>
        <w:rPr>
          <w:rFonts w:ascii="宋体" w:hAnsi="宋体" w:cs="宋体"/>
          <w:color w:val="auto"/>
          <w:sz w:val="24"/>
        </w:rPr>
      </w:pPr>
      <w:r>
        <w:rPr>
          <w:rFonts w:hint="eastAsia" w:ascii="宋体"/>
          <w:color w:val="auto"/>
          <w:sz w:val="24"/>
        </w:rPr>
        <w:t>4.</w:t>
      </w:r>
      <w:r>
        <w:rPr>
          <w:rFonts w:hint="eastAsia" w:ascii="宋体" w:hAnsi="宋体" w:cs="宋体"/>
          <w:color w:val="auto"/>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0" w:firstLineChars="200"/>
        <w:rPr>
          <w:color w:val="auto"/>
          <w:lang w:val="zh-CN"/>
        </w:rPr>
      </w:pPr>
      <w:r>
        <w:rPr>
          <w:rFonts w:hint="eastAsia" w:ascii="宋体"/>
          <w:color w:val="auto"/>
          <w:sz w:val="24"/>
        </w:rPr>
        <w:t>（二）价格扣除相关要求：</w:t>
      </w:r>
    </w:p>
    <w:p>
      <w:pPr>
        <w:pStyle w:val="10"/>
        <w:spacing w:line="360" w:lineRule="auto"/>
        <w:ind w:firstLine="480" w:firstLineChars="200"/>
        <w:jc w:val="both"/>
        <w:rPr>
          <w:rFonts w:ascii="宋体" w:hAnsi="宋体" w:cs="宋体"/>
          <w:color w:val="auto"/>
          <w:sz w:val="24"/>
          <w:lang w:val="zh-CN"/>
        </w:rPr>
      </w:pPr>
      <w:r>
        <w:rPr>
          <w:rFonts w:hint="eastAsia" w:ascii="宋体"/>
          <w:color w:val="auto"/>
          <w:sz w:val="24"/>
          <w:lang w:val="zh-CN"/>
        </w:rPr>
        <w:t>参照浙财采监〔2022〕</w:t>
      </w:r>
      <w:r>
        <w:rPr>
          <w:rFonts w:hint="eastAsia" w:ascii="宋体"/>
          <w:color w:val="auto"/>
          <w:sz w:val="24"/>
          <w:lang w:val="en-US" w:eastAsia="zh-CN"/>
        </w:rPr>
        <w:t>8</w:t>
      </w:r>
      <w:r>
        <w:rPr>
          <w:rFonts w:hint="eastAsia" w:ascii="宋体"/>
          <w:color w:val="auto"/>
          <w:sz w:val="24"/>
          <w:lang w:val="zh-CN"/>
        </w:rPr>
        <w:t>号文件，对于小型微型企业产品的价格给予</w:t>
      </w:r>
      <w:r>
        <w:rPr>
          <w:rFonts w:hint="eastAsia" w:ascii="宋体"/>
          <w:color w:val="auto"/>
          <w:sz w:val="24"/>
          <w:lang w:val="en-US" w:eastAsia="zh-CN"/>
        </w:rPr>
        <w:t>2</w:t>
      </w:r>
      <w:r>
        <w:rPr>
          <w:rFonts w:hint="eastAsia" w:ascii="宋体"/>
          <w:color w:val="auto"/>
          <w:sz w:val="24"/>
          <w:lang w:val="zh-CN"/>
        </w:rPr>
        <w:t>0%的扣除，用扣除后的价格计算评标基准价和投标报价。同一投标人，小微企业、监狱企业、残疾人福利性单位价格扣除优惠只享受一次，不得重复享受。</w:t>
      </w:r>
    </w:p>
    <w:p>
      <w:pPr>
        <w:pStyle w:val="15"/>
        <w:snapToGrid w:val="0"/>
        <w:spacing w:line="360" w:lineRule="auto"/>
        <w:ind w:firstLine="482" w:firstLineChars="200"/>
        <w:rPr>
          <w:rFonts w:hAnsi="宋体"/>
          <w:b/>
          <w:bCs/>
          <w:color w:val="auto"/>
          <w:sz w:val="24"/>
        </w:rPr>
      </w:pPr>
      <w:r>
        <w:rPr>
          <w:rFonts w:hint="eastAsia" w:hAnsi="宋体"/>
          <w:b/>
          <w:bCs/>
          <w:color w:val="auto"/>
          <w:sz w:val="24"/>
        </w:rPr>
        <w:t>八、评标程序</w:t>
      </w:r>
    </w:p>
    <w:p>
      <w:pPr>
        <w:snapToGri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（一）资格性审查</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投标文件解密后，采购人或采购组织机构依法对投标人的资格进行审查，对审查发现无效的进行必要的询标，在政采云平台公布无效投标的投标人名单、投标无效的原因。</w:t>
      </w:r>
    </w:p>
    <w:tbl>
      <w:tblPr>
        <w:tblStyle w:val="25"/>
        <w:tblW w:w="9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694" w:type="dxa"/>
            <w:shd w:val="clear" w:color="auto" w:fill="auto"/>
            <w:vAlign w:val="center"/>
          </w:tcPr>
          <w:p>
            <w:pPr>
              <w:jc w:val="left"/>
              <w:rPr>
                <w:rFonts w:ascii="宋体" w:hAnsi="宋体" w:cs="宋体"/>
                <w:color w:val="auto"/>
                <w:sz w:val="24"/>
              </w:rPr>
            </w:pPr>
            <w:r>
              <w:rPr>
                <w:rFonts w:hint="eastAsia" w:ascii="宋体" w:hAnsi="宋体" w:cs="宋体"/>
                <w:color w:val="auto"/>
                <w:sz w:val="24"/>
              </w:rPr>
              <w:t>具有独立承担民事责任的能力</w:t>
            </w:r>
          </w:p>
        </w:tc>
        <w:tc>
          <w:tcPr>
            <w:tcW w:w="7495" w:type="dxa"/>
            <w:shd w:val="clear" w:color="auto" w:fill="auto"/>
            <w:vAlign w:val="center"/>
          </w:tcPr>
          <w:p>
            <w:pPr>
              <w:jc w:val="left"/>
              <w:rPr>
                <w:rFonts w:ascii="宋体" w:hAnsi="宋体" w:cs="宋体"/>
                <w:color w:val="auto"/>
                <w:sz w:val="24"/>
              </w:rPr>
            </w:pPr>
            <w:r>
              <w:rPr>
                <w:rFonts w:hint="eastAsia" w:ascii="宋体" w:hAnsi="宋体" w:cs="宋体"/>
                <w:color w:val="auto"/>
                <w:sz w:val="24"/>
              </w:rPr>
              <w:t>在中华人民共和国境内注册的法人或其他组织或自然人，投标时提交有效的营业执照（或事业法人登记证或身份证等相关证明）副本扫描件。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2" w:hRule="atLeast"/>
          <w:jc w:val="center"/>
        </w:trPr>
        <w:tc>
          <w:tcPr>
            <w:tcW w:w="1694" w:type="dxa"/>
            <w:shd w:val="clear" w:color="auto" w:fill="auto"/>
            <w:vAlign w:val="center"/>
          </w:tcPr>
          <w:p>
            <w:pPr>
              <w:jc w:val="left"/>
              <w:rPr>
                <w:rFonts w:ascii="宋体" w:hAnsi="宋体" w:cs="宋体"/>
                <w:color w:val="auto"/>
                <w:sz w:val="24"/>
              </w:rPr>
            </w:pPr>
            <w:r>
              <w:rPr>
                <w:rFonts w:hint="eastAsia" w:ascii="宋体" w:hAnsi="宋体" w:cs="宋体"/>
                <w:color w:val="auto"/>
                <w:sz w:val="24"/>
              </w:rPr>
              <w:t>有依法缴纳税收和社会保障资金的良好记录</w:t>
            </w:r>
          </w:p>
        </w:tc>
        <w:tc>
          <w:tcPr>
            <w:tcW w:w="7495" w:type="dxa"/>
            <w:shd w:val="clear" w:color="auto" w:fill="auto"/>
            <w:vAlign w:val="center"/>
          </w:tcPr>
          <w:p>
            <w:pPr>
              <w:jc w:val="left"/>
              <w:rPr>
                <w:rFonts w:ascii="宋体" w:hAnsi="宋体" w:cs="宋体"/>
                <w:color w:val="auto"/>
                <w:sz w:val="24"/>
              </w:rPr>
            </w:pPr>
            <w:r>
              <w:rPr>
                <w:rFonts w:hint="eastAsia" w:ascii="宋体" w:hAnsi="宋体" w:cs="宋体"/>
                <w:color w:val="auto"/>
                <w:sz w:val="24"/>
              </w:rPr>
              <w:t>提供投标截止日前6个月内任意1个月依法缴纳税收和社会保障资金的相关材料。如依法免税或不需要缴纳社会保障资金的，提供相应证明材料。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7" w:hRule="atLeast"/>
          <w:jc w:val="center"/>
        </w:trPr>
        <w:tc>
          <w:tcPr>
            <w:tcW w:w="1694" w:type="dxa"/>
            <w:shd w:val="clear" w:color="auto" w:fill="auto"/>
            <w:vAlign w:val="center"/>
          </w:tcPr>
          <w:p>
            <w:pPr>
              <w:jc w:val="left"/>
              <w:rPr>
                <w:rFonts w:ascii="宋体" w:hAnsi="宋体" w:cs="宋体"/>
                <w:color w:val="auto"/>
                <w:sz w:val="24"/>
              </w:rPr>
            </w:pPr>
            <w:r>
              <w:rPr>
                <w:rFonts w:hint="eastAsia" w:ascii="宋体" w:hAnsi="宋体" w:cs="宋体"/>
                <w:color w:val="auto"/>
                <w:sz w:val="24"/>
              </w:rPr>
              <w:t>具有良好的商业信誉和健全的财务会计制度</w:t>
            </w:r>
          </w:p>
        </w:tc>
        <w:tc>
          <w:tcPr>
            <w:tcW w:w="7495" w:type="dxa"/>
            <w:shd w:val="clear" w:color="auto" w:fill="auto"/>
            <w:vAlign w:val="center"/>
          </w:tcPr>
          <w:p>
            <w:pPr>
              <w:jc w:val="left"/>
              <w:rPr>
                <w:rFonts w:ascii="宋体" w:hAnsi="宋体" w:cs="宋体"/>
                <w:color w:val="auto"/>
                <w:sz w:val="24"/>
              </w:rPr>
            </w:pPr>
            <w:r>
              <w:rPr>
                <w:rFonts w:hint="eastAsia" w:ascii="宋体" w:hAnsi="宋体" w:cs="宋体"/>
                <w:color w:val="auto"/>
                <w:sz w:val="24"/>
              </w:rPr>
              <w:t>提供财务状况报告。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7" w:hRule="atLeast"/>
          <w:jc w:val="center"/>
        </w:trPr>
        <w:tc>
          <w:tcPr>
            <w:tcW w:w="1694" w:type="dxa"/>
            <w:shd w:val="clear" w:color="auto" w:fill="auto"/>
            <w:vAlign w:val="center"/>
          </w:tcPr>
          <w:p>
            <w:pPr>
              <w:jc w:val="left"/>
              <w:rPr>
                <w:rFonts w:ascii="宋体" w:hAnsi="宋体" w:cs="宋体"/>
                <w:color w:val="auto"/>
                <w:sz w:val="24"/>
              </w:rPr>
            </w:pPr>
            <w:r>
              <w:rPr>
                <w:rFonts w:hint="eastAsia" w:ascii="宋体" w:hAnsi="宋体" w:cs="宋体"/>
                <w:color w:val="auto"/>
                <w:sz w:val="24"/>
              </w:rPr>
              <w:t>履行合同所必需的设备和专业技术能力</w:t>
            </w:r>
          </w:p>
        </w:tc>
        <w:tc>
          <w:tcPr>
            <w:tcW w:w="7495" w:type="dxa"/>
            <w:shd w:val="clear" w:color="auto" w:fill="auto"/>
            <w:vAlign w:val="center"/>
          </w:tcPr>
          <w:p>
            <w:pPr>
              <w:jc w:val="left"/>
              <w:rPr>
                <w:rFonts w:ascii="宋体" w:hAnsi="宋体" w:cs="宋体"/>
                <w:color w:val="auto"/>
                <w:sz w:val="24"/>
              </w:rPr>
            </w:pPr>
            <w:r>
              <w:rPr>
                <w:rFonts w:hint="eastAsia" w:ascii="宋体" w:hAnsi="宋体" w:cs="宋体"/>
                <w:color w:val="auto"/>
                <w:sz w:val="24"/>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7" w:hRule="atLeast"/>
          <w:jc w:val="center"/>
        </w:trPr>
        <w:tc>
          <w:tcPr>
            <w:tcW w:w="1694" w:type="dxa"/>
            <w:shd w:val="clear" w:color="auto" w:fill="auto"/>
            <w:vAlign w:val="center"/>
          </w:tcPr>
          <w:p>
            <w:pPr>
              <w:jc w:val="left"/>
              <w:rPr>
                <w:rFonts w:ascii="宋体" w:hAnsi="宋体" w:cs="宋体"/>
                <w:color w:val="auto"/>
                <w:sz w:val="24"/>
              </w:rPr>
            </w:pPr>
            <w:r>
              <w:rPr>
                <w:rFonts w:hint="eastAsia" w:ascii="宋体" w:hAnsi="宋体" w:cs="宋体"/>
                <w:color w:val="auto"/>
                <w:sz w:val="24"/>
              </w:rPr>
              <w:t>参加采购活动前3年内，在经营活动中没有重大违法记录</w:t>
            </w:r>
          </w:p>
        </w:tc>
        <w:tc>
          <w:tcPr>
            <w:tcW w:w="7495" w:type="dxa"/>
            <w:shd w:val="clear" w:color="auto" w:fill="auto"/>
            <w:vAlign w:val="center"/>
          </w:tcPr>
          <w:p>
            <w:pPr>
              <w:jc w:val="left"/>
              <w:rPr>
                <w:rFonts w:ascii="宋体" w:hAnsi="宋体" w:cs="宋体"/>
                <w:color w:val="auto"/>
                <w:sz w:val="24"/>
              </w:rPr>
            </w:pPr>
            <w:r>
              <w:rPr>
                <w:rFonts w:hint="eastAsia" w:ascii="宋体" w:hAnsi="宋体" w:cs="宋体"/>
                <w:color w:val="auto"/>
                <w:sz w:val="24"/>
              </w:rPr>
              <w:t>参照投标声明书相关承诺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91" w:hRule="atLeast"/>
          <w:jc w:val="center"/>
        </w:trPr>
        <w:tc>
          <w:tcPr>
            <w:tcW w:w="1694" w:type="dxa"/>
            <w:shd w:val="clear" w:color="auto" w:fill="auto"/>
            <w:vAlign w:val="center"/>
          </w:tcPr>
          <w:p>
            <w:pPr>
              <w:jc w:val="left"/>
              <w:rPr>
                <w:rFonts w:ascii="宋体" w:hAnsi="宋体" w:cs="宋体"/>
                <w:color w:val="auto"/>
                <w:sz w:val="24"/>
              </w:rPr>
            </w:pPr>
            <w:r>
              <w:rPr>
                <w:rFonts w:hint="eastAsia" w:ascii="宋体" w:hAnsi="宋体" w:cs="宋体"/>
                <w:color w:val="auto"/>
                <w:sz w:val="24"/>
              </w:rPr>
              <w:t>信用记录</w:t>
            </w:r>
          </w:p>
        </w:tc>
        <w:tc>
          <w:tcPr>
            <w:tcW w:w="7495" w:type="dxa"/>
            <w:shd w:val="clear" w:color="auto" w:fill="auto"/>
            <w:vAlign w:val="center"/>
          </w:tcPr>
          <w:p>
            <w:pPr>
              <w:jc w:val="left"/>
              <w:rPr>
                <w:rFonts w:ascii="宋体" w:hAnsi="宋体" w:cs="宋体"/>
                <w:color w:val="auto"/>
                <w:sz w:val="24"/>
              </w:rPr>
            </w:pPr>
            <w:r>
              <w:rPr>
                <w:rFonts w:hint="eastAsia" w:ascii="宋体" w:hAnsi="宋体" w:cs="宋体"/>
                <w:color w:val="auto"/>
                <w:sz w:val="24"/>
              </w:rPr>
              <w:t>1.截止时点：开标后评标前。</w:t>
            </w:r>
          </w:p>
          <w:p>
            <w:pPr>
              <w:jc w:val="left"/>
              <w:rPr>
                <w:rFonts w:ascii="宋体" w:hAnsi="宋体" w:cs="宋体"/>
                <w:color w:val="auto"/>
                <w:sz w:val="24"/>
              </w:rPr>
            </w:pPr>
            <w:r>
              <w:rPr>
                <w:rFonts w:hint="eastAsia" w:ascii="宋体" w:hAnsi="宋体" w:cs="宋体"/>
                <w:color w:val="auto"/>
                <w:sz w:val="24"/>
              </w:rPr>
              <w:t>2.信用信息查询记录和证据留存的具体方式：由采购组织机构在规定查询时间内打印信用信息查询记录并归入项目档案。</w:t>
            </w:r>
            <w:r>
              <w:rPr>
                <w:rFonts w:hint="eastAsia" w:ascii="宋体" w:hAnsi="宋体" w:cs="宋体"/>
                <w:color w:val="auto"/>
                <w:sz w:val="24"/>
              </w:rPr>
              <w:br w:type="textWrapping"/>
            </w:r>
            <w:r>
              <w:rPr>
                <w:rFonts w:hint="eastAsia" w:ascii="宋体" w:hAnsi="宋体" w:cs="宋体"/>
                <w:color w:val="auto"/>
                <w:sz w:val="24"/>
              </w:rPr>
              <w:t>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5" w:hRule="atLeast"/>
          <w:jc w:val="center"/>
        </w:trPr>
        <w:tc>
          <w:tcPr>
            <w:tcW w:w="1694" w:type="dxa"/>
            <w:shd w:val="clear" w:color="auto" w:fill="auto"/>
            <w:vAlign w:val="center"/>
          </w:tcPr>
          <w:p>
            <w:pPr>
              <w:jc w:val="left"/>
              <w:rPr>
                <w:rFonts w:ascii="宋体" w:hAnsi="宋体" w:cs="宋体"/>
                <w:color w:val="auto"/>
                <w:sz w:val="24"/>
              </w:rPr>
            </w:pPr>
            <w:r>
              <w:rPr>
                <w:rFonts w:hint="eastAsia" w:ascii="宋体" w:hAnsi="宋体" w:cs="宋体"/>
                <w:color w:val="auto"/>
                <w:sz w:val="24"/>
              </w:rPr>
              <w:t>必须符合法律、行政法规规定的其他条件</w:t>
            </w:r>
          </w:p>
        </w:tc>
        <w:tc>
          <w:tcPr>
            <w:tcW w:w="7495" w:type="dxa"/>
            <w:shd w:val="clear" w:color="auto" w:fill="auto"/>
            <w:vAlign w:val="center"/>
          </w:tcPr>
          <w:p>
            <w:pPr>
              <w:jc w:val="left"/>
              <w:rPr>
                <w:rFonts w:ascii="宋体" w:hAnsi="宋体" w:cs="宋体"/>
                <w:color w:val="auto"/>
                <w:sz w:val="24"/>
              </w:rPr>
            </w:pPr>
            <w:r>
              <w:rPr>
                <w:rFonts w:hint="eastAsia" w:ascii="宋体" w:hAnsi="宋体" w:cs="宋体"/>
                <w:color w:val="auto"/>
                <w:sz w:val="24"/>
              </w:rPr>
              <w:t>1.单位负责人为同一人或者存在直接控股、管理关系的不同供应商，不得同时参加本项目投标。</w:t>
            </w:r>
          </w:p>
          <w:p>
            <w:pPr>
              <w:jc w:val="left"/>
              <w:rPr>
                <w:rFonts w:ascii="宋体" w:hAnsi="宋体" w:cs="宋体"/>
                <w:color w:val="auto"/>
                <w:sz w:val="24"/>
              </w:rPr>
            </w:pPr>
            <w:r>
              <w:rPr>
                <w:rFonts w:hint="eastAsia" w:ascii="宋体" w:hAnsi="宋体" w:cs="宋体"/>
                <w:color w:val="auto"/>
                <w:sz w:val="24"/>
              </w:rPr>
              <w:t>2.为本项目提供整体设计、规范编制或者项目管理、监理、检测等服务的供应商，不得再参与本项目投标。</w:t>
            </w:r>
          </w:p>
          <w:p>
            <w:pPr>
              <w:jc w:val="left"/>
              <w:rPr>
                <w:rFonts w:ascii="宋体" w:hAnsi="宋体" w:cs="宋体"/>
                <w:color w:val="auto"/>
                <w:sz w:val="24"/>
              </w:rPr>
            </w:pPr>
            <w:r>
              <w:rPr>
                <w:rFonts w:hint="eastAsia" w:ascii="宋体" w:hAnsi="宋体" w:cs="宋体"/>
                <w:color w:val="auto"/>
                <w:sz w:val="24"/>
              </w:rPr>
              <w:t>3.投标（报价）函相关承诺要求内容。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atLeast"/>
          <w:jc w:val="center"/>
        </w:trPr>
        <w:tc>
          <w:tcPr>
            <w:tcW w:w="1694" w:type="dxa"/>
            <w:shd w:val="clear" w:color="auto" w:fill="auto"/>
            <w:vAlign w:val="center"/>
          </w:tcPr>
          <w:p>
            <w:pPr>
              <w:jc w:val="left"/>
              <w:rPr>
                <w:rFonts w:ascii="宋体" w:hAnsi="宋体" w:cs="宋体"/>
                <w:color w:val="auto"/>
                <w:sz w:val="24"/>
              </w:rPr>
            </w:pPr>
            <w:r>
              <w:rPr>
                <w:rFonts w:hint="eastAsia" w:ascii="宋体" w:hAnsi="宋体" w:cs="宋体"/>
                <w:color w:val="auto"/>
                <w:sz w:val="24"/>
              </w:rPr>
              <w:t>联合体投标</w:t>
            </w:r>
          </w:p>
        </w:tc>
        <w:tc>
          <w:tcPr>
            <w:tcW w:w="7495" w:type="dxa"/>
            <w:shd w:val="clear" w:color="auto" w:fill="auto"/>
            <w:vAlign w:val="center"/>
          </w:tcPr>
          <w:p>
            <w:pPr>
              <w:jc w:val="left"/>
              <w:rPr>
                <w:rFonts w:ascii="宋体" w:hAnsi="宋体" w:cs="宋体"/>
                <w:color w:val="auto"/>
                <w:sz w:val="24"/>
              </w:rPr>
            </w:pPr>
            <w:r>
              <w:rPr>
                <w:rFonts w:hint="eastAsia" w:ascii="宋体" w:hAnsi="宋体" w:cs="宋体"/>
                <w:color w:val="auto"/>
                <w:sz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1694" w:type="dxa"/>
            <w:shd w:val="clear" w:color="auto" w:fill="auto"/>
            <w:vAlign w:val="center"/>
          </w:tcPr>
          <w:p>
            <w:pPr>
              <w:jc w:val="left"/>
              <w:rPr>
                <w:rFonts w:ascii="宋体" w:hAnsi="宋体" w:cs="宋体"/>
                <w:color w:val="auto"/>
                <w:sz w:val="24"/>
              </w:rPr>
            </w:pPr>
            <w:r>
              <w:rPr>
                <w:rFonts w:hint="eastAsia" w:ascii="宋体" w:hAnsi="宋体" w:cs="宋体"/>
                <w:color w:val="auto"/>
                <w:sz w:val="24"/>
              </w:rPr>
              <w:t>资质</w:t>
            </w:r>
          </w:p>
        </w:tc>
        <w:tc>
          <w:tcPr>
            <w:tcW w:w="7495" w:type="dxa"/>
            <w:shd w:val="clear" w:color="auto" w:fill="auto"/>
            <w:vAlign w:val="center"/>
          </w:tcPr>
          <w:p>
            <w:pPr>
              <w:jc w:val="left"/>
              <w:rPr>
                <w:rFonts w:ascii="宋体" w:hAnsi="宋体" w:cs="宋体"/>
                <w:color w:val="auto"/>
                <w:sz w:val="24"/>
              </w:rPr>
            </w:pPr>
            <w:r>
              <w:rPr>
                <w:rFonts w:hint="eastAsia" w:ascii="宋体" w:hAnsi="宋体" w:cs="宋体"/>
                <w:color w:val="auto"/>
                <w:sz w:val="24"/>
              </w:rPr>
              <w:t>无。</w:t>
            </w:r>
          </w:p>
        </w:tc>
      </w:tr>
    </w:tbl>
    <w:p>
      <w:pPr>
        <w:pStyle w:val="10"/>
        <w:spacing w:line="360" w:lineRule="auto"/>
        <w:ind w:firstLine="482" w:firstLineChars="200"/>
        <w:jc w:val="both"/>
        <w:rPr>
          <w:rFonts w:ascii="宋体" w:hAnsi="宋体" w:cs="宋体"/>
          <w:b/>
          <w:bCs/>
          <w:color w:val="auto"/>
          <w:sz w:val="24"/>
        </w:rPr>
      </w:pPr>
      <w:r>
        <w:rPr>
          <w:rFonts w:hint="eastAsia" w:ascii="宋体" w:hAnsi="宋体" w:cs="宋体"/>
          <w:b/>
          <w:bCs/>
          <w:color w:val="auto"/>
          <w:sz w:val="24"/>
        </w:rPr>
        <w:t>（二）符合性审查</w:t>
      </w:r>
    </w:p>
    <w:p>
      <w:pPr>
        <w:pStyle w:val="10"/>
        <w:spacing w:line="360" w:lineRule="auto"/>
        <w:ind w:firstLine="480" w:firstLineChars="200"/>
        <w:jc w:val="both"/>
        <w:rPr>
          <w:rFonts w:ascii="宋体" w:hAnsi="宋体" w:cs="宋体"/>
          <w:color w:val="auto"/>
          <w:sz w:val="24"/>
        </w:rPr>
      </w:pPr>
      <w:r>
        <w:rPr>
          <w:rFonts w:hint="eastAsia" w:ascii="宋体" w:hAnsi="宋体" w:cs="宋体"/>
          <w:color w:val="auto"/>
          <w:sz w:val="24"/>
        </w:rPr>
        <w:t>评标委员会应当对符合资格的投标人的投标文件进行符合性审查，以确定其是否满足招标文件的实质性要求，对审查发现无效的进行必要的询标，在政采云平台公布无效投标的投标人名单、投标无效的原因。</w:t>
      </w:r>
    </w:p>
    <w:tbl>
      <w:tblPr>
        <w:tblStyle w:val="25"/>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6" w:hRule="atLeast"/>
          <w:jc w:val="center"/>
        </w:trPr>
        <w:tc>
          <w:tcPr>
            <w:tcW w:w="1702" w:type="dxa"/>
            <w:shd w:val="clear" w:color="auto" w:fill="auto"/>
            <w:vAlign w:val="center"/>
          </w:tcPr>
          <w:p>
            <w:pPr>
              <w:pStyle w:val="47"/>
              <w:ind w:right="146"/>
              <w:rPr>
                <w:color w:val="auto"/>
                <w:sz w:val="24"/>
              </w:rPr>
            </w:pPr>
            <w:r>
              <w:rPr>
                <w:rFonts w:hint="eastAsia"/>
                <w:color w:val="auto"/>
                <w:sz w:val="24"/>
              </w:rPr>
              <w:t>投标文件</w:t>
            </w:r>
          </w:p>
        </w:tc>
        <w:tc>
          <w:tcPr>
            <w:tcW w:w="7476" w:type="dxa"/>
            <w:shd w:val="clear" w:color="auto" w:fill="auto"/>
            <w:vAlign w:val="center"/>
          </w:tcPr>
          <w:p>
            <w:pPr>
              <w:pStyle w:val="47"/>
              <w:spacing w:before="48"/>
              <w:rPr>
                <w:color w:val="auto"/>
                <w:sz w:val="24"/>
              </w:rPr>
            </w:pPr>
            <w:r>
              <w:rPr>
                <w:rFonts w:hint="eastAsia"/>
                <w:color w:val="auto"/>
                <w:sz w:val="24"/>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1" w:hRule="atLeast"/>
          <w:jc w:val="center"/>
        </w:trPr>
        <w:tc>
          <w:tcPr>
            <w:tcW w:w="1702" w:type="dxa"/>
            <w:shd w:val="clear" w:color="auto" w:fill="auto"/>
            <w:vAlign w:val="center"/>
          </w:tcPr>
          <w:p>
            <w:pPr>
              <w:pStyle w:val="47"/>
              <w:ind w:right="146"/>
              <w:rPr>
                <w:color w:val="auto"/>
                <w:sz w:val="24"/>
              </w:rPr>
            </w:pPr>
            <w:r>
              <w:rPr>
                <w:rFonts w:hint="eastAsia"/>
                <w:color w:val="auto"/>
                <w:sz w:val="24"/>
              </w:rPr>
              <w:t>法定代表人/负责人资格证明书及授权委托书</w:t>
            </w:r>
          </w:p>
        </w:tc>
        <w:tc>
          <w:tcPr>
            <w:tcW w:w="7476" w:type="dxa"/>
            <w:shd w:val="clear" w:color="auto" w:fill="auto"/>
            <w:vAlign w:val="center"/>
          </w:tcPr>
          <w:p>
            <w:pPr>
              <w:pStyle w:val="47"/>
              <w:spacing w:before="48"/>
              <w:rPr>
                <w:color w:val="auto"/>
                <w:sz w:val="24"/>
              </w:rPr>
            </w:pPr>
            <w:r>
              <w:rPr>
                <w:rFonts w:hint="eastAsia"/>
                <w:color w:val="auto"/>
                <w:sz w:val="24"/>
              </w:rPr>
              <w:t>法定代表人/负责人资格证明书及授权委托书，按对应格式文件签署、盖章。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atLeast"/>
          <w:jc w:val="center"/>
        </w:trPr>
        <w:tc>
          <w:tcPr>
            <w:tcW w:w="1702" w:type="dxa"/>
            <w:shd w:val="clear" w:color="auto" w:fill="auto"/>
            <w:vAlign w:val="center"/>
          </w:tcPr>
          <w:p>
            <w:pPr>
              <w:pStyle w:val="47"/>
              <w:ind w:right="146"/>
              <w:rPr>
                <w:color w:val="auto"/>
                <w:sz w:val="24"/>
              </w:rPr>
            </w:pPr>
            <w:r>
              <w:rPr>
                <w:rFonts w:hint="eastAsia"/>
                <w:color w:val="auto"/>
                <w:sz w:val="24"/>
              </w:rPr>
              <w:t>“▲”实质性条款</w:t>
            </w:r>
          </w:p>
        </w:tc>
        <w:tc>
          <w:tcPr>
            <w:tcW w:w="7476" w:type="dxa"/>
            <w:shd w:val="clear" w:color="auto" w:fill="auto"/>
            <w:vAlign w:val="center"/>
          </w:tcPr>
          <w:p>
            <w:pPr>
              <w:pStyle w:val="47"/>
              <w:spacing w:before="48"/>
              <w:rPr>
                <w:color w:val="auto"/>
                <w:sz w:val="24"/>
              </w:rPr>
            </w:pPr>
            <w:r>
              <w:rPr>
                <w:rFonts w:hint="eastAsia"/>
                <w:color w:val="auto"/>
                <w:sz w:val="24"/>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atLeast"/>
          <w:jc w:val="center"/>
        </w:trPr>
        <w:tc>
          <w:tcPr>
            <w:tcW w:w="1702" w:type="dxa"/>
            <w:shd w:val="clear" w:color="auto" w:fill="auto"/>
            <w:vAlign w:val="center"/>
          </w:tcPr>
          <w:p>
            <w:pPr>
              <w:pStyle w:val="47"/>
              <w:ind w:right="146"/>
              <w:rPr>
                <w:color w:val="auto"/>
                <w:sz w:val="24"/>
              </w:rPr>
            </w:pPr>
            <w:r>
              <w:rPr>
                <w:rFonts w:hint="eastAsia"/>
                <w:color w:val="auto"/>
                <w:sz w:val="24"/>
              </w:rPr>
              <w:t>串通投标</w:t>
            </w:r>
          </w:p>
        </w:tc>
        <w:tc>
          <w:tcPr>
            <w:tcW w:w="7476" w:type="dxa"/>
            <w:shd w:val="clear" w:color="auto" w:fill="auto"/>
            <w:vAlign w:val="center"/>
          </w:tcPr>
          <w:p>
            <w:pPr>
              <w:pStyle w:val="47"/>
              <w:spacing w:before="48"/>
              <w:rPr>
                <w:color w:val="auto"/>
                <w:sz w:val="24"/>
              </w:rPr>
            </w:pPr>
            <w:r>
              <w:rPr>
                <w:rFonts w:hint="eastAsia"/>
                <w:color w:val="auto"/>
                <w:sz w:val="24"/>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atLeast"/>
          <w:jc w:val="center"/>
        </w:trPr>
        <w:tc>
          <w:tcPr>
            <w:tcW w:w="1702" w:type="dxa"/>
            <w:shd w:val="clear" w:color="auto" w:fill="auto"/>
            <w:vAlign w:val="center"/>
          </w:tcPr>
          <w:p>
            <w:pPr>
              <w:pStyle w:val="47"/>
              <w:ind w:right="146"/>
              <w:rPr>
                <w:color w:val="auto"/>
                <w:sz w:val="24"/>
              </w:rPr>
            </w:pPr>
            <w:r>
              <w:rPr>
                <w:rFonts w:hint="eastAsia"/>
                <w:color w:val="auto"/>
                <w:sz w:val="24"/>
              </w:rPr>
              <w:t>附加条件</w:t>
            </w:r>
          </w:p>
        </w:tc>
        <w:tc>
          <w:tcPr>
            <w:tcW w:w="7476" w:type="dxa"/>
            <w:shd w:val="clear" w:color="auto" w:fill="auto"/>
            <w:vAlign w:val="center"/>
          </w:tcPr>
          <w:p>
            <w:pPr>
              <w:pStyle w:val="47"/>
              <w:spacing w:before="48"/>
              <w:rPr>
                <w:color w:val="auto"/>
                <w:sz w:val="24"/>
              </w:rPr>
            </w:pPr>
            <w:r>
              <w:rPr>
                <w:rFonts w:hint="eastAsia"/>
                <w:color w:val="auto"/>
                <w:sz w:val="24"/>
              </w:rPr>
              <w:t>投标文件未含有采购人不可接受的附加条件。</w:t>
            </w:r>
          </w:p>
        </w:tc>
      </w:tr>
    </w:tbl>
    <w:p>
      <w:pPr>
        <w:pStyle w:val="20"/>
        <w:spacing w:before="0" w:beforeAutospacing="0" w:after="0" w:afterAutospacing="0" w:line="360" w:lineRule="auto"/>
        <w:ind w:firstLine="482" w:firstLineChars="200"/>
        <w:jc w:val="both"/>
        <w:rPr>
          <w:rFonts w:hint="default" w:cs="宋体"/>
          <w:b/>
          <w:bCs/>
          <w:color w:val="auto"/>
        </w:rPr>
      </w:pPr>
      <w:r>
        <w:rPr>
          <w:rFonts w:cs="宋体"/>
          <w:b/>
          <w:bCs/>
          <w:color w:val="auto"/>
        </w:rPr>
        <w:t>（三）商务技术及价格评审</w:t>
      </w:r>
    </w:p>
    <w:p>
      <w:pPr>
        <w:autoSpaceDE w:val="0"/>
        <w:autoSpaceDN w:val="0"/>
        <w:spacing w:line="360" w:lineRule="auto"/>
        <w:ind w:firstLine="480" w:firstLineChars="200"/>
        <w:rPr>
          <w:rFonts w:ascii="宋体" w:hAnsi="宋体" w:cs="宋体"/>
          <w:color w:val="auto"/>
          <w:sz w:val="24"/>
        </w:rPr>
      </w:pPr>
      <w:r>
        <w:rPr>
          <w:rFonts w:hint="eastAsia" w:ascii="宋体" w:hAnsi="宋体" w:cs="宋体"/>
          <w:color w:val="auto"/>
          <w:kern w:val="0"/>
          <w:sz w:val="24"/>
        </w:rPr>
        <w:t>本项目评标方法为综合评分法，总计100分，评标按以下标准及要求进行：</w:t>
      </w:r>
    </w:p>
    <w:p>
      <w:pPr>
        <w:autoSpaceDE w:val="0"/>
        <w:autoSpaceDN w:val="0"/>
        <w:adjustRightIn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1.评分标准</w:t>
      </w:r>
    </w:p>
    <w:tbl>
      <w:tblPr>
        <w:tblStyle w:val="25"/>
        <w:tblW w:w="9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7166"/>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4" w:type="dxa"/>
            <w:gridSpan w:val="3"/>
            <w:shd w:val="clear" w:color="auto" w:fill="BEBEBE"/>
            <w:vAlign w:val="center"/>
          </w:tcPr>
          <w:p>
            <w:pPr>
              <w:pStyle w:val="3"/>
              <w:spacing w:after="0"/>
              <w:ind w:left="0" w:leftChars="0"/>
              <w:rPr>
                <w:rFonts w:ascii="宋体" w:hAnsi="宋体" w:cs="宋体"/>
                <w:bCs/>
                <w:color w:val="auto"/>
                <w:sz w:val="24"/>
              </w:rPr>
            </w:pPr>
            <w:r>
              <w:rPr>
                <w:rFonts w:hint="eastAsia" w:ascii="宋体" w:hAnsi="宋体" w:cs="宋体"/>
                <w:b/>
                <w:bCs/>
                <w:color w:val="auto"/>
                <w:sz w:val="24"/>
              </w:rPr>
              <w:t>评分构成：技术部分60分；商务部分25分；价格部分15分。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shd w:val="clear" w:color="auto" w:fill="BEBEBE"/>
            <w:vAlign w:val="center"/>
          </w:tcPr>
          <w:p>
            <w:pPr>
              <w:pStyle w:val="3"/>
              <w:spacing w:after="0"/>
              <w:ind w:left="0" w:leftChars="0"/>
              <w:rPr>
                <w:rFonts w:ascii="宋体" w:hAnsi="宋体" w:cs="宋体"/>
                <w:bCs/>
                <w:color w:val="auto"/>
                <w:sz w:val="24"/>
              </w:rPr>
            </w:pPr>
            <w:r>
              <w:rPr>
                <w:rFonts w:hint="eastAsia" w:ascii="宋体" w:hAnsi="宋体" w:cs="宋体"/>
                <w:bCs/>
                <w:color w:val="auto"/>
                <w:sz w:val="24"/>
              </w:rPr>
              <w:t>评分项目</w:t>
            </w:r>
          </w:p>
        </w:tc>
        <w:tc>
          <w:tcPr>
            <w:tcW w:w="7166" w:type="dxa"/>
            <w:shd w:val="clear" w:color="auto" w:fill="BEBEBE"/>
            <w:vAlign w:val="center"/>
          </w:tcPr>
          <w:p>
            <w:pPr>
              <w:pStyle w:val="3"/>
              <w:spacing w:after="0"/>
              <w:ind w:left="0" w:leftChars="0"/>
              <w:rPr>
                <w:rFonts w:ascii="宋体" w:hAnsi="宋体" w:cs="宋体"/>
                <w:bCs/>
                <w:color w:val="auto"/>
                <w:sz w:val="24"/>
              </w:rPr>
            </w:pPr>
            <w:r>
              <w:rPr>
                <w:rFonts w:hint="eastAsia" w:ascii="宋体" w:hAnsi="宋体" w:cs="宋体"/>
                <w:bCs/>
                <w:color w:val="auto"/>
                <w:sz w:val="24"/>
              </w:rPr>
              <w:t>评分细则</w:t>
            </w:r>
          </w:p>
        </w:tc>
        <w:tc>
          <w:tcPr>
            <w:tcW w:w="847" w:type="dxa"/>
            <w:shd w:val="clear" w:color="auto" w:fill="BEBEBE"/>
            <w:vAlign w:val="center"/>
          </w:tcPr>
          <w:p>
            <w:pPr>
              <w:pStyle w:val="3"/>
              <w:spacing w:after="0"/>
              <w:ind w:left="0" w:leftChars="0"/>
              <w:rPr>
                <w:rFonts w:ascii="宋体" w:hAnsi="宋体" w:cs="宋体"/>
                <w:bCs/>
                <w:color w:val="auto"/>
                <w:sz w:val="24"/>
              </w:rPr>
            </w:pPr>
            <w:r>
              <w:rPr>
                <w:rFonts w:hint="eastAsia" w:ascii="宋体" w:hAnsi="宋体" w:cs="宋体"/>
                <w:bCs/>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技术部分</w:t>
            </w:r>
          </w:p>
          <w:p>
            <w:pPr>
              <w:pStyle w:val="3"/>
              <w:spacing w:after="0"/>
              <w:ind w:left="0" w:leftChars="0"/>
              <w:jc w:val="center"/>
              <w:rPr>
                <w:rFonts w:ascii="宋体" w:hAnsi="宋体" w:cs="宋体"/>
                <w:bCs/>
                <w:color w:val="auto"/>
                <w:sz w:val="24"/>
              </w:rPr>
            </w:pPr>
            <w:r>
              <w:rPr>
                <w:rFonts w:hint="eastAsia" w:ascii="宋体" w:hAnsi="宋体" w:cs="宋体"/>
                <w:bCs/>
                <w:color w:val="auto"/>
                <w:sz w:val="24"/>
              </w:rPr>
              <w:t>60分</w:t>
            </w:r>
          </w:p>
        </w:tc>
        <w:tc>
          <w:tcPr>
            <w:tcW w:w="7166" w:type="dxa"/>
            <w:vAlign w:val="center"/>
          </w:tcPr>
          <w:p>
            <w:pPr>
              <w:pStyle w:val="3"/>
              <w:spacing w:after="0"/>
              <w:ind w:left="0" w:leftChars="0"/>
              <w:jc w:val="left"/>
              <w:rPr>
                <w:rFonts w:ascii="宋体" w:hAnsi="宋体" w:cs="宋体"/>
                <w:b/>
                <w:color w:val="auto"/>
                <w:sz w:val="24"/>
                <w:lang w:val="zh-CN"/>
              </w:rPr>
            </w:pPr>
            <w:r>
              <w:rPr>
                <w:rFonts w:hint="eastAsia" w:ascii="宋体" w:hAnsi="宋体" w:cs="宋体"/>
                <w:b/>
                <w:color w:val="auto"/>
                <w:sz w:val="24"/>
                <w:lang w:val="zh-CN"/>
              </w:rPr>
              <w:t>项目需求理解情况：</w:t>
            </w:r>
          </w:p>
          <w:p>
            <w:pPr>
              <w:pStyle w:val="3"/>
              <w:numPr>
                <w:ilvl w:val="0"/>
                <w:numId w:val="24"/>
              </w:numPr>
              <w:spacing w:after="0"/>
              <w:ind w:left="0" w:leftChars="0"/>
              <w:jc w:val="left"/>
              <w:rPr>
                <w:rFonts w:ascii="宋体" w:hAnsi="宋体" w:cs="宋体"/>
                <w:bCs/>
                <w:color w:val="auto"/>
                <w:sz w:val="24"/>
                <w:lang w:val="zh-CN"/>
              </w:rPr>
            </w:pPr>
            <w:r>
              <w:rPr>
                <w:rFonts w:hint="eastAsia" w:ascii="宋体" w:hAnsi="宋体" w:cs="宋体"/>
                <w:bCs/>
                <w:color w:val="auto"/>
                <w:sz w:val="24"/>
                <w:lang w:val="zh-CN"/>
              </w:rPr>
              <w:t>对台州市公共数据资源目录管理平台架构功能、运行机制的深入理解情况。能深入准确阐述的得4-3分，能基本阐述的得2.5-1.5分，能简单阐述的得1-0分。</w:t>
            </w:r>
          </w:p>
          <w:p>
            <w:pPr>
              <w:pStyle w:val="3"/>
              <w:numPr>
                <w:ilvl w:val="0"/>
                <w:numId w:val="24"/>
              </w:numPr>
              <w:spacing w:after="0"/>
              <w:ind w:left="0" w:leftChars="0"/>
              <w:jc w:val="left"/>
              <w:rPr>
                <w:rFonts w:ascii="宋体" w:hAnsi="宋体" w:cs="宋体"/>
                <w:bCs/>
                <w:color w:val="auto"/>
                <w:sz w:val="24"/>
              </w:rPr>
            </w:pPr>
            <w:r>
              <w:rPr>
                <w:rFonts w:hint="eastAsia" w:ascii="宋体" w:hAnsi="宋体" w:cs="宋体"/>
                <w:bCs/>
                <w:color w:val="auto"/>
                <w:sz w:val="24"/>
                <w:lang w:val="zh-CN"/>
              </w:rPr>
              <w:t>对台州市公共数据治理平台、公共数据共享平台、公共数据开放架构功能、运行机制的深入理解情况。能深入准确阐述的得</w:t>
            </w:r>
            <w:r>
              <w:rPr>
                <w:rFonts w:hint="eastAsia" w:ascii="宋体" w:hAnsi="宋体" w:cs="宋体"/>
                <w:bCs/>
                <w:color w:val="auto"/>
                <w:sz w:val="24"/>
              </w:rPr>
              <w:t>5</w:t>
            </w:r>
            <w:r>
              <w:rPr>
                <w:rFonts w:hint="eastAsia" w:ascii="宋体" w:hAnsi="宋体" w:cs="宋体"/>
                <w:bCs/>
                <w:color w:val="auto"/>
                <w:sz w:val="24"/>
                <w:lang w:val="zh-CN"/>
              </w:rPr>
              <w:t>-</w:t>
            </w:r>
            <w:r>
              <w:rPr>
                <w:rFonts w:hint="eastAsia" w:ascii="宋体" w:hAnsi="宋体" w:cs="宋体"/>
                <w:bCs/>
                <w:color w:val="auto"/>
                <w:sz w:val="24"/>
              </w:rPr>
              <w:t>4</w:t>
            </w:r>
            <w:r>
              <w:rPr>
                <w:rFonts w:hint="eastAsia" w:ascii="宋体" w:hAnsi="宋体" w:cs="宋体"/>
                <w:bCs/>
                <w:color w:val="auto"/>
                <w:sz w:val="24"/>
                <w:lang w:val="zh-CN"/>
              </w:rPr>
              <w:t>分，能基本阐述的得</w:t>
            </w:r>
            <w:r>
              <w:rPr>
                <w:rFonts w:hint="eastAsia" w:ascii="宋体" w:hAnsi="宋体" w:cs="宋体"/>
                <w:bCs/>
                <w:color w:val="auto"/>
                <w:sz w:val="24"/>
              </w:rPr>
              <w:t>3</w:t>
            </w:r>
            <w:r>
              <w:rPr>
                <w:rFonts w:hint="eastAsia" w:ascii="宋体" w:hAnsi="宋体" w:cs="宋体"/>
                <w:bCs/>
                <w:color w:val="auto"/>
                <w:sz w:val="24"/>
                <w:lang w:val="zh-CN"/>
              </w:rPr>
              <w:t>-</w:t>
            </w:r>
            <w:r>
              <w:rPr>
                <w:rFonts w:hint="eastAsia" w:ascii="宋体" w:hAnsi="宋体" w:cs="宋体"/>
                <w:bCs/>
                <w:color w:val="auto"/>
                <w:sz w:val="24"/>
              </w:rPr>
              <w:t>2</w:t>
            </w:r>
            <w:r>
              <w:rPr>
                <w:rFonts w:hint="eastAsia" w:ascii="宋体" w:hAnsi="宋体" w:cs="宋体"/>
                <w:bCs/>
                <w:color w:val="auto"/>
                <w:sz w:val="24"/>
                <w:lang w:val="zh-CN"/>
              </w:rPr>
              <w:t>分，能简单阐述的得</w:t>
            </w:r>
            <w:r>
              <w:rPr>
                <w:rFonts w:hint="eastAsia" w:ascii="宋体" w:hAnsi="宋体" w:cs="宋体"/>
                <w:bCs/>
                <w:color w:val="auto"/>
                <w:sz w:val="24"/>
              </w:rPr>
              <w:t>1</w:t>
            </w:r>
            <w:r>
              <w:rPr>
                <w:rFonts w:hint="eastAsia" w:ascii="宋体" w:hAnsi="宋体" w:cs="宋体"/>
                <w:bCs/>
                <w:color w:val="auto"/>
                <w:sz w:val="24"/>
                <w:lang w:val="zh-CN"/>
              </w:rPr>
              <w:t>-0分。</w:t>
            </w:r>
          </w:p>
          <w:p>
            <w:pPr>
              <w:pStyle w:val="3"/>
              <w:numPr>
                <w:ilvl w:val="0"/>
                <w:numId w:val="24"/>
              </w:numPr>
              <w:spacing w:after="0"/>
              <w:ind w:left="0" w:leftChars="0"/>
              <w:jc w:val="left"/>
              <w:rPr>
                <w:rFonts w:ascii="宋体" w:hAnsi="宋体" w:cs="宋体"/>
                <w:bCs/>
                <w:color w:val="auto"/>
                <w:sz w:val="24"/>
              </w:rPr>
            </w:pPr>
            <w:r>
              <w:rPr>
                <w:rFonts w:hint="eastAsia" w:ascii="宋体" w:hAnsi="宋体" w:cs="宋体"/>
                <w:bCs/>
                <w:color w:val="auto"/>
                <w:sz w:val="24"/>
                <w:lang w:val="zh-CN"/>
              </w:rPr>
              <w:t>对台州市公共数据数据安全监管架构功能、运行机制的深入理解情况。能深入准确阐述的得4-3分，能基本阐述的得2.5-1.5分，能简单阐述的得1-0分。</w:t>
            </w:r>
          </w:p>
        </w:tc>
        <w:tc>
          <w:tcPr>
            <w:tcW w:w="847" w:type="dxa"/>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13</w:t>
            </w:r>
            <w:r>
              <w:rPr>
                <w:rFonts w:hint="eastAsia" w:ascii="宋体" w:hAnsi="宋体" w:cs="宋体"/>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pStyle w:val="3"/>
              <w:spacing w:after="0"/>
              <w:ind w:left="0" w:leftChars="0"/>
              <w:jc w:val="center"/>
              <w:rPr>
                <w:rFonts w:ascii="宋体" w:hAnsi="宋体" w:cs="宋体"/>
                <w:bCs/>
                <w:color w:val="auto"/>
                <w:sz w:val="24"/>
              </w:rPr>
            </w:pPr>
          </w:p>
        </w:tc>
        <w:tc>
          <w:tcPr>
            <w:tcW w:w="7166" w:type="dxa"/>
            <w:vAlign w:val="center"/>
          </w:tcPr>
          <w:p>
            <w:pPr>
              <w:pStyle w:val="3"/>
              <w:spacing w:after="0"/>
              <w:ind w:left="0" w:leftChars="0"/>
              <w:jc w:val="left"/>
              <w:rPr>
                <w:rFonts w:ascii="宋体" w:hAnsi="宋体" w:cs="宋体"/>
                <w:b/>
                <w:color w:val="auto"/>
                <w:sz w:val="24"/>
                <w:lang w:val="zh-CN"/>
              </w:rPr>
            </w:pPr>
            <w:r>
              <w:rPr>
                <w:rFonts w:hint="eastAsia" w:ascii="宋体" w:hAnsi="宋体" w:cs="宋体"/>
                <w:b/>
                <w:color w:val="auto"/>
                <w:sz w:val="24"/>
                <w:lang w:val="zh-CN"/>
              </w:rPr>
              <w:t>项目重难点：</w:t>
            </w:r>
          </w:p>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rPr>
              <w:t>1.对公共数据元标准规范的理解，如何实现公共数据“一数一源一标准”治理。提交方案且确实可行的得2-1分；方案过于空泛、可行性不强或思路不清晰的得0.9-0分。</w:t>
            </w:r>
          </w:p>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rPr>
              <w:t>2.在数据授权系统建设过程中，如何实现受限开放数据的可用不可见。提交方案且确实可行的得2-1分；方案过于空泛、可行性不强或思路不清晰的得0.9-0分。</w:t>
            </w:r>
          </w:p>
          <w:p>
            <w:pPr>
              <w:pStyle w:val="3"/>
              <w:spacing w:after="0"/>
              <w:ind w:left="0" w:leftChars="0"/>
              <w:jc w:val="left"/>
              <w:rPr>
                <w:rFonts w:ascii="宋体" w:hAnsi="宋体" w:cs="宋体"/>
                <w:bCs/>
                <w:color w:val="auto"/>
                <w:sz w:val="24"/>
              </w:rPr>
            </w:pPr>
            <w:r>
              <w:rPr>
                <w:rFonts w:hint="eastAsia" w:ascii="宋体" w:hAnsi="宋体" w:cs="宋体"/>
                <w:bCs/>
                <w:color w:val="auto"/>
                <w:sz w:val="24"/>
              </w:rPr>
              <w:t>3.在公共数据平台与</w:t>
            </w:r>
            <w:r>
              <w:rPr>
                <w:rFonts w:ascii="宋体" w:hAnsi="宋体" w:cs="宋体"/>
                <w:bCs/>
                <w:color w:val="auto"/>
                <w:sz w:val="24"/>
              </w:rPr>
              <w:t>IRS</w:t>
            </w:r>
            <w:r>
              <w:rPr>
                <w:rFonts w:hint="eastAsia" w:ascii="宋体" w:hAnsi="宋体" w:cs="宋体"/>
                <w:bCs/>
                <w:color w:val="auto"/>
                <w:sz w:val="24"/>
              </w:rPr>
              <w:t>的对接过程中，如何实现批量数据、接口数据和数据导出的申请工单对接。提交方案且确实可行的得2-1分；方案过于空泛、可行性不强或思路不清晰的得0.9-0分。</w:t>
            </w:r>
          </w:p>
        </w:tc>
        <w:tc>
          <w:tcPr>
            <w:tcW w:w="847" w:type="dxa"/>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6</w:t>
            </w:r>
            <w:r>
              <w:rPr>
                <w:rFonts w:hint="eastAsia" w:ascii="宋体" w:hAnsi="宋体" w:cs="宋体"/>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pStyle w:val="3"/>
              <w:spacing w:after="0"/>
              <w:ind w:left="0" w:leftChars="0"/>
              <w:jc w:val="center"/>
              <w:rPr>
                <w:rFonts w:ascii="宋体" w:hAnsi="宋体" w:cs="宋体"/>
                <w:bCs/>
                <w:color w:val="auto"/>
                <w:sz w:val="24"/>
              </w:rPr>
            </w:pPr>
          </w:p>
        </w:tc>
        <w:tc>
          <w:tcPr>
            <w:tcW w:w="7166" w:type="dxa"/>
            <w:vAlign w:val="center"/>
          </w:tcPr>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lang w:val="zh-CN"/>
              </w:rPr>
              <w:t>对照招标文件需求，详细阐述</w:t>
            </w:r>
            <w:r>
              <w:rPr>
                <w:rFonts w:hint="eastAsia" w:ascii="宋体" w:hAnsi="宋体" w:cs="宋体"/>
                <w:b/>
                <w:color w:val="auto"/>
                <w:sz w:val="24"/>
              </w:rPr>
              <w:t>公共数据基础域</w:t>
            </w:r>
            <w:r>
              <w:rPr>
                <w:rFonts w:hint="eastAsia" w:ascii="宋体" w:hAnsi="宋体" w:cs="宋体"/>
                <w:b/>
                <w:color w:val="auto"/>
                <w:sz w:val="24"/>
                <w:lang w:val="zh-CN"/>
              </w:rPr>
              <w:t>方案</w:t>
            </w:r>
            <w:r>
              <w:rPr>
                <w:rFonts w:hint="eastAsia" w:ascii="宋体" w:hAnsi="宋体" w:cs="宋体"/>
                <w:bCs/>
                <w:color w:val="auto"/>
                <w:sz w:val="24"/>
                <w:lang w:val="zh-CN"/>
              </w:rPr>
              <w:t>。方案描述清晰，针对性强，内容详细，且确实可行的得</w:t>
            </w:r>
            <w:r>
              <w:rPr>
                <w:rFonts w:hint="eastAsia" w:ascii="宋体" w:hAnsi="宋体" w:cs="宋体"/>
                <w:bCs/>
                <w:color w:val="auto"/>
                <w:sz w:val="24"/>
              </w:rPr>
              <w:t>5</w:t>
            </w:r>
            <w:r>
              <w:rPr>
                <w:rFonts w:hint="eastAsia" w:ascii="宋体" w:hAnsi="宋体" w:cs="宋体"/>
                <w:bCs/>
                <w:color w:val="auto"/>
                <w:sz w:val="24"/>
                <w:lang w:val="zh-CN"/>
              </w:rPr>
              <w:t>-</w:t>
            </w:r>
            <w:r>
              <w:rPr>
                <w:rFonts w:hint="eastAsia" w:ascii="宋体" w:hAnsi="宋体" w:cs="宋体"/>
                <w:bCs/>
                <w:color w:val="auto"/>
                <w:sz w:val="24"/>
              </w:rPr>
              <w:t>4</w:t>
            </w:r>
            <w:r>
              <w:rPr>
                <w:rFonts w:hint="eastAsia" w:ascii="宋体" w:hAnsi="宋体" w:cs="宋体"/>
                <w:bCs/>
                <w:color w:val="auto"/>
                <w:sz w:val="24"/>
                <w:lang w:val="zh-CN"/>
              </w:rPr>
              <w:t>分；方案描述基本清晰，内容比较齐全，但过于空泛，可行性不强的得</w:t>
            </w:r>
            <w:r>
              <w:rPr>
                <w:rFonts w:hint="eastAsia" w:ascii="宋体" w:hAnsi="宋体" w:cs="宋体"/>
                <w:bCs/>
                <w:color w:val="auto"/>
                <w:sz w:val="24"/>
              </w:rPr>
              <w:t>3</w:t>
            </w:r>
            <w:r>
              <w:rPr>
                <w:rFonts w:hint="eastAsia" w:ascii="宋体" w:hAnsi="宋体" w:cs="宋体"/>
                <w:bCs/>
                <w:color w:val="auto"/>
                <w:sz w:val="24"/>
                <w:lang w:val="zh-CN"/>
              </w:rPr>
              <w:t>-2分；方案有缺失，内容简单，思路不清晰的得1-0分。不提供不得分。</w:t>
            </w:r>
          </w:p>
        </w:tc>
        <w:tc>
          <w:tcPr>
            <w:tcW w:w="847" w:type="dxa"/>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5</w:t>
            </w:r>
            <w:r>
              <w:rPr>
                <w:rFonts w:hint="eastAsia" w:ascii="宋体" w:hAnsi="宋体" w:cs="宋体"/>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pStyle w:val="3"/>
              <w:spacing w:after="0"/>
              <w:ind w:left="0" w:leftChars="0"/>
              <w:jc w:val="center"/>
              <w:rPr>
                <w:rFonts w:ascii="宋体" w:hAnsi="宋体" w:cs="宋体"/>
                <w:bCs/>
                <w:color w:val="auto"/>
                <w:sz w:val="24"/>
              </w:rPr>
            </w:pPr>
          </w:p>
        </w:tc>
        <w:tc>
          <w:tcPr>
            <w:tcW w:w="7166" w:type="dxa"/>
            <w:vAlign w:val="center"/>
          </w:tcPr>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lang w:val="zh-CN"/>
              </w:rPr>
              <w:t>对照招标文件需求，详细阐述</w:t>
            </w:r>
            <w:r>
              <w:rPr>
                <w:rFonts w:hint="eastAsia" w:ascii="宋体" w:hAnsi="宋体" w:cs="宋体"/>
                <w:b/>
                <w:color w:val="auto"/>
                <w:sz w:val="24"/>
              </w:rPr>
              <w:t>公共数据共享域</w:t>
            </w:r>
            <w:r>
              <w:rPr>
                <w:rFonts w:hint="eastAsia" w:ascii="宋体" w:hAnsi="宋体" w:cs="宋体"/>
                <w:b/>
                <w:color w:val="auto"/>
                <w:sz w:val="24"/>
                <w:lang w:val="zh-CN"/>
              </w:rPr>
              <w:t>方案</w:t>
            </w:r>
            <w:r>
              <w:rPr>
                <w:rFonts w:hint="eastAsia" w:ascii="宋体" w:hAnsi="宋体" w:cs="宋体"/>
                <w:bCs/>
                <w:color w:val="auto"/>
                <w:sz w:val="24"/>
                <w:lang w:val="zh-CN"/>
              </w:rPr>
              <w:t>，方案描述清晰，针对性强，内容详细，且确实可行的得</w:t>
            </w:r>
            <w:r>
              <w:rPr>
                <w:rFonts w:hint="eastAsia" w:ascii="宋体" w:hAnsi="宋体" w:cs="宋体"/>
                <w:bCs/>
                <w:color w:val="auto"/>
                <w:sz w:val="24"/>
              </w:rPr>
              <w:t>5</w:t>
            </w:r>
            <w:r>
              <w:rPr>
                <w:rFonts w:hint="eastAsia" w:ascii="宋体" w:hAnsi="宋体" w:cs="宋体"/>
                <w:bCs/>
                <w:color w:val="auto"/>
                <w:sz w:val="24"/>
                <w:lang w:val="zh-CN"/>
              </w:rPr>
              <w:t>-</w:t>
            </w:r>
            <w:r>
              <w:rPr>
                <w:rFonts w:hint="eastAsia" w:ascii="宋体" w:hAnsi="宋体" w:cs="宋体"/>
                <w:bCs/>
                <w:color w:val="auto"/>
                <w:sz w:val="24"/>
              </w:rPr>
              <w:t>4</w:t>
            </w:r>
            <w:r>
              <w:rPr>
                <w:rFonts w:hint="eastAsia" w:ascii="宋体" w:hAnsi="宋体" w:cs="宋体"/>
                <w:bCs/>
                <w:color w:val="auto"/>
                <w:sz w:val="24"/>
                <w:lang w:val="zh-CN"/>
              </w:rPr>
              <w:t>分；方案描述基本清晰，内容比较齐全，但过于空泛，可行性不强的得</w:t>
            </w:r>
            <w:r>
              <w:rPr>
                <w:rFonts w:hint="eastAsia" w:ascii="宋体" w:hAnsi="宋体" w:cs="宋体"/>
                <w:bCs/>
                <w:color w:val="auto"/>
                <w:sz w:val="24"/>
              </w:rPr>
              <w:t>3</w:t>
            </w:r>
            <w:r>
              <w:rPr>
                <w:rFonts w:hint="eastAsia" w:ascii="宋体" w:hAnsi="宋体" w:cs="宋体"/>
                <w:bCs/>
                <w:color w:val="auto"/>
                <w:sz w:val="24"/>
                <w:lang w:val="zh-CN"/>
              </w:rPr>
              <w:t>-2分；方案有缺失，内容简单，思路不清晰的得1-0分。不提供不得分。</w:t>
            </w:r>
          </w:p>
        </w:tc>
        <w:tc>
          <w:tcPr>
            <w:tcW w:w="847" w:type="dxa"/>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5</w:t>
            </w:r>
            <w:r>
              <w:rPr>
                <w:rFonts w:hint="eastAsia" w:ascii="宋体" w:hAnsi="宋体" w:cs="宋体"/>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pStyle w:val="3"/>
              <w:spacing w:after="0"/>
              <w:ind w:left="0" w:leftChars="0"/>
              <w:jc w:val="center"/>
              <w:rPr>
                <w:rFonts w:ascii="宋体" w:hAnsi="宋体" w:cs="宋体"/>
                <w:bCs/>
                <w:color w:val="auto"/>
                <w:sz w:val="24"/>
              </w:rPr>
            </w:pPr>
          </w:p>
        </w:tc>
        <w:tc>
          <w:tcPr>
            <w:tcW w:w="7166" w:type="dxa"/>
            <w:vAlign w:val="center"/>
          </w:tcPr>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lang w:val="zh-CN"/>
              </w:rPr>
              <w:t>对照招标文件需求，详细阐述</w:t>
            </w:r>
            <w:r>
              <w:rPr>
                <w:rFonts w:hint="eastAsia" w:ascii="宋体" w:hAnsi="宋体" w:cs="宋体"/>
                <w:b/>
                <w:color w:val="auto"/>
                <w:sz w:val="24"/>
                <w:lang w:val="zh-CN"/>
              </w:rPr>
              <w:t>公共数据开放域方案</w:t>
            </w:r>
            <w:r>
              <w:rPr>
                <w:rFonts w:hint="eastAsia" w:ascii="宋体" w:hAnsi="宋体" w:cs="宋体"/>
                <w:bCs/>
                <w:color w:val="auto"/>
                <w:sz w:val="24"/>
                <w:lang w:val="zh-CN"/>
              </w:rPr>
              <w:t>，方案描述清晰，针对性强，内容详细，且确实可行的得</w:t>
            </w:r>
            <w:r>
              <w:rPr>
                <w:rFonts w:hint="eastAsia" w:ascii="宋体" w:hAnsi="宋体" w:cs="宋体"/>
                <w:bCs/>
                <w:color w:val="auto"/>
                <w:sz w:val="24"/>
              </w:rPr>
              <w:t>5</w:t>
            </w:r>
            <w:r>
              <w:rPr>
                <w:rFonts w:hint="eastAsia" w:ascii="宋体" w:hAnsi="宋体" w:cs="宋体"/>
                <w:bCs/>
                <w:color w:val="auto"/>
                <w:sz w:val="24"/>
                <w:lang w:val="zh-CN"/>
              </w:rPr>
              <w:t>-</w:t>
            </w:r>
            <w:r>
              <w:rPr>
                <w:rFonts w:hint="eastAsia" w:ascii="宋体" w:hAnsi="宋体" w:cs="宋体"/>
                <w:bCs/>
                <w:color w:val="auto"/>
                <w:sz w:val="24"/>
              </w:rPr>
              <w:t>4</w:t>
            </w:r>
            <w:r>
              <w:rPr>
                <w:rFonts w:hint="eastAsia" w:ascii="宋体" w:hAnsi="宋体" w:cs="宋体"/>
                <w:bCs/>
                <w:color w:val="auto"/>
                <w:sz w:val="24"/>
                <w:lang w:val="zh-CN"/>
              </w:rPr>
              <w:t>分；方案描述基本清晰，内容比较齐全，但过于空泛，可行性不强的得</w:t>
            </w:r>
            <w:r>
              <w:rPr>
                <w:rFonts w:hint="eastAsia" w:ascii="宋体" w:hAnsi="宋体" w:cs="宋体"/>
                <w:bCs/>
                <w:color w:val="auto"/>
                <w:sz w:val="24"/>
              </w:rPr>
              <w:t>3</w:t>
            </w:r>
            <w:r>
              <w:rPr>
                <w:rFonts w:hint="eastAsia" w:ascii="宋体" w:hAnsi="宋体" w:cs="宋体"/>
                <w:bCs/>
                <w:color w:val="auto"/>
                <w:sz w:val="24"/>
                <w:lang w:val="zh-CN"/>
              </w:rPr>
              <w:t>-2分；方案有缺失，内容简单，思路不清晰的得1-0分。不提供不得分。</w:t>
            </w:r>
          </w:p>
        </w:tc>
        <w:tc>
          <w:tcPr>
            <w:tcW w:w="847" w:type="dxa"/>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5</w:t>
            </w:r>
            <w:r>
              <w:rPr>
                <w:rFonts w:hint="eastAsia" w:ascii="宋体" w:hAnsi="宋体" w:cs="宋体"/>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pStyle w:val="3"/>
              <w:spacing w:after="0"/>
              <w:ind w:left="0" w:leftChars="0"/>
              <w:jc w:val="center"/>
              <w:rPr>
                <w:rFonts w:ascii="宋体" w:hAnsi="宋体" w:cs="宋体"/>
                <w:bCs/>
                <w:color w:val="auto"/>
                <w:sz w:val="24"/>
              </w:rPr>
            </w:pPr>
          </w:p>
        </w:tc>
        <w:tc>
          <w:tcPr>
            <w:tcW w:w="7166" w:type="dxa"/>
            <w:vAlign w:val="center"/>
          </w:tcPr>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lang w:val="zh-CN"/>
              </w:rPr>
              <w:t>对照招标文件需求，详细阐述</w:t>
            </w:r>
            <w:r>
              <w:rPr>
                <w:rFonts w:hint="eastAsia" w:ascii="宋体" w:hAnsi="宋体" w:cs="宋体"/>
                <w:b/>
                <w:color w:val="auto"/>
                <w:sz w:val="24"/>
                <w:lang w:val="zh-CN"/>
              </w:rPr>
              <w:t>公共数据安全域方案</w:t>
            </w:r>
            <w:r>
              <w:rPr>
                <w:rFonts w:hint="eastAsia" w:ascii="宋体" w:hAnsi="宋体" w:cs="宋体"/>
                <w:bCs/>
                <w:color w:val="auto"/>
                <w:sz w:val="24"/>
                <w:lang w:val="zh-CN"/>
              </w:rPr>
              <w:t>，方案描述清晰，针对性强，内容详细，且确实可行的得</w:t>
            </w:r>
            <w:r>
              <w:rPr>
                <w:rFonts w:hint="eastAsia" w:ascii="宋体" w:hAnsi="宋体" w:cs="宋体"/>
                <w:bCs/>
                <w:color w:val="auto"/>
                <w:sz w:val="24"/>
              </w:rPr>
              <w:t>5</w:t>
            </w:r>
            <w:r>
              <w:rPr>
                <w:rFonts w:hint="eastAsia" w:ascii="宋体" w:hAnsi="宋体" w:cs="宋体"/>
                <w:bCs/>
                <w:color w:val="auto"/>
                <w:sz w:val="24"/>
                <w:lang w:val="zh-CN"/>
              </w:rPr>
              <w:t>-</w:t>
            </w:r>
            <w:r>
              <w:rPr>
                <w:rFonts w:hint="eastAsia" w:ascii="宋体" w:hAnsi="宋体" w:cs="宋体"/>
                <w:bCs/>
                <w:color w:val="auto"/>
                <w:sz w:val="24"/>
              </w:rPr>
              <w:t>4</w:t>
            </w:r>
            <w:r>
              <w:rPr>
                <w:rFonts w:hint="eastAsia" w:ascii="宋体" w:hAnsi="宋体" w:cs="宋体"/>
                <w:bCs/>
                <w:color w:val="auto"/>
                <w:sz w:val="24"/>
                <w:lang w:val="zh-CN"/>
              </w:rPr>
              <w:t>分；方案描述基本清晰，内容比较齐全，但过于空泛，可行性不强的得</w:t>
            </w:r>
            <w:r>
              <w:rPr>
                <w:rFonts w:hint="eastAsia" w:ascii="宋体" w:hAnsi="宋体" w:cs="宋体"/>
                <w:bCs/>
                <w:color w:val="auto"/>
                <w:sz w:val="24"/>
              </w:rPr>
              <w:t>3</w:t>
            </w:r>
            <w:r>
              <w:rPr>
                <w:rFonts w:hint="eastAsia" w:ascii="宋体" w:hAnsi="宋体" w:cs="宋体"/>
                <w:bCs/>
                <w:color w:val="auto"/>
                <w:sz w:val="24"/>
                <w:lang w:val="zh-CN"/>
              </w:rPr>
              <w:t>-2分；方案有缺失，内容简单，思路不清晰的得1-0分。不提供不得分。</w:t>
            </w:r>
          </w:p>
        </w:tc>
        <w:tc>
          <w:tcPr>
            <w:tcW w:w="847" w:type="dxa"/>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5</w:t>
            </w:r>
            <w:r>
              <w:rPr>
                <w:rFonts w:hint="eastAsia" w:ascii="宋体" w:hAnsi="宋体" w:cs="宋体"/>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pStyle w:val="3"/>
              <w:spacing w:after="0"/>
              <w:ind w:left="0" w:leftChars="0"/>
              <w:jc w:val="center"/>
              <w:rPr>
                <w:rFonts w:ascii="宋体" w:hAnsi="宋体" w:cs="宋体"/>
                <w:bCs/>
                <w:color w:val="auto"/>
                <w:sz w:val="24"/>
              </w:rPr>
            </w:pPr>
          </w:p>
        </w:tc>
        <w:tc>
          <w:tcPr>
            <w:tcW w:w="7166" w:type="dxa"/>
            <w:vAlign w:val="center"/>
          </w:tcPr>
          <w:p>
            <w:pPr>
              <w:pStyle w:val="3"/>
              <w:spacing w:after="0"/>
              <w:ind w:left="0" w:leftChars="0"/>
              <w:jc w:val="left"/>
              <w:rPr>
                <w:rFonts w:ascii="宋体" w:hAnsi="宋体" w:cs="宋体"/>
                <w:bCs/>
                <w:color w:val="auto"/>
                <w:sz w:val="24"/>
              </w:rPr>
            </w:pPr>
            <w:r>
              <w:rPr>
                <w:rFonts w:hint="eastAsia" w:ascii="宋体" w:hAnsi="宋体" w:cs="宋体"/>
                <w:bCs/>
                <w:color w:val="auto"/>
                <w:sz w:val="24"/>
                <w:lang w:val="zh-CN"/>
              </w:rPr>
              <w:t>对照招标文件需求，详细阐述</w:t>
            </w:r>
            <w:r>
              <w:rPr>
                <w:rFonts w:hint="eastAsia" w:ascii="宋体" w:hAnsi="宋体" w:cs="宋体"/>
                <w:b/>
                <w:color w:val="auto"/>
                <w:sz w:val="24"/>
                <w:lang w:val="zh-CN"/>
              </w:rPr>
              <w:t>数据N仓方案</w:t>
            </w:r>
            <w:r>
              <w:rPr>
                <w:rFonts w:hint="eastAsia" w:ascii="宋体" w:hAnsi="宋体" w:cs="宋体"/>
                <w:bCs/>
                <w:color w:val="auto"/>
                <w:sz w:val="24"/>
                <w:lang w:val="zh-CN"/>
              </w:rPr>
              <w:t>，方案描述清晰，针对性强，内容详细，且确实可行的得</w:t>
            </w:r>
            <w:r>
              <w:rPr>
                <w:rFonts w:hint="eastAsia" w:ascii="宋体" w:hAnsi="宋体" w:cs="宋体"/>
                <w:bCs/>
                <w:color w:val="auto"/>
                <w:sz w:val="24"/>
              </w:rPr>
              <w:t>5</w:t>
            </w:r>
            <w:r>
              <w:rPr>
                <w:rFonts w:hint="eastAsia" w:ascii="宋体" w:hAnsi="宋体" w:cs="宋体"/>
                <w:bCs/>
                <w:color w:val="auto"/>
                <w:sz w:val="24"/>
                <w:lang w:val="zh-CN"/>
              </w:rPr>
              <w:t>-</w:t>
            </w:r>
            <w:r>
              <w:rPr>
                <w:rFonts w:hint="eastAsia" w:ascii="宋体" w:hAnsi="宋体" w:cs="宋体"/>
                <w:bCs/>
                <w:color w:val="auto"/>
                <w:sz w:val="24"/>
              </w:rPr>
              <w:t>4</w:t>
            </w:r>
            <w:r>
              <w:rPr>
                <w:rFonts w:hint="eastAsia" w:ascii="宋体" w:hAnsi="宋体" w:cs="宋体"/>
                <w:bCs/>
                <w:color w:val="auto"/>
                <w:sz w:val="24"/>
                <w:lang w:val="zh-CN"/>
              </w:rPr>
              <w:t>分；方案描述基本清晰，内容比较齐全，但过于空泛，可行性不强的得</w:t>
            </w:r>
            <w:r>
              <w:rPr>
                <w:rFonts w:hint="eastAsia" w:ascii="宋体" w:hAnsi="宋体" w:cs="宋体"/>
                <w:bCs/>
                <w:color w:val="auto"/>
                <w:sz w:val="24"/>
              </w:rPr>
              <w:t>3</w:t>
            </w:r>
            <w:r>
              <w:rPr>
                <w:rFonts w:hint="eastAsia" w:ascii="宋体" w:hAnsi="宋体" w:cs="宋体"/>
                <w:bCs/>
                <w:color w:val="auto"/>
                <w:sz w:val="24"/>
                <w:lang w:val="zh-CN"/>
              </w:rPr>
              <w:t>-2分；方案有缺失，内容简单，思路不清晰的得1-0分。不提供不得分。</w:t>
            </w:r>
          </w:p>
        </w:tc>
        <w:tc>
          <w:tcPr>
            <w:tcW w:w="847" w:type="dxa"/>
            <w:vAlign w:val="center"/>
          </w:tcPr>
          <w:p>
            <w:pPr>
              <w:pStyle w:val="3"/>
              <w:spacing w:after="0"/>
              <w:ind w:left="0" w:leftChars="0"/>
              <w:jc w:val="center"/>
              <w:rPr>
                <w:rFonts w:ascii="宋体" w:hAnsi="宋体" w:cs="宋体"/>
                <w:bCs/>
                <w:color w:val="auto"/>
                <w:sz w:val="24"/>
                <w:lang w:val="zh-CN"/>
              </w:rPr>
            </w:pPr>
            <w:r>
              <w:rPr>
                <w:rFonts w:hint="eastAsia" w:ascii="宋体" w:hAnsi="宋体" w:cs="宋体"/>
                <w:bCs/>
                <w:color w:val="auto"/>
                <w:sz w:val="24"/>
              </w:rPr>
              <w:t>5</w:t>
            </w:r>
            <w:r>
              <w:rPr>
                <w:rFonts w:hint="eastAsia" w:ascii="宋体" w:hAnsi="宋体" w:cs="宋体"/>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pStyle w:val="3"/>
              <w:spacing w:after="0"/>
              <w:ind w:left="0" w:leftChars="0"/>
              <w:jc w:val="center"/>
              <w:rPr>
                <w:rFonts w:ascii="宋体" w:hAnsi="宋体" w:cs="宋体"/>
                <w:bCs/>
                <w:color w:val="auto"/>
                <w:sz w:val="24"/>
              </w:rPr>
            </w:pPr>
          </w:p>
        </w:tc>
        <w:tc>
          <w:tcPr>
            <w:tcW w:w="7166" w:type="dxa"/>
            <w:vAlign w:val="center"/>
          </w:tcPr>
          <w:p>
            <w:pPr>
              <w:pStyle w:val="3"/>
              <w:spacing w:after="0"/>
              <w:ind w:left="0" w:leftChars="0"/>
              <w:jc w:val="left"/>
              <w:rPr>
                <w:rFonts w:ascii="宋体" w:hAnsi="宋体" w:cs="宋体"/>
                <w:b/>
                <w:color w:val="auto"/>
                <w:sz w:val="24"/>
                <w:lang w:val="zh-CN"/>
              </w:rPr>
            </w:pPr>
            <w:r>
              <w:rPr>
                <w:rFonts w:hint="eastAsia" w:ascii="宋体" w:hAnsi="宋体" w:cs="宋体"/>
                <w:b/>
                <w:color w:val="auto"/>
                <w:sz w:val="24"/>
                <w:lang w:val="zh-CN"/>
              </w:rPr>
              <w:t>项目实施方案：</w:t>
            </w:r>
          </w:p>
          <w:p>
            <w:pPr>
              <w:pStyle w:val="3"/>
              <w:spacing w:after="0"/>
              <w:ind w:left="0" w:leftChars="0"/>
              <w:jc w:val="left"/>
              <w:rPr>
                <w:rFonts w:ascii="宋体" w:hAnsi="宋体" w:cs="宋体"/>
                <w:bCs/>
                <w:color w:val="auto"/>
                <w:sz w:val="24"/>
              </w:rPr>
            </w:pPr>
            <w:r>
              <w:rPr>
                <w:rFonts w:hint="eastAsia" w:ascii="宋体" w:hAnsi="宋体" w:cs="宋体"/>
                <w:bCs/>
                <w:color w:val="auto"/>
                <w:sz w:val="24"/>
                <w:lang w:val="zh-CN"/>
              </w:rPr>
              <w:t>实施方案包括进度计划、人员配置、安装调试测试、验收方案、质量保障方案等内容综合评价。方案描述清晰，针对性强，内容详细，且确实可行的得</w:t>
            </w:r>
            <w:r>
              <w:rPr>
                <w:rFonts w:hint="eastAsia" w:ascii="宋体" w:hAnsi="宋体" w:cs="宋体"/>
                <w:bCs/>
                <w:color w:val="auto"/>
                <w:sz w:val="24"/>
              </w:rPr>
              <w:t>5</w:t>
            </w:r>
            <w:r>
              <w:rPr>
                <w:rFonts w:hint="eastAsia" w:ascii="宋体" w:hAnsi="宋体" w:cs="宋体"/>
                <w:bCs/>
                <w:color w:val="auto"/>
                <w:sz w:val="24"/>
                <w:lang w:val="zh-CN"/>
              </w:rPr>
              <w:t>-</w:t>
            </w:r>
            <w:r>
              <w:rPr>
                <w:rFonts w:hint="eastAsia" w:ascii="宋体" w:hAnsi="宋体" w:cs="宋体"/>
                <w:bCs/>
                <w:color w:val="auto"/>
                <w:sz w:val="24"/>
              </w:rPr>
              <w:t>4</w:t>
            </w:r>
            <w:r>
              <w:rPr>
                <w:rFonts w:hint="eastAsia" w:ascii="宋体" w:hAnsi="宋体" w:cs="宋体"/>
                <w:bCs/>
                <w:color w:val="auto"/>
                <w:sz w:val="24"/>
                <w:lang w:val="zh-CN"/>
              </w:rPr>
              <w:t>分；方案描述基本清晰，内容比较齐全，但过于空泛，可行性不强的得</w:t>
            </w:r>
            <w:r>
              <w:rPr>
                <w:rFonts w:hint="eastAsia" w:ascii="宋体" w:hAnsi="宋体" w:cs="宋体"/>
                <w:bCs/>
                <w:color w:val="auto"/>
                <w:sz w:val="24"/>
              </w:rPr>
              <w:t>3</w:t>
            </w:r>
            <w:r>
              <w:rPr>
                <w:rFonts w:hint="eastAsia" w:ascii="宋体" w:hAnsi="宋体" w:cs="宋体"/>
                <w:bCs/>
                <w:color w:val="auto"/>
                <w:sz w:val="24"/>
                <w:lang w:val="zh-CN"/>
              </w:rPr>
              <w:t>-2分；方案有缺失，内容简单，思路不清晰的得1-0分。不提供不得分。</w:t>
            </w:r>
          </w:p>
        </w:tc>
        <w:tc>
          <w:tcPr>
            <w:tcW w:w="847" w:type="dxa"/>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pStyle w:val="3"/>
              <w:spacing w:after="0"/>
              <w:ind w:left="0" w:leftChars="0"/>
              <w:jc w:val="center"/>
              <w:rPr>
                <w:rFonts w:ascii="宋体" w:hAnsi="宋体" w:cs="宋体"/>
                <w:bCs/>
                <w:color w:val="auto"/>
                <w:sz w:val="24"/>
              </w:rPr>
            </w:pPr>
          </w:p>
        </w:tc>
        <w:tc>
          <w:tcPr>
            <w:tcW w:w="7166" w:type="dxa"/>
            <w:vAlign w:val="center"/>
          </w:tcPr>
          <w:p>
            <w:pPr>
              <w:pStyle w:val="3"/>
              <w:spacing w:after="0"/>
              <w:ind w:left="0" w:leftChars="0"/>
              <w:jc w:val="left"/>
              <w:rPr>
                <w:rFonts w:ascii="宋体" w:hAnsi="宋体" w:cs="宋体"/>
                <w:b/>
                <w:color w:val="auto"/>
                <w:sz w:val="24"/>
                <w:lang w:val="zh-CN"/>
              </w:rPr>
            </w:pPr>
            <w:r>
              <w:rPr>
                <w:rFonts w:hint="eastAsia" w:ascii="宋体" w:hAnsi="宋体" w:cs="宋体"/>
                <w:b/>
                <w:color w:val="auto"/>
                <w:sz w:val="24"/>
                <w:lang w:val="zh-CN"/>
              </w:rPr>
              <w:t>团队成员能力：</w:t>
            </w:r>
          </w:p>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lang w:val="zh-CN"/>
              </w:rPr>
              <w:t>1.投标单位拟派的项目负责人：具备信息系统项目管理师证书、国家注册信息安全工程师证书、高级云计算ACE认证证书、ITIL证书、智能化系统集成项目经理（高级）、PMP证书的，每个证书得1分，最高6分。</w:t>
            </w:r>
          </w:p>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lang w:val="zh-CN"/>
              </w:rPr>
              <w:t>2.项目团队成员具有高级工程师、数据隐私解决方案工程师认证证书、OCP数据库认证证书、系统集成管理工程师、国际信息系统审计师CISA，每具备上述要求的人员得1分，最多5分。（一人多证及多人同证均按一本计算）</w:t>
            </w:r>
          </w:p>
          <w:p>
            <w:pPr>
              <w:pStyle w:val="3"/>
              <w:spacing w:after="0"/>
              <w:ind w:left="0" w:leftChars="0"/>
              <w:jc w:val="left"/>
              <w:rPr>
                <w:color w:val="auto"/>
                <w:lang w:val="zh-CN"/>
              </w:rPr>
            </w:pPr>
            <w:r>
              <w:rPr>
                <w:rFonts w:hint="eastAsia" w:ascii="宋体" w:hAnsi="宋体" w:cs="宋体"/>
                <w:bCs/>
                <w:color w:val="auto"/>
                <w:sz w:val="24"/>
                <w:lang w:val="zh-CN"/>
              </w:rPr>
              <w:t>（需提供人员相关资质证书原件扫描件及3个月内的社保证明做入标书，加盖电子印章）</w:t>
            </w:r>
          </w:p>
        </w:tc>
        <w:tc>
          <w:tcPr>
            <w:tcW w:w="847" w:type="dxa"/>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shd w:val="clear" w:color="auto" w:fill="auto"/>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企业实力</w:t>
            </w:r>
          </w:p>
          <w:p>
            <w:pPr>
              <w:pStyle w:val="3"/>
              <w:spacing w:after="0"/>
              <w:ind w:left="0" w:leftChars="0"/>
              <w:jc w:val="center"/>
              <w:rPr>
                <w:rFonts w:ascii="宋体" w:hAnsi="宋体" w:cs="宋体"/>
                <w:bCs/>
                <w:color w:val="auto"/>
                <w:sz w:val="24"/>
              </w:rPr>
            </w:pPr>
            <w:r>
              <w:rPr>
                <w:rFonts w:hint="eastAsia" w:ascii="宋体" w:hAnsi="宋体" w:cs="宋体"/>
                <w:bCs/>
                <w:color w:val="auto"/>
                <w:sz w:val="24"/>
              </w:rPr>
              <w:t>及信誉</w:t>
            </w:r>
          </w:p>
          <w:p>
            <w:pPr>
              <w:pStyle w:val="3"/>
              <w:spacing w:after="0"/>
              <w:ind w:left="0" w:leftChars="0"/>
              <w:jc w:val="center"/>
              <w:rPr>
                <w:rFonts w:ascii="宋体" w:hAnsi="宋体" w:cs="宋体"/>
                <w:bCs/>
                <w:color w:val="auto"/>
                <w:sz w:val="24"/>
              </w:rPr>
            </w:pPr>
            <w:r>
              <w:rPr>
                <w:rFonts w:hint="eastAsia" w:ascii="宋体" w:hAnsi="宋体" w:cs="宋体"/>
                <w:bCs/>
                <w:color w:val="auto"/>
                <w:sz w:val="24"/>
              </w:rPr>
              <w:t>12分</w:t>
            </w:r>
          </w:p>
        </w:tc>
        <w:tc>
          <w:tcPr>
            <w:tcW w:w="7166" w:type="dxa"/>
            <w:shd w:val="clear" w:color="auto" w:fill="FFFFFF"/>
            <w:vAlign w:val="center"/>
          </w:tcPr>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lang w:val="zh-CN"/>
              </w:rPr>
              <w:t>投标人具有有效的质量管理体系认证证书、职业健康安全管理体系认证证书、信息安全管理体系认证证书、信息技术服务管理体系认证证书的、环境管理体系认证证书，每个证书得1分，都具备的得满分5分。</w:t>
            </w:r>
          </w:p>
          <w:p>
            <w:pPr>
              <w:pStyle w:val="3"/>
              <w:spacing w:after="0"/>
              <w:ind w:left="0" w:leftChars="0"/>
              <w:jc w:val="left"/>
              <w:rPr>
                <w:rFonts w:ascii="宋体" w:hAnsi="宋体" w:cs="宋体"/>
                <w:bCs/>
                <w:color w:val="auto"/>
                <w:sz w:val="24"/>
              </w:rPr>
            </w:pPr>
            <w:r>
              <w:rPr>
                <w:rFonts w:hint="eastAsia" w:ascii="宋体" w:hAnsi="宋体" w:cs="宋体"/>
                <w:bCs/>
                <w:color w:val="auto"/>
                <w:sz w:val="24"/>
                <w:lang w:val="zh-CN"/>
              </w:rPr>
              <w:t>（证书复印件加盖投标人公章编入投标文件中）</w:t>
            </w:r>
          </w:p>
        </w:tc>
        <w:tc>
          <w:tcPr>
            <w:tcW w:w="847" w:type="dxa"/>
            <w:shd w:val="clear" w:color="auto" w:fill="FFFFFF"/>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5</w:t>
            </w:r>
            <w:r>
              <w:rPr>
                <w:rFonts w:hint="eastAsia" w:ascii="宋体" w:hAnsi="宋体" w:cs="宋体"/>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shd w:val="clear" w:color="auto" w:fill="auto"/>
            <w:vAlign w:val="center"/>
          </w:tcPr>
          <w:p>
            <w:pPr>
              <w:pStyle w:val="3"/>
              <w:spacing w:after="0"/>
              <w:ind w:left="0" w:leftChars="0"/>
              <w:jc w:val="center"/>
              <w:rPr>
                <w:rFonts w:ascii="宋体" w:hAnsi="宋体" w:cs="宋体"/>
                <w:bCs/>
                <w:color w:val="auto"/>
                <w:sz w:val="24"/>
              </w:rPr>
            </w:pPr>
          </w:p>
        </w:tc>
        <w:tc>
          <w:tcPr>
            <w:tcW w:w="7166" w:type="dxa"/>
            <w:shd w:val="clear" w:color="auto" w:fill="FFFFFF"/>
            <w:vAlign w:val="center"/>
          </w:tcPr>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rPr>
              <w:t>1.</w:t>
            </w:r>
            <w:r>
              <w:rPr>
                <w:rFonts w:hint="eastAsia" w:ascii="宋体" w:hAnsi="宋体" w:cs="宋体"/>
                <w:bCs/>
                <w:color w:val="auto"/>
                <w:sz w:val="24"/>
                <w:lang w:val="zh-CN"/>
              </w:rPr>
              <w:t>投标人具备本地大数据计算服务供应能力的，提供相关证明材料的得2分；</w:t>
            </w:r>
          </w:p>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rPr>
              <w:t>2.</w:t>
            </w:r>
            <w:r>
              <w:rPr>
                <w:rFonts w:hint="eastAsia" w:ascii="宋体" w:hAnsi="宋体" w:cs="宋体"/>
                <w:bCs/>
                <w:color w:val="auto"/>
                <w:sz w:val="24"/>
                <w:lang w:val="zh-CN"/>
              </w:rPr>
              <w:t>投标人具有有效的云平台等保三级备案证书的得2分；</w:t>
            </w:r>
          </w:p>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rPr>
              <w:t>3.</w:t>
            </w:r>
            <w:r>
              <w:rPr>
                <w:rFonts w:hint="eastAsia" w:ascii="宋体" w:hAnsi="宋体" w:cs="宋体"/>
                <w:bCs/>
                <w:color w:val="auto"/>
                <w:sz w:val="24"/>
                <w:lang w:val="zh-CN"/>
              </w:rPr>
              <w:t>投标人具有数据管理能力成熟度4级及以上的得2分；</w:t>
            </w:r>
          </w:p>
          <w:p>
            <w:pPr>
              <w:pStyle w:val="3"/>
              <w:spacing w:after="0"/>
              <w:ind w:left="0" w:leftChars="0"/>
              <w:jc w:val="left"/>
              <w:rPr>
                <w:rFonts w:ascii="宋体" w:hAnsi="宋体" w:cs="宋体"/>
                <w:bCs/>
                <w:color w:val="auto"/>
                <w:sz w:val="24"/>
              </w:rPr>
            </w:pPr>
            <w:r>
              <w:rPr>
                <w:rFonts w:hint="eastAsia" w:ascii="宋体" w:hAnsi="宋体" w:cs="宋体"/>
                <w:bCs/>
                <w:color w:val="auto"/>
                <w:sz w:val="24"/>
                <w:lang w:val="zh-CN"/>
              </w:rPr>
              <w:t>提供以上证书复印件，未提供不得分。</w:t>
            </w:r>
          </w:p>
        </w:tc>
        <w:tc>
          <w:tcPr>
            <w:tcW w:w="847" w:type="dxa"/>
            <w:shd w:val="clear" w:color="auto" w:fill="FFFFFF"/>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6</w:t>
            </w:r>
            <w:r>
              <w:rPr>
                <w:rFonts w:hint="eastAsia" w:ascii="宋体" w:hAnsi="宋体" w:cs="宋体"/>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shd w:val="clear" w:color="auto" w:fill="auto"/>
            <w:vAlign w:val="center"/>
          </w:tcPr>
          <w:p>
            <w:pPr>
              <w:pStyle w:val="3"/>
              <w:spacing w:after="0"/>
              <w:ind w:left="0" w:leftChars="0"/>
              <w:jc w:val="center"/>
              <w:rPr>
                <w:rFonts w:ascii="宋体" w:hAnsi="宋体" w:cs="宋体"/>
                <w:bCs/>
                <w:color w:val="auto"/>
                <w:sz w:val="24"/>
              </w:rPr>
            </w:pPr>
          </w:p>
        </w:tc>
        <w:tc>
          <w:tcPr>
            <w:tcW w:w="7166" w:type="dxa"/>
            <w:shd w:val="clear" w:color="auto" w:fill="FFFFFF"/>
            <w:vAlign w:val="center"/>
          </w:tcPr>
          <w:p>
            <w:pPr>
              <w:pStyle w:val="3"/>
              <w:spacing w:after="0"/>
              <w:ind w:left="0" w:leftChars="0"/>
              <w:jc w:val="left"/>
              <w:rPr>
                <w:rFonts w:ascii="宋体" w:hAnsi="宋体" w:cs="宋体"/>
                <w:b/>
                <w:color w:val="auto"/>
                <w:sz w:val="24"/>
                <w:lang w:val="zh-CN"/>
              </w:rPr>
            </w:pPr>
            <w:r>
              <w:rPr>
                <w:rFonts w:hint="eastAsia" w:ascii="宋体" w:hAnsi="宋体" w:cs="宋体"/>
                <w:b/>
                <w:color w:val="auto"/>
                <w:sz w:val="24"/>
                <w:lang w:val="zh-CN"/>
              </w:rPr>
              <w:t>成功案例及业绩：</w:t>
            </w:r>
          </w:p>
          <w:p>
            <w:pPr>
              <w:pStyle w:val="3"/>
              <w:spacing w:after="0"/>
              <w:ind w:left="0" w:leftChars="0"/>
              <w:jc w:val="left"/>
              <w:rPr>
                <w:rFonts w:ascii="宋体" w:hAnsi="宋体" w:cs="宋体"/>
                <w:bCs/>
                <w:color w:val="auto"/>
                <w:sz w:val="24"/>
              </w:rPr>
            </w:pPr>
            <w:r>
              <w:rPr>
                <w:rFonts w:hint="eastAsia" w:ascii="宋体" w:hAnsi="宋体" w:cs="宋体"/>
                <w:bCs/>
                <w:color w:val="auto"/>
                <w:sz w:val="24"/>
                <w:lang w:val="zh-CN"/>
              </w:rPr>
              <w:t>投标人自201</w:t>
            </w:r>
            <w:r>
              <w:rPr>
                <w:rFonts w:hint="eastAsia" w:ascii="宋体" w:hAnsi="宋体" w:cs="宋体"/>
                <w:bCs/>
                <w:color w:val="auto"/>
                <w:sz w:val="24"/>
              </w:rPr>
              <w:t>9</w:t>
            </w:r>
            <w:r>
              <w:rPr>
                <w:rFonts w:hint="eastAsia" w:ascii="宋体" w:hAnsi="宋体" w:cs="宋体"/>
                <w:bCs/>
                <w:color w:val="auto"/>
                <w:sz w:val="24"/>
                <w:lang w:val="zh-CN"/>
              </w:rPr>
              <w:t>年</w:t>
            </w:r>
            <w:r>
              <w:rPr>
                <w:rFonts w:hint="eastAsia" w:ascii="宋体" w:hAnsi="宋体" w:cs="宋体"/>
                <w:bCs/>
                <w:color w:val="auto"/>
                <w:sz w:val="24"/>
                <w:lang w:val="en-US" w:eastAsia="zh-CN"/>
              </w:rPr>
              <w:t>7</w:t>
            </w:r>
            <w:r>
              <w:rPr>
                <w:rFonts w:hint="eastAsia" w:ascii="宋体" w:hAnsi="宋体" w:cs="宋体"/>
                <w:bCs/>
                <w:color w:val="auto"/>
                <w:sz w:val="24"/>
                <w:lang w:val="zh-CN"/>
              </w:rPr>
              <w:t>月</w:t>
            </w:r>
            <w:r>
              <w:rPr>
                <w:rFonts w:hint="eastAsia" w:ascii="宋体" w:hAnsi="宋体" w:cs="宋体"/>
                <w:bCs/>
                <w:color w:val="auto"/>
                <w:sz w:val="24"/>
              </w:rPr>
              <w:t>1日</w:t>
            </w:r>
            <w:r>
              <w:rPr>
                <w:rFonts w:hint="eastAsia" w:ascii="宋体" w:hAnsi="宋体" w:cs="宋体"/>
                <w:bCs/>
                <w:color w:val="auto"/>
                <w:sz w:val="24"/>
                <w:lang w:val="zh-CN"/>
              </w:rPr>
              <w:t>以来大数据平台开发类项目成功案例，每个得</w:t>
            </w:r>
            <w:r>
              <w:rPr>
                <w:rFonts w:hint="eastAsia" w:ascii="宋体" w:hAnsi="宋体" w:cs="宋体"/>
                <w:bCs/>
                <w:color w:val="auto"/>
                <w:sz w:val="24"/>
              </w:rPr>
              <w:t>0.5</w:t>
            </w:r>
            <w:r>
              <w:rPr>
                <w:rFonts w:hint="eastAsia" w:ascii="宋体" w:hAnsi="宋体" w:cs="宋体"/>
                <w:bCs/>
                <w:color w:val="auto"/>
                <w:sz w:val="24"/>
                <w:lang w:val="zh-CN"/>
              </w:rPr>
              <w:t>分，最高得</w:t>
            </w:r>
            <w:r>
              <w:rPr>
                <w:rFonts w:hint="eastAsia" w:ascii="宋体" w:hAnsi="宋体" w:cs="宋体"/>
                <w:bCs/>
                <w:color w:val="auto"/>
                <w:sz w:val="24"/>
              </w:rPr>
              <w:t>1</w:t>
            </w:r>
            <w:r>
              <w:rPr>
                <w:rFonts w:hint="eastAsia" w:ascii="宋体" w:hAnsi="宋体" w:cs="宋体"/>
                <w:bCs/>
                <w:color w:val="auto"/>
                <w:sz w:val="24"/>
                <w:lang w:val="zh-CN"/>
              </w:rPr>
              <w:t>分。（以签订时间为准，提供证书原件扫描件并加盖电子印章，未提供不得分。）</w:t>
            </w:r>
          </w:p>
        </w:tc>
        <w:tc>
          <w:tcPr>
            <w:tcW w:w="847" w:type="dxa"/>
            <w:shd w:val="clear" w:color="auto" w:fill="FFFFFF"/>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1</w:t>
            </w:r>
            <w:r>
              <w:rPr>
                <w:rFonts w:hint="eastAsia" w:ascii="宋体" w:hAnsi="宋体" w:cs="宋体"/>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pStyle w:val="3"/>
              <w:spacing w:after="0"/>
              <w:ind w:left="0" w:leftChars="0"/>
              <w:jc w:val="center"/>
              <w:rPr>
                <w:rFonts w:ascii="宋体" w:hAnsi="宋体" w:cs="宋体"/>
                <w:bCs/>
                <w:color w:val="auto"/>
                <w:sz w:val="24"/>
              </w:rPr>
            </w:pPr>
            <w:r>
              <w:rPr>
                <w:rFonts w:hint="eastAsia" w:ascii="宋体" w:hAnsi="宋体" w:cs="宋体"/>
                <w:bCs/>
                <w:color w:val="auto"/>
                <w:sz w:val="24"/>
              </w:rPr>
              <w:t>售后服务</w:t>
            </w:r>
          </w:p>
          <w:p>
            <w:pPr>
              <w:pStyle w:val="3"/>
              <w:spacing w:after="0"/>
              <w:ind w:left="0" w:leftChars="0"/>
              <w:jc w:val="center"/>
              <w:rPr>
                <w:rFonts w:ascii="宋体" w:hAnsi="宋体" w:cs="宋体"/>
                <w:bCs/>
                <w:color w:val="auto"/>
                <w:sz w:val="24"/>
              </w:rPr>
            </w:pPr>
            <w:r>
              <w:rPr>
                <w:rFonts w:hint="eastAsia" w:ascii="宋体" w:hAnsi="宋体" w:cs="宋体"/>
                <w:bCs/>
                <w:color w:val="auto"/>
                <w:sz w:val="24"/>
              </w:rPr>
              <w:t>13分</w:t>
            </w:r>
          </w:p>
        </w:tc>
        <w:tc>
          <w:tcPr>
            <w:tcW w:w="7166" w:type="dxa"/>
            <w:vAlign w:val="center"/>
          </w:tcPr>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lang w:val="zh-CN"/>
              </w:rPr>
              <w:t>据本地化服务方案、服务响应时间、服务网点数量、专业技术力量、</w:t>
            </w:r>
            <w:r>
              <w:rPr>
                <w:rFonts w:hint="eastAsia" w:ascii="宋体" w:hAnsi="宋体" w:cs="宋体"/>
                <w:bCs/>
                <w:color w:val="auto"/>
                <w:sz w:val="24"/>
              </w:rPr>
              <w:t>运营服务人员绩效考核响应</w:t>
            </w:r>
            <w:r>
              <w:rPr>
                <w:rFonts w:hint="eastAsia" w:ascii="宋体" w:hAnsi="宋体" w:cs="宋体"/>
                <w:bCs/>
                <w:color w:val="auto"/>
                <w:sz w:val="24"/>
                <w:lang w:val="zh-CN"/>
              </w:rPr>
              <w:t>等方面综合评价。方案描述清晰，针对性强，内容详细，且确实可行的得</w:t>
            </w:r>
            <w:r>
              <w:rPr>
                <w:rFonts w:hint="eastAsia" w:ascii="宋体" w:hAnsi="宋体" w:cs="宋体"/>
                <w:bCs/>
                <w:color w:val="auto"/>
                <w:sz w:val="24"/>
              </w:rPr>
              <w:t>6</w:t>
            </w:r>
            <w:r>
              <w:rPr>
                <w:rFonts w:hint="eastAsia" w:ascii="宋体" w:hAnsi="宋体" w:cs="宋体"/>
                <w:bCs/>
                <w:color w:val="auto"/>
                <w:sz w:val="24"/>
                <w:lang w:val="zh-CN"/>
              </w:rPr>
              <w:t>-</w:t>
            </w:r>
            <w:r>
              <w:rPr>
                <w:rFonts w:hint="eastAsia" w:ascii="宋体" w:hAnsi="宋体" w:cs="宋体"/>
                <w:bCs/>
                <w:color w:val="auto"/>
                <w:sz w:val="24"/>
              </w:rPr>
              <w:t>4</w:t>
            </w:r>
            <w:r>
              <w:rPr>
                <w:rFonts w:hint="eastAsia" w:ascii="宋体" w:hAnsi="宋体" w:cs="宋体"/>
                <w:bCs/>
                <w:color w:val="auto"/>
                <w:sz w:val="24"/>
                <w:lang w:val="zh-CN"/>
              </w:rPr>
              <w:t>分；方案描述基本清晰，内容比较齐全，但过于空泛，可行性不强的得</w:t>
            </w:r>
            <w:r>
              <w:rPr>
                <w:rFonts w:hint="eastAsia" w:ascii="宋体" w:hAnsi="宋体" w:cs="宋体"/>
                <w:bCs/>
                <w:color w:val="auto"/>
                <w:sz w:val="24"/>
              </w:rPr>
              <w:t>3</w:t>
            </w:r>
            <w:r>
              <w:rPr>
                <w:rFonts w:hint="eastAsia" w:ascii="宋体" w:hAnsi="宋体" w:cs="宋体"/>
                <w:bCs/>
                <w:color w:val="auto"/>
                <w:sz w:val="24"/>
                <w:lang w:val="zh-CN"/>
              </w:rPr>
              <w:t>-2分；方案有缺失，内容简单，思路不清晰的得1-0分。不提供不得分。</w:t>
            </w:r>
          </w:p>
        </w:tc>
        <w:tc>
          <w:tcPr>
            <w:tcW w:w="847" w:type="dxa"/>
            <w:vAlign w:val="center"/>
          </w:tcPr>
          <w:p>
            <w:pPr>
              <w:pStyle w:val="3"/>
              <w:spacing w:after="0"/>
              <w:ind w:left="0" w:leftChars="0"/>
              <w:jc w:val="center"/>
              <w:rPr>
                <w:rFonts w:ascii="宋体" w:hAnsi="宋体" w:cs="宋体"/>
                <w:bCs/>
                <w:color w:val="auto"/>
                <w:sz w:val="24"/>
                <w:lang w:val="zh-CN"/>
              </w:rPr>
            </w:pPr>
            <w:r>
              <w:rPr>
                <w:rFonts w:hint="eastAsia" w:ascii="宋体" w:hAnsi="宋体" w:cs="宋体"/>
                <w:bCs/>
                <w:color w:val="auto"/>
                <w:sz w:val="24"/>
              </w:rPr>
              <w:t>6</w:t>
            </w:r>
            <w:r>
              <w:rPr>
                <w:rFonts w:hint="eastAsia" w:ascii="宋体" w:hAnsi="宋体" w:cs="宋体"/>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pStyle w:val="3"/>
              <w:spacing w:after="0"/>
              <w:jc w:val="center"/>
              <w:rPr>
                <w:rFonts w:ascii="宋体" w:hAnsi="宋体" w:cs="宋体"/>
                <w:bCs/>
                <w:color w:val="auto"/>
                <w:sz w:val="24"/>
              </w:rPr>
            </w:pPr>
          </w:p>
        </w:tc>
        <w:tc>
          <w:tcPr>
            <w:tcW w:w="7166" w:type="dxa"/>
            <w:vAlign w:val="center"/>
          </w:tcPr>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rPr>
              <w:t>所提供驻场运维人员要求具备大专及以上计算机专业毕业或具备类似项目经验的，提供4人得1分，每增加一人多1分，本项最高得5分（附相关毕业证书或者项目经历说明并加盖投标人公章，否则不得分）</w:t>
            </w:r>
          </w:p>
        </w:tc>
        <w:tc>
          <w:tcPr>
            <w:tcW w:w="847" w:type="dxa"/>
            <w:vAlign w:val="center"/>
          </w:tcPr>
          <w:p>
            <w:pPr>
              <w:pStyle w:val="3"/>
              <w:spacing w:after="0"/>
              <w:ind w:left="0" w:leftChars="0"/>
              <w:jc w:val="center"/>
              <w:rPr>
                <w:rFonts w:ascii="宋体" w:hAnsi="宋体" w:cs="宋体"/>
                <w:bCs/>
                <w:color w:val="auto"/>
                <w:sz w:val="24"/>
                <w:lang w:val="zh-CN"/>
              </w:rPr>
            </w:pPr>
            <w:r>
              <w:rPr>
                <w:rFonts w:hint="eastAsia" w:ascii="宋体" w:hAnsi="宋体" w:cs="宋体"/>
                <w:bCs/>
                <w:color w:val="auto"/>
                <w:sz w:val="24"/>
              </w:rPr>
              <w:t>5</w:t>
            </w:r>
            <w:r>
              <w:rPr>
                <w:rFonts w:hint="eastAsia" w:ascii="宋体" w:hAnsi="宋体" w:cs="宋体"/>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pStyle w:val="3"/>
              <w:spacing w:after="0"/>
              <w:jc w:val="center"/>
              <w:rPr>
                <w:rFonts w:ascii="宋体" w:hAnsi="宋体" w:cs="宋体"/>
                <w:bCs/>
                <w:color w:val="auto"/>
                <w:sz w:val="24"/>
              </w:rPr>
            </w:pPr>
          </w:p>
        </w:tc>
        <w:tc>
          <w:tcPr>
            <w:tcW w:w="7166" w:type="dxa"/>
            <w:vAlign w:val="center"/>
          </w:tcPr>
          <w:p>
            <w:pPr>
              <w:pStyle w:val="3"/>
              <w:spacing w:after="0"/>
              <w:ind w:left="0" w:leftChars="0"/>
              <w:jc w:val="left"/>
              <w:rPr>
                <w:rFonts w:ascii="宋体" w:hAnsi="宋体" w:cs="宋体"/>
                <w:bCs/>
                <w:color w:val="auto"/>
                <w:sz w:val="24"/>
                <w:lang w:val="zh-CN"/>
              </w:rPr>
            </w:pPr>
            <w:r>
              <w:rPr>
                <w:rFonts w:hint="eastAsia" w:ascii="宋体" w:hAnsi="宋体" w:cs="宋体"/>
                <w:bCs/>
                <w:color w:val="auto"/>
                <w:sz w:val="24"/>
                <w:lang w:val="zh-CN"/>
              </w:rPr>
              <w:t>提供合理可行的项目培训方案，提供多种培训方式和全要素培训课程、资料，并有一系列培训质量保证措施等。方案描述清晰，针对性强，内容详细，且确实可行的得</w:t>
            </w:r>
            <w:r>
              <w:rPr>
                <w:rFonts w:hint="eastAsia" w:ascii="宋体" w:hAnsi="宋体" w:cs="宋体"/>
                <w:bCs/>
                <w:color w:val="auto"/>
                <w:sz w:val="24"/>
              </w:rPr>
              <w:t>2</w:t>
            </w:r>
            <w:r>
              <w:rPr>
                <w:rFonts w:hint="eastAsia" w:ascii="宋体" w:hAnsi="宋体" w:cs="宋体"/>
                <w:bCs/>
                <w:color w:val="auto"/>
                <w:sz w:val="24"/>
                <w:lang w:val="zh-CN"/>
              </w:rPr>
              <w:t>分；方案描述基本清晰，内容比较齐全，但过于空泛，可行性不强的得</w:t>
            </w:r>
            <w:r>
              <w:rPr>
                <w:rFonts w:hint="eastAsia" w:ascii="宋体" w:hAnsi="宋体" w:cs="宋体"/>
                <w:bCs/>
                <w:color w:val="auto"/>
                <w:sz w:val="24"/>
              </w:rPr>
              <w:t>1.5</w:t>
            </w:r>
            <w:r>
              <w:rPr>
                <w:rFonts w:hint="eastAsia" w:ascii="宋体" w:hAnsi="宋体" w:cs="宋体"/>
                <w:bCs/>
                <w:color w:val="auto"/>
                <w:sz w:val="24"/>
                <w:lang w:val="zh-CN"/>
              </w:rPr>
              <w:t>-</w:t>
            </w:r>
            <w:r>
              <w:rPr>
                <w:rFonts w:hint="eastAsia" w:ascii="宋体" w:hAnsi="宋体" w:cs="宋体"/>
                <w:bCs/>
                <w:color w:val="auto"/>
                <w:sz w:val="24"/>
              </w:rPr>
              <w:t>0.6</w:t>
            </w:r>
            <w:r>
              <w:rPr>
                <w:rFonts w:hint="eastAsia" w:ascii="宋体" w:hAnsi="宋体" w:cs="宋体"/>
                <w:bCs/>
                <w:color w:val="auto"/>
                <w:sz w:val="24"/>
                <w:lang w:val="zh-CN"/>
              </w:rPr>
              <w:t>分；方案有缺失，内容简单，思路不清晰的得</w:t>
            </w:r>
            <w:r>
              <w:rPr>
                <w:rFonts w:hint="eastAsia" w:ascii="宋体" w:hAnsi="宋体" w:cs="宋体"/>
                <w:bCs/>
                <w:color w:val="auto"/>
                <w:sz w:val="24"/>
              </w:rPr>
              <w:t>0.5</w:t>
            </w:r>
            <w:r>
              <w:rPr>
                <w:rFonts w:hint="eastAsia" w:ascii="宋体" w:hAnsi="宋体" w:cs="宋体"/>
                <w:bCs/>
                <w:color w:val="auto"/>
                <w:sz w:val="24"/>
                <w:lang w:val="zh-CN"/>
              </w:rPr>
              <w:t>-0分。不提供不得分。</w:t>
            </w:r>
          </w:p>
        </w:tc>
        <w:tc>
          <w:tcPr>
            <w:tcW w:w="847" w:type="dxa"/>
            <w:vAlign w:val="center"/>
          </w:tcPr>
          <w:p>
            <w:pPr>
              <w:pStyle w:val="3"/>
              <w:spacing w:after="0"/>
              <w:ind w:left="0" w:leftChars="0"/>
              <w:jc w:val="center"/>
              <w:rPr>
                <w:rFonts w:ascii="宋体" w:hAnsi="宋体" w:cs="宋体"/>
                <w:bCs/>
                <w:color w:val="auto"/>
                <w:sz w:val="24"/>
                <w:lang w:val="zh-CN"/>
              </w:rPr>
            </w:pPr>
            <w:r>
              <w:rPr>
                <w:rFonts w:hint="eastAsia" w:ascii="宋体" w:hAnsi="宋体" w:cs="宋体"/>
                <w:bCs/>
                <w:color w:val="auto"/>
                <w:sz w:val="24"/>
              </w:rPr>
              <w:t>2</w:t>
            </w:r>
            <w:r>
              <w:rPr>
                <w:rFonts w:hint="eastAsia" w:ascii="宋体" w:hAnsi="宋体" w:cs="宋体"/>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Align w:val="center"/>
          </w:tcPr>
          <w:p>
            <w:pPr>
              <w:jc w:val="center"/>
              <w:rPr>
                <w:rFonts w:ascii="宋体" w:hAnsi="宋体" w:cs="宋体"/>
                <w:color w:val="auto"/>
                <w:sz w:val="24"/>
              </w:rPr>
            </w:pPr>
            <w:r>
              <w:rPr>
                <w:rFonts w:hint="eastAsia" w:ascii="宋体" w:hAnsi="宋体" w:cs="宋体"/>
                <w:color w:val="auto"/>
                <w:sz w:val="24"/>
              </w:rPr>
              <w:t>价格</w:t>
            </w:r>
          </w:p>
          <w:p>
            <w:pPr>
              <w:jc w:val="center"/>
              <w:rPr>
                <w:rFonts w:ascii="宋体" w:hAnsi="宋体" w:cs="宋体"/>
                <w:bCs/>
                <w:color w:val="auto"/>
                <w:sz w:val="24"/>
              </w:rPr>
            </w:pPr>
            <w:r>
              <w:rPr>
                <w:rFonts w:hint="eastAsia" w:ascii="宋体" w:hAnsi="宋体" w:cs="宋体"/>
                <w:color w:val="auto"/>
                <w:sz w:val="24"/>
              </w:rPr>
              <w:t>15分</w:t>
            </w:r>
          </w:p>
        </w:tc>
        <w:tc>
          <w:tcPr>
            <w:tcW w:w="7166" w:type="dxa"/>
            <w:vAlign w:val="center"/>
          </w:tcPr>
          <w:p>
            <w:pPr>
              <w:rPr>
                <w:rFonts w:ascii="宋体" w:hAnsi="宋体" w:cs="宋体"/>
                <w:bCs/>
                <w:color w:val="auto"/>
                <w:sz w:val="24"/>
              </w:rPr>
            </w:pPr>
            <w:r>
              <w:rPr>
                <w:rFonts w:hint="eastAsia" w:ascii="宋体" w:hAnsi="宋体" w:cs="宋体"/>
                <w:color w:val="auto"/>
                <w:sz w:val="24"/>
              </w:rPr>
              <w:t>以合格投标人有效投标总报价中的最低价为基准价，基准价为15分。投标报价得分＝（评标基准价/最终投标报价）×</w:t>
            </w:r>
            <w:r>
              <w:rPr>
                <w:rFonts w:hint="eastAsia" w:ascii="宋体" w:hAnsi="宋体" w:cs="宋体"/>
                <w:color w:val="auto"/>
                <w:kern w:val="0"/>
                <w:sz w:val="24"/>
              </w:rPr>
              <w:t>15%</w:t>
            </w:r>
            <w:r>
              <w:rPr>
                <w:rFonts w:hint="eastAsia" w:ascii="宋体" w:hAnsi="宋体" w:cs="宋体"/>
                <w:color w:val="auto"/>
                <w:sz w:val="24"/>
              </w:rPr>
              <w:t>×</w:t>
            </w:r>
            <w:r>
              <w:rPr>
                <w:rFonts w:hint="eastAsia" w:ascii="宋体" w:hAnsi="宋体" w:cs="宋体"/>
                <w:color w:val="auto"/>
                <w:kern w:val="0"/>
                <w:sz w:val="24"/>
              </w:rPr>
              <w:t>100</w:t>
            </w:r>
            <w:r>
              <w:rPr>
                <w:rFonts w:hint="eastAsia" w:ascii="宋体" w:hAnsi="宋体" w:cs="宋体"/>
                <w:color w:val="auto"/>
                <w:sz w:val="24"/>
              </w:rPr>
              <w:t>（小数点后保留2位小数）。（注：对于小型和微型企业产品的价格给予</w:t>
            </w:r>
            <w:r>
              <w:rPr>
                <w:rFonts w:hint="eastAsia" w:ascii="宋体" w:hAnsi="宋体" w:cs="宋体"/>
                <w:color w:val="auto"/>
                <w:sz w:val="24"/>
                <w:lang w:val="en-US" w:eastAsia="zh-CN"/>
              </w:rPr>
              <w:t>2</w:t>
            </w:r>
            <w:r>
              <w:rPr>
                <w:rFonts w:hint="eastAsia" w:ascii="宋体" w:hAnsi="宋体" w:cs="宋体"/>
                <w:color w:val="auto"/>
                <w:sz w:val="24"/>
              </w:rPr>
              <w:t>0%的扣除，用扣除后的价格参与评审）</w:t>
            </w:r>
          </w:p>
        </w:tc>
        <w:tc>
          <w:tcPr>
            <w:tcW w:w="847" w:type="dxa"/>
            <w:vAlign w:val="center"/>
          </w:tcPr>
          <w:p>
            <w:pPr>
              <w:jc w:val="center"/>
              <w:rPr>
                <w:rFonts w:ascii="宋体" w:hAnsi="宋体" w:cs="宋体"/>
                <w:bCs/>
                <w:color w:val="auto"/>
                <w:sz w:val="24"/>
              </w:rPr>
            </w:pPr>
            <w:r>
              <w:rPr>
                <w:rFonts w:hint="eastAsia" w:ascii="宋体" w:hAnsi="宋体" w:cs="宋体"/>
                <w:color w:val="auto"/>
                <w:sz w:val="24"/>
              </w:rPr>
              <w:t>15分</w:t>
            </w:r>
          </w:p>
        </w:tc>
      </w:tr>
    </w:tbl>
    <w:p>
      <w:pPr>
        <w:rPr>
          <w:rFonts w:ascii="宋体" w:hAnsi="宋体" w:cs="宋体"/>
          <w:color w:val="auto"/>
          <w:sz w:val="24"/>
        </w:rPr>
      </w:pPr>
      <w:r>
        <w:rPr>
          <w:rFonts w:hint="eastAsia" w:ascii="宋体" w:hAnsi="宋体" w:cs="宋体"/>
          <w:color w:val="auto"/>
          <w:sz w:val="24"/>
        </w:rPr>
        <w:t>注：</w:t>
      </w:r>
    </w:p>
    <w:p>
      <w:pPr>
        <w:rPr>
          <w:rFonts w:ascii="宋体" w:hAnsi="宋体" w:cs="宋体"/>
          <w:color w:val="auto"/>
          <w:sz w:val="24"/>
        </w:rPr>
      </w:pPr>
      <w:r>
        <w:rPr>
          <w:rFonts w:hint="eastAsia" w:ascii="宋体" w:hAnsi="宋体" w:cs="宋体"/>
          <w:color w:val="auto"/>
          <w:sz w:val="24"/>
        </w:rPr>
        <w:t>①请扫描上传合同、证书、报告及其他相关证明材料的原件至投标文件，并加盖电子印章。</w:t>
      </w:r>
    </w:p>
    <w:p>
      <w:pPr>
        <w:pStyle w:val="15"/>
        <w:snapToGrid w:val="0"/>
        <w:spacing w:line="360" w:lineRule="auto"/>
        <w:ind w:firstLine="482" w:firstLineChars="200"/>
        <w:rPr>
          <w:rFonts w:hAnsi="宋体"/>
          <w:b/>
          <w:color w:val="auto"/>
          <w:sz w:val="24"/>
        </w:rPr>
      </w:pPr>
      <w:r>
        <w:rPr>
          <w:rFonts w:hint="eastAsia" w:hAnsi="宋体"/>
          <w:b/>
          <w:color w:val="auto"/>
          <w:sz w:val="24"/>
        </w:rPr>
        <w:t>2.评审要求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（1）评标委员会应当按照招标文件中规定的评标方法和标准，对符合性审查合格的投标文件的商务部分和技术部分进行综合比较与评价，其中</w:t>
      </w:r>
      <w:r>
        <w:rPr>
          <w:rFonts w:hint="eastAsia" w:ascii="宋体" w:hAnsi="宋体" w:cs="宋体"/>
          <w:bCs/>
          <w:color w:val="auto"/>
          <w:sz w:val="24"/>
          <w:lang w:val="zh-CN"/>
        </w:rPr>
        <w:t>客观</w:t>
      </w:r>
      <w:r>
        <w:rPr>
          <w:rFonts w:hint="eastAsia" w:ascii="宋体" w:hAnsi="宋体" w:cs="宋体"/>
          <w:bCs/>
          <w:color w:val="auto"/>
          <w:sz w:val="24"/>
        </w:rPr>
        <w:t>评分项的分值</w:t>
      </w:r>
      <w:r>
        <w:rPr>
          <w:rFonts w:hint="eastAsia" w:ascii="宋体" w:hAnsi="宋体" w:cs="宋体"/>
          <w:bCs/>
          <w:color w:val="auto"/>
          <w:sz w:val="24"/>
          <w:lang w:val="zh-CN"/>
        </w:rPr>
        <w:t>应当一致。</w:t>
      </w:r>
    </w:p>
    <w:p>
      <w:pPr>
        <w:spacing w:line="360" w:lineRule="auto"/>
        <w:ind w:firstLine="480" w:firstLineChars="200"/>
        <w:rPr>
          <w:rFonts w:ascii="宋体" w:hAnsi="宋体" w:cs="宋体"/>
          <w:color w:val="auto"/>
          <w:sz w:val="24"/>
        </w:rPr>
      </w:pPr>
      <w:r>
        <w:rPr>
          <w:rFonts w:hint="eastAsia" w:ascii="宋体" w:hAnsi="宋体" w:cs="宋体"/>
          <w:color w:val="auto"/>
          <w:sz w:val="24"/>
        </w:rPr>
        <w:t>（2）对于投标文件报价出现前后不一致的，除招标文件另有规定外，按照下列规定修正：</w:t>
      </w:r>
    </w:p>
    <w:p>
      <w:pPr>
        <w:spacing w:line="360" w:lineRule="auto"/>
        <w:ind w:firstLine="480" w:firstLineChars="200"/>
        <w:rPr>
          <w:rFonts w:ascii="宋体" w:hAnsi="宋体" w:cs="宋体"/>
          <w:color w:val="auto"/>
          <w:sz w:val="24"/>
        </w:rPr>
      </w:pPr>
      <w:r>
        <w:rPr>
          <w:rFonts w:hint="eastAsia" w:ascii="宋体" w:hAnsi="宋体" w:cs="宋体"/>
          <w:color w:val="auto"/>
          <w:sz w:val="24"/>
        </w:rPr>
        <w:t>①‘政府采购云平台’上开启的投标报价与电子投标文件中开标一览表（报价表）内容不一致的，以电子投标文件中开标一览表（报价表）为准。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color w:val="auto"/>
          <w:sz w:val="24"/>
        </w:rPr>
      </w:pPr>
      <w:r>
        <w:rPr>
          <w:rFonts w:hint="eastAsia" w:ascii="宋体" w:hAnsi="宋体" w:cs="宋体"/>
          <w:color w:val="auto"/>
          <w:sz w:val="24"/>
        </w:rPr>
        <w:t>②投标文件中开标一览表（报价表）内容与投标文件中相应内容不一致的，以开标一览表（报价表）为准；</w:t>
      </w:r>
    </w:p>
    <w:p>
      <w:pPr>
        <w:spacing w:line="360" w:lineRule="auto"/>
        <w:ind w:firstLine="480" w:firstLineChars="200"/>
        <w:rPr>
          <w:rFonts w:ascii="宋体" w:hAnsi="宋体" w:cs="宋体"/>
          <w:color w:val="auto"/>
          <w:sz w:val="24"/>
        </w:rPr>
      </w:pPr>
      <w:r>
        <w:rPr>
          <w:rFonts w:hint="eastAsia" w:ascii="宋体" w:hAnsi="宋体" w:cs="宋体"/>
          <w:color w:val="auto"/>
          <w:sz w:val="24"/>
        </w:rPr>
        <w:t>③大写金额和小写金额不一致的，以大写金额为准；</w:t>
      </w:r>
    </w:p>
    <w:p>
      <w:pPr>
        <w:spacing w:line="360" w:lineRule="auto"/>
        <w:ind w:firstLine="480" w:firstLineChars="200"/>
        <w:rPr>
          <w:rFonts w:ascii="宋体" w:hAnsi="宋体" w:cs="宋体"/>
          <w:color w:val="auto"/>
          <w:sz w:val="24"/>
        </w:rPr>
      </w:pPr>
      <w:r>
        <w:rPr>
          <w:rFonts w:hint="eastAsia" w:ascii="宋体" w:hAnsi="宋体" w:cs="宋体"/>
          <w:color w:val="auto"/>
          <w:sz w:val="24"/>
        </w:rPr>
        <w:t>④单价金额小数点或者百分比有明显错位的，以开标一览表的总价为准，并修改单价；</w:t>
      </w:r>
    </w:p>
    <w:p>
      <w:pPr>
        <w:spacing w:line="360" w:lineRule="auto"/>
        <w:ind w:firstLine="480" w:firstLineChars="200"/>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 5 \* GB3 \* MERGEFORMAT </w:instrText>
      </w:r>
      <w:r>
        <w:rPr>
          <w:rFonts w:hint="eastAsia" w:ascii="宋体" w:hAnsi="宋体" w:cs="宋体"/>
          <w:color w:val="auto"/>
          <w:sz w:val="24"/>
        </w:rPr>
        <w:fldChar w:fldCharType="separate"/>
      </w:r>
      <w:r>
        <w:rPr>
          <w:rFonts w:hint="eastAsia" w:ascii="宋体" w:hAnsi="宋体" w:cs="宋体"/>
          <w:color w:val="auto"/>
          <w:sz w:val="24"/>
        </w:rPr>
        <w:t>⑤</w:t>
      </w:r>
      <w:r>
        <w:rPr>
          <w:rFonts w:hint="eastAsia" w:ascii="宋体" w:hAnsi="宋体" w:cs="宋体"/>
          <w:color w:val="auto"/>
          <w:sz w:val="24"/>
        </w:rPr>
        <w:fldChar w:fldCharType="end"/>
      </w:r>
      <w:r>
        <w:rPr>
          <w:rFonts w:hint="eastAsia" w:ascii="宋体" w:hAnsi="宋体" w:cs="宋体"/>
          <w:color w:val="auto"/>
          <w:sz w:val="24"/>
        </w:rPr>
        <w:t>总价金额与按单价汇总金额不一致的，以单价金额计算结果为准。</w:t>
      </w:r>
    </w:p>
    <w:p>
      <w:pPr>
        <w:spacing w:line="360" w:lineRule="auto"/>
        <w:ind w:firstLine="480" w:firstLineChars="200"/>
        <w:rPr>
          <w:rFonts w:ascii="宋体" w:hAnsi="宋体" w:cs="宋体"/>
          <w:color w:val="auto"/>
          <w:sz w:val="24"/>
        </w:rPr>
      </w:pPr>
      <w:r>
        <w:rPr>
          <w:rFonts w:hint="eastAsia" w:ascii="宋体" w:hAnsi="宋体" w:cs="宋体"/>
          <w:color w:val="auto"/>
          <w:sz w:val="24"/>
        </w:rPr>
        <w:t>同时出现两种以上不一致的，按照前款规定的顺序修正。修正应当采用电子询标的形式，并加盖公章（电子印章）。</w:t>
      </w:r>
    </w:p>
    <w:p>
      <w:pPr>
        <w:spacing w:line="360" w:lineRule="auto"/>
        <w:ind w:firstLine="480" w:firstLineChars="200"/>
        <w:rPr>
          <w:rFonts w:ascii="宋体" w:hAnsi="宋体" w:cs="宋体"/>
          <w:color w:val="auto"/>
          <w:sz w:val="24"/>
        </w:rPr>
      </w:pPr>
      <w:r>
        <w:rPr>
          <w:rFonts w:hint="eastAsia" w:ascii="宋体" w:hAnsi="宋体" w:cs="宋体"/>
          <w:color w:val="auto"/>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color w:val="auto"/>
          <w:sz w:val="24"/>
        </w:rPr>
      </w:pPr>
      <w:r>
        <w:rPr>
          <w:rFonts w:hint="eastAsia" w:ascii="宋体" w:hAnsi="宋体" w:cs="宋体"/>
          <w:color w:val="auto"/>
          <w:sz w:val="24"/>
        </w:rPr>
        <w:t>（4）投标人的澄清、说明或者补正采用书面形式，并加盖公章（电子印章）或者由法定代表人或授权委托代理人签字，且不得超出投标文件的范围或者改变投标文件的实质性内容。</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（四）结果汇总及排序</w:t>
      </w:r>
    </w:p>
    <w:p>
      <w:pPr>
        <w:spacing w:line="360" w:lineRule="auto"/>
        <w:ind w:firstLine="480" w:firstLineChars="200"/>
        <w:rPr>
          <w:rFonts w:ascii="宋体" w:hAnsi="宋体" w:cs="宋体"/>
          <w:color w:val="auto"/>
          <w:sz w:val="24"/>
        </w:rPr>
      </w:pPr>
      <w:r>
        <w:rPr>
          <w:rFonts w:hint="eastAsia" w:ascii="宋体" w:hAnsi="宋体" w:cs="宋体"/>
          <w:color w:val="auto"/>
          <w:sz w:val="24"/>
        </w:rPr>
        <w:t>评标委员会各成员应当独立对每个投标人的投标文件进行评价，并汇总每个投标人的得分。</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rPr>
        <w:t>1.评标结果按评审后综合得分由高到低顺序排列。</w:t>
      </w:r>
      <w:r>
        <w:rPr>
          <w:rFonts w:hint="eastAsia" w:ascii="宋体" w:hAnsi="宋体" w:cs="宋体"/>
          <w:color w:val="auto"/>
          <w:sz w:val="24"/>
          <w:lang w:val="zh-CN"/>
        </w:rPr>
        <w:t>得分相同</w:t>
      </w:r>
      <w:r>
        <w:rPr>
          <w:rFonts w:hint="eastAsia" w:ascii="宋体" w:hAnsi="宋体" w:cs="宋体"/>
          <w:color w:val="auto"/>
          <w:sz w:val="24"/>
        </w:rPr>
        <w:t>的</w:t>
      </w:r>
      <w:r>
        <w:rPr>
          <w:rFonts w:hint="eastAsia" w:ascii="宋体" w:hAnsi="宋体" w:cs="宋体"/>
          <w:color w:val="auto"/>
          <w:sz w:val="24"/>
          <w:lang w:val="zh-CN"/>
        </w:rPr>
        <w:t>，</w:t>
      </w:r>
      <w:r>
        <w:rPr>
          <w:rFonts w:hint="eastAsia" w:ascii="宋体" w:hAnsi="宋体" w:cs="宋体"/>
          <w:color w:val="auto"/>
          <w:sz w:val="24"/>
        </w:rPr>
        <w:t>按</w:t>
      </w:r>
      <w:r>
        <w:rPr>
          <w:rFonts w:hint="eastAsia" w:ascii="宋体" w:hAnsi="宋体" w:cs="宋体"/>
          <w:color w:val="auto"/>
          <w:sz w:val="24"/>
          <w:lang w:val="zh-CN"/>
        </w:rPr>
        <w:t>投标报价</w:t>
      </w:r>
      <w:r>
        <w:rPr>
          <w:rFonts w:hint="eastAsia" w:ascii="宋体" w:hAnsi="宋体" w:cs="宋体"/>
          <w:color w:val="auto"/>
          <w:sz w:val="24"/>
        </w:rPr>
        <w:t>由</w:t>
      </w:r>
      <w:r>
        <w:rPr>
          <w:rFonts w:hint="eastAsia" w:ascii="宋体" w:hAnsi="宋体" w:cs="宋体"/>
          <w:color w:val="auto"/>
          <w:sz w:val="24"/>
          <w:lang w:val="zh-CN"/>
        </w:rPr>
        <w:t>低</w:t>
      </w:r>
      <w:r>
        <w:rPr>
          <w:rFonts w:hint="eastAsia" w:ascii="宋体" w:hAnsi="宋体" w:cs="宋体"/>
          <w:color w:val="auto"/>
          <w:sz w:val="24"/>
        </w:rPr>
        <w:t>到高顺序排列。</w:t>
      </w:r>
      <w:r>
        <w:rPr>
          <w:rFonts w:hint="eastAsia" w:ascii="宋体" w:hAnsi="宋体" w:cs="宋体"/>
          <w:color w:val="auto"/>
          <w:sz w:val="24"/>
          <w:lang w:val="zh-CN"/>
        </w:rPr>
        <w:t>得分且投标报价相同的</w:t>
      </w:r>
      <w:r>
        <w:rPr>
          <w:rFonts w:hint="eastAsia" w:ascii="宋体" w:hAnsi="宋体" w:cs="宋体"/>
          <w:color w:val="auto"/>
          <w:sz w:val="24"/>
        </w:rPr>
        <w:t>并列</w:t>
      </w:r>
      <w:r>
        <w:rPr>
          <w:rFonts w:hint="eastAsia" w:ascii="宋体" w:hAnsi="宋体" w:cs="宋体"/>
          <w:color w:val="auto"/>
          <w:sz w:val="24"/>
          <w:lang w:val="zh-CN"/>
        </w:rPr>
        <w:t>。</w:t>
      </w:r>
      <w:r>
        <w:rPr>
          <w:rFonts w:hint="eastAsia" w:ascii="宋体" w:hAnsi="宋体" w:cs="宋体"/>
          <w:color w:val="auto"/>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提供相同品牌产品的，</w:t>
      </w:r>
      <w:r>
        <w:rPr>
          <w:rFonts w:hint="eastAsia" w:ascii="宋体" w:hAnsi="宋体" w:cs="宋体"/>
          <w:color w:val="auto"/>
          <w:sz w:val="24"/>
        </w:rPr>
        <w:t>参照《政府采购货物和服务招标投标管理办法》（第87号令）第三十一条有关规定执行</w:t>
      </w:r>
      <w:r>
        <w:rPr>
          <w:rFonts w:hint="eastAsia" w:ascii="宋体" w:hAnsi="宋体" w:cs="宋体"/>
          <w:color w:val="auto"/>
          <w:sz w:val="24"/>
          <w:lang w:val="zh-CN"/>
        </w:rPr>
        <w:t>。</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（五）评标报告撰写</w:t>
      </w:r>
    </w:p>
    <w:p>
      <w:pPr>
        <w:spacing w:line="360" w:lineRule="auto"/>
        <w:ind w:firstLine="480" w:firstLineChars="200"/>
        <w:rPr>
          <w:rFonts w:ascii="宋体" w:hAnsi="宋体" w:cs="宋体"/>
          <w:color w:val="auto"/>
          <w:sz w:val="24"/>
        </w:rPr>
      </w:pPr>
      <w:r>
        <w:rPr>
          <w:rFonts w:hint="eastAsia" w:ascii="宋体" w:hAnsi="宋体" w:cs="宋体"/>
          <w:color w:val="auto"/>
          <w:sz w:val="24"/>
        </w:rPr>
        <w:t>评标委员会根据全体评标成员签字的原始评标记录和评标结果编写评标报告。</w:t>
      </w: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pStyle w:val="20"/>
        <w:spacing w:before="0" w:beforeAutospacing="0" w:after="0" w:afterAutospacing="0" w:line="360" w:lineRule="auto"/>
        <w:ind w:firstLine="482" w:firstLineChars="200"/>
        <w:jc w:val="both"/>
        <w:rPr>
          <w:rFonts w:hint="default" w:cs="宋体"/>
          <w:b/>
          <w:bCs/>
          <w:color w:val="auto"/>
        </w:rPr>
      </w:pPr>
    </w:p>
    <w:p>
      <w:pPr>
        <w:spacing w:line="360" w:lineRule="auto"/>
        <w:jc w:val="center"/>
        <w:rPr>
          <w:rFonts w:ascii="宋体" w:hAnsi="宋体" w:cs="宋体"/>
          <w:b/>
          <w:color w:val="auto"/>
          <w:sz w:val="24"/>
        </w:rPr>
      </w:pPr>
      <w:bookmarkStart w:id="39" w:name="_Toc27944_WPSOffice_Level1"/>
      <w:r>
        <w:rPr>
          <w:rFonts w:hint="eastAsia" w:ascii="宋体" w:hAnsi="宋体" w:cs="宋体"/>
          <w:b/>
          <w:color w:val="auto"/>
          <w:sz w:val="24"/>
        </w:rPr>
        <w:t xml:space="preserve">第五章 </w:t>
      </w:r>
      <w:bookmarkEnd w:id="39"/>
      <w:r>
        <w:rPr>
          <w:rFonts w:hint="eastAsia" w:ascii="宋体" w:hAnsi="宋体" w:cs="宋体"/>
          <w:b/>
          <w:color w:val="auto"/>
          <w:sz w:val="24"/>
        </w:rPr>
        <w:t>拟签订的合同文本</w:t>
      </w:r>
    </w:p>
    <w:p>
      <w:pPr>
        <w:widowControl/>
        <w:spacing w:line="360" w:lineRule="auto"/>
        <w:ind w:firstLine="480" w:firstLineChars="200"/>
        <w:rPr>
          <w:rFonts w:ascii="宋体" w:hAnsi="宋体" w:cs="宋体"/>
          <w:color w:val="auto"/>
          <w:sz w:val="24"/>
        </w:rPr>
      </w:pPr>
      <w:r>
        <w:rPr>
          <w:rFonts w:hint="eastAsia" w:ascii="宋体" w:hAnsi="宋体" w:cs="宋体"/>
          <w:color w:val="auto"/>
          <w:sz w:val="24"/>
        </w:rPr>
        <w:t>以下为成交后签订本项目合同的通用条款，中标人不得提出实质性的修改，关于专用条款将由采购人与中标人结合本项目具体情况协商后签订。</w:t>
      </w:r>
    </w:p>
    <w:p>
      <w:pPr>
        <w:pStyle w:val="15"/>
        <w:snapToGrid w:val="0"/>
        <w:spacing w:line="360" w:lineRule="auto"/>
        <w:rPr>
          <w:rFonts w:hAnsi="宋体"/>
          <w:color w:val="auto"/>
          <w:sz w:val="24"/>
        </w:rPr>
      </w:pPr>
      <w:r>
        <w:rPr>
          <w:rFonts w:hint="eastAsia" w:hAnsi="宋体"/>
          <w:color w:val="auto"/>
          <w:sz w:val="24"/>
        </w:rPr>
        <w:t xml:space="preserve">项目名称：                                </w:t>
      </w:r>
    </w:p>
    <w:p>
      <w:pPr>
        <w:pStyle w:val="15"/>
        <w:snapToGrid w:val="0"/>
        <w:spacing w:line="360" w:lineRule="auto"/>
        <w:rPr>
          <w:rFonts w:hAnsi="宋体"/>
          <w:color w:val="auto"/>
          <w:sz w:val="24"/>
        </w:rPr>
      </w:pPr>
      <w:r>
        <w:rPr>
          <w:rFonts w:hint="eastAsia" w:hAnsi="宋体"/>
          <w:color w:val="auto"/>
          <w:sz w:val="24"/>
        </w:rPr>
        <w:t>项目编号：</w:t>
      </w:r>
    </w:p>
    <w:p>
      <w:pPr>
        <w:pStyle w:val="15"/>
        <w:snapToGrid w:val="0"/>
        <w:spacing w:line="360" w:lineRule="auto"/>
        <w:rPr>
          <w:rFonts w:hAnsi="宋体"/>
          <w:color w:val="auto"/>
          <w:sz w:val="24"/>
        </w:rPr>
      </w:pPr>
      <w:r>
        <w:rPr>
          <w:rFonts w:hint="eastAsia" w:hAnsi="宋体"/>
          <w:color w:val="auto"/>
          <w:sz w:val="24"/>
        </w:rPr>
        <w:t xml:space="preserve">甲方（采购单位）：                                  </w:t>
      </w:r>
    </w:p>
    <w:p>
      <w:pPr>
        <w:pStyle w:val="15"/>
        <w:snapToGrid w:val="0"/>
        <w:spacing w:line="360" w:lineRule="auto"/>
        <w:rPr>
          <w:rFonts w:hAnsi="宋体"/>
          <w:color w:val="auto"/>
          <w:sz w:val="24"/>
        </w:rPr>
      </w:pPr>
      <w:r>
        <w:rPr>
          <w:rFonts w:hint="eastAsia" w:hAnsi="宋体"/>
          <w:color w:val="auto"/>
          <w:sz w:val="24"/>
        </w:rPr>
        <w:t xml:space="preserve">乙方（中标人）：                          </w:t>
      </w:r>
    </w:p>
    <w:p>
      <w:pPr>
        <w:pStyle w:val="15"/>
        <w:snapToGrid w:val="0"/>
        <w:spacing w:line="360" w:lineRule="auto"/>
        <w:ind w:firstLine="480" w:firstLineChars="200"/>
        <w:rPr>
          <w:rFonts w:hAnsi="宋体"/>
          <w:b/>
          <w:color w:val="auto"/>
          <w:sz w:val="24"/>
        </w:rPr>
      </w:pPr>
      <w:r>
        <w:rPr>
          <w:rFonts w:hint="eastAsia" w:hAnsi="宋体"/>
          <w:color w:val="auto"/>
          <w:sz w:val="24"/>
        </w:rPr>
        <w:t>甲、乙双方根据××（采购组织机构名称）关于××单位××项目公开招标的结果，签署本合同。</w:t>
      </w:r>
    </w:p>
    <w:p>
      <w:pPr>
        <w:spacing w:line="360" w:lineRule="auto"/>
        <w:ind w:firstLine="482" w:firstLineChars="200"/>
        <w:rPr>
          <w:rFonts w:ascii="宋体" w:hAnsi="宋体" w:cs="宋体"/>
          <w:b/>
          <w:bCs/>
          <w:color w:val="auto"/>
          <w:sz w:val="24"/>
          <w:lang w:val="zh-CN"/>
        </w:rPr>
      </w:pPr>
      <w:r>
        <w:rPr>
          <w:rFonts w:hint="eastAsia" w:ascii="宋体" w:hAnsi="宋体" w:cs="宋体"/>
          <w:b/>
          <w:bCs/>
          <w:color w:val="auto"/>
          <w:sz w:val="24"/>
          <w:lang w:val="zh-CN"/>
        </w:rPr>
        <w:t xml:space="preserve">一、合同文件： </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w:t>
      </w:r>
      <w:r>
        <w:rPr>
          <w:rFonts w:hint="eastAsia" w:ascii="宋体" w:hAnsi="宋体" w:cs="宋体"/>
          <w:color w:val="auto"/>
          <w:sz w:val="24"/>
        </w:rPr>
        <w:t>一</w:t>
      </w:r>
      <w:r>
        <w:rPr>
          <w:rFonts w:hint="eastAsia" w:ascii="宋体" w:hAnsi="宋体" w:cs="宋体"/>
          <w:color w:val="auto"/>
          <w:sz w:val="24"/>
          <w:lang w:val="zh-CN"/>
        </w:rPr>
        <w:t>）合同条款。</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rPr>
        <w:t>（二）</w:t>
      </w:r>
      <w:r>
        <w:rPr>
          <w:rFonts w:hint="eastAsia" w:ascii="宋体" w:hAnsi="宋体" w:cs="宋体"/>
          <w:color w:val="auto"/>
          <w:sz w:val="24"/>
          <w:lang w:val="zh-CN"/>
        </w:rPr>
        <w:t>中标通知书。</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rPr>
        <w:t>（三）</w:t>
      </w:r>
      <w:r>
        <w:rPr>
          <w:rFonts w:hint="eastAsia" w:ascii="宋体" w:hAnsi="宋体" w:cs="宋体"/>
          <w:color w:val="auto"/>
          <w:sz w:val="24"/>
          <w:lang w:val="zh-CN"/>
        </w:rPr>
        <w:t>更正补充文件。</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w:t>
      </w:r>
      <w:r>
        <w:rPr>
          <w:rFonts w:hint="eastAsia" w:ascii="宋体" w:hAnsi="宋体" w:cs="宋体"/>
          <w:color w:val="auto"/>
          <w:sz w:val="24"/>
        </w:rPr>
        <w:t>四</w:t>
      </w:r>
      <w:r>
        <w:rPr>
          <w:rFonts w:hint="eastAsia" w:ascii="宋体" w:hAnsi="宋体" w:cs="宋体"/>
          <w:color w:val="auto"/>
          <w:sz w:val="24"/>
          <w:lang w:val="zh-CN"/>
        </w:rPr>
        <w:t>）招标文件。</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rPr>
        <w:t>（五）</w:t>
      </w:r>
      <w:r>
        <w:rPr>
          <w:rFonts w:hint="eastAsia" w:ascii="宋体" w:hAnsi="宋体" w:cs="宋体"/>
          <w:color w:val="auto"/>
          <w:sz w:val="24"/>
          <w:lang w:val="zh-CN"/>
        </w:rPr>
        <w:t>中标</w:t>
      </w:r>
      <w:r>
        <w:rPr>
          <w:rFonts w:hint="eastAsia" w:ascii="宋体" w:hAnsi="宋体" w:cs="宋体"/>
          <w:color w:val="auto"/>
          <w:sz w:val="24"/>
        </w:rPr>
        <w:t>人</w:t>
      </w:r>
      <w:r>
        <w:rPr>
          <w:rFonts w:hint="eastAsia" w:ascii="宋体" w:hAnsi="宋体" w:cs="宋体"/>
          <w:color w:val="auto"/>
          <w:sz w:val="24"/>
          <w:lang w:val="zh-CN"/>
        </w:rPr>
        <w:t>投标文件。</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w:t>
      </w:r>
      <w:r>
        <w:rPr>
          <w:rFonts w:hint="eastAsia" w:ascii="宋体" w:hAnsi="宋体" w:cs="宋体"/>
          <w:color w:val="auto"/>
          <w:sz w:val="24"/>
        </w:rPr>
        <w:t>六</w:t>
      </w:r>
      <w:r>
        <w:rPr>
          <w:rFonts w:hint="eastAsia" w:ascii="宋体" w:hAnsi="宋体" w:cs="宋体"/>
          <w:color w:val="auto"/>
          <w:sz w:val="24"/>
          <w:lang w:val="zh-CN"/>
        </w:rPr>
        <w:t>）其他。</w:t>
      </w:r>
    </w:p>
    <w:p>
      <w:pPr>
        <w:pStyle w:val="15"/>
        <w:snapToGrid w:val="0"/>
        <w:spacing w:line="360" w:lineRule="auto"/>
        <w:ind w:firstLine="480" w:firstLineChars="200"/>
        <w:rPr>
          <w:rFonts w:hAnsi="宋体"/>
          <w:color w:val="auto"/>
          <w:sz w:val="24"/>
          <w:lang w:val="zh-CN"/>
        </w:rPr>
      </w:pPr>
      <w:r>
        <w:rPr>
          <w:rFonts w:hint="eastAsia" w:hAnsi="宋体"/>
          <w:color w:val="auto"/>
          <w:sz w:val="24"/>
          <w:lang w:val="zh-CN"/>
        </w:rPr>
        <w:t>上述所指合同文件应认为是互相补充和解释的，但是有模棱两可或互相矛盾之处，以其所列内容顺序为准。</w:t>
      </w:r>
    </w:p>
    <w:p>
      <w:pPr>
        <w:pStyle w:val="15"/>
        <w:snapToGrid w:val="0"/>
        <w:spacing w:line="360" w:lineRule="auto"/>
        <w:ind w:firstLine="482" w:firstLineChars="200"/>
        <w:rPr>
          <w:rFonts w:hAnsi="宋体"/>
          <w:b/>
          <w:color w:val="auto"/>
          <w:sz w:val="24"/>
        </w:rPr>
      </w:pPr>
      <w:r>
        <w:rPr>
          <w:rFonts w:hint="eastAsia" w:hAnsi="宋体"/>
          <w:b/>
          <w:color w:val="auto"/>
          <w:sz w:val="24"/>
        </w:rPr>
        <w:t>二、合同内容及服务标准</w:t>
      </w:r>
    </w:p>
    <w:p>
      <w:pPr>
        <w:pStyle w:val="15"/>
        <w:snapToGrid w:val="0"/>
        <w:spacing w:line="360" w:lineRule="auto"/>
        <w:ind w:firstLine="480" w:firstLineChars="200"/>
        <w:rPr>
          <w:rFonts w:hAnsi="宋体"/>
          <w:color w:val="auto"/>
          <w:sz w:val="24"/>
        </w:rPr>
      </w:pPr>
      <w:r>
        <w:rPr>
          <w:rFonts w:hint="eastAsia" w:hAnsi="宋体"/>
          <w:color w:val="auto"/>
          <w:sz w:val="24"/>
        </w:rPr>
        <w:t>（具体见项目需求）</w:t>
      </w:r>
    </w:p>
    <w:p>
      <w:pPr>
        <w:pStyle w:val="15"/>
        <w:snapToGrid w:val="0"/>
        <w:spacing w:line="360" w:lineRule="auto"/>
        <w:ind w:firstLine="482" w:firstLineChars="200"/>
        <w:rPr>
          <w:rFonts w:hAnsi="宋体"/>
          <w:b/>
          <w:color w:val="auto"/>
          <w:sz w:val="24"/>
        </w:rPr>
      </w:pPr>
      <w:r>
        <w:rPr>
          <w:rFonts w:hint="eastAsia" w:hAnsi="宋体"/>
          <w:b/>
          <w:color w:val="auto"/>
          <w:sz w:val="24"/>
        </w:rPr>
        <w:t>三、合同金额</w:t>
      </w:r>
    </w:p>
    <w:p>
      <w:pPr>
        <w:pStyle w:val="15"/>
        <w:snapToGrid w:val="0"/>
        <w:spacing w:line="360" w:lineRule="auto"/>
        <w:ind w:firstLine="480" w:firstLineChars="200"/>
        <w:rPr>
          <w:rFonts w:hAnsi="宋体"/>
          <w:color w:val="auto"/>
          <w:sz w:val="24"/>
        </w:rPr>
      </w:pPr>
      <w:r>
        <w:rPr>
          <w:rFonts w:hint="eastAsia" w:hAnsi="宋体"/>
          <w:color w:val="auto"/>
          <w:sz w:val="24"/>
        </w:rPr>
        <w:t>本合同金额为（大写）：______________________元（￥__________元）人民币。</w:t>
      </w:r>
    </w:p>
    <w:p>
      <w:pPr>
        <w:pStyle w:val="15"/>
        <w:snapToGrid w:val="0"/>
        <w:spacing w:line="360" w:lineRule="auto"/>
        <w:ind w:firstLine="482" w:firstLineChars="200"/>
        <w:rPr>
          <w:rFonts w:hAnsi="宋体"/>
          <w:b/>
          <w:color w:val="auto"/>
          <w:sz w:val="24"/>
        </w:rPr>
      </w:pPr>
      <w:r>
        <w:rPr>
          <w:rFonts w:hint="eastAsia" w:hAnsi="宋体"/>
          <w:b/>
          <w:color w:val="auto"/>
          <w:sz w:val="24"/>
        </w:rPr>
        <w:t>四、甲乙双方责任</w:t>
      </w:r>
    </w:p>
    <w:p>
      <w:pPr>
        <w:pStyle w:val="15"/>
        <w:snapToGrid w:val="0"/>
        <w:spacing w:line="360" w:lineRule="auto"/>
        <w:ind w:firstLine="480" w:firstLineChars="200"/>
        <w:rPr>
          <w:rFonts w:hAnsi="宋体"/>
          <w:bCs/>
          <w:color w:val="auto"/>
          <w:sz w:val="24"/>
        </w:rPr>
      </w:pPr>
      <w:r>
        <w:rPr>
          <w:rFonts w:hint="eastAsia" w:hAnsi="宋体"/>
          <w:bCs/>
          <w:color w:val="auto"/>
          <w:sz w:val="24"/>
        </w:rPr>
        <w:t>（一）甲方责任</w:t>
      </w:r>
    </w:p>
    <w:p>
      <w:pPr>
        <w:pStyle w:val="15"/>
        <w:snapToGrid w:val="0"/>
        <w:spacing w:line="360" w:lineRule="auto"/>
        <w:ind w:firstLine="480" w:firstLineChars="200"/>
        <w:rPr>
          <w:rFonts w:hAnsi="宋体"/>
          <w:bCs/>
          <w:color w:val="auto"/>
          <w:sz w:val="24"/>
        </w:rPr>
      </w:pPr>
      <w:r>
        <w:rPr>
          <w:rFonts w:hint="eastAsia" w:hAnsi="宋体"/>
          <w:bCs/>
          <w:color w:val="auto"/>
          <w:sz w:val="24"/>
        </w:rPr>
        <w:t>（根据招标结果确定）</w:t>
      </w:r>
    </w:p>
    <w:p>
      <w:pPr>
        <w:pStyle w:val="15"/>
        <w:snapToGrid w:val="0"/>
        <w:spacing w:line="360" w:lineRule="auto"/>
        <w:ind w:firstLine="480" w:firstLineChars="200"/>
        <w:rPr>
          <w:rFonts w:hAnsi="宋体"/>
          <w:bCs/>
          <w:color w:val="auto"/>
          <w:sz w:val="24"/>
        </w:rPr>
      </w:pPr>
      <w:r>
        <w:rPr>
          <w:rFonts w:hint="eastAsia" w:hAnsi="宋体"/>
          <w:bCs/>
          <w:color w:val="auto"/>
          <w:sz w:val="24"/>
        </w:rPr>
        <w:t>（二）乙方责任</w:t>
      </w:r>
    </w:p>
    <w:p>
      <w:pPr>
        <w:pStyle w:val="15"/>
        <w:snapToGrid w:val="0"/>
        <w:spacing w:line="360" w:lineRule="auto"/>
        <w:ind w:firstLine="480" w:firstLineChars="200"/>
        <w:rPr>
          <w:rFonts w:hAnsi="宋体"/>
          <w:color w:val="auto"/>
          <w:sz w:val="24"/>
        </w:rPr>
      </w:pPr>
      <w:r>
        <w:rPr>
          <w:rFonts w:hint="eastAsia" w:hAnsi="宋体"/>
          <w:bCs/>
          <w:color w:val="auto"/>
          <w:sz w:val="24"/>
        </w:rPr>
        <w:t>（根据招标结果确定）</w:t>
      </w:r>
      <w:r>
        <w:rPr>
          <w:rFonts w:hint="eastAsia" w:hAnsi="宋体"/>
          <w:color w:val="auto"/>
          <w:sz w:val="24"/>
        </w:rPr>
        <w:t>。</w:t>
      </w:r>
    </w:p>
    <w:p>
      <w:pPr>
        <w:pStyle w:val="15"/>
        <w:snapToGrid w:val="0"/>
        <w:spacing w:line="360" w:lineRule="auto"/>
        <w:ind w:firstLine="482" w:firstLineChars="200"/>
        <w:rPr>
          <w:rFonts w:hAnsi="宋体"/>
          <w:b/>
          <w:color w:val="auto"/>
          <w:sz w:val="24"/>
        </w:rPr>
      </w:pPr>
      <w:r>
        <w:rPr>
          <w:rFonts w:hint="eastAsia" w:hAnsi="宋体"/>
          <w:b/>
          <w:color w:val="auto"/>
          <w:sz w:val="24"/>
        </w:rPr>
        <w:t>五、技术资料</w:t>
      </w:r>
    </w:p>
    <w:p>
      <w:pPr>
        <w:pStyle w:val="15"/>
        <w:snapToGrid w:val="0"/>
        <w:spacing w:line="360" w:lineRule="auto"/>
        <w:ind w:firstLine="480" w:firstLineChars="200"/>
        <w:rPr>
          <w:rFonts w:hAnsi="宋体"/>
          <w:bCs/>
          <w:color w:val="auto"/>
          <w:sz w:val="24"/>
        </w:rPr>
      </w:pPr>
      <w:r>
        <w:rPr>
          <w:rFonts w:hint="eastAsia" w:hAnsi="宋体"/>
          <w:bCs/>
          <w:color w:val="auto"/>
          <w:sz w:val="24"/>
        </w:rPr>
        <w:t>（一）乙方应按招标文件规定的时间向甲方提供有关技术资料。</w:t>
      </w:r>
    </w:p>
    <w:p>
      <w:pPr>
        <w:pStyle w:val="15"/>
        <w:snapToGrid w:val="0"/>
        <w:spacing w:line="360" w:lineRule="auto"/>
        <w:ind w:firstLine="480" w:firstLineChars="200"/>
        <w:rPr>
          <w:rFonts w:hAnsi="宋体"/>
          <w:bCs/>
          <w:color w:val="auto"/>
          <w:sz w:val="24"/>
        </w:rPr>
      </w:pPr>
      <w:r>
        <w:rPr>
          <w:rFonts w:hint="eastAsia" w:hAnsi="宋体"/>
          <w:bCs/>
          <w:color w:val="auto"/>
          <w:sz w:val="24"/>
        </w:rPr>
        <w:t>（二）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5"/>
        <w:snapToGrid w:val="0"/>
        <w:spacing w:line="360" w:lineRule="auto"/>
        <w:ind w:firstLine="482" w:firstLineChars="200"/>
        <w:rPr>
          <w:rFonts w:hAnsi="宋体"/>
          <w:b/>
          <w:color w:val="auto"/>
          <w:sz w:val="24"/>
        </w:rPr>
      </w:pPr>
      <w:r>
        <w:rPr>
          <w:rFonts w:hint="eastAsia" w:hAnsi="宋体"/>
          <w:b/>
          <w:color w:val="auto"/>
          <w:sz w:val="24"/>
        </w:rPr>
        <w:t>六、知识产权</w:t>
      </w:r>
    </w:p>
    <w:p>
      <w:pPr>
        <w:pStyle w:val="15"/>
        <w:snapToGrid w:val="0"/>
        <w:spacing w:line="360" w:lineRule="auto"/>
        <w:ind w:firstLine="480" w:firstLineChars="200"/>
        <w:rPr>
          <w:rFonts w:hAnsi="宋体"/>
          <w:bCs/>
          <w:color w:val="auto"/>
          <w:sz w:val="24"/>
        </w:rPr>
      </w:pPr>
      <w:r>
        <w:rPr>
          <w:rFonts w:hint="eastAsia" w:hAnsi="宋体"/>
          <w:bCs/>
          <w:color w:val="auto"/>
          <w:sz w:val="24"/>
        </w:rPr>
        <w:t>（一）乙方应保证提供服务过程中不会侵犯任何第三方的知识产权。</w:t>
      </w:r>
    </w:p>
    <w:p>
      <w:pPr>
        <w:pStyle w:val="15"/>
        <w:snapToGrid w:val="0"/>
        <w:spacing w:line="360" w:lineRule="auto"/>
        <w:ind w:firstLine="480" w:firstLineChars="200"/>
        <w:rPr>
          <w:rFonts w:hAnsi="宋体"/>
          <w:bCs/>
          <w:color w:val="auto"/>
          <w:sz w:val="24"/>
          <w:u w:val="single"/>
        </w:rPr>
      </w:pPr>
      <w:r>
        <w:rPr>
          <w:rFonts w:hint="eastAsia" w:hAnsi="宋体"/>
          <w:bCs/>
          <w:color w:val="auto"/>
          <w:sz w:val="24"/>
        </w:rPr>
        <w:t>（二）若侵犯,由乙方赔偿甲方因此遭受的损失（包括但不限于应对及追偿过程中所支付的律师费、差旅费、诉讼费、保全费、鉴定费、评估费等）。</w:t>
      </w:r>
    </w:p>
    <w:p>
      <w:pPr>
        <w:pStyle w:val="15"/>
        <w:snapToGrid w:val="0"/>
        <w:spacing w:line="360" w:lineRule="auto"/>
        <w:ind w:firstLine="482" w:firstLineChars="200"/>
        <w:rPr>
          <w:rFonts w:hAnsi="宋体"/>
          <w:b/>
          <w:color w:val="auto"/>
          <w:sz w:val="24"/>
        </w:rPr>
      </w:pPr>
      <w:r>
        <w:rPr>
          <w:rFonts w:hint="eastAsia" w:hAnsi="宋体"/>
          <w:b/>
          <w:color w:val="auto"/>
          <w:sz w:val="24"/>
        </w:rPr>
        <w:t>七、履约保证金</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本项目履约保证金为合同金额的_1_% 。[履约保证金交至</w:t>
      </w:r>
      <w:r>
        <w:rPr>
          <w:rFonts w:hint="eastAsia" w:ascii="宋体" w:hAnsi="宋体" w:cs="宋体"/>
          <w:color w:val="auto"/>
          <w:sz w:val="24"/>
          <w:lang w:val="en-US" w:eastAsia="zh-CN"/>
        </w:rPr>
        <w:t>甲方</w:t>
      </w:r>
      <w:r>
        <w:rPr>
          <w:rFonts w:hint="eastAsia" w:ascii="宋体" w:hAnsi="宋体" w:cs="宋体"/>
          <w:color w:val="auto"/>
          <w:sz w:val="24"/>
        </w:rPr>
        <w:t>处，在终验合格后7个工作日内无息退还，履约保证金支持履约保函（银行保函或保险保函）形式]。</w:t>
      </w:r>
    </w:p>
    <w:p>
      <w:pPr>
        <w:pStyle w:val="15"/>
        <w:snapToGrid w:val="0"/>
        <w:spacing w:line="360" w:lineRule="auto"/>
        <w:ind w:firstLine="482" w:firstLineChars="200"/>
        <w:rPr>
          <w:rFonts w:hAnsi="宋体"/>
          <w:color w:val="auto"/>
          <w:sz w:val="24"/>
        </w:rPr>
      </w:pPr>
      <w:r>
        <w:rPr>
          <w:rFonts w:hint="eastAsia" w:hAnsi="宋体"/>
          <w:b/>
          <w:color w:val="auto"/>
          <w:sz w:val="24"/>
        </w:rPr>
        <w:t>八、服务期限</w:t>
      </w:r>
    </w:p>
    <w:p>
      <w:pPr>
        <w:pStyle w:val="15"/>
        <w:snapToGrid w:val="0"/>
        <w:spacing w:line="360" w:lineRule="auto"/>
        <w:ind w:firstLine="480" w:firstLineChars="200"/>
        <w:rPr>
          <w:rFonts w:hAnsi="宋体"/>
          <w:color w:val="auto"/>
          <w:sz w:val="24"/>
        </w:rPr>
      </w:pPr>
      <w:r>
        <w:rPr>
          <w:rFonts w:hint="eastAsia" w:hAnsi="宋体"/>
          <w:color w:val="auto"/>
          <w:sz w:val="24"/>
        </w:rPr>
        <w:t>服务期限：验收合格后免费质保2年</w:t>
      </w:r>
    </w:p>
    <w:p>
      <w:pPr>
        <w:pStyle w:val="15"/>
        <w:snapToGrid w:val="0"/>
        <w:spacing w:line="360" w:lineRule="auto"/>
        <w:ind w:firstLine="482" w:firstLineChars="200"/>
        <w:rPr>
          <w:rFonts w:hAnsi="宋体"/>
          <w:b/>
          <w:color w:val="auto"/>
          <w:sz w:val="24"/>
        </w:rPr>
      </w:pPr>
      <w:r>
        <w:rPr>
          <w:rFonts w:hint="eastAsia" w:hAnsi="宋体"/>
          <w:b/>
          <w:color w:val="auto"/>
          <w:sz w:val="24"/>
        </w:rPr>
        <w:t>九、款项支付</w:t>
      </w:r>
    </w:p>
    <w:p>
      <w:pPr>
        <w:pStyle w:val="15"/>
        <w:snapToGrid w:val="0"/>
        <w:spacing w:line="360" w:lineRule="auto"/>
        <w:ind w:firstLine="480" w:firstLineChars="200"/>
        <w:rPr>
          <w:rFonts w:hAnsi="宋体"/>
          <w:bCs/>
          <w:color w:val="auto"/>
          <w:sz w:val="24"/>
        </w:rPr>
      </w:pPr>
      <w:r>
        <w:rPr>
          <w:rFonts w:hint="eastAsia" w:hAnsi="宋体"/>
          <w:bCs/>
          <w:color w:val="auto"/>
          <w:sz w:val="24"/>
        </w:rPr>
        <w:t>1.付款方式：待合同生效后且在财政资金到位的前提下</w:t>
      </w:r>
      <w:r>
        <w:rPr>
          <w:rFonts w:hAnsi="宋体"/>
          <w:bCs/>
          <w:color w:val="auto"/>
          <w:sz w:val="24"/>
        </w:rPr>
        <w:t>7</w:t>
      </w:r>
      <w:r>
        <w:rPr>
          <w:rFonts w:hint="eastAsia" w:hAnsi="宋体"/>
          <w:bCs/>
          <w:color w:val="auto"/>
          <w:sz w:val="24"/>
        </w:rPr>
        <w:t>个工作日内支付合同金额的40%，初验通过后</w:t>
      </w:r>
      <w:r>
        <w:rPr>
          <w:rFonts w:hAnsi="宋体"/>
          <w:bCs/>
          <w:color w:val="auto"/>
          <w:sz w:val="24"/>
        </w:rPr>
        <w:t>7</w:t>
      </w:r>
      <w:r>
        <w:rPr>
          <w:rFonts w:hint="eastAsia" w:hAnsi="宋体"/>
          <w:bCs/>
          <w:color w:val="auto"/>
          <w:sz w:val="24"/>
        </w:rPr>
        <w:t>个工作日内支付合同金额的30%，终验通过后</w:t>
      </w:r>
      <w:r>
        <w:rPr>
          <w:rFonts w:hAnsi="宋体"/>
          <w:bCs/>
          <w:color w:val="auto"/>
          <w:sz w:val="24"/>
        </w:rPr>
        <w:t>7</w:t>
      </w:r>
      <w:r>
        <w:rPr>
          <w:rFonts w:hint="eastAsia" w:hAnsi="宋体"/>
          <w:bCs/>
          <w:color w:val="auto"/>
          <w:sz w:val="24"/>
        </w:rPr>
        <w:t>个工作日内支付合同金额的30%。</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十、税费</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本合同执行中相关的一切税费均由乙方负担。</w:t>
      </w:r>
    </w:p>
    <w:p>
      <w:pPr>
        <w:snapToGrid w:val="0"/>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lang w:eastAsia="zh-CN"/>
        </w:rPr>
        <w:t>十一、</w:t>
      </w:r>
      <w:r>
        <w:rPr>
          <w:rFonts w:hint="eastAsia" w:ascii="宋体" w:hAnsi="宋体" w:eastAsia="宋体" w:cs="宋体"/>
          <w:b/>
          <w:color w:val="auto"/>
          <w:sz w:val="24"/>
        </w:rPr>
        <w:t>转包或分包</w:t>
      </w:r>
    </w:p>
    <w:p>
      <w:pPr>
        <w:snapToGrid w:val="0"/>
        <w:spacing w:line="360" w:lineRule="auto"/>
        <w:ind w:firstLine="480" w:firstLineChars="200"/>
        <w:rPr>
          <w:rFonts w:ascii="宋体" w:hAnsi="宋体"/>
          <w:color w:val="auto"/>
          <w:sz w:val="24"/>
        </w:rPr>
      </w:pPr>
      <w:r>
        <w:rPr>
          <w:rFonts w:hint="eastAsia" w:hAnsi="宋体"/>
          <w:color w:val="auto"/>
          <w:sz w:val="24"/>
        </w:rPr>
        <w:t>（一）</w:t>
      </w:r>
      <w:r>
        <w:rPr>
          <w:rFonts w:hint="eastAsia" w:ascii="宋体" w:hAnsi="宋体"/>
          <w:color w:val="auto"/>
          <w:sz w:val="24"/>
        </w:rPr>
        <w:t>本合同范围的</w:t>
      </w:r>
      <w:r>
        <w:rPr>
          <w:rFonts w:hint="eastAsia" w:ascii="宋体" w:hAnsi="宋体"/>
          <w:color w:val="auto"/>
          <w:sz w:val="24"/>
          <w:lang w:eastAsia="zh-CN"/>
        </w:rPr>
        <w:t>服务</w:t>
      </w:r>
      <w:r>
        <w:rPr>
          <w:rFonts w:hint="eastAsia" w:ascii="宋体" w:hAnsi="宋体"/>
          <w:color w:val="auto"/>
          <w:sz w:val="24"/>
        </w:rPr>
        <w:t>，应由</w:t>
      </w:r>
      <w:r>
        <w:rPr>
          <w:rFonts w:ascii="宋体" w:hAnsi="宋体"/>
          <w:color w:val="auto"/>
          <w:sz w:val="24"/>
        </w:rPr>
        <w:t>乙</w:t>
      </w:r>
      <w:r>
        <w:rPr>
          <w:rFonts w:hint="eastAsia" w:ascii="宋体" w:hAnsi="宋体"/>
          <w:color w:val="auto"/>
          <w:sz w:val="24"/>
        </w:rPr>
        <w:t>方直接供应，不得转让他人供应。</w:t>
      </w:r>
    </w:p>
    <w:p>
      <w:pPr>
        <w:snapToGrid w:val="0"/>
        <w:spacing w:line="360" w:lineRule="auto"/>
        <w:ind w:firstLine="480" w:firstLineChars="200"/>
        <w:rPr>
          <w:rFonts w:ascii="宋体" w:hAnsi="宋体"/>
          <w:color w:val="auto"/>
          <w:sz w:val="24"/>
        </w:rPr>
      </w:pPr>
      <w:r>
        <w:rPr>
          <w:rFonts w:hint="eastAsia" w:hAnsi="宋体"/>
          <w:color w:val="auto"/>
          <w:sz w:val="24"/>
        </w:rPr>
        <w:t>（二）</w:t>
      </w:r>
      <w:r>
        <w:rPr>
          <w:rFonts w:hint="eastAsia" w:hAnsi="宋体"/>
          <w:color w:val="auto"/>
          <w:sz w:val="24"/>
          <w:lang w:val="en-US" w:eastAsia="zh-CN"/>
        </w:rPr>
        <w:t>未经甲方同意，</w:t>
      </w:r>
      <w:r>
        <w:rPr>
          <w:rFonts w:ascii="宋体" w:hAnsi="宋体"/>
          <w:color w:val="auto"/>
          <w:sz w:val="24"/>
        </w:rPr>
        <w:t>乙</w:t>
      </w:r>
      <w:r>
        <w:rPr>
          <w:rFonts w:hint="eastAsia" w:ascii="宋体" w:hAnsi="宋体"/>
          <w:color w:val="auto"/>
          <w:sz w:val="24"/>
        </w:rPr>
        <w:t>方不得将本合同范围的</w:t>
      </w:r>
      <w:r>
        <w:rPr>
          <w:rFonts w:hint="eastAsia" w:ascii="宋体" w:hAnsi="宋体"/>
          <w:color w:val="auto"/>
          <w:sz w:val="24"/>
          <w:lang w:eastAsia="zh-CN"/>
        </w:rPr>
        <w:t>服务</w:t>
      </w:r>
      <w:r>
        <w:rPr>
          <w:rFonts w:hint="eastAsia" w:ascii="宋体" w:hAnsi="宋体"/>
          <w:color w:val="auto"/>
          <w:sz w:val="24"/>
        </w:rPr>
        <w:t>全部或部分分包给他人供应。</w:t>
      </w:r>
    </w:p>
    <w:p>
      <w:pPr>
        <w:snapToGrid w:val="0"/>
        <w:spacing w:line="360" w:lineRule="auto"/>
        <w:ind w:firstLine="480" w:firstLineChars="200"/>
        <w:rPr>
          <w:rFonts w:ascii="宋体" w:hAnsi="宋体"/>
          <w:color w:val="auto"/>
          <w:sz w:val="24"/>
        </w:rPr>
      </w:pPr>
      <w:r>
        <w:rPr>
          <w:rFonts w:hint="eastAsia" w:hAnsi="宋体"/>
          <w:color w:val="auto"/>
          <w:sz w:val="24"/>
        </w:rPr>
        <w:t>（三）</w:t>
      </w:r>
      <w:r>
        <w:rPr>
          <w:rFonts w:hint="eastAsia" w:ascii="宋体" w:hAnsi="宋体"/>
          <w:color w:val="auto"/>
          <w:sz w:val="24"/>
        </w:rPr>
        <w:t>如</w:t>
      </w:r>
      <w:r>
        <w:rPr>
          <w:rFonts w:hint="eastAsia" w:ascii="宋体" w:hAnsi="宋体"/>
          <w:color w:val="auto"/>
          <w:sz w:val="24"/>
          <w:lang w:val="en-US" w:eastAsia="zh-CN"/>
        </w:rPr>
        <w:t>未经甲方同意的</w:t>
      </w:r>
      <w:r>
        <w:rPr>
          <w:rFonts w:hint="eastAsia" w:ascii="宋体" w:hAnsi="宋体"/>
          <w:color w:val="auto"/>
          <w:sz w:val="24"/>
        </w:rPr>
        <w:t>有转</w:t>
      </w:r>
      <w:r>
        <w:rPr>
          <w:rFonts w:hint="eastAsia" w:ascii="宋体" w:hAnsi="宋体"/>
          <w:color w:val="auto"/>
          <w:sz w:val="24"/>
          <w:lang w:eastAsia="zh-CN"/>
        </w:rPr>
        <w:t>包</w:t>
      </w:r>
      <w:r>
        <w:rPr>
          <w:rFonts w:hint="eastAsia" w:ascii="宋体" w:hAnsi="宋体"/>
          <w:color w:val="auto"/>
          <w:sz w:val="24"/>
        </w:rPr>
        <w:t>和分包行为，甲方有权解除合同</w:t>
      </w:r>
      <w:r>
        <w:rPr>
          <w:rFonts w:hint="eastAsia" w:ascii="宋体" w:hAnsi="宋体"/>
          <w:color w:val="auto"/>
          <w:sz w:val="24"/>
          <w:lang w:eastAsia="zh-CN"/>
        </w:rPr>
        <w:t>、</w:t>
      </w:r>
      <w:r>
        <w:rPr>
          <w:rFonts w:hint="eastAsia" w:ascii="宋体" w:hAnsi="宋体"/>
          <w:color w:val="auto"/>
          <w:sz w:val="24"/>
          <w:lang w:val="en-US" w:eastAsia="zh-CN"/>
        </w:rPr>
        <w:t>没收履约保证金</w:t>
      </w:r>
      <w:r>
        <w:rPr>
          <w:rFonts w:hint="eastAsia" w:ascii="宋体" w:hAnsi="宋体"/>
          <w:color w:val="auto"/>
          <w:sz w:val="24"/>
        </w:rPr>
        <w:t>并追究乙方的违约责任。</w:t>
      </w:r>
    </w:p>
    <w:p>
      <w:pPr>
        <w:pStyle w:val="15"/>
        <w:snapToGrid w:val="0"/>
        <w:spacing w:line="360" w:lineRule="auto"/>
        <w:ind w:firstLine="482" w:firstLineChars="200"/>
        <w:rPr>
          <w:rFonts w:hAnsi="宋体"/>
          <w:color w:val="auto"/>
          <w:sz w:val="24"/>
        </w:rPr>
      </w:pPr>
      <w:r>
        <w:rPr>
          <w:rFonts w:hAnsi="宋体"/>
          <w:b/>
          <w:color w:val="auto"/>
          <w:sz w:val="24"/>
        </w:rPr>
        <w:t>十</w:t>
      </w:r>
      <w:r>
        <w:rPr>
          <w:rFonts w:hint="eastAsia" w:hAnsi="宋体"/>
          <w:b/>
          <w:color w:val="auto"/>
          <w:sz w:val="24"/>
          <w:lang w:eastAsia="zh-CN"/>
        </w:rPr>
        <w:t>二</w:t>
      </w:r>
      <w:r>
        <w:rPr>
          <w:rFonts w:hAnsi="宋体"/>
          <w:b/>
          <w:color w:val="auto"/>
          <w:sz w:val="24"/>
        </w:rPr>
        <w:t>、质量保证及后续服务</w:t>
      </w:r>
    </w:p>
    <w:p>
      <w:pPr>
        <w:pStyle w:val="15"/>
        <w:snapToGrid w:val="0"/>
        <w:spacing w:line="360" w:lineRule="auto"/>
        <w:ind w:firstLine="480" w:firstLineChars="200"/>
        <w:rPr>
          <w:rFonts w:hAnsi="宋体"/>
          <w:bCs/>
          <w:color w:val="auto"/>
          <w:sz w:val="24"/>
        </w:rPr>
      </w:pPr>
      <w:r>
        <w:rPr>
          <w:rFonts w:hint="eastAsia" w:hAnsi="宋体"/>
          <w:bCs/>
          <w:color w:val="auto"/>
          <w:sz w:val="24"/>
        </w:rPr>
        <w:t>（一）乙方应按招标文件规定向甲方提供服务。</w:t>
      </w:r>
    </w:p>
    <w:p>
      <w:pPr>
        <w:pStyle w:val="15"/>
        <w:snapToGrid w:val="0"/>
        <w:spacing w:line="360" w:lineRule="auto"/>
        <w:ind w:firstLine="480" w:firstLineChars="200"/>
        <w:rPr>
          <w:rFonts w:hAnsi="宋体"/>
          <w:bCs/>
          <w:color w:val="auto"/>
          <w:sz w:val="24"/>
        </w:rPr>
      </w:pPr>
      <w:r>
        <w:rPr>
          <w:rFonts w:hint="eastAsia" w:hAnsi="宋体"/>
          <w:bCs/>
          <w:color w:val="auto"/>
          <w:sz w:val="24"/>
        </w:rPr>
        <w:t>（二）乙方提供的服务成果在维保期内发生故障，乙方应负责免费提供后续服务。对达不到要求者，根据实际情况，经双方协商，可按以下办法处理：</w:t>
      </w:r>
    </w:p>
    <w:p>
      <w:pPr>
        <w:pStyle w:val="15"/>
        <w:snapToGrid w:val="0"/>
        <w:spacing w:line="360" w:lineRule="auto"/>
        <w:ind w:firstLine="480" w:firstLineChars="200"/>
        <w:rPr>
          <w:rFonts w:hAnsi="宋体"/>
          <w:bCs/>
          <w:color w:val="auto"/>
          <w:sz w:val="24"/>
        </w:rPr>
      </w:pPr>
      <w:r>
        <w:rPr>
          <w:rFonts w:hint="eastAsia" w:hAnsi="宋体"/>
          <w:bCs/>
          <w:color w:val="auto"/>
          <w:sz w:val="24"/>
        </w:rPr>
        <w:t>1.重做：由乙方承担所发生的全部费用。</w:t>
      </w:r>
    </w:p>
    <w:p>
      <w:pPr>
        <w:pStyle w:val="15"/>
        <w:snapToGrid w:val="0"/>
        <w:spacing w:line="360" w:lineRule="auto"/>
        <w:ind w:firstLine="480" w:firstLineChars="200"/>
        <w:rPr>
          <w:rFonts w:hAnsi="宋体"/>
          <w:bCs/>
          <w:color w:val="auto"/>
          <w:sz w:val="24"/>
        </w:rPr>
      </w:pPr>
      <w:r>
        <w:rPr>
          <w:rFonts w:hint="eastAsia" w:hAnsi="宋体"/>
          <w:bCs/>
          <w:color w:val="auto"/>
          <w:sz w:val="24"/>
        </w:rPr>
        <w:t>2.贬值处理：由甲乙双方合议定价。</w:t>
      </w:r>
    </w:p>
    <w:p>
      <w:pPr>
        <w:pStyle w:val="15"/>
        <w:snapToGrid w:val="0"/>
        <w:spacing w:line="360" w:lineRule="auto"/>
        <w:ind w:firstLine="480" w:firstLineChars="200"/>
        <w:rPr>
          <w:rFonts w:hAnsi="宋体"/>
          <w:bCs/>
          <w:color w:val="auto"/>
          <w:sz w:val="24"/>
        </w:rPr>
      </w:pPr>
      <w:r>
        <w:rPr>
          <w:rFonts w:hint="eastAsia" w:hAnsi="宋体"/>
          <w:bCs/>
          <w:color w:val="auto"/>
          <w:sz w:val="24"/>
        </w:rPr>
        <w:t>3.解除合同。</w:t>
      </w:r>
    </w:p>
    <w:p>
      <w:pPr>
        <w:pStyle w:val="15"/>
        <w:snapToGrid w:val="0"/>
        <w:spacing w:line="360" w:lineRule="auto"/>
        <w:ind w:firstLine="480" w:firstLineChars="200"/>
        <w:rPr>
          <w:rFonts w:hAnsi="宋体"/>
          <w:bCs/>
          <w:color w:val="auto"/>
          <w:sz w:val="24"/>
        </w:rPr>
      </w:pPr>
      <w:r>
        <w:rPr>
          <w:rFonts w:hint="eastAsia" w:hAnsi="宋体"/>
          <w:bCs/>
          <w:color w:val="auto"/>
          <w:sz w:val="24"/>
        </w:rPr>
        <w:t>（三）质保期内乙方须提供（7*24）上门维护、升级服务，对故障即时响应，2小时以内到现场，4小时以内提出问题解决方案并实施。</w:t>
      </w:r>
    </w:p>
    <w:p>
      <w:pPr>
        <w:pStyle w:val="15"/>
        <w:snapToGrid w:val="0"/>
        <w:spacing w:line="360" w:lineRule="auto"/>
        <w:ind w:firstLine="480" w:firstLineChars="200"/>
        <w:rPr>
          <w:rFonts w:hAnsi="宋体"/>
          <w:bCs/>
          <w:color w:val="auto"/>
          <w:sz w:val="24"/>
        </w:rPr>
      </w:pPr>
      <w:r>
        <w:rPr>
          <w:rFonts w:hint="eastAsia" w:hAnsi="宋体"/>
          <w:bCs/>
          <w:color w:val="auto"/>
          <w:sz w:val="24"/>
        </w:rPr>
        <w:t>（四）在服务质量保证期内，乙方应对出现的质量及安全问题负责处理解决并承担一切费用。</w:t>
      </w:r>
    </w:p>
    <w:p>
      <w:pPr>
        <w:pStyle w:val="15"/>
        <w:snapToGrid w:val="0"/>
        <w:spacing w:line="360" w:lineRule="auto"/>
        <w:ind w:firstLine="482" w:firstLineChars="200"/>
        <w:rPr>
          <w:rFonts w:hAnsi="宋体"/>
          <w:b/>
          <w:color w:val="auto"/>
          <w:sz w:val="24"/>
        </w:rPr>
      </w:pPr>
      <w:r>
        <w:rPr>
          <w:rFonts w:hint="eastAsia" w:hAnsi="宋体"/>
          <w:b/>
          <w:color w:val="auto"/>
          <w:sz w:val="24"/>
        </w:rPr>
        <w:t>十</w:t>
      </w:r>
      <w:r>
        <w:rPr>
          <w:rFonts w:hint="eastAsia" w:hAnsi="宋体"/>
          <w:b/>
          <w:color w:val="auto"/>
          <w:sz w:val="24"/>
          <w:lang w:eastAsia="zh-CN"/>
        </w:rPr>
        <w:t>三</w:t>
      </w:r>
      <w:r>
        <w:rPr>
          <w:rFonts w:hint="eastAsia" w:hAnsi="宋体"/>
          <w:b/>
          <w:color w:val="auto"/>
          <w:sz w:val="24"/>
        </w:rPr>
        <w:t>、违约责任</w:t>
      </w:r>
    </w:p>
    <w:p>
      <w:pPr>
        <w:pStyle w:val="15"/>
        <w:snapToGrid w:val="0"/>
        <w:spacing w:line="360" w:lineRule="auto"/>
        <w:ind w:firstLine="480" w:firstLineChars="200"/>
        <w:rPr>
          <w:rFonts w:hAnsi="宋体"/>
          <w:color w:val="auto"/>
          <w:sz w:val="24"/>
        </w:rPr>
      </w:pPr>
      <w:r>
        <w:rPr>
          <w:rFonts w:hint="eastAsia" w:hAnsi="宋体"/>
          <w:color w:val="auto"/>
          <w:sz w:val="24"/>
        </w:rPr>
        <w:t>（一）</w:t>
      </w:r>
      <w:r>
        <w:rPr>
          <w:rFonts w:hAnsi="宋体"/>
          <w:color w:val="auto"/>
          <w:sz w:val="24"/>
        </w:rPr>
        <w:t>甲方无正当理由拒收接受服务的，甲方向乙方偿付合同款项</w:t>
      </w:r>
      <w:r>
        <w:rPr>
          <w:rFonts w:hAnsi="宋体"/>
          <w:color w:val="auto"/>
          <w:sz w:val="24"/>
          <w:u w:val="single"/>
        </w:rPr>
        <w:t>百分之五</w:t>
      </w:r>
      <w:r>
        <w:rPr>
          <w:rFonts w:hAnsi="宋体"/>
          <w:color w:val="auto"/>
          <w:sz w:val="24"/>
        </w:rPr>
        <w:t>作为违约金。</w:t>
      </w:r>
    </w:p>
    <w:p>
      <w:pPr>
        <w:pStyle w:val="15"/>
        <w:snapToGrid w:val="0"/>
        <w:spacing w:line="360" w:lineRule="auto"/>
        <w:ind w:firstLine="480" w:firstLineChars="200"/>
        <w:rPr>
          <w:rFonts w:hAnsi="宋体"/>
          <w:color w:val="auto"/>
          <w:sz w:val="24"/>
        </w:rPr>
      </w:pPr>
      <w:r>
        <w:rPr>
          <w:rFonts w:hint="eastAsia" w:hAnsi="宋体"/>
          <w:color w:val="auto"/>
          <w:sz w:val="24"/>
        </w:rPr>
        <w:t>（二）</w:t>
      </w:r>
      <w:r>
        <w:rPr>
          <w:rFonts w:hAnsi="宋体"/>
          <w:color w:val="auto"/>
          <w:sz w:val="24"/>
        </w:rPr>
        <w:t>甲方无故逾期验收和办理款项支付手续的,甲方应按逾期付款总额</w:t>
      </w:r>
      <w:r>
        <w:rPr>
          <w:rFonts w:hAnsi="宋体"/>
          <w:color w:val="auto"/>
          <w:sz w:val="24"/>
          <w:u w:val="single"/>
        </w:rPr>
        <w:t>每日万分之五</w:t>
      </w:r>
      <w:r>
        <w:rPr>
          <w:rFonts w:hAnsi="宋体"/>
          <w:color w:val="auto"/>
          <w:sz w:val="24"/>
        </w:rPr>
        <w:t>向乙方支付违约金。</w:t>
      </w:r>
    </w:p>
    <w:p>
      <w:pPr>
        <w:pStyle w:val="15"/>
        <w:snapToGrid w:val="0"/>
        <w:spacing w:line="360" w:lineRule="auto"/>
        <w:ind w:firstLine="480" w:firstLineChars="200"/>
        <w:rPr>
          <w:rFonts w:hAnsi="宋体"/>
          <w:bCs/>
          <w:color w:val="auto"/>
          <w:sz w:val="24"/>
        </w:rPr>
      </w:pPr>
      <w:r>
        <w:rPr>
          <w:rFonts w:hint="eastAsia" w:hAnsi="宋体"/>
          <w:color w:val="auto"/>
          <w:sz w:val="24"/>
        </w:rPr>
        <w:t>（三）</w:t>
      </w:r>
      <w:r>
        <w:rPr>
          <w:rFonts w:hAnsi="宋体"/>
          <w:color w:val="auto"/>
          <w:sz w:val="24"/>
        </w:rPr>
        <w:t>乙方</w:t>
      </w:r>
      <w:r>
        <w:rPr>
          <w:rFonts w:hint="eastAsia" w:hAnsi="宋体"/>
          <w:color w:val="auto"/>
          <w:sz w:val="24"/>
        </w:rPr>
        <w:t>未能如</w:t>
      </w:r>
      <w:r>
        <w:rPr>
          <w:rFonts w:hAnsi="宋体"/>
          <w:color w:val="auto"/>
          <w:sz w:val="24"/>
        </w:rPr>
        <w:t>期提供服务的，每日向甲方支付</w:t>
      </w:r>
      <w:r>
        <w:rPr>
          <w:rFonts w:hint="eastAsia" w:hAnsi="宋体"/>
          <w:color w:val="auto"/>
          <w:sz w:val="24"/>
        </w:rPr>
        <w:t>合同款项的</w:t>
      </w:r>
      <w:r>
        <w:rPr>
          <w:rFonts w:hAnsi="宋体"/>
          <w:color w:val="auto"/>
          <w:sz w:val="24"/>
          <w:u w:val="single"/>
        </w:rPr>
        <w:t>千分之六</w:t>
      </w:r>
      <w:r>
        <w:rPr>
          <w:rFonts w:hint="eastAsia" w:hAnsi="宋体"/>
          <w:color w:val="auto"/>
          <w:sz w:val="24"/>
        </w:rPr>
        <w:t>作为</w:t>
      </w:r>
      <w:r>
        <w:rPr>
          <w:rFonts w:hAnsi="宋体"/>
          <w:color w:val="auto"/>
          <w:sz w:val="24"/>
        </w:rPr>
        <w:t>违约金。乙方超过约定日期10个工作日</w:t>
      </w:r>
      <w:r>
        <w:rPr>
          <w:rFonts w:hint="eastAsia" w:hAnsi="宋体"/>
          <w:color w:val="auto"/>
          <w:sz w:val="24"/>
        </w:rPr>
        <w:t>仍</w:t>
      </w:r>
      <w:r>
        <w:rPr>
          <w:rFonts w:hAnsi="宋体"/>
          <w:color w:val="auto"/>
          <w:sz w:val="24"/>
        </w:rPr>
        <w:t>不能</w:t>
      </w:r>
      <w:r>
        <w:rPr>
          <w:rFonts w:hint="eastAsia" w:hAnsi="宋体"/>
          <w:color w:val="auto"/>
          <w:sz w:val="24"/>
        </w:rPr>
        <w:t>提供服务</w:t>
      </w:r>
      <w:r>
        <w:rPr>
          <w:rFonts w:hAnsi="宋体"/>
          <w:color w:val="auto"/>
          <w:sz w:val="24"/>
        </w:rPr>
        <w:t>的，甲方可解除本合同。乙方因</w:t>
      </w:r>
      <w:r>
        <w:rPr>
          <w:rFonts w:hint="eastAsia" w:hAnsi="宋体"/>
          <w:color w:val="auto"/>
          <w:sz w:val="24"/>
        </w:rPr>
        <w:t>未能如</w:t>
      </w:r>
      <w:r>
        <w:rPr>
          <w:rFonts w:hAnsi="宋体"/>
          <w:color w:val="auto"/>
          <w:sz w:val="24"/>
        </w:rPr>
        <w:t>期提供服务或因其他违约行为导致甲方解除合同的，乙方应向甲方支付合同总值</w:t>
      </w:r>
      <w:r>
        <w:rPr>
          <w:rFonts w:hAnsi="宋体"/>
          <w:color w:val="auto"/>
          <w:sz w:val="24"/>
          <w:u w:val="single"/>
        </w:rPr>
        <w:t>5%</w:t>
      </w:r>
      <w:r>
        <w:rPr>
          <w:rFonts w:hAnsi="宋体"/>
          <w:color w:val="auto"/>
          <w:sz w:val="24"/>
        </w:rPr>
        <w:t>的违约金，如造成甲方损失超过违约金的，超出部分由乙方继续承担赔偿责任。</w:t>
      </w:r>
    </w:p>
    <w:p>
      <w:pPr>
        <w:pStyle w:val="15"/>
        <w:snapToGrid w:val="0"/>
        <w:spacing w:line="360" w:lineRule="auto"/>
        <w:ind w:firstLine="482" w:firstLineChars="200"/>
        <w:rPr>
          <w:rFonts w:hAnsi="宋体"/>
          <w:b/>
          <w:color w:val="auto"/>
          <w:sz w:val="24"/>
        </w:rPr>
      </w:pPr>
      <w:r>
        <w:rPr>
          <w:rFonts w:hint="eastAsia" w:hAnsi="宋体"/>
          <w:b/>
          <w:color w:val="auto"/>
          <w:sz w:val="24"/>
        </w:rPr>
        <w:t>十</w:t>
      </w:r>
      <w:r>
        <w:rPr>
          <w:rFonts w:hint="eastAsia" w:hAnsi="宋体"/>
          <w:b/>
          <w:color w:val="auto"/>
          <w:sz w:val="24"/>
          <w:lang w:eastAsia="zh-CN"/>
        </w:rPr>
        <w:t>四</w:t>
      </w:r>
      <w:r>
        <w:rPr>
          <w:rFonts w:hint="eastAsia" w:hAnsi="宋体"/>
          <w:b/>
          <w:color w:val="auto"/>
          <w:sz w:val="24"/>
        </w:rPr>
        <w:t>、不可抗力事件处理</w:t>
      </w:r>
    </w:p>
    <w:p>
      <w:pPr>
        <w:pStyle w:val="15"/>
        <w:snapToGrid w:val="0"/>
        <w:spacing w:line="360" w:lineRule="auto"/>
        <w:ind w:firstLine="480" w:firstLineChars="200"/>
        <w:rPr>
          <w:rFonts w:hAnsi="宋体"/>
          <w:bCs/>
          <w:color w:val="auto"/>
          <w:sz w:val="24"/>
        </w:rPr>
      </w:pPr>
      <w:r>
        <w:rPr>
          <w:rFonts w:hint="eastAsia" w:hAnsi="宋体"/>
          <w:bCs/>
          <w:color w:val="auto"/>
          <w:sz w:val="24"/>
        </w:rPr>
        <w:t>（一）在合同有效期内，任何一方因不可抗力事件导致不能履行合同，则合同履行期可延长，其延长期与不可抗力影响期相同。</w:t>
      </w:r>
    </w:p>
    <w:p>
      <w:pPr>
        <w:pStyle w:val="15"/>
        <w:snapToGrid w:val="0"/>
        <w:spacing w:line="360" w:lineRule="auto"/>
        <w:ind w:firstLine="480" w:firstLineChars="200"/>
        <w:rPr>
          <w:rFonts w:hAnsi="宋体"/>
          <w:bCs/>
          <w:color w:val="auto"/>
          <w:sz w:val="24"/>
        </w:rPr>
      </w:pPr>
      <w:r>
        <w:rPr>
          <w:rFonts w:hint="eastAsia" w:hAnsi="宋体"/>
          <w:bCs/>
          <w:color w:val="auto"/>
          <w:sz w:val="24"/>
        </w:rPr>
        <w:t>（二）不可抗力事件发生后，应立即通知对方，并寄送有关权威机构出具的证明。</w:t>
      </w:r>
    </w:p>
    <w:p>
      <w:pPr>
        <w:pStyle w:val="15"/>
        <w:snapToGrid w:val="0"/>
        <w:spacing w:line="360" w:lineRule="auto"/>
        <w:ind w:firstLine="480" w:firstLineChars="200"/>
        <w:rPr>
          <w:rFonts w:hAnsi="宋体"/>
          <w:bCs/>
          <w:color w:val="auto"/>
          <w:sz w:val="24"/>
        </w:rPr>
      </w:pPr>
      <w:r>
        <w:rPr>
          <w:rFonts w:hint="eastAsia" w:hAnsi="宋体"/>
          <w:bCs/>
          <w:color w:val="auto"/>
          <w:sz w:val="24"/>
        </w:rPr>
        <w:t>（三）不可抗力事件延续120天以上，双方应通过友好协商，确定是否继续履行合同。</w:t>
      </w:r>
    </w:p>
    <w:p>
      <w:pPr>
        <w:pStyle w:val="15"/>
        <w:snapToGrid w:val="0"/>
        <w:spacing w:line="360" w:lineRule="auto"/>
        <w:ind w:firstLine="482" w:firstLineChars="200"/>
        <w:rPr>
          <w:rFonts w:hAnsi="宋体"/>
          <w:b/>
          <w:color w:val="auto"/>
          <w:sz w:val="24"/>
        </w:rPr>
      </w:pPr>
      <w:r>
        <w:rPr>
          <w:rFonts w:hint="eastAsia" w:hAnsi="宋体"/>
          <w:b/>
          <w:color w:val="auto"/>
          <w:sz w:val="24"/>
        </w:rPr>
        <w:t>十</w:t>
      </w:r>
      <w:r>
        <w:rPr>
          <w:rFonts w:hint="eastAsia" w:hAnsi="宋体"/>
          <w:b/>
          <w:color w:val="auto"/>
          <w:sz w:val="24"/>
          <w:lang w:eastAsia="zh-CN"/>
        </w:rPr>
        <w:t>五</w:t>
      </w:r>
      <w:r>
        <w:rPr>
          <w:rFonts w:hint="eastAsia" w:hAnsi="宋体"/>
          <w:b/>
          <w:color w:val="auto"/>
          <w:sz w:val="24"/>
        </w:rPr>
        <w:t>、解决争议的方法</w:t>
      </w:r>
    </w:p>
    <w:p>
      <w:pPr>
        <w:pStyle w:val="15"/>
        <w:snapToGrid w:val="0"/>
        <w:spacing w:line="360" w:lineRule="auto"/>
        <w:ind w:firstLine="480" w:firstLineChars="200"/>
        <w:rPr>
          <w:rFonts w:hAnsi="宋体"/>
          <w:bCs/>
          <w:color w:val="auto"/>
          <w:sz w:val="24"/>
        </w:rPr>
      </w:pPr>
      <w:r>
        <w:rPr>
          <w:rFonts w:hint="eastAsia" w:hAnsi="宋体"/>
          <w:color w:val="auto"/>
          <w:sz w:val="24"/>
        </w:rPr>
        <w:t>如双方在履行合同时发生纠纷，应协商解决；协商不成时，可提请政府采购管理部</w:t>
      </w:r>
      <w:r>
        <w:rPr>
          <w:rFonts w:hint="eastAsia" w:hAnsi="宋体"/>
          <w:bCs/>
          <w:color w:val="auto"/>
          <w:sz w:val="24"/>
        </w:rPr>
        <w:t>门调解；调解不成的通过以下方式解决：</w:t>
      </w:r>
    </w:p>
    <w:p>
      <w:pPr>
        <w:pStyle w:val="15"/>
        <w:snapToGrid w:val="0"/>
        <w:spacing w:line="360" w:lineRule="auto"/>
        <w:ind w:firstLine="480" w:firstLineChars="200"/>
        <w:rPr>
          <w:rFonts w:hAnsi="宋体"/>
          <w:bCs/>
          <w:color w:val="auto"/>
          <w:sz w:val="24"/>
        </w:rPr>
      </w:pPr>
      <w:r>
        <w:rPr>
          <w:rFonts w:hint="eastAsia" w:hAnsi="宋体"/>
          <w:bCs/>
          <w:color w:val="auto"/>
          <w:sz w:val="24"/>
          <w:u w:val="single"/>
        </w:rPr>
        <w:t>提交台州仲裁委员会仲裁。</w:t>
      </w:r>
    </w:p>
    <w:p>
      <w:pPr>
        <w:pStyle w:val="15"/>
        <w:snapToGrid w:val="0"/>
        <w:spacing w:line="360" w:lineRule="auto"/>
        <w:ind w:firstLine="482" w:firstLineChars="200"/>
        <w:rPr>
          <w:rFonts w:hAnsi="宋体"/>
          <w:b/>
          <w:color w:val="auto"/>
          <w:sz w:val="24"/>
        </w:rPr>
      </w:pPr>
      <w:r>
        <w:rPr>
          <w:rFonts w:hint="eastAsia" w:hAnsi="宋体"/>
          <w:b/>
          <w:color w:val="auto"/>
          <w:sz w:val="24"/>
        </w:rPr>
        <w:t>十</w:t>
      </w:r>
      <w:r>
        <w:rPr>
          <w:rFonts w:hint="eastAsia" w:hAnsi="宋体"/>
          <w:b/>
          <w:color w:val="auto"/>
          <w:sz w:val="24"/>
          <w:lang w:eastAsia="zh-CN"/>
        </w:rPr>
        <w:t>六</w:t>
      </w:r>
      <w:r>
        <w:rPr>
          <w:rFonts w:hint="eastAsia" w:hAnsi="宋体"/>
          <w:b/>
          <w:color w:val="auto"/>
          <w:sz w:val="24"/>
        </w:rPr>
        <w:t>、合同生效及其它</w:t>
      </w:r>
      <w:r>
        <w:rPr>
          <w:rFonts w:hint="eastAsia" w:hAnsi="宋体"/>
          <w:b/>
          <w:color w:val="auto"/>
          <w:sz w:val="24"/>
        </w:rPr>
        <w:tab/>
      </w:r>
    </w:p>
    <w:p>
      <w:pPr>
        <w:pStyle w:val="12"/>
        <w:widowControl/>
        <w:spacing w:line="360" w:lineRule="auto"/>
        <w:ind w:firstLine="480" w:firstLineChars="200"/>
        <w:rPr>
          <w:rFonts w:ascii="宋体" w:hAnsi="宋体" w:cs="宋体"/>
          <w:color w:val="auto"/>
        </w:rPr>
      </w:pPr>
      <w:r>
        <w:rPr>
          <w:rFonts w:hint="eastAsia" w:ascii="宋体" w:hAnsi="宋体" w:cs="宋体"/>
          <w:color w:val="auto"/>
        </w:rPr>
        <w:t>（一）合同经双方法定代表人或授权委托代理人签字并加盖单位公章后生效。</w:t>
      </w:r>
    </w:p>
    <w:p>
      <w:pPr>
        <w:pStyle w:val="12"/>
        <w:widowControl/>
        <w:spacing w:line="360" w:lineRule="auto"/>
        <w:ind w:firstLine="480" w:firstLineChars="200"/>
        <w:rPr>
          <w:rFonts w:ascii="宋体" w:hAnsi="宋体" w:cs="宋体"/>
          <w:color w:val="auto"/>
        </w:rPr>
      </w:pPr>
      <w:r>
        <w:rPr>
          <w:rFonts w:hint="eastAsia" w:ascii="宋体" w:hAnsi="宋体" w:cs="宋体"/>
          <w:color w:val="auto"/>
        </w:rPr>
        <w:t>（二）本合同未尽事宜，遵照《</w:t>
      </w:r>
      <w:r>
        <w:rPr>
          <w:rFonts w:hint="eastAsia" w:ascii="宋体" w:hAnsi="宋体" w:cs="宋体"/>
          <w:color w:val="auto"/>
          <w:shd w:val="clear" w:color="auto" w:fill="FFFFFF"/>
        </w:rPr>
        <w:t>中华人民共和国民法典</w:t>
      </w:r>
      <w:r>
        <w:rPr>
          <w:rFonts w:hint="eastAsia" w:ascii="宋体" w:hAnsi="宋体" w:cs="宋体"/>
          <w:color w:val="auto"/>
        </w:rPr>
        <w:t>》有关条文执行。</w:t>
      </w:r>
    </w:p>
    <w:p>
      <w:pPr>
        <w:pStyle w:val="12"/>
        <w:widowControl/>
        <w:spacing w:line="360" w:lineRule="auto"/>
        <w:ind w:firstLine="480" w:firstLineChars="200"/>
        <w:rPr>
          <w:rFonts w:ascii="宋体" w:hAnsi="宋体" w:cs="宋体"/>
          <w:color w:val="auto"/>
        </w:rPr>
      </w:pPr>
      <w:r>
        <w:rPr>
          <w:rFonts w:hint="eastAsia" w:ascii="宋体" w:hAnsi="宋体" w:cs="宋体"/>
          <w:color w:val="auto"/>
        </w:rPr>
        <w:t>（三）本合同一式五份，甲、乙双方各执二份，采购代理机构执一份。本项目未尽事宜以招标文件、投标文件及澄清文件等为准。</w:t>
      </w:r>
    </w:p>
    <w:p>
      <w:pPr>
        <w:widowControl/>
        <w:spacing w:line="360" w:lineRule="auto"/>
        <w:ind w:firstLine="482" w:firstLineChars="200"/>
        <w:rPr>
          <w:rFonts w:ascii="宋体" w:hAnsi="宋体" w:cs="宋体"/>
          <w:b/>
          <w:color w:val="auto"/>
          <w:sz w:val="24"/>
        </w:rPr>
      </w:pPr>
    </w:p>
    <w:p>
      <w:pPr>
        <w:widowControl/>
        <w:spacing w:line="360" w:lineRule="auto"/>
        <w:ind w:firstLine="482" w:firstLineChars="200"/>
        <w:rPr>
          <w:rFonts w:ascii="宋体" w:hAnsi="宋体" w:cs="宋体"/>
          <w:b/>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甲方（公章）                                     乙方（公章）</w:t>
      </w:r>
    </w:p>
    <w:p>
      <w:pPr>
        <w:spacing w:line="360" w:lineRule="auto"/>
        <w:ind w:firstLine="480" w:firstLineChars="200"/>
        <w:rPr>
          <w:rFonts w:ascii="宋体" w:hAnsi="宋体" w:cs="宋体"/>
          <w:color w:val="auto"/>
          <w:sz w:val="24"/>
        </w:rPr>
      </w:pPr>
      <w:r>
        <w:rPr>
          <w:rFonts w:hint="eastAsia" w:ascii="宋体" w:hAnsi="宋体" w:cs="宋体"/>
          <w:color w:val="auto"/>
          <w:sz w:val="24"/>
        </w:rPr>
        <w:t>法定代表人：                                     法定代表人：</w:t>
      </w:r>
    </w:p>
    <w:p>
      <w:pPr>
        <w:spacing w:line="360" w:lineRule="auto"/>
        <w:ind w:firstLine="480" w:firstLineChars="200"/>
        <w:rPr>
          <w:rFonts w:ascii="宋体" w:hAnsi="宋体" w:cs="宋体"/>
          <w:color w:val="auto"/>
          <w:sz w:val="24"/>
        </w:rPr>
      </w:pPr>
      <w:r>
        <w:rPr>
          <w:rFonts w:hint="eastAsia" w:ascii="宋体" w:hAnsi="宋体" w:cs="宋体"/>
          <w:color w:val="auto"/>
          <w:sz w:val="24"/>
        </w:rPr>
        <w:t>委托代理人：                                     委托代理人：</w:t>
      </w:r>
    </w:p>
    <w:p>
      <w:pPr>
        <w:spacing w:line="360" w:lineRule="auto"/>
        <w:ind w:firstLine="480" w:firstLineChars="200"/>
        <w:rPr>
          <w:rFonts w:ascii="宋体" w:hAnsi="宋体" w:cs="宋体"/>
          <w:color w:val="auto"/>
          <w:sz w:val="24"/>
        </w:rPr>
      </w:pPr>
      <w:r>
        <w:rPr>
          <w:rFonts w:hint="eastAsia" w:ascii="宋体" w:hAnsi="宋体" w:cs="宋体"/>
          <w:color w:val="auto"/>
          <w:sz w:val="24"/>
        </w:rPr>
        <w:t>联系电话：                                       联系电话：</w:t>
      </w:r>
    </w:p>
    <w:p>
      <w:pPr>
        <w:spacing w:line="360" w:lineRule="auto"/>
        <w:ind w:firstLine="480" w:firstLineChars="200"/>
        <w:rPr>
          <w:rFonts w:ascii="宋体" w:hAnsi="宋体" w:cs="宋体"/>
          <w:color w:val="auto"/>
          <w:sz w:val="24"/>
        </w:rPr>
      </w:pPr>
      <w:r>
        <w:rPr>
          <w:rFonts w:hint="eastAsia" w:ascii="宋体" w:hAnsi="宋体" w:cs="宋体"/>
          <w:color w:val="auto"/>
          <w:sz w:val="24"/>
        </w:rPr>
        <w:t>开户银行：                                       开户银行：</w:t>
      </w:r>
    </w:p>
    <w:p>
      <w:pPr>
        <w:spacing w:line="360" w:lineRule="auto"/>
        <w:ind w:firstLine="480" w:firstLineChars="200"/>
        <w:rPr>
          <w:rFonts w:ascii="宋体" w:hAnsi="宋体" w:cs="宋体"/>
          <w:color w:val="auto"/>
          <w:sz w:val="24"/>
        </w:rPr>
      </w:pPr>
      <w:r>
        <w:rPr>
          <w:rFonts w:hint="eastAsia" w:ascii="宋体" w:hAnsi="宋体" w:cs="宋体"/>
          <w:color w:val="auto"/>
          <w:sz w:val="24"/>
        </w:rPr>
        <w:t>账号：                                           账号：</w:t>
      </w:r>
    </w:p>
    <w:p>
      <w:pPr>
        <w:spacing w:line="360" w:lineRule="auto"/>
        <w:ind w:firstLine="480" w:firstLineChars="200"/>
        <w:rPr>
          <w:rFonts w:ascii="宋体" w:hAnsi="宋体" w:cs="宋体"/>
          <w:color w:val="auto"/>
          <w:sz w:val="24"/>
        </w:rPr>
      </w:pPr>
      <w:r>
        <w:rPr>
          <w:rFonts w:hint="eastAsia" w:ascii="宋体" w:hAnsi="宋体" w:cs="宋体"/>
          <w:color w:val="auto"/>
          <w:sz w:val="24"/>
        </w:rPr>
        <w:t>地址：                                           地址：</w:t>
      </w:r>
    </w:p>
    <w:p>
      <w:pPr>
        <w:pStyle w:val="14"/>
        <w:rPr>
          <w:color w:val="auto"/>
        </w:rPr>
      </w:pP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签订时间：    年   月    日</w:t>
      </w: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spacing w:line="360" w:lineRule="auto"/>
        <w:jc w:val="center"/>
        <w:rPr>
          <w:rFonts w:ascii="宋体" w:hAnsi="宋体" w:cs="宋体"/>
          <w:b/>
          <w:color w:val="auto"/>
          <w:sz w:val="24"/>
        </w:rPr>
      </w:pPr>
      <w:bookmarkStart w:id="40" w:name="_Toc5481_WPSOffice_Level1"/>
      <w:bookmarkStart w:id="96" w:name="_GoBack"/>
      <w:bookmarkEnd w:id="96"/>
      <w:r>
        <w:rPr>
          <w:rFonts w:hint="eastAsia" w:ascii="宋体" w:hAnsi="宋体" w:cs="宋体"/>
          <w:b/>
          <w:color w:val="auto"/>
          <w:sz w:val="24"/>
        </w:rPr>
        <w:t>第六章 投标文件格式</w:t>
      </w:r>
      <w:bookmarkEnd w:id="40"/>
    </w:p>
    <w:p>
      <w:pPr>
        <w:rPr>
          <w:rFonts w:ascii="宋体" w:hAnsi="宋体" w:cs="宋体"/>
          <w:b/>
          <w:color w:val="auto"/>
          <w:kern w:val="0"/>
          <w:sz w:val="24"/>
        </w:rPr>
      </w:pPr>
      <w:r>
        <w:rPr>
          <w:rFonts w:hint="eastAsia" w:ascii="宋体" w:hAnsi="宋体" w:cs="宋体"/>
          <w:b/>
          <w:color w:val="auto"/>
          <w:kern w:val="0"/>
          <w:sz w:val="24"/>
        </w:rPr>
        <w:t>附件1</w:t>
      </w:r>
      <w:r>
        <w:rPr>
          <w:rFonts w:hint="eastAsia" w:ascii="宋体" w:hAnsi="宋体" w:cs="宋体"/>
          <w:b/>
          <w:color w:val="auto"/>
          <w:sz w:val="24"/>
        </w:rPr>
        <w:t xml:space="preserve">                             </w:t>
      </w:r>
      <w:r>
        <w:rPr>
          <w:rFonts w:hint="eastAsia" w:ascii="宋体" w:hAnsi="宋体" w:cs="宋体"/>
          <w:color w:val="auto"/>
          <w:sz w:val="24"/>
        </w:rPr>
        <w:t xml:space="preserve"> 　　　</w:t>
      </w:r>
      <w:r>
        <w:rPr>
          <w:rFonts w:hint="eastAsia" w:ascii="宋体" w:hAnsi="宋体" w:cs="宋体"/>
          <w:b/>
          <w:color w:val="auto"/>
          <w:sz w:val="24"/>
        </w:rPr>
        <w:t xml:space="preserve">        </w:t>
      </w:r>
    </w:p>
    <w:p>
      <w:pPr>
        <w:rPr>
          <w:rStyle w:val="51"/>
          <w:rFonts w:ascii="宋体" w:hAnsi="宋体"/>
          <w:b/>
          <w:color w:val="auto"/>
          <w:kern w:val="0"/>
          <w:sz w:val="28"/>
          <w:szCs w:val="28"/>
        </w:rPr>
      </w:pPr>
      <w:r>
        <w:rPr>
          <w:rStyle w:val="51"/>
          <w:rFonts w:ascii="宋体" w:hAnsi="宋体"/>
          <w:color w:val="auto"/>
          <w:sz w:val="30"/>
          <w:szCs w:val="30"/>
        </w:rPr>
        <w:t>　　　</w:t>
      </w:r>
    </w:p>
    <w:p>
      <w:pPr>
        <w:spacing w:line="360" w:lineRule="auto"/>
        <w:jc w:val="center"/>
        <w:rPr>
          <w:rStyle w:val="51"/>
          <w:rFonts w:ascii="宋体" w:hAnsi="宋体"/>
          <w:color w:val="auto"/>
          <w:spacing w:val="40"/>
          <w:sz w:val="52"/>
          <w:szCs w:val="52"/>
        </w:rPr>
      </w:pPr>
      <w:r>
        <w:rPr>
          <w:rFonts w:hint="eastAsia" w:ascii="宋体" w:hAnsi="宋体"/>
          <w:color w:val="auto"/>
          <w:spacing w:val="40"/>
          <w:sz w:val="52"/>
          <w:szCs w:val="52"/>
          <w:lang w:eastAsia="zh-CN"/>
        </w:rPr>
        <w:t>台州市大数据发展中心</w:t>
      </w:r>
      <w:r>
        <w:rPr>
          <w:rFonts w:hint="eastAsia" w:ascii="宋体" w:hAnsi="宋体"/>
          <w:color w:val="auto"/>
          <w:spacing w:val="40"/>
          <w:sz w:val="52"/>
          <w:szCs w:val="52"/>
        </w:rPr>
        <w:t>台州市一体化智能化公共数据平台（数据资源体系）项目</w:t>
      </w:r>
    </w:p>
    <w:p>
      <w:pPr>
        <w:spacing w:before="312" w:line="360" w:lineRule="auto"/>
        <w:ind w:right="-108"/>
        <w:jc w:val="center"/>
        <w:rPr>
          <w:rStyle w:val="51"/>
          <w:rFonts w:ascii="宋体" w:hAnsi="宋体"/>
          <w:color w:val="auto"/>
          <w:sz w:val="36"/>
          <w:szCs w:val="36"/>
        </w:rPr>
      </w:pPr>
      <w:r>
        <w:rPr>
          <w:rStyle w:val="51"/>
          <w:rFonts w:ascii="宋体" w:hAnsi="宋体"/>
          <w:color w:val="auto"/>
          <w:sz w:val="36"/>
          <w:szCs w:val="36"/>
        </w:rPr>
        <w:t>项目编号：</w:t>
      </w:r>
      <w:r>
        <w:rPr>
          <w:rStyle w:val="51"/>
          <w:rFonts w:hint="eastAsia" w:ascii="宋体" w:hAnsi="宋体"/>
          <w:color w:val="auto"/>
          <w:sz w:val="36"/>
          <w:szCs w:val="36"/>
        </w:rPr>
        <w:t>TZTX-2022-GK007</w:t>
      </w:r>
    </w:p>
    <w:p>
      <w:pPr>
        <w:pStyle w:val="14"/>
        <w:rPr>
          <w:rStyle w:val="51"/>
          <w:rFonts w:ascii="宋体" w:hAnsi="宋体"/>
          <w:color w:val="auto"/>
          <w:sz w:val="36"/>
          <w:szCs w:val="36"/>
        </w:rPr>
      </w:pPr>
    </w:p>
    <w:p>
      <w:pPr>
        <w:pStyle w:val="14"/>
        <w:rPr>
          <w:rStyle w:val="51"/>
          <w:rFonts w:ascii="宋体" w:hAnsi="宋体"/>
          <w:color w:val="auto"/>
          <w:sz w:val="36"/>
          <w:szCs w:val="36"/>
        </w:rPr>
      </w:pPr>
    </w:p>
    <w:p>
      <w:pPr>
        <w:spacing w:line="360" w:lineRule="auto"/>
        <w:jc w:val="center"/>
        <w:rPr>
          <w:rStyle w:val="51"/>
          <w:rFonts w:ascii="宋体" w:hAnsi="宋体"/>
          <w:color w:val="auto"/>
          <w:sz w:val="84"/>
          <w:szCs w:val="84"/>
          <w:lang w:val="zh-CN"/>
        </w:rPr>
      </w:pPr>
      <w:r>
        <w:rPr>
          <w:rStyle w:val="51"/>
          <w:rFonts w:ascii="宋体" w:hAnsi="宋体"/>
          <w:color w:val="auto"/>
          <w:sz w:val="84"/>
          <w:szCs w:val="84"/>
          <w:lang w:val="zh-CN"/>
        </w:rPr>
        <w:t>投</w:t>
      </w:r>
    </w:p>
    <w:p>
      <w:pPr>
        <w:spacing w:line="360" w:lineRule="auto"/>
        <w:jc w:val="center"/>
        <w:rPr>
          <w:rStyle w:val="51"/>
          <w:rFonts w:ascii="宋体" w:hAnsi="宋体"/>
          <w:color w:val="auto"/>
          <w:sz w:val="84"/>
          <w:szCs w:val="84"/>
          <w:lang w:val="zh-CN"/>
        </w:rPr>
      </w:pPr>
      <w:r>
        <w:rPr>
          <w:rStyle w:val="51"/>
          <w:rFonts w:ascii="宋体" w:hAnsi="宋体"/>
          <w:color w:val="auto"/>
          <w:sz w:val="84"/>
          <w:szCs w:val="84"/>
          <w:lang w:val="zh-CN"/>
        </w:rPr>
        <w:t>标</w:t>
      </w:r>
    </w:p>
    <w:p>
      <w:pPr>
        <w:spacing w:line="360" w:lineRule="auto"/>
        <w:jc w:val="center"/>
        <w:rPr>
          <w:rStyle w:val="51"/>
          <w:rFonts w:ascii="宋体" w:hAnsi="宋体"/>
          <w:color w:val="auto"/>
          <w:sz w:val="84"/>
          <w:szCs w:val="84"/>
          <w:lang w:val="zh-CN"/>
        </w:rPr>
      </w:pPr>
      <w:r>
        <w:rPr>
          <w:rStyle w:val="51"/>
          <w:rFonts w:ascii="宋体" w:hAnsi="宋体"/>
          <w:color w:val="auto"/>
          <w:sz w:val="84"/>
          <w:szCs w:val="84"/>
          <w:lang w:val="zh-CN"/>
        </w:rPr>
        <w:t>文</w:t>
      </w:r>
    </w:p>
    <w:p>
      <w:pPr>
        <w:spacing w:line="360" w:lineRule="auto"/>
        <w:jc w:val="center"/>
        <w:rPr>
          <w:rStyle w:val="51"/>
          <w:rFonts w:ascii="宋体" w:hAnsi="宋体"/>
          <w:color w:val="auto"/>
          <w:sz w:val="84"/>
          <w:szCs w:val="84"/>
          <w:lang w:val="zh-CN"/>
        </w:rPr>
      </w:pPr>
      <w:r>
        <w:rPr>
          <w:rStyle w:val="51"/>
          <w:rFonts w:ascii="宋体" w:hAnsi="宋体"/>
          <w:color w:val="auto"/>
          <w:sz w:val="84"/>
          <w:szCs w:val="84"/>
          <w:lang w:val="zh-CN"/>
        </w:rPr>
        <w:t>件</w:t>
      </w:r>
    </w:p>
    <w:p>
      <w:pPr>
        <w:spacing w:after="100" w:afterAutospacing="1" w:line="360" w:lineRule="auto"/>
        <w:ind w:right="-108"/>
        <w:jc w:val="center"/>
        <w:rPr>
          <w:rStyle w:val="51"/>
          <w:rFonts w:ascii="宋体" w:hAnsi="宋体"/>
          <w:b/>
          <w:color w:val="auto"/>
          <w:spacing w:val="40"/>
          <w:sz w:val="28"/>
          <w:szCs w:val="28"/>
        </w:rPr>
      </w:pPr>
      <w:r>
        <w:rPr>
          <w:rStyle w:val="51"/>
          <w:rFonts w:ascii="宋体" w:hAnsi="宋体"/>
          <w:color w:val="auto"/>
          <w:sz w:val="28"/>
          <w:szCs w:val="28"/>
          <w:lang w:val="zh-CN"/>
        </w:rPr>
        <w:t>（</w:t>
      </w:r>
      <w:r>
        <w:rPr>
          <w:rStyle w:val="51"/>
          <w:rFonts w:ascii="宋体" w:hAnsi="宋体"/>
          <w:b/>
          <w:color w:val="auto"/>
          <w:spacing w:val="40"/>
          <w:sz w:val="28"/>
          <w:szCs w:val="28"/>
        </w:rPr>
        <w:t>资格证明文件）</w:t>
      </w:r>
    </w:p>
    <w:p>
      <w:pPr>
        <w:spacing w:line="360" w:lineRule="auto"/>
        <w:ind w:right="532" w:firstLine="560" w:firstLineChars="200"/>
        <w:rPr>
          <w:rStyle w:val="51"/>
          <w:rFonts w:ascii="宋体" w:hAnsi="宋体"/>
          <w:color w:val="auto"/>
          <w:sz w:val="28"/>
          <w:szCs w:val="28"/>
        </w:rPr>
      </w:pPr>
      <w:r>
        <w:rPr>
          <w:rStyle w:val="51"/>
          <w:rFonts w:ascii="宋体" w:hAnsi="宋体"/>
          <w:color w:val="auto"/>
          <w:sz w:val="28"/>
          <w:szCs w:val="28"/>
        </w:rPr>
        <w:t>投标人全称（</w:t>
      </w:r>
      <w:r>
        <w:rPr>
          <w:rStyle w:val="51"/>
          <w:rFonts w:hint="eastAsia" w:ascii="宋体" w:hAnsi="宋体"/>
          <w:color w:val="auto"/>
          <w:sz w:val="28"/>
          <w:szCs w:val="28"/>
        </w:rPr>
        <w:t>电子印章</w:t>
      </w:r>
      <w:r>
        <w:rPr>
          <w:rStyle w:val="51"/>
          <w:rFonts w:ascii="宋体" w:hAnsi="宋体"/>
          <w:color w:val="auto"/>
          <w:sz w:val="28"/>
          <w:szCs w:val="28"/>
        </w:rPr>
        <w:t>）：</w:t>
      </w:r>
    </w:p>
    <w:p>
      <w:pPr>
        <w:spacing w:line="360" w:lineRule="auto"/>
        <w:ind w:right="532" w:firstLine="560" w:firstLineChars="200"/>
        <w:rPr>
          <w:rStyle w:val="51"/>
          <w:rFonts w:ascii="宋体" w:hAnsi="宋体"/>
          <w:color w:val="auto"/>
          <w:sz w:val="28"/>
          <w:szCs w:val="28"/>
        </w:rPr>
      </w:pPr>
      <w:r>
        <w:rPr>
          <w:rStyle w:val="51"/>
          <w:rFonts w:ascii="宋体" w:hAnsi="宋体"/>
          <w:color w:val="auto"/>
          <w:sz w:val="28"/>
          <w:szCs w:val="28"/>
        </w:rPr>
        <w:t>地    址：</w:t>
      </w:r>
    </w:p>
    <w:p>
      <w:pPr>
        <w:spacing w:line="360" w:lineRule="auto"/>
        <w:ind w:right="532" w:firstLine="560" w:firstLineChars="200"/>
        <w:rPr>
          <w:rStyle w:val="51"/>
          <w:rFonts w:ascii="宋体" w:hAnsi="宋体"/>
          <w:color w:val="auto"/>
          <w:sz w:val="28"/>
          <w:szCs w:val="28"/>
        </w:rPr>
      </w:pPr>
      <w:r>
        <w:rPr>
          <w:rStyle w:val="51"/>
          <w:rFonts w:ascii="宋体" w:hAnsi="宋体"/>
          <w:color w:val="auto"/>
          <w:sz w:val="28"/>
          <w:szCs w:val="28"/>
        </w:rPr>
        <w:t>时    间：</w:t>
      </w:r>
    </w:p>
    <w:p>
      <w:pPr>
        <w:pStyle w:val="52"/>
        <w:rPr>
          <w:color w:val="auto"/>
        </w:rPr>
      </w:pPr>
    </w:p>
    <w:p>
      <w:pPr>
        <w:pStyle w:val="52"/>
        <w:rPr>
          <w:color w:val="auto"/>
        </w:rPr>
      </w:pPr>
    </w:p>
    <w:p>
      <w:pPr>
        <w:rPr>
          <w:color w:val="auto"/>
        </w:rPr>
      </w:pPr>
    </w:p>
    <w:p>
      <w:pPr>
        <w:jc w:val="center"/>
        <w:rPr>
          <w:rFonts w:ascii="宋体" w:hAnsi="宋体" w:cs="宋体"/>
          <w:b/>
          <w:bCs/>
          <w:color w:val="auto"/>
          <w:sz w:val="24"/>
        </w:rPr>
      </w:pPr>
      <w:r>
        <w:rPr>
          <w:rFonts w:hint="eastAsia" w:ascii="宋体" w:hAnsi="宋体" w:cs="宋体"/>
          <w:b/>
          <w:bCs/>
          <w:color w:val="auto"/>
          <w:sz w:val="24"/>
        </w:rPr>
        <w:t>资格证明文件目录</w:t>
      </w:r>
    </w:p>
    <w:p>
      <w:pPr>
        <w:pStyle w:val="14"/>
        <w:rPr>
          <w:rFonts w:ascii="宋体" w:hAnsi="宋体" w:cs="宋体"/>
          <w:color w:val="auto"/>
          <w:sz w:val="24"/>
          <w:szCs w:val="24"/>
        </w:rPr>
      </w:pPr>
    </w:p>
    <w:p>
      <w:pPr>
        <w:rPr>
          <w:rFonts w:ascii="宋体" w:hAnsi="宋体" w:cs="宋体"/>
          <w:color w:val="auto"/>
          <w:sz w:val="24"/>
        </w:rPr>
      </w:pPr>
    </w:p>
    <w:p>
      <w:pPr>
        <w:spacing w:line="360" w:lineRule="auto"/>
        <w:ind w:firstLine="480" w:firstLineChars="200"/>
        <w:rPr>
          <w:rFonts w:ascii="宋体" w:hAnsi="宋体" w:cs="宋体"/>
          <w:color w:val="auto"/>
          <w:sz w:val="24"/>
        </w:rPr>
      </w:pPr>
      <w:bookmarkStart w:id="41" w:name="_Toc12587_WPSOffice_Level1"/>
      <w:bookmarkStart w:id="42" w:name="_Toc27049_WPSOffice_Level1"/>
      <w:r>
        <w:rPr>
          <w:rFonts w:hint="eastAsia" w:ascii="宋体" w:hAnsi="宋体" w:cs="宋体"/>
          <w:color w:val="auto"/>
          <w:sz w:val="24"/>
        </w:rPr>
        <w:t>1、投标声明书（附件2）</w:t>
      </w:r>
      <w:bookmarkEnd w:id="41"/>
      <w:bookmarkEnd w:id="42"/>
    </w:p>
    <w:p>
      <w:pPr>
        <w:spacing w:line="360" w:lineRule="auto"/>
        <w:ind w:firstLine="480" w:firstLineChars="200"/>
        <w:rPr>
          <w:rFonts w:ascii="宋体" w:hAnsi="宋体" w:cs="宋体"/>
          <w:color w:val="auto"/>
          <w:sz w:val="24"/>
        </w:rPr>
      </w:pPr>
      <w:bookmarkStart w:id="43" w:name="_Toc25574_WPSOffice_Level1"/>
      <w:bookmarkStart w:id="44" w:name="_Toc28306_WPSOffice_Level1"/>
      <w:r>
        <w:rPr>
          <w:rFonts w:hint="eastAsia" w:ascii="宋体" w:hAnsi="宋体" w:cs="宋体"/>
          <w:color w:val="auto"/>
          <w:sz w:val="24"/>
        </w:rPr>
        <w:t>2、授权委托书（法定代表人办理投标事宜的，则无需提交）（附件3）</w:t>
      </w:r>
      <w:bookmarkEnd w:id="43"/>
      <w:bookmarkEnd w:id="44"/>
    </w:p>
    <w:p>
      <w:pPr>
        <w:spacing w:line="360" w:lineRule="auto"/>
        <w:ind w:firstLine="480" w:firstLineChars="200"/>
        <w:rPr>
          <w:rFonts w:ascii="宋体" w:hAnsi="宋体" w:cs="宋体"/>
          <w:color w:val="auto"/>
          <w:sz w:val="24"/>
        </w:rPr>
      </w:pPr>
      <w:bookmarkStart w:id="45" w:name="_Toc32100_WPSOffice_Level1"/>
      <w:bookmarkStart w:id="46" w:name="_Toc29616_WPSOffice_Level1"/>
      <w:r>
        <w:rPr>
          <w:rFonts w:hint="eastAsia" w:ascii="宋体" w:hAnsi="宋体" w:cs="宋体"/>
          <w:color w:val="auto"/>
          <w:sz w:val="24"/>
        </w:rPr>
        <w:t>3、法人或者其他组织的营业执照等证明文件，自然人的身份证明</w:t>
      </w:r>
      <w:bookmarkEnd w:id="45"/>
      <w:bookmarkEnd w:id="46"/>
    </w:p>
    <w:p>
      <w:pPr>
        <w:spacing w:line="360" w:lineRule="auto"/>
        <w:ind w:firstLine="480" w:firstLineChars="200"/>
        <w:rPr>
          <w:rFonts w:ascii="宋体" w:hAnsi="宋体" w:cs="宋体"/>
          <w:color w:val="auto"/>
          <w:sz w:val="24"/>
        </w:rPr>
      </w:pPr>
      <w:bookmarkStart w:id="47" w:name="_Toc9981_WPSOffice_Level1"/>
      <w:bookmarkStart w:id="48" w:name="_Toc25807_WPSOffice_Level1"/>
      <w:r>
        <w:rPr>
          <w:rFonts w:hint="eastAsia" w:ascii="宋体" w:hAnsi="宋体" w:cs="宋体"/>
          <w:color w:val="auto"/>
          <w:sz w:val="24"/>
        </w:rPr>
        <w:t>4、财务状况报告，依法缴纳税收和社会保障资金的相关材料</w:t>
      </w:r>
      <w:bookmarkEnd w:id="47"/>
      <w:bookmarkEnd w:id="48"/>
    </w:p>
    <w:p>
      <w:pPr>
        <w:spacing w:line="360" w:lineRule="auto"/>
        <w:ind w:firstLine="480" w:firstLineChars="200"/>
        <w:rPr>
          <w:rFonts w:ascii="宋体" w:hAnsi="宋体" w:cs="宋体"/>
          <w:color w:val="auto"/>
          <w:sz w:val="24"/>
        </w:rPr>
      </w:pPr>
      <w:bookmarkStart w:id="49" w:name="_Toc30751_WPSOffice_Level1"/>
      <w:bookmarkStart w:id="50" w:name="_Toc2696_WPSOffice_Level1"/>
      <w:r>
        <w:rPr>
          <w:rFonts w:hint="eastAsia" w:ascii="宋体" w:hAnsi="宋体" w:cs="宋体"/>
          <w:color w:val="auto"/>
          <w:sz w:val="24"/>
        </w:rPr>
        <w:t>5、具备履行合同所必需的设备和专业技术能力的</w:t>
      </w:r>
      <w:bookmarkEnd w:id="49"/>
      <w:bookmarkEnd w:id="50"/>
      <w:r>
        <w:rPr>
          <w:rFonts w:hint="eastAsia" w:ascii="宋体" w:hAnsi="宋体" w:cs="宋体"/>
          <w:color w:val="auto"/>
          <w:sz w:val="24"/>
        </w:rPr>
        <w:t>承诺函</w:t>
      </w:r>
    </w:p>
    <w:p>
      <w:pPr>
        <w:spacing w:line="360" w:lineRule="auto"/>
        <w:ind w:firstLine="480" w:firstLineChars="200"/>
        <w:rPr>
          <w:rFonts w:ascii="宋体" w:hAnsi="宋体" w:cs="宋体"/>
          <w:color w:val="auto"/>
          <w:sz w:val="24"/>
        </w:rPr>
      </w:pPr>
      <w:bookmarkStart w:id="51" w:name="_Toc4587_WPSOffice_Level1"/>
      <w:bookmarkStart w:id="52" w:name="_Toc14150_WPSOffice_Level1"/>
      <w:r>
        <w:rPr>
          <w:rFonts w:hint="eastAsia" w:ascii="宋体" w:hAnsi="宋体" w:cs="宋体"/>
          <w:color w:val="auto"/>
          <w:sz w:val="24"/>
        </w:rPr>
        <w:t>6、本项目要求的特定资质</w:t>
      </w:r>
      <w:bookmarkEnd w:id="51"/>
      <w:bookmarkEnd w:id="52"/>
      <w:r>
        <w:rPr>
          <w:rFonts w:hint="eastAsia" w:ascii="宋体" w:hAnsi="宋体" w:cs="宋体"/>
          <w:color w:val="auto"/>
          <w:sz w:val="24"/>
        </w:rPr>
        <w:t>证明材料</w:t>
      </w:r>
    </w:p>
    <w:p>
      <w:pPr>
        <w:spacing w:line="360" w:lineRule="auto"/>
        <w:ind w:firstLine="482" w:firstLineChars="200"/>
        <w:rPr>
          <w:rFonts w:ascii="宋体" w:hAnsi="宋体" w:cs="宋体"/>
          <w:b/>
          <w:color w:val="auto"/>
          <w:sz w:val="24"/>
        </w:rPr>
      </w:pPr>
    </w:p>
    <w:p>
      <w:pPr>
        <w:spacing w:line="360" w:lineRule="auto"/>
        <w:ind w:left="420"/>
        <w:rPr>
          <w:rFonts w:ascii="宋体" w:hAnsi="宋体" w:cs="宋体"/>
          <w:b/>
          <w:color w:val="auto"/>
          <w:sz w:val="24"/>
        </w:rPr>
      </w:pPr>
    </w:p>
    <w:p>
      <w:pPr>
        <w:pStyle w:val="27"/>
        <w:rPr>
          <w:rFonts w:ascii="宋体" w:hAnsi="宋体" w:eastAsia="宋体"/>
          <w:b/>
          <w:color w:val="auto"/>
          <w:sz w:val="24"/>
          <w:szCs w:val="24"/>
        </w:rPr>
      </w:pPr>
    </w:p>
    <w:p>
      <w:pPr>
        <w:pStyle w:val="27"/>
        <w:rPr>
          <w:rFonts w:ascii="宋体" w:hAnsi="宋体" w:eastAsia="宋体"/>
          <w:b/>
          <w:color w:val="auto"/>
          <w:sz w:val="24"/>
          <w:szCs w:val="24"/>
        </w:rPr>
      </w:pPr>
    </w:p>
    <w:p>
      <w:pPr>
        <w:spacing w:line="360" w:lineRule="auto"/>
        <w:ind w:left="420"/>
        <w:rPr>
          <w:rFonts w:ascii="宋体" w:hAnsi="宋体" w:cs="宋体"/>
          <w:b/>
          <w:color w:val="auto"/>
          <w:sz w:val="24"/>
        </w:rPr>
      </w:pPr>
    </w:p>
    <w:p>
      <w:pPr>
        <w:spacing w:line="360" w:lineRule="auto"/>
        <w:ind w:left="420"/>
        <w:rPr>
          <w:rFonts w:ascii="宋体" w:hAnsi="宋体" w:cs="宋体"/>
          <w:b/>
          <w:color w:val="auto"/>
          <w:sz w:val="24"/>
        </w:rPr>
      </w:pPr>
    </w:p>
    <w:p>
      <w:pPr>
        <w:spacing w:line="360" w:lineRule="auto"/>
        <w:ind w:left="420"/>
        <w:rPr>
          <w:rFonts w:ascii="宋体" w:hAnsi="宋体" w:cs="宋体"/>
          <w:b/>
          <w:color w:val="auto"/>
          <w:sz w:val="24"/>
        </w:rPr>
      </w:pPr>
    </w:p>
    <w:p>
      <w:pPr>
        <w:spacing w:line="360" w:lineRule="auto"/>
        <w:ind w:left="420"/>
        <w:rPr>
          <w:rFonts w:ascii="宋体" w:hAnsi="宋体" w:cs="宋体"/>
          <w:b/>
          <w:color w:val="auto"/>
          <w:sz w:val="24"/>
        </w:rPr>
      </w:pPr>
    </w:p>
    <w:p>
      <w:pPr>
        <w:spacing w:line="360" w:lineRule="auto"/>
        <w:rPr>
          <w:rFonts w:ascii="宋体" w:hAnsi="宋体" w:cs="宋体"/>
          <w:b/>
          <w:color w:val="auto"/>
          <w:sz w:val="24"/>
        </w:rPr>
      </w:pPr>
    </w:p>
    <w:p>
      <w:pPr>
        <w:spacing w:line="360" w:lineRule="auto"/>
        <w:ind w:left="420"/>
        <w:rPr>
          <w:rFonts w:ascii="宋体" w:hAnsi="宋体" w:cs="宋体"/>
          <w:b/>
          <w:color w:val="auto"/>
          <w:sz w:val="24"/>
        </w:rPr>
      </w:pPr>
    </w:p>
    <w:p>
      <w:pPr>
        <w:spacing w:line="360" w:lineRule="auto"/>
        <w:ind w:left="420"/>
        <w:rPr>
          <w:rFonts w:ascii="宋体" w:hAnsi="宋体" w:cs="宋体"/>
          <w:b/>
          <w:color w:val="auto"/>
          <w:sz w:val="24"/>
        </w:rPr>
      </w:pPr>
    </w:p>
    <w:p>
      <w:pPr>
        <w:rPr>
          <w:rFonts w:ascii="宋体" w:hAnsi="宋体" w:cs="宋体"/>
          <w:b/>
          <w:color w:val="auto"/>
          <w:sz w:val="24"/>
        </w:rPr>
      </w:pPr>
      <w:r>
        <w:rPr>
          <w:rFonts w:hint="eastAsia" w:ascii="宋体" w:hAnsi="宋体" w:cs="宋体"/>
          <w:b/>
          <w:color w:val="auto"/>
          <w:sz w:val="24"/>
        </w:rPr>
        <w:br w:type="page"/>
      </w:r>
    </w:p>
    <w:p>
      <w:pPr>
        <w:spacing w:line="312" w:lineRule="auto"/>
        <w:rPr>
          <w:rFonts w:ascii="宋体" w:hAnsi="宋体" w:cs="宋体"/>
          <w:b/>
          <w:color w:val="auto"/>
          <w:sz w:val="24"/>
        </w:rPr>
      </w:pPr>
      <w:r>
        <w:rPr>
          <w:rFonts w:hint="eastAsia" w:ascii="宋体" w:hAnsi="宋体" w:cs="宋体"/>
          <w:b/>
          <w:color w:val="auto"/>
          <w:sz w:val="24"/>
        </w:rPr>
        <w:t>附件2</w:t>
      </w:r>
    </w:p>
    <w:p>
      <w:pPr>
        <w:adjustRightInd w:val="0"/>
        <w:snapToGrid w:val="0"/>
        <w:spacing w:line="312" w:lineRule="auto"/>
        <w:ind w:right="480"/>
        <w:jc w:val="center"/>
        <w:rPr>
          <w:rFonts w:ascii="宋体" w:hAnsi="宋体" w:cs="宋体"/>
          <w:b/>
          <w:color w:val="auto"/>
          <w:kern w:val="0"/>
          <w:sz w:val="24"/>
          <w:lang w:val="zh-CN"/>
        </w:rPr>
      </w:pPr>
      <w:bookmarkStart w:id="53" w:name="_Toc31708_WPSOffice_Level1"/>
      <w:bookmarkStart w:id="54" w:name="_Toc30723_WPSOffice_Level1"/>
      <w:r>
        <w:rPr>
          <w:rFonts w:hint="eastAsia" w:ascii="宋体" w:hAnsi="宋体" w:cs="宋体"/>
          <w:b/>
          <w:color w:val="auto"/>
          <w:kern w:val="0"/>
          <w:sz w:val="24"/>
          <w:lang w:val="zh-CN"/>
        </w:rPr>
        <w:t>投标声明书</w:t>
      </w:r>
      <w:bookmarkEnd w:id="53"/>
      <w:bookmarkEnd w:id="54"/>
    </w:p>
    <w:p>
      <w:pPr>
        <w:snapToGrid w:val="0"/>
        <w:spacing w:line="360" w:lineRule="auto"/>
        <w:rPr>
          <w:rStyle w:val="51"/>
          <w:rFonts w:ascii="宋体" w:hAnsi="宋体"/>
          <w:color w:val="auto"/>
          <w:szCs w:val="21"/>
        </w:rPr>
      </w:pPr>
      <w:r>
        <w:rPr>
          <w:rStyle w:val="51"/>
          <w:rFonts w:ascii="宋体" w:hAnsi="宋体"/>
          <w:color w:val="auto"/>
          <w:szCs w:val="21"/>
        </w:rPr>
        <w:t>台州天兴工程管理咨询有限公司：</w:t>
      </w:r>
    </w:p>
    <w:p>
      <w:pPr>
        <w:snapToGrid w:val="0"/>
        <w:spacing w:line="360" w:lineRule="auto"/>
        <w:ind w:firstLine="420" w:firstLineChars="200"/>
        <w:rPr>
          <w:rStyle w:val="51"/>
          <w:rFonts w:ascii="宋体" w:hAnsi="宋体"/>
          <w:color w:val="auto"/>
          <w:szCs w:val="21"/>
        </w:rPr>
      </w:pPr>
      <w:r>
        <w:rPr>
          <w:rStyle w:val="51"/>
          <w:rFonts w:ascii="宋体" w:hAnsi="宋体"/>
          <w:color w:val="auto"/>
          <w:szCs w:val="21"/>
        </w:rPr>
        <w:t>（投标人名称）系中华人民共和国合法企业，经营地址。</w:t>
      </w:r>
    </w:p>
    <w:p>
      <w:pPr>
        <w:snapToGrid w:val="0"/>
        <w:spacing w:line="360" w:lineRule="auto"/>
        <w:ind w:firstLine="420" w:firstLineChars="200"/>
        <w:rPr>
          <w:rStyle w:val="51"/>
          <w:rFonts w:ascii="宋体" w:hAnsi="宋体"/>
          <w:color w:val="auto"/>
          <w:kern w:val="0"/>
          <w:szCs w:val="21"/>
        </w:rPr>
      </w:pPr>
      <w:r>
        <w:rPr>
          <w:rStyle w:val="51"/>
          <w:rFonts w:ascii="宋体" w:hAnsi="宋体"/>
          <w:color w:val="auto"/>
          <w:kern w:val="0"/>
          <w:szCs w:val="21"/>
        </w:rPr>
        <w:t>我（</w:t>
      </w:r>
      <w:r>
        <w:rPr>
          <w:rStyle w:val="51"/>
          <w:rFonts w:ascii="宋体" w:hAnsi="宋体"/>
          <w:color w:val="auto"/>
          <w:kern w:val="0"/>
          <w:szCs w:val="21"/>
          <w:u w:val="single"/>
        </w:rPr>
        <w:t xml:space="preserve"> 姓名 </w:t>
      </w:r>
      <w:r>
        <w:rPr>
          <w:rStyle w:val="51"/>
          <w:rFonts w:ascii="宋体" w:hAnsi="宋体"/>
          <w:color w:val="auto"/>
          <w:kern w:val="0"/>
          <w:szCs w:val="21"/>
        </w:rPr>
        <w:t>）系（</w:t>
      </w:r>
      <w:r>
        <w:rPr>
          <w:rStyle w:val="51"/>
          <w:rFonts w:ascii="宋体" w:hAnsi="宋体"/>
          <w:color w:val="auto"/>
          <w:kern w:val="0"/>
          <w:szCs w:val="21"/>
          <w:u w:val="single"/>
        </w:rPr>
        <w:t xml:space="preserve"> 投标人名称 </w:t>
      </w:r>
      <w:r>
        <w:rPr>
          <w:rStyle w:val="51"/>
          <w:rFonts w:ascii="宋体" w:hAnsi="宋体"/>
          <w:color w:val="auto"/>
          <w:kern w:val="0"/>
          <w:szCs w:val="21"/>
        </w:rPr>
        <w:t>）的法定代表人，我公司自愿参加贵方组织的（</w:t>
      </w:r>
      <w:r>
        <w:rPr>
          <w:rStyle w:val="51"/>
          <w:rFonts w:ascii="宋体" w:hAnsi="宋体"/>
          <w:color w:val="auto"/>
          <w:kern w:val="0"/>
          <w:szCs w:val="21"/>
          <w:u w:val="single"/>
        </w:rPr>
        <w:t>招标项目名称</w:t>
      </w:r>
      <w:r>
        <w:rPr>
          <w:rStyle w:val="51"/>
          <w:rFonts w:ascii="宋体" w:hAnsi="宋体"/>
          <w:color w:val="auto"/>
          <w:kern w:val="0"/>
          <w:szCs w:val="21"/>
        </w:rPr>
        <w:t>）（编号为）的投标，为此，我公司就本次投标有关事项郑重声明如下：</w:t>
      </w:r>
    </w:p>
    <w:p>
      <w:pPr>
        <w:snapToGrid w:val="0"/>
        <w:spacing w:line="360" w:lineRule="auto"/>
        <w:ind w:firstLine="420" w:firstLineChars="200"/>
        <w:rPr>
          <w:rStyle w:val="51"/>
          <w:rFonts w:ascii="宋体" w:hAnsi="宋体"/>
          <w:b/>
          <w:color w:val="auto"/>
          <w:kern w:val="0"/>
          <w:szCs w:val="21"/>
        </w:rPr>
      </w:pPr>
      <w:r>
        <w:rPr>
          <w:rStyle w:val="51"/>
          <w:rFonts w:ascii="宋体" w:hAnsi="宋体"/>
          <w:color w:val="auto"/>
          <w:kern w:val="0"/>
          <w:szCs w:val="21"/>
        </w:rPr>
        <w:t>1、</w:t>
      </w:r>
      <w:r>
        <w:rPr>
          <w:rStyle w:val="51"/>
          <w:rFonts w:hint="eastAsia" w:ascii="宋体" w:hAnsi="宋体"/>
          <w:color w:val="auto"/>
          <w:szCs w:val="21"/>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snapToGrid w:val="0"/>
        <w:spacing w:line="360" w:lineRule="auto"/>
        <w:ind w:firstLine="420" w:firstLineChars="200"/>
        <w:rPr>
          <w:rStyle w:val="51"/>
          <w:rFonts w:ascii="宋体" w:hAnsi="宋体"/>
          <w:color w:val="auto"/>
          <w:kern w:val="0"/>
          <w:szCs w:val="21"/>
        </w:rPr>
      </w:pPr>
      <w:r>
        <w:rPr>
          <w:rStyle w:val="51"/>
          <w:rFonts w:ascii="宋体" w:hAnsi="宋体"/>
          <w:color w:val="auto"/>
          <w:kern w:val="0"/>
          <w:szCs w:val="21"/>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snapToGrid w:val="0"/>
        <w:spacing w:line="360" w:lineRule="auto"/>
        <w:ind w:firstLine="420" w:firstLineChars="200"/>
        <w:rPr>
          <w:rStyle w:val="51"/>
          <w:rFonts w:ascii="宋体" w:hAnsi="宋体"/>
          <w:color w:val="auto"/>
          <w:szCs w:val="21"/>
        </w:rPr>
      </w:pPr>
      <w:r>
        <w:rPr>
          <w:rStyle w:val="51"/>
          <w:rFonts w:ascii="宋体" w:hAnsi="宋体"/>
          <w:color w:val="auto"/>
          <w:szCs w:val="21"/>
        </w:rPr>
        <w:t>3、我</w:t>
      </w:r>
      <w:r>
        <w:rPr>
          <w:rStyle w:val="51"/>
          <w:rFonts w:ascii="宋体" w:hAnsi="宋体"/>
          <w:color w:val="auto"/>
          <w:kern w:val="0"/>
          <w:szCs w:val="21"/>
          <w:lang w:val="zh-CN"/>
        </w:rPr>
        <w:t>公司</w:t>
      </w:r>
      <w:r>
        <w:rPr>
          <w:rStyle w:val="51"/>
          <w:rFonts w:ascii="宋体" w:hAnsi="宋体"/>
          <w:color w:val="auto"/>
          <w:szCs w:val="21"/>
        </w:rPr>
        <w:t>不是采购人的附属机构；在获知本项目采购信息后，与采购人聘请的为此项目提供咨询服务的公司及其附属机构没有任何联系。</w:t>
      </w:r>
    </w:p>
    <w:p>
      <w:pPr>
        <w:snapToGrid w:val="0"/>
        <w:spacing w:line="360" w:lineRule="auto"/>
        <w:ind w:firstLine="420" w:firstLineChars="200"/>
        <w:rPr>
          <w:rStyle w:val="51"/>
          <w:rFonts w:ascii="宋体" w:hAnsi="宋体"/>
          <w:color w:val="auto"/>
          <w:kern w:val="0"/>
          <w:szCs w:val="21"/>
          <w:lang w:val="af-ZA"/>
        </w:rPr>
      </w:pPr>
      <w:r>
        <w:rPr>
          <w:rStyle w:val="51"/>
          <w:rFonts w:ascii="宋体" w:hAnsi="宋体"/>
          <w:color w:val="auto"/>
          <w:szCs w:val="21"/>
        </w:rPr>
        <w:t>4、</w:t>
      </w:r>
      <w:r>
        <w:rPr>
          <w:rStyle w:val="51"/>
          <w:rFonts w:ascii="宋体" w:hAnsi="宋体"/>
          <w:color w:val="auto"/>
          <w:kern w:val="0"/>
          <w:szCs w:val="21"/>
        </w:rPr>
        <w:t>我</w:t>
      </w:r>
      <w:r>
        <w:rPr>
          <w:rStyle w:val="51"/>
          <w:rFonts w:ascii="宋体" w:hAnsi="宋体"/>
          <w:color w:val="auto"/>
          <w:kern w:val="0"/>
          <w:szCs w:val="21"/>
          <w:lang w:val="zh-CN"/>
        </w:rPr>
        <w:t>公司</w:t>
      </w:r>
      <w:r>
        <w:rPr>
          <w:rStyle w:val="51"/>
          <w:rFonts w:ascii="宋体" w:hAnsi="宋体"/>
          <w:color w:val="auto"/>
          <w:kern w:val="0"/>
          <w:szCs w:val="21"/>
        </w:rPr>
        <w:t>保证，</w:t>
      </w:r>
      <w:r>
        <w:rPr>
          <w:rStyle w:val="51"/>
          <w:rFonts w:ascii="宋体" w:hAnsi="宋体"/>
          <w:color w:val="auto"/>
          <w:kern w:val="0"/>
          <w:szCs w:val="21"/>
          <w:lang w:val="af-ZA"/>
        </w:rPr>
        <w:t>采购人在中华人民共和国境内使用</w:t>
      </w:r>
      <w:r>
        <w:rPr>
          <w:rStyle w:val="51"/>
          <w:rFonts w:ascii="宋体" w:hAnsi="宋体"/>
          <w:color w:val="auto"/>
          <w:kern w:val="0"/>
          <w:szCs w:val="21"/>
        </w:rPr>
        <w:t>我</w:t>
      </w:r>
      <w:r>
        <w:rPr>
          <w:rStyle w:val="51"/>
          <w:rFonts w:ascii="宋体" w:hAnsi="宋体"/>
          <w:color w:val="auto"/>
          <w:kern w:val="0"/>
          <w:szCs w:val="21"/>
          <w:lang w:val="zh-CN"/>
        </w:rPr>
        <w:t>公司</w:t>
      </w:r>
      <w:r>
        <w:rPr>
          <w:rStyle w:val="51"/>
          <w:rFonts w:ascii="宋体" w:hAnsi="宋体"/>
          <w:color w:val="auto"/>
          <w:kern w:val="0"/>
          <w:szCs w:val="21"/>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line="360" w:lineRule="auto"/>
        <w:ind w:firstLine="420" w:firstLineChars="200"/>
        <w:rPr>
          <w:rStyle w:val="51"/>
          <w:rFonts w:ascii="宋体" w:hAnsi="宋体"/>
          <w:color w:val="auto"/>
          <w:kern w:val="0"/>
          <w:szCs w:val="21"/>
          <w:lang w:val="af-ZA"/>
        </w:rPr>
      </w:pPr>
      <w:r>
        <w:rPr>
          <w:rStyle w:val="51"/>
          <w:rFonts w:ascii="宋体" w:hAnsi="宋体"/>
          <w:color w:val="auto"/>
          <w:kern w:val="0"/>
          <w:szCs w:val="21"/>
          <w:lang w:val="af-ZA"/>
        </w:rPr>
        <w:t>5、我</w:t>
      </w:r>
      <w:r>
        <w:rPr>
          <w:rStyle w:val="51"/>
          <w:rFonts w:ascii="宋体" w:hAnsi="宋体"/>
          <w:color w:val="auto"/>
          <w:kern w:val="0"/>
          <w:szCs w:val="21"/>
          <w:lang w:val="zh-CN"/>
        </w:rPr>
        <w:t>公司</w:t>
      </w:r>
      <w:r>
        <w:rPr>
          <w:rStyle w:val="51"/>
          <w:rFonts w:ascii="宋体" w:hAnsi="宋体"/>
          <w:color w:val="auto"/>
          <w:kern w:val="0"/>
          <w:szCs w:val="21"/>
          <w:lang w:val="af-ZA"/>
        </w:rPr>
        <w:t>严格履行政府采购合同，不降低合同约定的产品质量和服务，不擅自变更、中止、终止合同，或拒绝履行合同义务；</w:t>
      </w:r>
    </w:p>
    <w:p>
      <w:pPr>
        <w:snapToGrid w:val="0"/>
        <w:spacing w:line="360" w:lineRule="auto"/>
        <w:ind w:firstLine="420" w:firstLineChars="200"/>
        <w:rPr>
          <w:color w:val="auto"/>
          <w:szCs w:val="21"/>
          <w:lang w:val="zh-CN"/>
        </w:rPr>
      </w:pPr>
      <w:r>
        <w:rPr>
          <w:rStyle w:val="51"/>
          <w:rFonts w:ascii="宋体" w:hAnsi="宋体"/>
          <w:color w:val="auto"/>
          <w:kern w:val="0"/>
          <w:szCs w:val="21"/>
        </w:rPr>
        <w:t>6、</w:t>
      </w:r>
      <w:r>
        <w:rPr>
          <w:rStyle w:val="51"/>
          <w:rFonts w:ascii="宋体" w:hAnsi="宋体"/>
          <w:color w:val="auto"/>
          <w:kern w:val="0"/>
          <w:szCs w:val="21"/>
          <w:lang w:val="af-ZA"/>
        </w:rPr>
        <w:t>我</w:t>
      </w:r>
      <w:r>
        <w:rPr>
          <w:rStyle w:val="51"/>
          <w:rFonts w:ascii="宋体" w:hAnsi="宋体"/>
          <w:color w:val="auto"/>
          <w:kern w:val="0"/>
          <w:szCs w:val="21"/>
          <w:lang w:val="zh-CN"/>
        </w:rPr>
        <w:t>公司如中标，保证在中标公示后五个工作日内缴纳招标服务费</w:t>
      </w:r>
      <w:r>
        <w:rPr>
          <w:rStyle w:val="51"/>
          <w:rFonts w:hint="eastAsia" w:ascii="宋体" w:hAnsi="宋体"/>
          <w:color w:val="auto"/>
          <w:kern w:val="0"/>
          <w:szCs w:val="21"/>
          <w:lang w:val="zh-CN"/>
        </w:rPr>
        <w:t>人民币肆万肆仟伍佰玖拾伍元整（￥</w:t>
      </w:r>
      <w:r>
        <w:rPr>
          <w:rStyle w:val="51"/>
          <w:rFonts w:hint="eastAsia" w:ascii="宋体" w:hAnsi="宋体"/>
          <w:color w:val="auto"/>
          <w:kern w:val="0"/>
          <w:szCs w:val="21"/>
        </w:rPr>
        <w:t>44595</w:t>
      </w:r>
      <w:r>
        <w:rPr>
          <w:rStyle w:val="51"/>
          <w:rFonts w:hint="eastAsia" w:ascii="宋体" w:hAnsi="宋体"/>
          <w:color w:val="auto"/>
          <w:kern w:val="0"/>
          <w:szCs w:val="21"/>
          <w:lang w:val="zh-CN"/>
        </w:rPr>
        <w:t>.00元）</w:t>
      </w:r>
      <w:r>
        <w:rPr>
          <w:rStyle w:val="51"/>
          <w:rFonts w:ascii="宋体" w:hAnsi="宋体"/>
          <w:color w:val="auto"/>
          <w:kern w:val="0"/>
          <w:szCs w:val="21"/>
          <w:lang w:val="zh-CN"/>
        </w:rPr>
        <w:t>。</w:t>
      </w:r>
    </w:p>
    <w:tbl>
      <w:tblPr>
        <w:tblStyle w:val="25"/>
        <w:tblW w:w="8760"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76"/>
        <w:gridCol w:w="4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3776" w:type="dxa"/>
            <w:tcBorders>
              <w:top w:val="single" w:color="000000" w:sz="4" w:space="0"/>
              <w:left w:val="single" w:color="000000" w:sz="4" w:space="0"/>
              <w:bottom w:val="single" w:color="000000" w:sz="4" w:space="0"/>
              <w:right w:val="single" w:color="000000" w:sz="4" w:space="0"/>
            </w:tcBorders>
            <w:vAlign w:val="center"/>
          </w:tcPr>
          <w:p>
            <w:pPr>
              <w:snapToGrid w:val="0"/>
              <w:ind w:firstLine="420" w:firstLineChars="200"/>
              <w:rPr>
                <w:rStyle w:val="51"/>
                <w:rFonts w:ascii="宋体" w:hAnsi="宋体"/>
                <w:color w:val="auto"/>
                <w:kern w:val="0"/>
                <w:szCs w:val="21"/>
                <w:lang w:val="zh-CN"/>
              </w:rPr>
            </w:pPr>
            <w:r>
              <w:rPr>
                <w:rStyle w:val="51"/>
                <w:rFonts w:ascii="宋体" w:hAnsi="宋体"/>
                <w:color w:val="auto"/>
                <w:kern w:val="0"/>
                <w:szCs w:val="21"/>
                <w:lang w:val="zh-CN"/>
              </w:rPr>
              <w:t>中标服务费发票类型</w:t>
            </w:r>
          </w:p>
        </w:tc>
        <w:tc>
          <w:tcPr>
            <w:tcW w:w="4984" w:type="dxa"/>
            <w:tcBorders>
              <w:top w:val="single" w:color="000000" w:sz="4" w:space="0"/>
              <w:left w:val="single" w:color="000000" w:sz="4" w:space="0"/>
              <w:bottom w:val="single" w:color="000000" w:sz="4" w:space="0"/>
              <w:right w:val="single" w:color="000000" w:sz="4" w:space="0"/>
            </w:tcBorders>
          </w:tcPr>
          <w:p>
            <w:pPr>
              <w:snapToGrid w:val="0"/>
              <w:ind w:firstLine="420" w:firstLineChars="200"/>
              <w:rPr>
                <w:rStyle w:val="51"/>
                <w:rFonts w:ascii="宋体" w:hAnsi="宋体"/>
                <w:color w:val="auto"/>
                <w:kern w:val="0"/>
                <w:szCs w:val="21"/>
                <w:lang w:val="zh-CN"/>
              </w:rPr>
            </w:pPr>
            <w:r>
              <w:rPr>
                <w:rStyle w:val="51"/>
                <w:rFonts w:ascii="宋体" w:hAnsi="宋体"/>
                <w:color w:val="auto"/>
                <w:kern w:val="0"/>
                <w:szCs w:val="21"/>
                <w:lang w:val="zh-CN"/>
              </w:rPr>
              <w:t>（ ）增值税普通发票</w:t>
            </w:r>
          </w:p>
          <w:p>
            <w:pPr>
              <w:snapToGrid w:val="0"/>
              <w:ind w:firstLine="420" w:firstLineChars="200"/>
              <w:rPr>
                <w:rStyle w:val="51"/>
                <w:rFonts w:ascii="宋体" w:hAnsi="宋体"/>
                <w:color w:val="auto"/>
                <w:kern w:val="0"/>
                <w:szCs w:val="21"/>
                <w:lang w:val="zh-CN"/>
              </w:rPr>
            </w:pPr>
            <w:r>
              <w:rPr>
                <w:rStyle w:val="51"/>
                <w:rFonts w:ascii="宋体" w:hAnsi="宋体"/>
                <w:color w:val="auto"/>
                <w:kern w:val="0"/>
                <w:szCs w:val="21"/>
                <w:lang w:val="zh-CN"/>
              </w:rPr>
              <w:t>（ ）增值税专用发票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3776" w:type="dxa"/>
            <w:tcBorders>
              <w:top w:val="single" w:color="000000" w:sz="4" w:space="0"/>
              <w:left w:val="single" w:color="000000" w:sz="4" w:space="0"/>
              <w:bottom w:val="single" w:color="000000" w:sz="4" w:space="0"/>
              <w:right w:val="single" w:color="000000" w:sz="4" w:space="0"/>
            </w:tcBorders>
            <w:vAlign w:val="center"/>
          </w:tcPr>
          <w:p>
            <w:pPr>
              <w:snapToGrid w:val="0"/>
              <w:ind w:firstLine="420" w:firstLineChars="200"/>
              <w:rPr>
                <w:rStyle w:val="51"/>
                <w:rFonts w:ascii="宋体" w:hAnsi="宋体"/>
                <w:color w:val="auto"/>
                <w:kern w:val="0"/>
                <w:szCs w:val="21"/>
                <w:lang w:val="zh-CN"/>
              </w:rPr>
            </w:pPr>
            <w:r>
              <w:rPr>
                <w:rStyle w:val="51"/>
                <w:rFonts w:ascii="宋体" w:hAnsi="宋体"/>
                <w:color w:val="auto"/>
                <w:kern w:val="0"/>
                <w:szCs w:val="21"/>
                <w:lang w:val="zh-CN"/>
              </w:rPr>
              <w:t>开票信息</w:t>
            </w:r>
          </w:p>
          <w:p>
            <w:pPr>
              <w:snapToGrid w:val="0"/>
              <w:ind w:firstLine="420" w:firstLineChars="200"/>
              <w:rPr>
                <w:rStyle w:val="51"/>
                <w:rFonts w:ascii="宋体" w:hAnsi="宋体"/>
                <w:color w:val="auto"/>
                <w:kern w:val="0"/>
                <w:szCs w:val="21"/>
                <w:lang w:val="zh-CN"/>
              </w:rPr>
            </w:pPr>
            <w:r>
              <w:rPr>
                <w:rStyle w:val="51"/>
                <w:rFonts w:ascii="宋体" w:hAnsi="宋体"/>
                <w:color w:val="auto"/>
                <w:kern w:val="0"/>
                <w:szCs w:val="21"/>
                <w:lang w:val="zh-CN"/>
              </w:rPr>
              <w:t>（普通发票只需要提供纳税识别号，专用发票需要财务确认过的开票信息）</w:t>
            </w:r>
          </w:p>
        </w:tc>
        <w:tc>
          <w:tcPr>
            <w:tcW w:w="4984" w:type="dxa"/>
            <w:tcBorders>
              <w:top w:val="single" w:color="000000" w:sz="4" w:space="0"/>
              <w:left w:val="single" w:color="000000" w:sz="4" w:space="0"/>
              <w:bottom w:val="single" w:color="000000" w:sz="4" w:space="0"/>
              <w:right w:val="single" w:color="000000" w:sz="4" w:space="0"/>
            </w:tcBorders>
          </w:tcPr>
          <w:p>
            <w:pPr>
              <w:snapToGrid w:val="0"/>
              <w:ind w:firstLine="420" w:firstLineChars="200"/>
              <w:rPr>
                <w:rStyle w:val="51"/>
                <w:rFonts w:ascii="宋体" w:hAnsi="宋体"/>
                <w:color w:val="auto"/>
                <w:kern w:val="0"/>
                <w:szCs w:val="21"/>
                <w:lang w:val="zh-CN"/>
              </w:rPr>
            </w:pPr>
            <w:r>
              <w:rPr>
                <w:rStyle w:val="51"/>
                <w:rFonts w:ascii="宋体" w:hAnsi="宋体"/>
                <w:color w:val="auto"/>
                <w:kern w:val="0"/>
                <w:szCs w:val="21"/>
                <w:lang w:val="zh-CN"/>
              </w:rPr>
              <w:t>纳税人名称：</w:t>
            </w:r>
          </w:p>
          <w:p>
            <w:pPr>
              <w:snapToGrid w:val="0"/>
              <w:ind w:firstLine="420" w:firstLineChars="200"/>
              <w:rPr>
                <w:rStyle w:val="51"/>
                <w:rFonts w:ascii="宋体" w:hAnsi="宋体"/>
                <w:color w:val="auto"/>
                <w:kern w:val="0"/>
                <w:szCs w:val="21"/>
                <w:lang w:val="zh-CN"/>
              </w:rPr>
            </w:pPr>
            <w:r>
              <w:rPr>
                <w:rStyle w:val="51"/>
                <w:rFonts w:ascii="宋体" w:hAnsi="宋体"/>
                <w:color w:val="auto"/>
                <w:kern w:val="0"/>
                <w:szCs w:val="21"/>
                <w:lang w:val="zh-CN"/>
              </w:rPr>
              <w:t>纳税识别号：</w:t>
            </w:r>
          </w:p>
          <w:p>
            <w:pPr>
              <w:snapToGrid w:val="0"/>
              <w:ind w:firstLine="420" w:firstLineChars="200"/>
              <w:rPr>
                <w:rStyle w:val="51"/>
                <w:rFonts w:ascii="宋体" w:hAnsi="宋体"/>
                <w:color w:val="auto"/>
                <w:kern w:val="0"/>
                <w:szCs w:val="21"/>
                <w:lang w:val="zh-CN"/>
              </w:rPr>
            </w:pPr>
            <w:r>
              <w:rPr>
                <w:rStyle w:val="51"/>
                <w:rFonts w:ascii="宋体" w:hAnsi="宋体"/>
                <w:color w:val="auto"/>
                <w:kern w:val="0"/>
                <w:szCs w:val="21"/>
                <w:lang w:val="zh-CN"/>
              </w:rPr>
              <w:t>（税务部门备案的）地址：</w:t>
            </w:r>
          </w:p>
          <w:p>
            <w:pPr>
              <w:snapToGrid w:val="0"/>
              <w:ind w:firstLine="420" w:firstLineChars="200"/>
              <w:rPr>
                <w:rStyle w:val="51"/>
                <w:rFonts w:ascii="宋体" w:hAnsi="宋体"/>
                <w:color w:val="auto"/>
                <w:kern w:val="0"/>
                <w:szCs w:val="21"/>
                <w:lang w:val="zh-CN"/>
              </w:rPr>
            </w:pPr>
            <w:r>
              <w:rPr>
                <w:rStyle w:val="51"/>
                <w:rFonts w:ascii="宋体" w:hAnsi="宋体"/>
                <w:color w:val="auto"/>
                <w:kern w:val="0"/>
                <w:szCs w:val="21"/>
                <w:lang w:val="zh-CN"/>
              </w:rPr>
              <w:t>（税务部门备案的）电话：</w:t>
            </w:r>
          </w:p>
          <w:p>
            <w:pPr>
              <w:snapToGrid w:val="0"/>
              <w:ind w:firstLine="420" w:firstLineChars="200"/>
              <w:rPr>
                <w:rStyle w:val="51"/>
                <w:rFonts w:ascii="宋体" w:hAnsi="宋体"/>
                <w:color w:val="auto"/>
                <w:kern w:val="0"/>
                <w:szCs w:val="21"/>
                <w:lang w:val="zh-CN"/>
              </w:rPr>
            </w:pPr>
            <w:r>
              <w:rPr>
                <w:rStyle w:val="51"/>
                <w:rFonts w:ascii="宋体" w:hAnsi="宋体"/>
                <w:color w:val="auto"/>
                <w:kern w:val="0"/>
                <w:szCs w:val="21"/>
                <w:lang w:val="zh-CN"/>
              </w:rPr>
              <w:t>开户行：</w:t>
            </w:r>
          </w:p>
          <w:p>
            <w:pPr>
              <w:snapToGrid w:val="0"/>
              <w:ind w:firstLine="420" w:firstLineChars="200"/>
              <w:rPr>
                <w:rStyle w:val="51"/>
                <w:rFonts w:ascii="宋体" w:hAnsi="宋体"/>
                <w:color w:val="auto"/>
                <w:kern w:val="0"/>
                <w:szCs w:val="21"/>
                <w:lang w:val="zh-CN"/>
              </w:rPr>
            </w:pPr>
            <w:r>
              <w:rPr>
                <w:rStyle w:val="51"/>
                <w:rFonts w:ascii="宋体" w:hAnsi="宋体"/>
                <w:color w:val="auto"/>
                <w:kern w:val="0"/>
                <w:szCs w:val="21"/>
                <w:lang w:val="zh-CN"/>
              </w:rPr>
              <w:t>银行账号：</w:t>
            </w:r>
          </w:p>
        </w:tc>
      </w:tr>
    </w:tbl>
    <w:p>
      <w:pPr>
        <w:snapToGrid w:val="0"/>
        <w:spacing w:line="360" w:lineRule="auto"/>
        <w:ind w:firstLine="420" w:firstLineChars="200"/>
        <w:rPr>
          <w:rStyle w:val="51"/>
          <w:rFonts w:ascii="宋体" w:hAnsi="宋体"/>
          <w:color w:val="auto"/>
          <w:szCs w:val="21"/>
        </w:rPr>
      </w:pPr>
      <w:r>
        <w:rPr>
          <w:rStyle w:val="51"/>
          <w:rFonts w:ascii="宋体" w:hAnsi="宋体"/>
          <w:color w:val="auto"/>
          <w:szCs w:val="21"/>
        </w:rPr>
        <w:t>7、以上事项如有虚假或隐瞒，我</w:t>
      </w:r>
      <w:r>
        <w:rPr>
          <w:rStyle w:val="51"/>
          <w:rFonts w:ascii="宋体" w:hAnsi="宋体"/>
          <w:color w:val="auto"/>
          <w:kern w:val="0"/>
          <w:szCs w:val="21"/>
          <w:lang w:val="zh-CN"/>
        </w:rPr>
        <w:t>公司</w:t>
      </w:r>
      <w:r>
        <w:rPr>
          <w:rStyle w:val="51"/>
          <w:rFonts w:ascii="宋体" w:hAnsi="宋体"/>
          <w:color w:val="auto"/>
          <w:szCs w:val="21"/>
        </w:rPr>
        <w:t>愿意承担一切后果，并不再寻求任何旨在减轻或免除法律责任的辩解。</w:t>
      </w:r>
    </w:p>
    <w:p>
      <w:pPr>
        <w:snapToGrid w:val="0"/>
        <w:spacing w:line="360" w:lineRule="auto"/>
        <w:ind w:firstLine="480"/>
        <w:rPr>
          <w:rStyle w:val="51"/>
          <w:rFonts w:ascii="宋体" w:hAnsi="宋体"/>
          <w:color w:val="auto"/>
          <w:kern w:val="0"/>
          <w:szCs w:val="21"/>
        </w:rPr>
      </w:pPr>
    </w:p>
    <w:p>
      <w:pPr>
        <w:snapToGrid w:val="0"/>
        <w:spacing w:line="360" w:lineRule="auto"/>
        <w:ind w:firstLine="4095" w:firstLineChars="1950"/>
        <w:rPr>
          <w:rStyle w:val="51"/>
          <w:rFonts w:ascii="宋体" w:hAnsi="宋体"/>
          <w:color w:val="auto"/>
          <w:kern w:val="0"/>
          <w:szCs w:val="21"/>
          <w:lang w:val="zh-CN"/>
        </w:rPr>
      </w:pPr>
      <w:r>
        <w:rPr>
          <w:rStyle w:val="51"/>
          <w:rFonts w:ascii="宋体" w:hAnsi="宋体"/>
          <w:color w:val="auto"/>
          <w:kern w:val="0"/>
          <w:szCs w:val="21"/>
          <w:lang w:val="zh-CN"/>
        </w:rPr>
        <w:t xml:space="preserve">    投标人名称(</w:t>
      </w:r>
      <w:r>
        <w:rPr>
          <w:rStyle w:val="51"/>
          <w:rFonts w:hint="eastAsia" w:ascii="宋体" w:hAnsi="宋体"/>
          <w:color w:val="auto"/>
          <w:kern w:val="0"/>
          <w:szCs w:val="21"/>
          <w:lang w:val="zh-CN"/>
        </w:rPr>
        <w:t>电子印章</w:t>
      </w:r>
      <w:r>
        <w:rPr>
          <w:rStyle w:val="51"/>
          <w:rFonts w:ascii="宋体" w:hAnsi="宋体"/>
          <w:color w:val="auto"/>
          <w:kern w:val="0"/>
          <w:szCs w:val="21"/>
          <w:lang w:val="zh-CN"/>
        </w:rPr>
        <w:t>)：</w:t>
      </w:r>
    </w:p>
    <w:p>
      <w:pPr>
        <w:snapToGrid w:val="0"/>
        <w:spacing w:line="360" w:lineRule="auto"/>
        <w:rPr>
          <w:rStyle w:val="51"/>
          <w:rFonts w:ascii="宋体" w:hAnsi="宋体"/>
          <w:color w:val="auto"/>
          <w:kern w:val="0"/>
          <w:szCs w:val="21"/>
          <w:lang w:val="zh-CN"/>
        </w:rPr>
      </w:pPr>
      <w:r>
        <w:rPr>
          <w:rStyle w:val="51"/>
          <w:rFonts w:ascii="宋体" w:hAnsi="宋体"/>
          <w:color w:val="auto"/>
          <w:kern w:val="0"/>
          <w:szCs w:val="21"/>
          <w:lang w:val="zh-CN"/>
        </w:rPr>
        <w:t xml:space="preserve">                                    法定代表人或</w:t>
      </w:r>
      <w:r>
        <w:rPr>
          <w:rStyle w:val="51"/>
          <w:rFonts w:hint="eastAsia" w:ascii="宋体" w:hAnsi="宋体"/>
          <w:color w:val="auto"/>
          <w:kern w:val="0"/>
          <w:szCs w:val="21"/>
          <w:lang w:val="zh-CN"/>
        </w:rPr>
        <w:t>授权委托代理人</w:t>
      </w:r>
      <w:r>
        <w:rPr>
          <w:rStyle w:val="51"/>
          <w:rFonts w:ascii="宋体" w:hAnsi="宋体"/>
          <w:color w:val="auto"/>
          <w:kern w:val="0"/>
          <w:szCs w:val="21"/>
          <w:lang w:val="zh-CN"/>
        </w:rPr>
        <w:t>(签字)：</w:t>
      </w:r>
    </w:p>
    <w:p>
      <w:pPr>
        <w:snapToGrid w:val="0"/>
        <w:spacing w:line="360" w:lineRule="auto"/>
        <w:ind w:right="480"/>
        <w:jc w:val="center"/>
        <w:rPr>
          <w:rStyle w:val="51"/>
          <w:rFonts w:ascii="宋体" w:hAnsi="宋体"/>
          <w:b/>
          <w:color w:val="auto"/>
          <w:szCs w:val="21"/>
        </w:rPr>
      </w:pPr>
      <w:r>
        <w:rPr>
          <w:rStyle w:val="51"/>
          <w:rFonts w:ascii="宋体" w:hAnsi="宋体"/>
          <w:color w:val="auto"/>
          <w:kern w:val="0"/>
          <w:szCs w:val="21"/>
          <w:lang w:val="zh-CN"/>
        </w:rPr>
        <w:t xml:space="preserve">                                  日期：</w:t>
      </w:r>
      <w:r>
        <w:rPr>
          <w:rStyle w:val="51"/>
          <w:rFonts w:ascii="宋体" w:hAnsi="宋体"/>
          <w:color w:val="auto"/>
          <w:szCs w:val="21"/>
        </w:rPr>
        <w:t>××</w:t>
      </w:r>
      <w:r>
        <w:rPr>
          <w:rStyle w:val="51"/>
          <w:rFonts w:ascii="宋体" w:hAnsi="宋体"/>
          <w:color w:val="auto"/>
          <w:kern w:val="0"/>
          <w:szCs w:val="21"/>
          <w:lang w:val="zh-CN"/>
        </w:rPr>
        <w:t xml:space="preserve">年 </w:t>
      </w:r>
      <w:r>
        <w:rPr>
          <w:rStyle w:val="51"/>
          <w:rFonts w:ascii="宋体" w:hAnsi="宋体"/>
          <w:color w:val="auto"/>
          <w:szCs w:val="21"/>
        </w:rPr>
        <w:t>××</w:t>
      </w:r>
      <w:r>
        <w:rPr>
          <w:rStyle w:val="51"/>
          <w:rFonts w:ascii="宋体" w:hAnsi="宋体"/>
          <w:color w:val="auto"/>
          <w:kern w:val="0"/>
          <w:szCs w:val="21"/>
          <w:lang w:val="zh-CN"/>
        </w:rPr>
        <w:t xml:space="preserve"> 月 </w:t>
      </w:r>
      <w:r>
        <w:rPr>
          <w:rStyle w:val="51"/>
          <w:rFonts w:ascii="宋体" w:hAnsi="宋体"/>
          <w:color w:val="auto"/>
          <w:szCs w:val="21"/>
        </w:rPr>
        <w:t>××</w:t>
      </w:r>
      <w:r>
        <w:rPr>
          <w:rStyle w:val="51"/>
          <w:rFonts w:ascii="宋体" w:hAnsi="宋体"/>
          <w:color w:val="auto"/>
          <w:kern w:val="0"/>
          <w:szCs w:val="21"/>
          <w:lang w:val="zh-CN"/>
        </w:rPr>
        <w:t xml:space="preserve"> 日</w:t>
      </w:r>
    </w:p>
    <w:p>
      <w:pPr>
        <w:adjustRightInd w:val="0"/>
        <w:snapToGrid w:val="0"/>
        <w:spacing w:line="360" w:lineRule="auto"/>
        <w:ind w:right="480"/>
        <w:rPr>
          <w:rFonts w:ascii="宋体" w:hAnsi="宋体" w:cs="宋体"/>
          <w:b/>
          <w:color w:val="auto"/>
          <w:sz w:val="24"/>
        </w:rPr>
      </w:pPr>
      <w:r>
        <w:rPr>
          <w:rFonts w:hint="eastAsia" w:ascii="宋体" w:hAnsi="宋体" w:cs="宋体"/>
          <w:b/>
          <w:color w:val="auto"/>
          <w:sz w:val="24"/>
        </w:rPr>
        <w:t>附件3</w:t>
      </w:r>
    </w:p>
    <w:p>
      <w:pPr>
        <w:spacing w:line="360" w:lineRule="auto"/>
        <w:ind w:firstLine="241" w:firstLineChars="100"/>
        <w:jc w:val="center"/>
        <w:rPr>
          <w:rFonts w:ascii="宋体" w:hAnsi="宋体" w:cs="宋体"/>
          <w:b/>
          <w:color w:val="auto"/>
          <w:sz w:val="24"/>
          <w:u w:val="single"/>
        </w:rPr>
      </w:pPr>
      <w:bookmarkStart w:id="55" w:name="_Toc6870_WPSOffice_Level1"/>
      <w:bookmarkStart w:id="56" w:name="_Toc24373_WPSOffice_Level1"/>
      <w:r>
        <w:rPr>
          <w:rFonts w:hint="eastAsia" w:ascii="宋体" w:hAnsi="宋体" w:cs="宋体"/>
          <w:b/>
          <w:color w:val="auto"/>
          <w:sz w:val="24"/>
        </w:rPr>
        <w:t>授权委托书</w:t>
      </w:r>
      <w:bookmarkEnd w:id="55"/>
      <w:bookmarkEnd w:id="56"/>
    </w:p>
    <w:p>
      <w:pPr>
        <w:snapToGrid w:val="0"/>
        <w:spacing w:before="156" w:beforeLines="50" w:after="50" w:line="360" w:lineRule="auto"/>
        <w:rPr>
          <w:rFonts w:ascii="宋体" w:hAnsi="宋体" w:cs="宋体"/>
          <w:color w:val="auto"/>
          <w:kern w:val="0"/>
          <w:sz w:val="24"/>
        </w:rPr>
      </w:pPr>
      <w:r>
        <w:rPr>
          <w:rStyle w:val="51"/>
          <w:rFonts w:ascii="宋体" w:hAnsi="宋体"/>
          <w:color w:val="auto"/>
          <w:sz w:val="24"/>
        </w:rPr>
        <w:t>台州天兴工程管理咨询有限公司</w:t>
      </w:r>
      <w:r>
        <w:rPr>
          <w:rFonts w:hint="eastAsia" w:ascii="宋体" w:hAnsi="宋体" w:cs="宋体"/>
          <w:color w:val="auto"/>
          <w:kern w:val="0"/>
          <w:sz w:val="24"/>
        </w:rPr>
        <w:t>：</w:t>
      </w:r>
    </w:p>
    <w:p>
      <w:pPr>
        <w:pStyle w:val="15"/>
        <w:spacing w:line="360" w:lineRule="auto"/>
        <w:ind w:firstLine="480" w:firstLineChars="200"/>
        <w:rPr>
          <w:rFonts w:hAnsi="宋体"/>
          <w:color w:val="auto"/>
          <w:sz w:val="24"/>
        </w:rPr>
      </w:pPr>
      <w:r>
        <w:rPr>
          <w:rFonts w:hint="eastAsia" w:hAnsi="宋体"/>
          <w:color w:val="auto"/>
          <w:sz w:val="24"/>
          <w:u w:val="single"/>
        </w:rPr>
        <w:t xml:space="preserve">  （投标人全称）  </w:t>
      </w:r>
      <w:r>
        <w:rPr>
          <w:rFonts w:hint="eastAsia" w:hAnsi="宋体"/>
          <w:color w:val="auto"/>
          <w:sz w:val="24"/>
        </w:rPr>
        <w:t>法定代表人（或营业执照中单位负责人）</w:t>
      </w:r>
      <w:r>
        <w:rPr>
          <w:rFonts w:hint="eastAsia" w:hAnsi="宋体"/>
          <w:color w:val="auto"/>
          <w:sz w:val="24"/>
          <w:u w:val="single"/>
        </w:rPr>
        <w:tab/>
      </w:r>
      <w:r>
        <w:rPr>
          <w:rFonts w:hint="eastAsia" w:hAnsi="宋体"/>
          <w:color w:val="auto"/>
          <w:sz w:val="24"/>
          <w:u w:val="single"/>
        </w:rPr>
        <w:t xml:space="preserve">（法定代表人或营业执照中单位负责人姓名） </w:t>
      </w:r>
      <w:r>
        <w:rPr>
          <w:rFonts w:hint="eastAsia" w:hAnsi="宋体"/>
          <w:color w:val="auto"/>
          <w:sz w:val="24"/>
        </w:rPr>
        <w:t>授权</w:t>
      </w:r>
      <w:r>
        <w:rPr>
          <w:rFonts w:hint="eastAsia" w:hAnsi="宋体"/>
          <w:color w:val="auto"/>
          <w:sz w:val="24"/>
          <w:u w:val="single"/>
        </w:rPr>
        <w:t xml:space="preserve">   （授权委托代理人姓名） </w:t>
      </w:r>
      <w:r>
        <w:rPr>
          <w:rFonts w:hint="eastAsia" w:hAnsi="宋体"/>
          <w:color w:val="auto"/>
          <w:sz w:val="24"/>
        </w:rPr>
        <w:t>为授权委托代理人，参加贵单位组织的</w:t>
      </w:r>
      <w:r>
        <w:rPr>
          <w:rFonts w:hint="eastAsia" w:hAnsi="宋体"/>
          <w:color w:val="auto"/>
          <w:sz w:val="24"/>
          <w:u w:val="single"/>
        </w:rPr>
        <w:tab/>
      </w:r>
      <w:r>
        <w:rPr>
          <w:rFonts w:hint="eastAsia" w:hAnsi="宋体"/>
          <w:color w:val="auto"/>
          <w:sz w:val="24"/>
          <w:u w:val="single"/>
        </w:rPr>
        <w:t xml:space="preserve">    </w:t>
      </w:r>
      <w:r>
        <w:rPr>
          <w:rFonts w:hint="eastAsia" w:hAnsi="宋体"/>
          <w:color w:val="auto"/>
          <w:sz w:val="24"/>
        </w:rPr>
        <w:t>项目的采购活动，并代表我方全权办理针对上述项目的投标、开标、评标、签约等具体事务和签署相关文件。我方对授权委托代理人的签字事项负全部责任。</w:t>
      </w:r>
    </w:p>
    <w:p>
      <w:pPr>
        <w:pStyle w:val="15"/>
        <w:spacing w:line="360" w:lineRule="auto"/>
        <w:ind w:firstLine="480" w:firstLineChars="200"/>
        <w:rPr>
          <w:rFonts w:hAnsi="宋体"/>
          <w:color w:val="auto"/>
          <w:sz w:val="24"/>
        </w:rPr>
      </w:pPr>
      <w:r>
        <w:rPr>
          <w:rFonts w:hint="eastAsia" w:hAnsi="宋体"/>
          <w:color w:val="auto"/>
          <w:sz w:val="24"/>
        </w:rPr>
        <w:t>在撤销授权的书面通知以前，本授权书一直有效。授权委托代理人在授权委托书有效期内签署的所有文件不因授权的撤销而失效。</w:t>
      </w:r>
    </w:p>
    <w:p>
      <w:pPr>
        <w:pStyle w:val="15"/>
        <w:spacing w:line="360" w:lineRule="auto"/>
        <w:ind w:firstLine="480" w:firstLineChars="200"/>
        <w:rPr>
          <w:rFonts w:hAnsi="宋体"/>
          <w:color w:val="auto"/>
          <w:sz w:val="24"/>
        </w:rPr>
      </w:pPr>
      <w:r>
        <w:rPr>
          <w:rFonts w:hint="eastAsia" w:hAnsi="宋体"/>
          <w:color w:val="auto"/>
          <w:sz w:val="24"/>
        </w:rPr>
        <w:t>授权委托代理人无转委托权，特此委托。</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法定代表人签字或盖章：</w:t>
      </w:r>
    </w:p>
    <w:p>
      <w:pPr>
        <w:spacing w:line="360" w:lineRule="auto"/>
        <w:rPr>
          <w:rFonts w:ascii="宋体" w:hAnsi="宋体" w:cs="宋体"/>
          <w:color w:val="auto"/>
          <w:sz w:val="24"/>
        </w:rPr>
      </w:pPr>
      <w:r>
        <w:rPr>
          <w:rFonts w:hint="eastAsia" w:ascii="宋体" w:hAnsi="宋体" w:cs="宋体"/>
          <w:color w:val="auto"/>
          <w:sz w:val="24"/>
        </w:rPr>
        <w:t>投标人全称（电子印章）：                              日期：</w:t>
      </w:r>
    </w:p>
    <w:p>
      <w:pPr>
        <w:spacing w:line="360" w:lineRule="auto"/>
        <w:rPr>
          <w:rFonts w:ascii="宋体" w:hAnsi="宋体" w:cs="宋体"/>
          <w:color w:val="auto"/>
          <w:sz w:val="24"/>
        </w:rPr>
      </w:pPr>
    </w:p>
    <w:p>
      <w:pPr>
        <w:spacing w:line="360" w:lineRule="auto"/>
        <w:rPr>
          <w:rFonts w:ascii="宋体" w:hAnsi="宋体" w:cs="宋体"/>
          <w:b/>
          <w:color w:val="auto"/>
          <w:sz w:val="24"/>
        </w:rPr>
      </w:pPr>
      <w:r>
        <w:rPr>
          <w:rFonts w:hint="eastAsia" w:ascii="宋体" w:hAnsi="宋体" w:cs="宋体"/>
          <w:b/>
          <w:color w:val="auto"/>
          <w:sz w:val="24"/>
        </w:rPr>
        <w:t>附：</w:t>
      </w:r>
    </w:p>
    <w:tbl>
      <w:tblPr>
        <w:tblStyle w:val="25"/>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hAnsi="宋体" w:cs="宋体"/>
                <w:b/>
                <w:color w:val="auto"/>
                <w:sz w:val="24"/>
              </w:rPr>
            </w:pPr>
          </w:p>
          <w:p>
            <w:pPr>
              <w:spacing w:line="360" w:lineRule="auto"/>
              <w:ind w:firstLine="361" w:firstLineChars="150"/>
              <w:rPr>
                <w:rFonts w:ascii="宋体" w:hAnsi="宋体" w:cs="宋体"/>
                <w:b/>
                <w:color w:val="auto"/>
                <w:sz w:val="24"/>
              </w:rPr>
            </w:pPr>
            <w:r>
              <w:rPr>
                <w:rFonts w:hint="eastAsia" w:ascii="宋体" w:hAnsi="宋体" w:cs="宋体"/>
                <w:b/>
                <w:color w:val="auto"/>
                <w:sz w:val="24"/>
              </w:rPr>
              <w:t>法定代表身份证复印件粘贴处</w:t>
            </w:r>
          </w:p>
        </w:tc>
      </w:tr>
    </w:tbl>
    <w:p>
      <w:pPr>
        <w:spacing w:line="360" w:lineRule="auto"/>
        <w:rPr>
          <w:rFonts w:ascii="宋体" w:hAnsi="宋体" w:cs="宋体"/>
          <w:color w:val="auto"/>
          <w:sz w:val="24"/>
        </w:rPr>
      </w:pPr>
      <w:r>
        <w:rPr>
          <w:rFonts w:hint="eastAsia" w:ascii="宋体" w:hAnsi="宋体" w:cs="宋体"/>
          <w:color w:val="auto"/>
          <w:sz w:val="24"/>
        </w:rPr>
        <w:t xml:space="preserve">法定代表人姓名：                                 </w:t>
      </w:r>
    </w:p>
    <w:p>
      <w:pPr>
        <w:spacing w:line="360" w:lineRule="auto"/>
        <w:rPr>
          <w:rFonts w:ascii="宋体" w:hAnsi="宋体" w:cs="宋体"/>
          <w:color w:val="auto"/>
          <w:sz w:val="24"/>
        </w:rPr>
      </w:pPr>
      <w:r>
        <w:rPr>
          <w:rFonts w:hint="eastAsia" w:ascii="宋体" w:hAnsi="宋体" w:cs="宋体"/>
          <w:color w:val="auto"/>
          <w:sz w:val="24"/>
        </w:rPr>
        <w:t>传真：</w:t>
      </w:r>
    </w:p>
    <w:p>
      <w:pPr>
        <w:spacing w:line="360" w:lineRule="auto"/>
        <w:rPr>
          <w:rFonts w:ascii="宋体" w:hAnsi="宋体" w:cs="宋体"/>
          <w:color w:val="auto"/>
          <w:sz w:val="24"/>
        </w:rPr>
      </w:pPr>
      <w:r>
        <w:rPr>
          <w:rFonts w:hint="eastAsia" w:ascii="宋体" w:hAnsi="宋体" w:cs="宋体"/>
          <w:color w:val="auto"/>
          <w:sz w:val="24"/>
        </w:rPr>
        <w:t>电话：</w:t>
      </w:r>
    </w:p>
    <w:p>
      <w:pPr>
        <w:spacing w:line="360" w:lineRule="auto"/>
        <w:rPr>
          <w:rFonts w:ascii="宋体" w:hAnsi="宋体" w:cs="宋体"/>
          <w:color w:val="auto"/>
          <w:sz w:val="24"/>
        </w:rPr>
      </w:pPr>
      <w:r>
        <w:rPr>
          <w:rFonts w:hint="eastAsia" w:ascii="宋体" w:hAnsi="宋体" w:cs="宋体"/>
          <w:color w:val="auto"/>
          <w:sz w:val="24"/>
        </w:rPr>
        <w:t>详细通讯地址：</w:t>
      </w:r>
    </w:p>
    <w:p>
      <w:pPr>
        <w:spacing w:line="360" w:lineRule="auto"/>
        <w:rPr>
          <w:rFonts w:ascii="宋体" w:hAnsi="宋体" w:cs="宋体"/>
          <w:color w:val="auto"/>
          <w:sz w:val="24"/>
        </w:rPr>
      </w:pPr>
      <w:r>
        <w:rPr>
          <w:rFonts w:hint="eastAsia" w:ascii="宋体" w:hAnsi="宋体" w:cs="宋体"/>
          <w:color w:val="auto"/>
          <w:sz w:val="24"/>
        </w:rPr>
        <w:t>邮政编码：</w:t>
      </w:r>
    </w:p>
    <w:p>
      <w:pPr>
        <w:spacing w:line="360" w:lineRule="auto"/>
        <w:rPr>
          <w:rFonts w:ascii="宋体" w:hAnsi="宋体" w:cs="宋体"/>
          <w:b/>
          <w:color w:val="auto"/>
          <w:sz w:val="24"/>
        </w:rPr>
      </w:pPr>
    </w:p>
    <w:tbl>
      <w:tblPr>
        <w:tblStyle w:val="25"/>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hAnsi="宋体" w:cs="宋体"/>
                <w:b/>
                <w:color w:val="auto"/>
                <w:sz w:val="24"/>
              </w:rPr>
            </w:pPr>
          </w:p>
          <w:p>
            <w:pPr>
              <w:spacing w:line="360" w:lineRule="auto"/>
              <w:ind w:firstLine="361" w:firstLineChars="150"/>
              <w:rPr>
                <w:rFonts w:ascii="宋体" w:hAnsi="宋体" w:cs="宋体"/>
                <w:b/>
                <w:color w:val="auto"/>
                <w:sz w:val="24"/>
              </w:rPr>
            </w:pPr>
            <w:r>
              <w:rPr>
                <w:rFonts w:hint="eastAsia" w:ascii="宋体" w:hAnsi="宋体" w:cs="宋体"/>
                <w:b/>
                <w:color w:val="auto"/>
                <w:sz w:val="24"/>
              </w:rPr>
              <w:t>授权委托代理人身份证复印件粘贴处</w:t>
            </w:r>
          </w:p>
        </w:tc>
      </w:tr>
    </w:tbl>
    <w:p>
      <w:pPr>
        <w:spacing w:line="360" w:lineRule="auto"/>
        <w:rPr>
          <w:rFonts w:ascii="宋体" w:hAnsi="宋体" w:cs="宋体"/>
          <w:color w:val="auto"/>
          <w:sz w:val="24"/>
        </w:rPr>
      </w:pPr>
      <w:r>
        <w:rPr>
          <w:rFonts w:hint="eastAsia" w:ascii="宋体" w:hAnsi="宋体" w:cs="宋体"/>
          <w:color w:val="auto"/>
          <w:sz w:val="24"/>
        </w:rPr>
        <w:t xml:space="preserve">授权委托代理人姓名：       </w:t>
      </w:r>
    </w:p>
    <w:p>
      <w:pPr>
        <w:spacing w:line="360" w:lineRule="auto"/>
        <w:rPr>
          <w:rFonts w:ascii="宋体" w:hAnsi="宋体" w:cs="宋体"/>
          <w:color w:val="auto"/>
          <w:sz w:val="24"/>
        </w:rPr>
      </w:pPr>
      <w:r>
        <w:rPr>
          <w:rFonts w:hint="eastAsia" w:ascii="宋体" w:hAnsi="宋体" w:cs="宋体"/>
          <w:color w:val="auto"/>
          <w:sz w:val="24"/>
        </w:rPr>
        <w:t xml:space="preserve">职务：                           </w:t>
      </w:r>
    </w:p>
    <w:p>
      <w:pPr>
        <w:spacing w:line="360" w:lineRule="auto"/>
        <w:rPr>
          <w:rFonts w:ascii="宋体" w:hAnsi="宋体" w:cs="宋体"/>
          <w:color w:val="auto"/>
          <w:sz w:val="24"/>
        </w:rPr>
      </w:pPr>
      <w:r>
        <w:rPr>
          <w:rFonts w:hint="eastAsia" w:ascii="宋体" w:hAnsi="宋体" w:cs="宋体"/>
          <w:color w:val="auto"/>
          <w:sz w:val="24"/>
        </w:rPr>
        <w:t>传真：</w:t>
      </w:r>
    </w:p>
    <w:p>
      <w:pPr>
        <w:spacing w:line="360" w:lineRule="auto"/>
        <w:rPr>
          <w:rFonts w:ascii="宋体" w:hAnsi="宋体" w:cs="宋体"/>
          <w:color w:val="auto"/>
          <w:sz w:val="24"/>
        </w:rPr>
      </w:pPr>
      <w:r>
        <w:rPr>
          <w:rFonts w:hint="eastAsia" w:ascii="宋体" w:hAnsi="宋体" w:cs="宋体"/>
          <w:color w:val="auto"/>
          <w:sz w:val="24"/>
        </w:rPr>
        <w:t>电话：</w:t>
      </w:r>
    </w:p>
    <w:p>
      <w:pPr>
        <w:spacing w:line="360" w:lineRule="auto"/>
        <w:rPr>
          <w:rFonts w:ascii="宋体" w:hAnsi="宋体" w:cs="宋体"/>
          <w:color w:val="auto"/>
          <w:sz w:val="24"/>
        </w:rPr>
      </w:pPr>
      <w:r>
        <w:rPr>
          <w:rFonts w:hint="eastAsia" w:ascii="宋体" w:hAnsi="宋体" w:cs="宋体"/>
          <w:color w:val="auto"/>
          <w:sz w:val="24"/>
        </w:rPr>
        <w:t>详细通讯地址：</w:t>
      </w:r>
    </w:p>
    <w:p>
      <w:pPr>
        <w:spacing w:line="360" w:lineRule="auto"/>
        <w:rPr>
          <w:rFonts w:ascii="宋体" w:hAnsi="宋体" w:cs="宋体"/>
          <w:color w:val="auto"/>
          <w:sz w:val="24"/>
        </w:rPr>
      </w:pPr>
      <w:r>
        <w:rPr>
          <w:rFonts w:hint="eastAsia" w:ascii="宋体" w:hAnsi="宋体" w:cs="宋体"/>
          <w:color w:val="auto"/>
          <w:sz w:val="24"/>
        </w:rPr>
        <w:t>邮政编码：</w:t>
      </w:r>
    </w:p>
    <w:p>
      <w:pPr>
        <w:rPr>
          <w:rFonts w:ascii="宋体" w:hAnsi="宋体" w:cs="宋体"/>
          <w:b/>
          <w:color w:val="auto"/>
          <w:sz w:val="24"/>
        </w:rPr>
      </w:pPr>
      <w:r>
        <w:rPr>
          <w:rFonts w:hint="eastAsia" w:ascii="宋体" w:hAnsi="宋体" w:cs="宋体"/>
          <w:b/>
          <w:color w:val="auto"/>
          <w:sz w:val="24"/>
        </w:rPr>
        <w:br w:type="page"/>
      </w:r>
    </w:p>
    <w:p>
      <w:pPr>
        <w:snapToGrid w:val="0"/>
        <w:spacing w:before="156" w:beforeLines="50" w:after="50" w:line="360" w:lineRule="auto"/>
        <w:rPr>
          <w:rFonts w:ascii="宋体" w:hAnsi="宋体" w:cs="宋体"/>
          <w:color w:val="auto"/>
          <w:sz w:val="24"/>
        </w:rPr>
      </w:pPr>
      <w:bookmarkStart w:id="57" w:name="_Toc351_WPSOffice_Level1"/>
      <w:bookmarkStart w:id="58" w:name="_Toc20519_WPSOffice_Level1"/>
      <w:r>
        <w:rPr>
          <w:rFonts w:hint="eastAsia" w:ascii="宋体" w:hAnsi="宋体" w:cs="宋体"/>
          <w:b/>
          <w:color w:val="auto"/>
          <w:sz w:val="24"/>
        </w:rPr>
        <w:t>附件4：</w:t>
      </w:r>
      <w:bookmarkEnd w:id="57"/>
      <w:bookmarkEnd w:id="58"/>
    </w:p>
    <w:p>
      <w:pPr>
        <w:spacing w:line="360" w:lineRule="auto"/>
        <w:ind w:right="-110"/>
        <w:jc w:val="center"/>
        <w:rPr>
          <w:rStyle w:val="51"/>
          <w:rFonts w:ascii="宋体" w:hAnsi="宋体"/>
          <w:color w:val="auto"/>
          <w:spacing w:val="40"/>
          <w:sz w:val="44"/>
          <w:szCs w:val="44"/>
        </w:rPr>
      </w:pPr>
      <w:r>
        <w:rPr>
          <w:rFonts w:hint="eastAsia" w:ascii="宋体" w:hAnsi="宋体"/>
          <w:color w:val="auto"/>
          <w:spacing w:val="40"/>
          <w:sz w:val="52"/>
          <w:szCs w:val="52"/>
          <w:lang w:eastAsia="zh-CN"/>
        </w:rPr>
        <w:t>台州市大数据发展中心</w:t>
      </w:r>
      <w:r>
        <w:rPr>
          <w:rFonts w:hint="eastAsia" w:ascii="宋体" w:hAnsi="宋体"/>
          <w:color w:val="auto"/>
          <w:spacing w:val="40"/>
          <w:sz w:val="52"/>
          <w:szCs w:val="52"/>
        </w:rPr>
        <w:t>台州市一体化智能化公共数据平台（数据资源体系）项目</w:t>
      </w:r>
    </w:p>
    <w:p>
      <w:pPr>
        <w:spacing w:before="312" w:line="360" w:lineRule="auto"/>
        <w:ind w:right="-108"/>
        <w:jc w:val="center"/>
        <w:rPr>
          <w:rStyle w:val="51"/>
          <w:rFonts w:ascii="宋体" w:hAnsi="宋体"/>
          <w:color w:val="auto"/>
          <w:sz w:val="36"/>
          <w:szCs w:val="36"/>
        </w:rPr>
      </w:pPr>
      <w:r>
        <w:rPr>
          <w:rStyle w:val="51"/>
          <w:rFonts w:ascii="宋体" w:hAnsi="宋体"/>
          <w:color w:val="auto"/>
          <w:sz w:val="36"/>
          <w:szCs w:val="36"/>
        </w:rPr>
        <w:t>项目编号：</w:t>
      </w:r>
      <w:r>
        <w:rPr>
          <w:rStyle w:val="51"/>
          <w:rFonts w:hint="eastAsia" w:ascii="宋体" w:hAnsi="宋体"/>
          <w:color w:val="auto"/>
          <w:sz w:val="36"/>
          <w:szCs w:val="36"/>
        </w:rPr>
        <w:t>TZTX-2022-GK007</w:t>
      </w:r>
    </w:p>
    <w:p>
      <w:pPr>
        <w:pStyle w:val="14"/>
        <w:rPr>
          <w:rStyle w:val="51"/>
          <w:rFonts w:ascii="宋体" w:hAnsi="宋体"/>
          <w:color w:val="auto"/>
          <w:sz w:val="36"/>
          <w:szCs w:val="36"/>
        </w:rPr>
      </w:pPr>
    </w:p>
    <w:p>
      <w:pPr>
        <w:pStyle w:val="14"/>
        <w:rPr>
          <w:rStyle w:val="51"/>
          <w:rFonts w:ascii="宋体" w:hAnsi="宋体"/>
          <w:color w:val="auto"/>
          <w:sz w:val="36"/>
          <w:szCs w:val="36"/>
        </w:rPr>
      </w:pPr>
    </w:p>
    <w:p>
      <w:pPr>
        <w:spacing w:line="360" w:lineRule="auto"/>
        <w:jc w:val="center"/>
        <w:rPr>
          <w:rStyle w:val="51"/>
          <w:rFonts w:ascii="宋体" w:hAnsi="宋体"/>
          <w:color w:val="auto"/>
          <w:sz w:val="84"/>
          <w:szCs w:val="84"/>
          <w:lang w:val="zh-CN"/>
        </w:rPr>
      </w:pPr>
      <w:r>
        <w:rPr>
          <w:rStyle w:val="51"/>
          <w:rFonts w:ascii="宋体" w:hAnsi="宋体"/>
          <w:color w:val="auto"/>
          <w:sz w:val="84"/>
          <w:szCs w:val="84"/>
          <w:lang w:val="zh-CN"/>
        </w:rPr>
        <w:t>投</w:t>
      </w:r>
    </w:p>
    <w:p>
      <w:pPr>
        <w:spacing w:line="360" w:lineRule="auto"/>
        <w:jc w:val="center"/>
        <w:rPr>
          <w:rStyle w:val="51"/>
          <w:rFonts w:ascii="宋体" w:hAnsi="宋体"/>
          <w:color w:val="auto"/>
          <w:sz w:val="84"/>
          <w:szCs w:val="84"/>
          <w:lang w:val="zh-CN"/>
        </w:rPr>
      </w:pPr>
      <w:r>
        <w:rPr>
          <w:rStyle w:val="51"/>
          <w:rFonts w:ascii="宋体" w:hAnsi="宋体"/>
          <w:color w:val="auto"/>
          <w:sz w:val="84"/>
          <w:szCs w:val="84"/>
          <w:lang w:val="zh-CN"/>
        </w:rPr>
        <w:t>标</w:t>
      </w:r>
    </w:p>
    <w:p>
      <w:pPr>
        <w:spacing w:line="360" w:lineRule="auto"/>
        <w:jc w:val="center"/>
        <w:rPr>
          <w:rStyle w:val="51"/>
          <w:rFonts w:ascii="宋体" w:hAnsi="宋体"/>
          <w:color w:val="auto"/>
          <w:sz w:val="84"/>
          <w:szCs w:val="84"/>
          <w:lang w:val="zh-CN"/>
        </w:rPr>
      </w:pPr>
      <w:r>
        <w:rPr>
          <w:rStyle w:val="51"/>
          <w:rFonts w:ascii="宋体" w:hAnsi="宋体"/>
          <w:color w:val="auto"/>
          <w:sz w:val="84"/>
          <w:szCs w:val="84"/>
          <w:lang w:val="zh-CN"/>
        </w:rPr>
        <w:t>文</w:t>
      </w:r>
    </w:p>
    <w:p>
      <w:pPr>
        <w:spacing w:line="360" w:lineRule="auto"/>
        <w:jc w:val="center"/>
        <w:rPr>
          <w:rStyle w:val="51"/>
          <w:rFonts w:ascii="宋体" w:hAnsi="宋体"/>
          <w:color w:val="auto"/>
          <w:sz w:val="84"/>
          <w:szCs w:val="84"/>
          <w:lang w:val="zh-CN"/>
        </w:rPr>
      </w:pPr>
      <w:r>
        <w:rPr>
          <w:rStyle w:val="51"/>
          <w:rFonts w:ascii="宋体" w:hAnsi="宋体"/>
          <w:color w:val="auto"/>
          <w:sz w:val="84"/>
          <w:szCs w:val="84"/>
          <w:lang w:val="zh-CN"/>
        </w:rPr>
        <w:t>件</w:t>
      </w:r>
    </w:p>
    <w:p>
      <w:pPr>
        <w:spacing w:after="100" w:afterAutospacing="1" w:line="360" w:lineRule="auto"/>
        <w:ind w:right="-108"/>
        <w:jc w:val="center"/>
        <w:rPr>
          <w:rStyle w:val="51"/>
          <w:rFonts w:ascii="宋体" w:hAnsi="宋体"/>
          <w:b/>
          <w:color w:val="auto"/>
          <w:spacing w:val="40"/>
          <w:sz w:val="28"/>
          <w:szCs w:val="28"/>
        </w:rPr>
      </w:pPr>
      <w:r>
        <w:rPr>
          <w:rStyle w:val="51"/>
          <w:rFonts w:ascii="宋体" w:hAnsi="宋体"/>
          <w:color w:val="auto"/>
          <w:sz w:val="28"/>
          <w:szCs w:val="28"/>
          <w:lang w:val="zh-CN"/>
        </w:rPr>
        <w:t>（</w:t>
      </w:r>
      <w:r>
        <w:rPr>
          <w:rStyle w:val="51"/>
          <w:rFonts w:hint="eastAsia" w:ascii="宋体" w:hAnsi="宋体"/>
          <w:b/>
          <w:color w:val="auto"/>
          <w:spacing w:val="40"/>
          <w:sz w:val="28"/>
          <w:szCs w:val="28"/>
        </w:rPr>
        <w:t>商务与技术</w:t>
      </w:r>
      <w:r>
        <w:rPr>
          <w:rStyle w:val="51"/>
          <w:rFonts w:ascii="宋体" w:hAnsi="宋体"/>
          <w:b/>
          <w:color w:val="auto"/>
          <w:spacing w:val="40"/>
          <w:sz w:val="28"/>
          <w:szCs w:val="28"/>
        </w:rPr>
        <w:t>文件）</w:t>
      </w:r>
    </w:p>
    <w:p>
      <w:pPr>
        <w:pStyle w:val="14"/>
        <w:rPr>
          <w:color w:val="auto"/>
        </w:rPr>
      </w:pPr>
    </w:p>
    <w:p>
      <w:pPr>
        <w:spacing w:line="360" w:lineRule="auto"/>
        <w:ind w:right="532" w:firstLine="720" w:firstLineChars="200"/>
        <w:rPr>
          <w:rStyle w:val="51"/>
          <w:rFonts w:ascii="宋体" w:hAnsi="宋体"/>
          <w:color w:val="auto"/>
          <w:sz w:val="36"/>
          <w:szCs w:val="36"/>
        </w:rPr>
      </w:pPr>
      <w:r>
        <w:rPr>
          <w:rStyle w:val="51"/>
          <w:rFonts w:ascii="宋体" w:hAnsi="宋体"/>
          <w:color w:val="auto"/>
          <w:sz w:val="36"/>
          <w:szCs w:val="36"/>
        </w:rPr>
        <w:t>投标人全称（</w:t>
      </w:r>
      <w:r>
        <w:rPr>
          <w:rStyle w:val="51"/>
          <w:rFonts w:hint="eastAsia" w:ascii="宋体" w:hAnsi="宋体"/>
          <w:color w:val="auto"/>
          <w:sz w:val="36"/>
          <w:szCs w:val="36"/>
        </w:rPr>
        <w:t>电子印章</w:t>
      </w:r>
      <w:r>
        <w:rPr>
          <w:rStyle w:val="51"/>
          <w:rFonts w:ascii="宋体" w:hAnsi="宋体"/>
          <w:color w:val="auto"/>
          <w:sz w:val="36"/>
          <w:szCs w:val="36"/>
        </w:rPr>
        <w:t>）：</w:t>
      </w:r>
    </w:p>
    <w:p>
      <w:pPr>
        <w:spacing w:line="360" w:lineRule="auto"/>
        <w:ind w:right="532" w:firstLine="720" w:firstLineChars="200"/>
        <w:rPr>
          <w:rStyle w:val="51"/>
          <w:rFonts w:ascii="宋体" w:hAnsi="宋体"/>
          <w:color w:val="auto"/>
          <w:sz w:val="36"/>
          <w:szCs w:val="36"/>
        </w:rPr>
      </w:pPr>
      <w:r>
        <w:rPr>
          <w:rStyle w:val="51"/>
          <w:rFonts w:ascii="宋体" w:hAnsi="宋体"/>
          <w:color w:val="auto"/>
          <w:sz w:val="36"/>
          <w:szCs w:val="36"/>
        </w:rPr>
        <w:t>地    址：</w:t>
      </w:r>
    </w:p>
    <w:p>
      <w:pPr>
        <w:spacing w:line="360" w:lineRule="auto"/>
        <w:ind w:right="532" w:firstLine="720" w:firstLineChars="200"/>
        <w:rPr>
          <w:rStyle w:val="51"/>
          <w:rFonts w:ascii="宋体" w:hAnsi="宋体"/>
          <w:color w:val="auto"/>
          <w:sz w:val="36"/>
          <w:szCs w:val="36"/>
        </w:rPr>
      </w:pPr>
      <w:r>
        <w:rPr>
          <w:rStyle w:val="51"/>
          <w:rFonts w:ascii="宋体" w:hAnsi="宋体"/>
          <w:color w:val="auto"/>
          <w:sz w:val="36"/>
          <w:szCs w:val="36"/>
        </w:rPr>
        <w:t>时    间：</w:t>
      </w:r>
    </w:p>
    <w:p>
      <w:pPr>
        <w:pStyle w:val="14"/>
        <w:rPr>
          <w:color w:val="auto"/>
        </w:rPr>
      </w:pPr>
    </w:p>
    <w:p>
      <w:pPr>
        <w:pStyle w:val="14"/>
        <w:rPr>
          <w:color w:val="auto"/>
        </w:rPr>
      </w:pPr>
    </w:p>
    <w:p>
      <w:pPr>
        <w:pStyle w:val="2"/>
        <w:rPr>
          <w:rFonts w:ascii="宋体" w:hAnsi="宋体" w:cs="宋体"/>
          <w:color w:val="auto"/>
          <w:sz w:val="24"/>
        </w:rPr>
      </w:pPr>
    </w:p>
    <w:p>
      <w:pPr>
        <w:spacing w:line="360" w:lineRule="auto"/>
        <w:jc w:val="center"/>
        <w:rPr>
          <w:rFonts w:ascii="宋体" w:hAnsi="宋体" w:cs="宋体"/>
          <w:color w:val="auto"/>
          <w:sz w:val="24"/>
        </w:rPr>
      </w:pPr>
      <w:bookmarkStart w:id="59" w:name="_Toc11308_WPSOffice_Level1"/>
      <w:bookmarkStart w:id="60" w:name="_Toc5889_WPSOffice_Level1"/>
      <w:r>
        <w:rPr>
          <w:rFonts w:hint="eastAsia" w:ascii="宋体" w:hAnsi="宋体" w:cs="宋体"/>
          <w:b/>
          <w:bCs/>
          <w:color w:val="auto"/>
          <w:sz w:val="24"/>
          <w:lang w:val="zh-CN"/>
        </w:rPr>
        <w:t>商务与技术文件</w:t>
      </w:r>
      <w:r>
        <w:rPr>
          <w:rFonts w:hint="eastAsia" w:ascii="宋体" w:hAnsi="宋体" w:cs="宋体"/>
          <w:b/>
          <w:bCs/>
          <w:color w:val="auto"/>
          <w:sz w:val="24"/>
        </w:rPr>
        <w:t>目录</w:t>
      </w:r>
      <w:bookmarkEnd w:id="59"/>
      <w:bookmarkEnd w:id="60"/>
    </w:p>
    <w:p>
      <w:pPr>
        <w:spacing w:line="360" w:lineRule="auto"/>
        <w:rPr>
          <w:rFonts w:ascii="宋体" w:hAnsi="宋体" w:cs="宋体"/>
          <w:color w:val="auto"/>
          <w:sz w:val="24"/>
        </w:rPr>
      </w:pPr>
    </w:p>
    <w:p>
      <w:pPr>
        <w:spacing w:line="360" w:lineRule="auto"/>
        <w:ind w:firstLine="482" w:firstLineChars="200"/>
        <w:rPr>
          <w:rFonts w:ascii="宋体" w:hAnsi="宋体" w:cs="宋体"/>
          <w:b/>
          <w:bCs/>
          <w:color w:val="auto"/>
          <w:sz w:val="24"/>
        </w:rPr>
      </w:pPr>
      <w:bookmarkStart w:id="61" w:name="_Toc21250_WPSOffice_Level1"/>
      <w:bookmarkStart w:id="62" w:name="_Toc20529_WPSOffice_Level1"/>
      <w:r>
        <w:rPr>
          <w:rFonts w:hint="eastAsia" w:ascii="宋体" w:hAnsi="宋体" w:cs="宋体"/>
          <w:b/>
          <w:bCs/>
          <w:color w:val="auto"/>
          <w:sz w:val="24"/>
        </w:rPr>
        <w:t>第一部分  技术方案描述部分</w:t>
      </w:r>
      <w:bookmarkEnd w:id="61"/>
      <w:bookmarkEnd w:id="62"/>
    </w:p>
    <w:p>
      <w:pPr>
        <w:spacing w:line="360" w:lineRule="auto"/>
        <w:ind w:firstLine="480" w:firstLineChars="200"/>
        <w:rPr>
          <w:rFonts w:ascii="宋体" w:hAnsi="宋体" w:cs="宋体"/>
          <w:color w:val="auto"/>
          <w:sz w:val="24"/>
        </w:rPr>
      </w:pPr>
      <w:r>
        <w:rPr>
          <w:rFonts w:hint="eastAsia" w:ascii="宋体" w:hAnsi="宋体" w:cs="宋体"/>
          <w:color w:val="auto"/>
          <w:sz w:val="24"/>
        </w:rPr>
        <w:t>1、投标人情况介绍（附件5）；</w:t>
      </w:r>
    </w:p>
    <w:p>
      <w:pPr>
        <w:spacing w:line="360" w:lineRule="auto"/>
        <w:ind w:firstLine="480" w:firstLineChars="200"/>
        <w:rPr>
          <w:rFonts w:ascii="宋体" w:hAnsi="宋体" w:cs="宋体"/>
          <w:color w:val="auto"/>
          <w:sz w:val="24"/>
        </w:rPr>
      </w:pPr>
      <w:r>
        <w:rPr>
          <w:rFonts w:hint="eastAsia" w:ascii="宋体" w:hAnsi="宋体" w:cs="宋体"/>
          <w:color w:val="auto"/>
          <w:sz w:val="24"/>
        </w:rPr>
        <w:t>2、项目需求的理解与分析；</w:t>
      </w:r>
    </w:p>
    <w:p>
      <w:pPr>
        <w:spacing w:line="360" w:lineRule="auto"/>
        <w:ind w:firstLine="480" w:firstLineChars="200"/>
        <w:rPr>
          <w:rFonts w:ascii="宋体" w:hAnsi="宋体" w:cs="宋体"/>
          <w:color w:val="auto"/>
          <w:sz w:val="24"/>
        </w:rPr>
      </w:pPr>
      <w:r>
        <w:rPr>
          <w:rFonts w:hint="eastAsia" w:ascii="宋体" w:hAnsi="宋体" w:cs="宋体"/>
          <w:color w:val="auto"/>
          <w:sz w:val="24"/>
        </w:rPr>
        <w:t>3、公共数据基础域方案；</w:t>
      </w:r>
    </w:p>
    <w:p>
      <w:pPr>
        <w:spacing w:line="360" w:lineRule="auto"/>
        <w:ind w:firstLine="480" w:firstLineChars="200"/>
        <w:rPr>
          <w:rFonts w:ascii="宋体" w:hAnsi="宋体" w:cs="宋体"/>
          <w:color w:val="auto"/>
          <w:sz w:val="24"/>
        </w:rPr>
      </w:pPr>
      <w:r>
        <w:rPr>
          <w:rFonts w:hint="eastAsia" w:ascii="宋体" w:hAnsi="宋体" w:cs="宋体"/>
          <w:color w:val="auto"/>
          <w:sz w:val="24"/>
        </w:rPr>
        <w:t>4、公共数据共享域方案；</w:t>
      </w:r>
    </w:p>
    <w:p>
      <w:pPr>
        <w:spacing w:line="360" w:lineRule="auto"/>
        <w:ind w:firstLine="480" w:firstLineChars="200"/>
        <w:rPr>
          <w:rFonts w:ascii="宋体" w:hAnsi="宋体" w:cs="宋体"/>
          <w:color w:val="auto"/>
          <w:sz w:val="24"/>
        </w:rPr>
      </w:pPr>
      <w:r>
        <w:rPr>
          <w:rFonts w:hint="eastAsia" w:ascii="宋体" w:hAnsi="宋体" w:cs="宋体"/>
          <w:color w:val="auto"/>
          <w:sz w:val="24"/>
        </w:rPr>
        <w:t>5、公共数据开放域方案；</w:t>
      </w:r>
    </w:p>
    <w:p>
      <w:pPr>
        <w:spacing w:line="360" w:lineRule="auto"/>
        <w:ind w:firstLine="480" w:firstLineChars="200"/>
        <w:rPr>
          <w:rFonts w:ascii="宋体" w:hAnsi="宋体" w:cs="宋体"/>
          <w:color w:val="auto"/>
          <w:sz w:val="24"/>
        </w:rPr>
      </w:pPr>
      <w:r>
        <w:rPr>
          <w:rFonts w:hint="eastAsia" w:ascii="宋体" w:hAnsi="宋体" w:cs="宋体"/>
          <w:color w:val="auto"/>
          <w:sz w:val="24"/>
        </w:rPr>
        <w:t>6、公共数据安全域方案；</w:t>
      </w:r>
    </w:p>
    <w:p>
      <w:pPr>
        <w:spacing w:line="360" w:lineRule="auto"/>
        <w:ind w:firstLine="480" w:firstLineChars="200"/>
        <w:rPr>
          <w:rFonts w:ascii="宋体" w:hAnsi="宋体" w:cs="宋体"/>
          <w:color w:val="auto"/>
          <w:sz w:val="24"/>
        </w:rPr>
      </w:pPr>
      <w:r>
        <w:rPr>
          <w:rFonts w:hint="eastAsia" w:ascii="宋体" w:hAnsi="宋体" w:cs="宋体"/>
          <w:color w:val="auto"/>
          <w:sz w:val="24"/>
        </w:rPr>
        <w:t>7、数据N仓方案；</w:t>
      </w:r>
    </w:p>
    <w:p>
      <w:pPr>
        <w:spacing w:line="360" w:lineRule="auto"/>
        <w:ind w:firstLine="480" w:firstLineChars="200"/>
        <w:rPr>
          <w:rFonts w:ascii="宋体" w:hAnsi="宋体" w:cs="宋体"/>
          <w:color w:val="auto"/>
          <w:sz w:val="24"/>
        </w:rPr>
      </w:pPr>
      <w:r>
        <w:rPr>
          <w:rFonts w:hint="eastAsia" w:ascii="宋体" w:hAnsi="宋体" w:cs="宋体"/>
          <w:color w:val="auto"/>
          <w:sz w:val="24"/>
        </w:rPr>
        <w:t>8、项目实施方案（包括进度计划、人员配置、安装调试测试、验收方案、质量保障方案等）；</w:t>
      </w:r>
    </w:p>
    <w:p>
      <w:pPr>
        <w:spacing w:line="360" w:lineRule="auto"/>
        <w:ind w:firstLine="480" w:firstLineChars="200"/>
        <w:rPr>
          <w:rFonts w:ascii="宋体" w:hAnsi="宋体" w:cs="宋体"/>
          <w:color w:val="auto"/>
          <w:sz w:val="24"/>
        </w:rPr>
      </w:pPr>
      <w:r>
        <w:rPr>
          <w:rFonts w:hint="eastAsia" w:ascii="宋体" w:hAnsi="宋体" w:cs="宋体"/>
          <w:color w:val="auto"/>
          <w:sz w:val="24"/>
        </w:rPr>
        <w:t>9、项目实施人员一览表（附件7）；</w:t>
      </w:r>
    </w:p>
    <w:p>
      <w:pPr>
        <w:spacing w:line="360" w:lineRule="auto"/>
        <w:ind w:firstLine="480" w:firstLineChars="200"/>
        <w:rPr>
          <w:rFonts w:ascii="宋体" w:hAnsi="宋体" w:cs="宋体"/>
          <w:color w:val="auto"/>
          <w:sz w:val="24"/>
        </w:rPr>
      </w:pPr>
      <w:r>
        <w:rPr>
          <w:rFonts w:hint="eastAsia" w:ascii="宋体" w:hAnsi="宋体" w:cs="宋体"/>
          <w:color w:val="auto"/>
          <w:sz w:val="24"/>
        </w:rPr>
        <w:t>10、项目负责人资格情况表（附件8）；</w:t>
      </w:r>
    </w:p>
    <w:p>
      <w:pPr>
        <w:spacing w:line="360" w:lineRule="auto"/>
        <w:ind w:firstLine="480" w:firstLineChars="200"/>
        <w:rPr>
          <w:rFonts w:ascii="宋体" w:hAnsi="宋体" w:cs="宋体"/>
          <w:color w:val="auto"/>
          <w:sz w:val="24"/>
        </w:rPr>
      </w:pPr>
      <w:r>
        <w:rPr>
          <w:rFonts w:hint="eastAsia" w:ascii="宋体" w:hAnsi="宋体" w:cs="宋体"/>
          <w:color w:val="auto"/>
          <w:sz w:val="24"/>
        </w:rPr>
        <w:t>11、技术需求响应表（附件6）；</w:t>
      </w:r>
    </w:p>
    <w:p>
      <w:pPr>
        <w:spacing w:line="360" w:lineRule="auto"/>
        <w:ind w:firstLine="480" w:firstLineChars="200"/>
        <w:rPr>
          <w:rFonts w:ascii="宋体" w:hAnsi="宋体" w:cs="宋体"/>
          <w:color w:val="auto"/>
          <w:sz w:val="24"/>
        </w:rPr>
      </w:pPr>
      <w:r>
        <w:rPr>
          <w:rFonts w:hint="eastAsia" w:ascii="宋体" w:hAnsi="宋体" w:cs="宋体"/>
          <w:color w:val="auto"/>
          <w:sz w:val="24"/>
        </w:rPr>
        <w:t>12、投标人需要说明的其他内容；（包括可能影响投标人技术性能评分项的各类证明材料）；</w:t>
      </w:r>
    </w:p>
    <w:p>
      <w:pPr>
        <w:spacing w:line="360" w:lineRule="auto"/>
        <w:ind w:firstLine="482" w:firstLineChars="200"/>
        <w:rPr>
          <w:rFonts w:ascii="宋体" w:hAnsi="宋体" w:cs="宋体"/>
          <w:b/>
          <w:bCs/>
          <w:color w:val="auto"/>
          <w:sz w:val="24"/>
        </w:rPr>
      </w:pPr>
      <w:bookmarkStart w:id="63" w:name="_Toc20986_WPSOffice_Level1"/>
      <w:bookmarkStart w:id="64" w:name="_Toc30029_WPSOffice_Level1"/>
      <w:r>
        <w:rPr>
          <w:rFonts w:hint="eastAsia" w:ascii="宋体" w:hAnsi="宋体" w:cs="宋体"/>
          <w:b/>
          <w:bCs/>
          <w:color w:val="auto"/>
          <w:sz w:val="24"/>
        </w:rPr>
        <w:t>第二部分  商务及其他部分</w:t>
      </w:r>
      <w:bookmarkEnd w:id="63"/>
      <w:bookmarkEnd w:id="64"/>
    </w:p>
    <w:p>
      <w:pPr>
        <w:spacing w:line="360" w:lineRule="auto"/>
        <w:ind w:firstLine="480" w:firstLineChars="200"/>
        <w:rPr>
          <w:rFonts w:ascii="宋体" w:hAnsi="宋体" w:cs="宋体"/>
          <w:color w:val="auto"/>
          <w:sz w:val="24"/>
        </w:rPr>
      </w:pPr>
      <w:r>
        <w:rPr>
          <w:rFonts w:hint="eastAsia" w:ascii="宋体" w:hAnsi="宋体" w:cs="宋体"/>
          <w:color w:val="auto"/>
          <w:sz w:val="24"/>
        </w:rPr>
        <w:t>1、证书一览表（附件10）；</w:t>
      </w:r>
    </w:p>
    <w:p>
      <w:pPr>
        <w:spacing w:line="360" w:lineRule="auto"/>
        <w:ind w:firstLine="480" w:firstLineChars="200"/>
        <w:rPr>
          <w:rFonts w:ascii="宋体" w:hAnsi="宋体" w:cs="宋体"/>
          <w:color w:val="auto"/>
          <w:sz w:val="24"/>
        </w:rPr>
      </w:pPr>
      <w:r>
        <w:rPr>
          <w:rFonts w:hint="eastAsia" w:ascii="宋体" w:hAnsi="宋体" w:cs="宋体"/>
          <w:color w:val="auto"/>
          <w:sz w:val="24"/>
        </w:rPr>
        <w:t>2、近三年来类似项目的成功案例（附件11）；</w:t>
      </w:r>
    </w:p>
    <w:p>
      <w:pPr>
        <w:spacing w:line="360" w:lineRule="auto"/>
        <w:ind w:firstLine="480" w:firstLineChars="200"/>
        <w:rPr>
          <w:rFonts w:ascii="宋体" w:hAnsi="宋体" w:cs="宋体"/>
          <w:color w:val="auto"/>
          <w:sz w:val="24"/>
        </w:rPr>
      </w:pPr>
      <w:r>
        <w:rPr>
          <w:rFonts w:hint="eastAsia" w:ascii="宋体" w:hAnsi="宋体" w:cs="宋体"/>
          <w:color w:val="auto"/>
          <w:sz w:val="24"/>
        </w:rPr>
        <w:t>3、商务需求响应表（附件12）；</w:t>
      </w:r>
    </w:p>
    <w:p>
      <w:pPr>
        <w:spacing w:line="360" w:lineRule="auto"/>
        <w:ind w:firstLine="480" w:firstLineChars="200"/>
        <w:rPr>
          <w:rFonts w:ascii="宋体" w:hAnsi="宋体" w:cs="宋体"/>
          <w:color w:val="auto"/>
          <w:sz w:val="24"/>
        </w:rPr>
      </w:pPr>
      <w:r>
        <w:rPr>
          <w:rFonts w:hint="eastAsia" w:ascii="宋体" w:hAnsi="宋体" w:cs="宋体"/>
          <w:color w:val="auto"/>
          <w:sz w:val="24"/>
        </w:rPr>
        <w:t>4、本地化服务方案（可视情况采用附件9）；</w:t>
      </w:r>
    </w:p>
    <w:p>
      <w:pPr>
        <w:spacing w:line="360" w:lineRule="auto"/>
        <w:ind w:firstLine="480" w:firstLineChars="200"/>
        <w:rPr>
          <w:rFonts w:ascii="宋体" w:hAnsi="宋体" w:cs="宋体"/>
          <w:color w:val="auto"/>
          <w:sz w:val="24"/>
        </w:rPr>
      </w:pPr>
      <w:r>
        <w:rPr>
          <w:rFonts w:hint="eastAsia" w:ascii="宋体" w:hAnsi="宋体" w:cs="宋体"/>
          <w:color w:val="auto"/>
          <w:sz w:val="24"/>
        </w:rPr>
        <w:t>5、培训方案；</w:t>
      </w:r>
    </w:p>
    <w:p>
      <w:pPr>
        <w:spacing w:line="360" w:lineRule="auto"/>
        <w:ind w:firstLine="480" w:firstLineChars="200"/>
        <w:rPr>
          <w:rFonts w:ascii="宋体" w:hAnsi="宋体" w:cs="宋体"/>
          <w:color w:val="auto"/>
          <w:sz w:val="24"/>
        </w:rPr>
      </w:pPr>
      <w:r>
        <w:rPr>
          <w:rFonts w:hint="eastAsia" w:ascii="宋体" w:hAnsi="宋体" w:cs="宋体"/>
          <w:color w:val="auto"/>
          <w:sz w:val="24"/>
        </w:rPr>
        <w:t>6、投标人需要说明的其他内容。（包括可能影响投标人企业实力及信誉评分项以及售后服务评分项的各类证明材料）</w:t>
      </w:r>
    </w:p>
    <w:p>
      <w:pPr>
        <w:pStyle w:val="31"/>
        <w:spacing w:before="0" w:beforeAutospacing="0" w:after="0" w:afterAutospacing="0" w:line="360" w:lineRule="auto"/>
        <w:ind w:firstLine="482" w:firstLineChars="200"/>
        <w:jc w:val="both"/>
        <w:rPr>
          <w:b/>
          <w:color w:val="auto"/>
        </w:rPr>
      </w:pPr>
    </w:p>
    <w:p>
      <w:pPr>
        <w:pStyle w:val="31"/>
        <w:spacing w:before="0" w:beforeAutospacing="0" w:after="0" w:afterAutospacing="0" w:line="360" w:lineRule="auto"/>
        <w:rPr>
          <w:b/>
          <w:color w:val="auto"/>
        </w:rPr>
      </w:pPr>
    </w:p>
    <w:p>
      <w:pPr>
        <w:rPr>
          <w:rFonts w:ascii="宋体" w:hAnsi="宋体" w:cs="宋体"/>
          <w:b/>
          <w:color w:val="auto"/>
          <w:sz w:val="24"/>
        </w:rPr>
      </w:pPr>
      <w:r>
        <w:rPr>
          <w:rFonts w:hint="eastAsia" w:ascii="宋体" w:hAnsi="宋体" w:cs="宋体"/>
          <w:b/>
          <w:color w:val="auto"/>
          <w:sz w:val="24"/>
        </w:rPr>
        <w:br w:type="page"/>
      </w:r>
    </w:p>
    <w:p>
      <w:pPr>
        <w:pStyle w:val="31"/>
        <w:shd w:val="clear" w:color="auto" w:fill="FFFFFF"/>
        <w:spacing w:before="0" w:beforeAutospacing="0" w:after="0" w:afterAutospacing="0" w:line="360" w:lineRule="auto"/>
        <w:rPr>
          <w:b/>
          <w:color w:val="auto"/>
          <w:sz w:val="28"/>
        </w:rPr>
      </w:pPr>
      <w:r>
        <w:rPr>
          <w:rFonts w:hint="eastAsia"/>
          <w:b/>
          <w:color w:val="auto"/>
          <w:sz w:val="28"/>
        </w:rPr>
        <w:t>附件5</w:t>
      </w:r>
    </w:p>
    <w:p>
      <w:pPr>
        <w:pStyle w:val="31"/>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5" w:name="_Toc13307_WPSOffice_Level1"/>
      <w:bookmarkStart w:id="66" w:name="_Toc14261_WPSOffice_Level1"/>
      <w:r>
        <w:rPr>
          <w:rFonts w:hint="eastAsia"/>
          <w:b/>
          <w:color w:val="auto"/>
          <w:sz w:val="32"/>
          <w:szCs w:val="32"/>
        </w:rPr>
        <w:t>投标</w:t>
      </w:r>
      <w:r>
        <w:rPr>
          <w:rFonts w:hint="eastAsia"/>
          <w:b/>
          <w:bCs/>
          <w:color w:val="auto"/>
          <w:sz w:val="32"/>
          <w:szCs w:val="32"/>
        </w:rPr>
        <w:t>人基本情况表</w:t>
      </w:r>
      <w:bookmarkEnd w:id="65"/>
      <w:bookmarkEnd w:id="66"/>
    </w:p>
    <w:tbl>
      <w:tblPr>
        <w:tblStyle w:val="25"/>
        <w:tblW w:w="89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955"/>
        <w:gridCol w:w="1036"/>
        <w:gridCol w:w="1036"/>
        <w:gridCol w:w="546"/>
        <w:gridCol w:w="982"/>
        <w:gridCol w:w="1025"/>
        <w:gridCol w:w="556"/>
        <w:gridCol w:w="1062"/>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23" w:type="dxa"/>
            <w:vAlign w:val="center"/>
          </w:tcPr>
          <w:p>
            <w:pPr>
              <w:pStyle w:val="31"/>
              <w:shd w:val="clear" w:color="auto" w:fill="FFFFFF"/>
              <w:spacing w:before="0" w:beforeAutospacing="0" w:after="0" w:afterAutospacing="0"/>
              <w:jc w:val="center"/>
              <w:rPr>
                <w:bCs/>
                <w:color w:val="auto"/>
              </w:rPr>
            </w:pPr>
            <w:r>
              <w:rPr>
                <w:rFonts w:hint="eastAsia"/>
                <w:bCs/>
                <w:color w:val="auto"/>
              </w:rPr>
              <w:t>企业名称</w:t>
            </w:r>
          </w:p>
        </w:tc>
        <w:tc>
          <w:tcPr>
            <w:tcW w:w="4555" w:type="dxa"/>
            <w:gridSpan w:val="5"/>
            <w:vAlign w:val="center"/>
          </w:tcPr>
          <w:p>
            <w:pPr>
              <w:pStyle w:val="31"/>
              <w:shd w:val="clear" w:color="auto" w:fill="FFFFFF"/>
              <w:spacing w:before="0" w:beforeAutospacing="0" w:after="0" w:afterAutospacing="0"/>
              <w:jc w:val="center"/>
              <w:rPr>
                <w:bCs/>
                <w:color w:val="auto"/>
              </w:rPr>
            </w:pPr>
          </w:p>
        </w:tc>
        <w:tc>
          <w:tcPr>
            <w:tcW w:w="1581" w:type="dxa"/>
            <w:gridSpan w:val="2"/>
            <w:vAlign w:val="center"/>
          </w:tcPr>
          <w:p>
            <w:pPr>
              <w:pStyle w:val="31"/>
              <w:shd w:val="clear" w:color="auto" w:fill="FFFFFF"/>
              <w:spacing w:before="0" w:beforeAutospacing="0" w:after="0" w:afterAutospacing="0"/>
              <w:jc w:val="center"/>
              <w:rPr>
                <w:bCs/>
                <w:color w:val="auto"/>
              </w:rPr>
            </w:pPr>
            <w:r>
              <w:rPr>
                <w:rFonts w:hint="eastAsia"/>
                <w:bCs/>
                <w:color w:val="auto"/>
              </w:rPr>
              <w:t>法人代表</w:t>
            </w:r>
          </w:p>
        </w:tc>
        <w:tc>
          <w:tcPr>
            <w:tcW w:w="1995" w:type="dxa"/>
            <w:gridSpan w:val="2"/>
            <w:vAlign w:val="center"/>
          </w:tcPr>
          <w:p>
            <w:pPr>
              <w:pStyle w:val="31"/>
              <w:shd w:val="clear" w:color="auto" w:fill="FFFFFF"/>
              <w:spacing w:before="0" w:beforeAutospacing="0" w:after="0" w:afterAutospacing="0"/>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23" w:type="dxa"/>
            <w:vAlign w:val="center"/>
          </w:tcPr>
          <w:p>
            <w:pPr>
              <w:pStyle w:val="31"/>
              <w:shd w:val="clear" w:color="auto" w:fill="FFFFFF"/>
              <w:spacing w:before="0" w:beforeAutospacing="0" w:after="0" w:afterAutospacing="0"/>
              <w:jc w:val="center"/>
              <w:rPr>
                <w:bCs/>
                <w:color w:val="auto"/>
              </w:rPr>
            </w:pPr>
            <w:r>
              <w:rPr>
                <w:rFonts w:hint="eastAsia"/>
                <w:bCs/>
                <w:color w:val="auto"/>
              </w:rPr>
              <w:t>地址</w:t>
            </w:r>
          </w:p>
        </w:tc>
        <w:tc>
          <w:tcPr>
            <w:tcW w:w="4555" w:type="dxa"/>
            <w:gridSpan w:val="5"/>
            <w:tcBorders>
              <w:bottom w:val="single" w:color="auto" w:sz="4" w:space="0"/>
            </w:tcBorders>
            <w:vAlign w:val="center"/>
          </w:tcPr>
          <w:p>
            <w:pPr>
              <w:pStyle w:val="31"/>
              <w:shd w:val="clear" w:color="auto" w:fill="FFFFFF"/>
              <w:spacing w:before="0" w:beforeAutospacing="0" w:after="0" w:afterAutospacing="0"/>
              <w:jc w:val="center"/>
              <w:rPr>
                <w:bCs/>
                <w:color w:val="auto"/>
              </w:rPr>
            </w:pPr>
          </w:p>
        </w:tc>
        <w:tc>
          <w:tcPr>
            <w:tcW w:w="1581" w:type="dxa"/>
            <w:gridSpan w:val="2"/>
            <w:vAlign w:val="center"/>
          </w:tcPr>
          <w:p>
            <w:pPr>
              <w:pStyle w:val="31"/>
              <w:shd w:val="clear" w:color="auto" w:fill="FFFFFF"/>
              <w:spacing w:before="0" w:beforeAutospacing="0" w:after="0" w:afterAutospacing="0"/>
              <w:jc w:val="center"/>
              <w:rPr>
                <w:bCs/>
                <w:color w:val="auto"/>
              </w:rPr>
            </w:pPr>
            <w:r>
              <w:rPr>
                <w:rFonts w:hint="eastAsia"/>
                <w:bCs/>
                <w:color w:val="auto"/>
              </w:rPr>
              <w:t>企业性质</w:t>
            </w:r>
          </w:p>
        </w:tc>
        <w:tc>
          <w:tcPr>
            <w:tcW w:w="1995" w:type="dxa"/>
            <w:gridSpan w:val="2"/>
            <w:vAlign w:val="center"/>
          </w:tcPr>
          <w:p>
            <w:pPr>
              <w:pStyle w:val="31"/>
              <w:shd w:val="clear" w:color="auto" w:fill="FFFFFF"/>
              <w:spacing w:before="0" w:beforeAutospacing="0" w:after="0" w:afterAutospacing="0"/>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823" w:type="dxa"/>
            <w:tcBorders>
              <w:bottom w:val="single" w:color="auto" w:sz="4" w:space="0"/>
            </w:tcBorders>
            <w:vAlign w:val="center"/>
          </w:tcPr>
          <w:p>
            <w:pPr>
              <w:pStyle w:val="31"/>
              <w:shd w:val="clear" w:color="auto" w:fill="FFFFFF"/>
              <w:spacing w:before="0" w:beforeAutospacing="0" w:after="0" w:afterAutospacing="0"/>
              <w:jc w:val="center"/>
              <w:rPr>
                <w:bCs/>
                <w:color w:val="auto"/>
              </w:rPr>
            </w:pPr>
            <w:r>
              <w:rPr>
                <w:rFonts w:hint="eastAsia"/>
                <w:bCs/>
                <w:color w:val="auto"/>
              </w:rPr>
              <w:t>股东姓名</w:t>
            </w:r>
          </w:p>
        </w:tc>
        <w:tc>
          <w:tcPr>
            <w:tcW w:w="955" w:type="dxa"/>
            <w:tcBorders>
              <w:bottom w:val="single" w:color="auto" w:sz="4" w:space="0"/>
            </w:tcBorders>
            <w:vAlign w:val="center"/>
          </w:tcPr>
          <w:p>
            <w:pPr>
              <w:pStyle w:val="31"/>
              <w:shd w:val="clear" w:color="auto" w:fill="FFFFFF"/>
              <w:spacing w:before="0" w:beforeAutospacing="0" w:after="0" w:afterAutospacing="0"/>
              <w:jc w:val="center"/>
              <w:rPr>
                <w:bCs/>
                <w:color w:val="auto"/>
              </w:rPr>
            </w:pPr>
          </w:p>
        </w:tc>
        <w:tc>
          <w:tcPr>
            <w:tcW w:w="1036" w:type="dxa"/>
            <w:tcBorders>
              <w:bottom w:val="single" w:color="auto" w:sz="4" w:space="0"/>
            </w:tcBorders>
            <w:vAlign w:val="center"/>
          </w:tcPr>
          <w:p>
            <w:pPr>
              <w:pStyle w:val="31"/>
              <w:shd w:val="clear" w:color="auto" w:fill="FFFFFF"/>
              <w:spacing w:before="0" w:beforeAutospacing="0" w:after="0" w:afterAutospacing="0"/>
              <w:jc w:val="center"/>
              <w:rPr>
                <w:bCs/>
                <w:color w:val="auto"/>
              </w:rPr>
            </w:pPr>
            <w:r>
              <w:rPr>
                <w:rFonts w:hint="eastAsia"/>
                <w:bCs/>
                <w:color w:val="auto"/>
              </w:rPr>
              <w:t>股权结构（%）</w:t>
            </w:r>
          </w:p>
        </w:tc>
        <w:tc>
          <w:tcPr>
            <w:tcW w:w="2564" w:type="dxa"/>
            <w:gridSpan w:val="3"/>
            <w:tcBorders>
              <w:bottom w:val="single" w:color="auto" w:sz="4" w:space="0"/>
            </w:tcBorders>
            <w:vAlign w:val="center"/>
          </w:tcPr>
          <w:p>
            <w:pPr>
              <w:widowControl/>
              <w:jc w:val="center"/>
              <w:rPr>
                <w:rFonts w:ascii="宋体" w:hAnsi="宋体" w:cs="宋体"/>
                <w:bCs/>
                <w:color w:val="auto"/>
                <w:kern w:val="0"/>
                <w:sz w:val="24"/>
              </w:rPr>
            </w:pPr>
          </w:p>
          <w:p>
            <w:pPr>
              <w:pStyle w:val="31"/>
              <w:shd w:val="clear" w:color="auto" w:fill="FFFFFF"/>
              <w:spacing w:before="0" w:beforeAutospacing="0" w:after="0" w:afterAutospacing="0"/>
              <w:jc w:val="center"/>
              <w:rPr>
                <w:bCs/>
                <w:color w:val="auto"/>
              </w:rPr>
            </w:pPr>
          </w:p>
        </w:tc>
        <w:tc>
          <w:tcPr>
            <w:tcW w:w="1581" w:type="dxa"/>
            <w:gridSpan w:val="2"/>
            <w:vAlign w:val="center"/>
          </w:tcPr>
          <w:p>
            <w:pPr>
              <w:pStyle w:val="31"/>
              <w:shd w:val="clear" w:color="auto" w:fill="FFFFFF"/>
              <w:spacing w:before="0" w:beforeAutospacing="0" w:after="0" w:afterAutospacing="0"/>
              <w:jc w:val="center"/>
              <w:rPr>
                <w:bCs/>
                <w:color w:val="auto"/>
              </w:rPr>
            </w:pPr>
            <w:r>
              <w:rPr>
                <w:rFonts w:hint="eastAsia"/>
                <w:bCs/>
                <w:color w:val="auto"/>
              </w:rPr>
              <w:t>股东关系</w:t>
            </w:r>
          </w:p>
        </w:tc>
        <w:tc>
          <w:tcPr>
            <w:tcW w:w="1995" w:type="dxa"/>
            <w:gridSpan w:val="2"/>
            <w:vAlign w:val="center"/>
          </w:tcPr>
          <w:p>
            <w:pPr>
              <w:pStyle w:val="31"/>
              <w:shd w:val="clear" w:color="auto" w:fill="FFFFFF"/>
              <w:spacing w:before="0" w:beforeAutospacing="0" w:after="0" w:afterAutospacing="0"/>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3" w:type="dxa"/>
            <w:vMerge w:val="restart"/>
            <w:vAlign w:val="center"/>
          </w:tcPr>
          <w:p>
            <w:pPr>
              <w:pStyle w:val="31"/>
              <w:shd w:val="clear" w:color="auto" w:fill="FFFFFF"/>
              <w:spacing w:before="0" w:beforeAutospacing="0" w:after="0" w:afterAutospacing="0"/>
              <w:jc w:val="center"/>
              <w:rPr>
                <w:bCs/>
                <w:color w:val="auto"/>
              </w:rPr>
            </w:pPr>
            <w:r>
              <w:rPr>
                <w:rFonts w:hint="eastAsia"/>
                <w:bCs/>
                <w:color w:val="auto"/>
              </w:rPr>
              <w:t>联系人姓名</w:t>
            </w:r>
          </w:p>
        </w:tc>
        <w:tc>
          <w:tcPr>
            <w:tcW w:w="955" w:type="dxa"/>
            <w:vMerge w:val="restart"/>
            <w:tcBorders>
              <w:top w:val="nil"/>
            </w:tcBorders>
            <w:vAlign w:val="center"/>
          </w:tcPr>
          <w:p>
            <w:pPr>
              <w:pStyle w:val="31"/>
              <w:shd w:val="clear" w:color="auto" w:fill="FFFFFF"/>
              <w:spacing w:before="0" w:beforeAutospacing="0" w:after="0" w:afterAutospacing="0"/>
              <w:jc w:val="center"/>
              <w:rPr>
                <w:bCs/>
                <w:color w:val="auto"/>
              </w:rPr>
            </w:pPr>
          </w:p>
        </w:tc>
        <w:tc>
          <w:tcPr>
            <w:tcW w:w="1036" w:type="dxa"/>
            <w:tcBorders>
              <w:top w:val="nil"/>
              <w:bottom w:val="single" w:color="auto" w:sz="4" w:space="0"/>
            </w:tcBorders>
            <w:vAlign w:val="center"/>
          </w:tcPr>
          <w:p>
            <w:pPr>
              <w:pStyle w:val="31"/>
              <w:shd w:val="clear" w:color="auto" w:fill="FFFFFF"/>
              <w:spacing w:before="0" w:beforeAutospacing="0" w:after="0" w:afterAutospacing="0"/>
              <w:jc w:val="center"/>
              <w:rPr>
                <w:bCs/>
                <w:color w:val="auto"/>
              </w:rPr>
            </w:pPr>
            <w:r>
              <w:rPr>
                <w:rFonts w:hint="eastAsia"/>
                <w:bCs/>
                <w:color w:val="auto"/>
              </w:rPr>
              <w:t>固定电话</w:t>
            </w:r>
          </w:p>
        </w:tc>
        <w:tc>
          <w:tcPr>
            <w:tcW w:w="2564" w:type="dxa"/>
            <w:gridSpan w:val="3"/>
            <w:tcBorders>
              <w:top w:val="nil"/>
              <w:bottom w:val="single" w:color="auto" w:sz="4" w:space="0"/>
            </w:tcBorders>
            <w:vAlign w:val="center"/>
          </w:tcPr>
          <w:p>
            <w:pPr>
              <w:widowControl/>
              <w:jc w:val="center"/>
              <w:rPr>
                <w:rFonts w:ascii="宋体" w:hAnsi="宋体" w:cs="宋体"/>
                <w:bCs/>
                <w:color w:val="auto"/>
                <w:kern w:val="0"/>
                <w:sz w:val="24"/>
              </w:rPr>
            </w:pPr>
          </w:p>
          <w:p>
            <w:pPr>
              <w:pStyle w:val="31"/>
              <w:shd w:val="clear" w:color="auto" w:fill="FFFFFF"/>
              <w:spacing w:before="0" w:beforeAutospacing="0" w:after="0" w:afterAutospacing="0"/>
              <w:jc w:val="center"/>
              <w:rPr>
                <w:bCs/>
                <w:color w:val="auto"/>
              </w:rPr>
            </w:pPr>
          </w:p>
        </w:tc>
        <w:tc>
          <w:tcPr>
            <w:tcW w:w="1581" w:type="dxa"/>
            <w:gridSpan w:val="2"/>
            <w:vMerge w:val="restart"/>
            <w:vAlign w:val="center"/>
          </w:tcPr>
          <w:p>
            <w:pPr>
              <w:pStyle w:val="31"/>
              <w:shd w:val="clear" w:color="auto" w:fill="FFFFFF"/>
              <w:spacing w:before="0" w:beforeAutospacing="0" w:after="0" w:afterAutospacing="0"/>
              <w:jc w:val="center"/>
              <w:rPr>
                <w:bCs/>
                <w:color w:val="auto"/>
              </w:rPr>
            </w:pPr>
            <w:r>
              <w:rPr>
                <w:rFonts w:hint="eastAsia"/>
                <w:bCs/>
                <w:color w:val="auto"/>
              </w:rPr>
              <w:t>传真</w:t>
            </w:r>
          </w:p>
        </w:tc>
        <w:tc>
          <w:tcPr>
            <w:tcW w:w="1995" w:type="dxa"/>
            <w:gridSpan w:val="2"/>
            <w:vMerge w:val="restart"/>
            <w:vAlign w:val="center"/>
          </w:tcPr>
          <w:p>
            <w:pPr>
              <w:pStyle w:val="31"/>
              <w:shd w:val="clear" w:color="auto" w:fill="FFFFFF"/>
              <w:spacing w:before="0" w:beforeAutospacing="0" w:after="0" w:afterAutospacing="0"/>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23" w:type="dxa"/>
            <w:vMerge w:val="continue"/>
            <w:tcBorders>
              <w:bottom w:val="single" w:color="auto" w:sz="4" w:space="0"/>
            </w:tcBorders>
            <w:vAlign w:val="center"/>
          </w:tcPr>
          <w:p>
            <w:pPr>
              <w:pStyle w:val="31"/>
              <w:shd w:val="clear" w:color="auto" w:fill="FFFFFF"/>
              <w:spacing w:before="0" w:beforeAutospacing="0" w:after="0" w:afterAutospacing="0"/>
              <w:jc w:val="center"/>
              <w:rPr>
                <w:bCs/>
                <w:color w:val="auto"/>
              </w:rPr>
            </w:pPr>
          </w:p>
        </w:tc>
        <w:tc>
          <w:tcPr>
            <w:tcW w:w="955" w:type="dxa"/>
            <w:vMerge w:val="continue"/>
            <w:tcBorders>
              <w:bottom w:val="single" w:color="auto" w:sz="4" w:space="0"/>
            </w:tcBorders>
            <w:vAlign w:val="center"/>
          </w:tcPr>
          <w:p>
            <w:pPr>
              <w:pStyle w:val="31"/>
              <w:shd w:val="clear" w:color="auto" w:fill="FFFFFF"/>
              <w:spacing w:before="0" w:beforeAutospacing="0" w:after="0" w:afterAutospacing="0"/>
              <w:jc w:val="center"/>
              <w:rPr>
                <w:bCs/>
                <w:color w:val="auto"/>
              </w:rPr>
            </w:pPr>
          </w:p>
        </w:tc>
        <w:tc>
          <w:tcPr>
            <w:tcW w:w="1036" w:type="dxa"/>
            <w:tcBorders>
              <w:bottom w:val="single" w:color="auto" w:sz="4" w:space="0"/>
            </w:tcBorders>
            <w:vAlign w:val="center"/>
          </w:tcPr>
          <w:p>
            <w:pPr>
              <w:pStyle w:val="31"/>
              <w:shd w:val="clear" w:color="auto" w:fill="FFFFFF"/>
              <w:spacing w:before="0" w:beforeAutospacing="0" w:after="0" w:afterAutospacing="0"/>
              <w:jc w:val="center"/>
              <w:rPr>
                <w:bCs/>
                <w:color w:val="auto"/>
              </w:rPr>
            </w:pPr>
            <w:r>
              <w:rPr>
                <w:rFonts w:hint="eastAsia"/>
                <w:bCs/>
                <w:color w:val="auto"/>
              </w:rPr>
              <w:t>手机</w:t>
            </w:r>
          </w:p>
        </w:tc>
        <w:tc>
          <w:tcPr>
            <w:tcW w:w="2564" w:type="dxa"/>
            <w:gridSpan w:val="3"/>
            <w:tcBorders>
              <w:bottom w:val="single" w:color="auto" w:sz="4" w:space="0"/>
            </w:tcBorders>
            <w:vAlign w:val="center"/>
          </w:tcPr>
          <w:p>
            <w:pPr>
              <w:pStyle w:val="31"/>
              <w:shd w:val="clear" w:color="auto" w:fill="FFFFFF"/>
              <w:spacing w:before="0" w:beforeAutospacing="0" w:after="0" w:afterAutospacing="0"/>
              <w:jc w:val="center"/>
              <w:rPr>
                <w:bCs/>
                <w:color w:val="auto"/>
              </w:rPr>
            </w:pPr>
          </w:p>
        </w:tc>
        <w:tc>
          <w:tcPr>
            <w:tcW w:w="1581" w:type="dxa"/>
            <w:gridSpan w:val="2"/>
            <w:vMerge w:val="continue"/>
            <w:vAlign w:val="center"/>
          </w:tcPr>
          <w:p>
            <w:pPr>
              <w:pStyle w:val="31"/>
              <w:shd w:val="clear" w:color="auto" w:fill="FFFFFF"/>
              <w:spacing w:before="0" w:beforeAutospacing="0" w:after="0" w:afterAutospacing="0"/>
              <w:jc w:val="center"/>
              <w:rPr>
                <w:bCs/>
                <w:color w:val="auto"/>
              </w:rPr>
            </w:pPr>
          </w:p>
        </w:tc>
        <w:tc>
          <w:tcPr>
            <w:tcW w:w="1995" w:type="dxa"/>
            <w:gridSpan w:val="2"/>
            <w:vMerge w:val="continue"/>
            <w:vAlign w:val="center"/>
          </w:tcPr>
          <w:p>
            <w:pPr>
              <w:pStyle w:val="31"/>
              <w:shd w:val="clear" w:color="auto" w:fill="FFFFFF"/>
              <w:spacing w:before="0" w:beforeAutospacing="0" w:after="0" w:afterAutospacing="0"/>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23" w:type="dxa"/>
            <w:vMerge w:val="restart"/>
            <w:vAlign w:val="center"/>
          </w:tcPr>
          <w:p>
            <w:pPr>
              <w:pStyle w:val="31"/>
              <w:shd w:val="clear" w:color="auto" w:fill="FFFFFF"/>
              <w:spacing w:before="0" w:beforeAutospacing="0" w:after="0" w:afterAutospacing="0"/>
              <w:jc w:val="center"/>
              <w:rPr>
                <w:bCs/>
                <w:color w:val="auto"/>
              </w:rPr>
            </w:pPr>
            <w:r>
              <w:rPr>
                <w:bCs/>
                <w:color w:val="auto"/>
              </w:rPr>
              <w:t>1</w:t>
            </w:r>
            <w:r>
              <w:rPr>
                <w:rFonts w:hint="eastAsia"/>
                <w:bCs/>
                <w:color w:val="auto"/>
              </w:rPr>
              <w:t>.</w:t>
            </w:r>
          </w:p>
          <w:p>
            <w:pPr>
              <w:pStyle w:val="31"/>
              <w:shd w:val="clear" w:color="auto" w:fill="FFFFFF"/>
              <w:spacing w:before="0" w:beforeAutospacing="0" w:after="0" w:afterAutospacing="0"/>
              <w:jc w:val="center"/>
              <w:rPr>
                <w:bCs/>
                <w:color w:val="auto"/>
              </w:rPr>
            </w:pPr>
            <w:r>
              <w:rPr>
                <w:rFonts w:hint="eastAsia"/>
                <w:bCs/>
                <w:color w:val="auto"/>
              </w:rPr>
              <w:t>企</w:t>
            </w:r>
          </w:p>
          <w:p>
            <w:pPr>
              <w:pStyle w:val="31"/>
              <w:shd w:val="clear" w:color="auto" w:fill="FFFFFF"/>
              <w:spacing w:before="0" w:beforeAutospacing="0" w:after="0" w:afterAutospacing="0"/>
              <w:jc w:val="center"/>
              <w:rPr>
                <w:bCs/>
                <w:color w:val="auto"/>
              </w:rPr>
            </w:pPr>
            <w:r>
              <w:rPr>
                <w:rFonts w:hint="eastAsia"/>
                <w:bCs/>
                <w:color w:val="auto"/>
              </w:rPr>
              <w:t>业</w:t>
            </w:r>
          </w:p>
          <w:p>
            <w:pPr>
              <w:pStyle w:val="31"/>
              <w:shd w:val="clear" w:color="auto" w:fill="FFFFFF"/>
              <w:spacing w:before="0" w:beforeAutospacing="0" w:after="0" w:afterAutospacing="0"/>
              <w:jc w:val="center"/>
              <w:rPr>
                <w:bCs/>
                <w:color w:val="auto"/>
              </w:rPr>
            </w:pPr>
            <w:r>
              <w:rPr>
                <w:rFonts w:hint="eastAsia"/>
                <w:bCs/>
                <w:color w:val="auto"/>
              </w:rPr>
              <w:t>概</w:t>
            </w:r>
          </w:p>
          <w:p>
            <w:pPr>
              <w:pStyle w:val="31"/>
              <w:shd w:val="clear" w:color="auto" w:fill="FFFFFF"/>
              <w:spacing w:before="0" w:beforeAutospacing="0" w:after="0" w:afterAutospacing="0"/>
              <w:jc w:val="center"/>
              <w:rPr>
                <w:bCs/>
                <w:color w:val="auto"/>
              </w:rPr>
            </w:pPr>
            <w:r>
              <w:rPr>
                <w:rFonts w:hint="eastAsia"/>
                <w:bCs/>
                <w:color w:val="auto"/>
              </w:rPr>
              <w:t>况</w:t>
            </w:r>
          </w:p>
        </w:tc>
        <w:tc>
          <w:tcPr>
            <w:tcW w:w="955" w:type="dxa"/>
            <w:tcBorders>
              <w:top w:val="nil"/>
            </w:tcBorders>
            <w:vAlign w:val="center"/>
          </w:tcPr>
          <w:p>
            <w:pPr>
              <w:pStyle w:val="31"/>
              <w:shd w:val="clear" w:color="auto" w:fill="FFFFFF"/>
              <w:spacing w:before="0" w:beforeAutospacing="0" w:after="0" w:afterAutospacing="0"/>
              <w:jc w:val="center"/>
              <w:rPr>
                <w:bCs/>
                <w:color w:val="auto"/>
              </w:rPr>
            </w:pPr>
            <w:r>
              <w:rPr>
                <w:rFonts w:hint="eastAsia"/>
                <w:bCs/>
                <w:color w:val="auto"/>
              </w:rPr>
              <w:t>职工人数</w:t>
            </w:r>
          </w:p>
        </w:tc>
        <w:tc>
          <w:tcPr>
            <w:tcW w:w="1036" w:type="dxa"/>
            <w:tcBorders>
              <w:top w:val="nil"/>
            </w:tcBorders>
            <w:vAlign w:val="center"/>
          </w:tcPr>
          <w:p>
            <w:pPr>
              <w:pStyle w:val="31"/>
              <w:shd w:val="clear" w:color="auto" w:fill="FFFFFF"/>
              <w:spacing w:before="0" w:beforeAutospacing="0" w:after="0" w:afterAutospacing="0"/>
              <w:jc w:val="center"/>
              <w:rPr>
                <w:bCs/>
                <w:color w:val="auto"/>
              </w:rPr>
            </w:pPr>
          </w:p>
        </w:tc>
        <w:tc>
          <w:tcPr>
            <w:tcW w:w="1582" w:type="dxa"/>
            <w:gridSpan w:val="2"/>
            <w:tcBorders>
              <w:top w:val="nil"/>
            </w:tcBorders>
            <w:vAlign w:val="center"/>
          </w:tcPr>
          <w:p>
            <w:pPr>
              <w:pStyle w:val="31"/>
              <w:shd w:val="clear" w:color="auto" w:fill="FFFFFF"/>
              <w:spacing w:before="0" w:beforeAutospacing="0" w:after="0" w:afterAutospacing="0"/>
              <w:jc w:val="center"/>
              <w:rPr>
                <w:bCs/>
                <w:color w:val="auto"/>
              </w:rPr>
            </w:pPr>
            <w:r>
              <w:rPr>
                <w:rFonts w:hint="eastAsia"/>
                <w:bCs/>
                <w:color w:val="auto"/>
              </w:rPr>
              <w:t>具备大专以上学历人数</w:t>
            </w:r>
          </w:p>
        </w:tc>
        <w:tc>
          <w:tcPr>
            <w:tcW w:w="982" w:type="dxa"/>
            <w:tcBorders>
              <w:top w:val="nil"/>
            </w:tcBorders>
            <w:vAlign w:val="center"/>
          </w:tcPr>
          <w:p>
            <w:pPr>
              <w:widowControl/>
              <w:jc w:val="center"/>
              <w:rPr>
                <w:rFonts w:ascii="宋体" w:hAnsi="宋体" w:cs="宋体"/>
                <w:bCs/>
                <w:color w:val="auto"/>
                <w:kern w:val="0"/>
                <w:sz w:val="24"/>
              </w:rPr>
            </w:pPr>
          </w:p>
          <w:p>
            <w:pPr>
              <w:widowControl/>
              <w:jc w:val="center"/>
              <w:rPr>
                <w:rFonts w:ascii="宋体" w:hAnsi="宋体" w:cs="宋体"/>
                <w:bCs/>
                <w:color w:val="auto"/>
                <w:kern w:val="0"/>
                <w:sz w:val="24"/>
              </w:rPr>
            </w:pPr>
          </w:p>
          <w:p>
            <w:pPr>
              <w:pStyle w:val="31"/>
              <w:shd w:val="clear" w:color="auto" w:fill="FFFFFF"/>
              <w:spacing w:before="0" w:beforeAutospacing="0" w:after="0" w:afterAutospacing="0"/>
              <w:jc w:val="center"/>
              <w:rPr>
                <w:bCs/>
                <w:color w:val="auto"/>
              </w:rPr>
            </w:pPr>
          </w:p>
        </w:tc>
        <w:tc>
          <w:tcPr>
            <w:tcW w:w="1581" w:type="dxa"/>
            <w:gridSpan w:val="2"/>
            <w:vAlign w:val="center"/>
          </w:tcPr>
          <w:p>
            <w:pPr>
              <w:pStyle w:val="31"/>
              <w:shd w:val="clear" w:color="auto" w:fill="FFFFFF"/>
              <w:spacing w:before="0" w:beforeAutospacing="0" w:after="0" w:afterAutospacing="0"/>
              <w:jc w:val="center"/>
              <w:rPr>
                <w:bCs/>
                <w:color w:val="auto"/>
              </w:rPr>
            </w:pPr>
            <w:r>
              <w:rPr>
                <w:rFonts w:hint="eastAsia"/>
                <w:bCs/>
                <w:color w:val="auto"/>
              </w:rPr>
              <w:t>国家授予技术职称人数</w:t>
            </w:r>
          </w:p>
        </w:tc>
        <w:tc>
          <w:tcPr>
            <w:tcW w:w="1995" w:type="dxa"/>
            <w:gridSpan w:val="2"/>
            <w:vAlign w:val="center"/>
          </w:tcPr>
          <w:p>
            <w:pPr>
              <w:widowControl/>
              <w:jc w:val="center"/>
              <w:rPr>
                <w:rFonts w:ascii="宋体" w:hAnsi="宋体" w:cs="宋体"/>
                <w:bCs/>
                <w:color w:val="auto"/>
                <w:kern w:val="0"/>
                <w:sz w:val="24"/>
              </w:rPr>
            </w:pPr>
          </w:p>
          <w:p>
            <w:pPr>
              <w:pStyle w:val="31"/>
              <w:shd w:val="clear" w:color="auto" w:fill="FFFFFF"/>
              <w:spacing w:before="0" w:beforeAutospacing="0" w:after="0" w:afterAutospacing="0"/>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23" w:type="dxa"/>
            <w:vMerge w:val="continue"/>
            <w:vAlign w:val="center"/>
          </w:tcPr>
          <w:p>
            <w:pPr>
              <w:pStyle w:val="31"/>
              <w:shd w:val="clear" w:color="auto" w:fill="FFFFFF"/>
              <w:spacing w:before="0" w:beforeAutospacing="0" w:after="0" w:afterAutospacing="0"/>
              <w:jc w:val="center"/>
              <w:rPr>
                <w:bCs/>
                <w:color w:val="auto"/>
              </w:rPr>
            </w:pPr>
          </w:p>
        </w:tc>
        <w:tc>
          <w:tcPr>
            <w:tcW w:w="955" w:type="dxa"/>
            <w:vAlign w:val="center"/>
          </w:tcPr>
          <w:p>
            <w:pPr>
              <w:pStyle w:val="31"/>
              <w:shd w:val="clear" w:color="auto" w:fill="FFFFFF"/>
              <w:spacing w:before="0" w:beforeAutospacing="0" w:after="0" w:afterAutospacing="0"/>
              <w:jc w:val="center"/>
              <w:rPr>
                <w:bCs/>
                <w:color w:val="auto"/>
              </w:rPr>
            </w:pPr>
            <w:r>
              <w:rPr>
                <w:rFonts w:hint="eastAsia"/>
                <w:bCs/>
                <w:color w:val="auto"/>
              </w:rPr>
              <w:t>占地面积</w:t>
            </w:r>
          </w:p>
        </w:tc>
        <w:tc>
          <w:tcPr>
            <w:tcW w:w="1036" w:type="dxa"/>
            <w:vAlign w:val="center"/>
          </w:tcPr>
          <w:p>
            <w:pPr>
              <w:pStyle w:val="31"/>
              <w:shd w:val="clear" w:color="auto" w:fill="FFFFFF"/>
              <w:spacing w:before="0" w:beforeAutospacing="0" w:after="0" w:afterAutospacing="0"/>
              <w:jc w:val="center"/>
              <w:rPr>
                <w:bCs/>
                <w:color w:val="auto"/>
              </w:rPr>
            </w:pPr>
          </w:p>
        </w:tc>
        <w:tc>
          <w:tcPr>
            <w:tcW w:w="1582" w:type="dxa"/>
            <w:gridSpan w:val="2"/>
            <w:vAlign w:val="center"/>
          </w:tcPr>
          <w:p>
            <w:pPr>
              <w:pStyle w:val="31"/>
              <w:shd w:val="clear" w:color="auto" w:fill="FFFFFF"/>
              <w:spacing w:before="0" w:beforeAutospacing="0" w:after="0" w:afterAutospacing="0"/>
              <w:jc w:val="center"/>
              <w:rPr>
                <w:bCs/>
                <w:color w:val="auto"/>
              </w:rPr>
            </w:pPr>
            <w:r>
              <w:rPr>
                <w:rFonts w:hint="eastAsia"/>
                <w:bCs/>
                <w:color w:val="auto"/>
              </w:rPr>
              <w:t>建筑面积</w:t>
            </w:r>
          </w:p>
        </w:tc>
        <w:tc>
          <w:tcPr>
            <w:tcW w:w="982" w:type="dxa"/>
            <w:vAlign w:val="center"/>
          </w:tcPr>
          <w:p>
            <w:pPr>
              <w:pStyle w:val="31"/>
              <w:shd w:val="clear" w:color="auto" w:fill="FFFFFF"/>
              <w:spacing w:before="0" w:beforeAutospacing="0" w:after="0" w:afterAutospacing="0"/>
              <w:jc w:val="center"/>
              <w:rPr>
                <w:bCs/>
                <w:color w:val="auto"/>
              </w:rPr>
            </w:pPr>
            <w:r>
              <w:rPr>
                <w:rFonts w:hint="eastAsia"/>
                <w:bCs/>
                <w:color w:val="auto"/>
              </w:rPr>
              <w:t>平方米</w:t>
            </w:r>
          </w:p>
          <w:p>
            <w:pPr>
              <w:pStyle w:val="31"/>
              <w:shd w:val="clear" w:color="auto" w:fill="FFFFFF"/>
              <w:spacing w:before="0" w:beforeAutospacing="0" w:after="0" w:afterAutospacing="0"/>
              <w:jc w:val="center"/>
              <w:rPr>
                <w:bCs/>
                <w:color w:val="auto"/>
              </w:rPr>
            </w:pPr>
            <w:r>
              <w:rPr>
                <w:rFonts w:hint="eastAsia"/>
                <w:bCs/>
                <w:color w:val="auto"/>
              </w:rPr>
              <w:t>□自有</w:t>
            </w:r>
          </w:p>
          <w:p>
            <w:pPr>
              <w:pStyle w:val="31"/>
              <w:shd w:val="clear" w:color="auto" w:fill="FFFFFF"/>
              <w:spacing w:before="0" w:beforeAutospacing="0" w:after="0" w:afterAutospacing="0"/>
              <w:jc w:val="center"/>
              <w:rPr>
                <w:bCs/>
                <w:color w:val="auto"/>
              </w:rPr>
            </w:pPr>
            <w:r>
              <w:rPr>
                <w:rFonts w:hint="eastAsia"/>
                <w:bCs/>
                <w:color w:val="auto"/>
              </w:rPr>
              <w:t>□租赁</w:t>
            </w:r>
          </w:p>
        </w:tc>
        <w:tc>
          <w:tcPr>
            <w:tcW w:w="1581" w:type="dxa"/>
            <w:gridSpan w:val="2"/>
            <w:vAlign w:val="center"/>
          </w:tcPr>
          <w:p>
            <w:pPr>
              <w:pStyle w:val="31"/>
              <w:shd w:val="clear" w:color="auto" w:fill="FFFFFF"/>
              <w:spacing w:before="0" w:beforeAutospacing="0" w:after="0" w:afterAutospacing="0"/>
              <w:jc w:val="center"/>
              <w:rPr>
                <w:bCs/>
                <w:color w:val="auto"/>
              </w:rPr>
            </w:pPr>
            <w:r>
              <w:rPr>
                <w:rFonts w:hint="eastAsia"/>
                <w:bCs/>
                <w:color w:val="auto"/>
              </w:rPr>
              <w:t>生产经营场所及场所的设施与设备</w:t>
            </w:r>
          </w:p>
        </w:tc>
        <w:tc>
          <w:tcPr>
            <w:tcW w:w="1995" w:type="dxa"/>
            <w:gridSpan w:val="2"/>
            <w:vAlign w:val="center"/>
          </w:tcPr>
          <w:p>
            <w:pPr>
              <w:pStyle w:val="31"/>
              <w:shd w:val="clear" w:color="auto" w:fill="FFFFFF"/>
              <w:spacing w:before="0" w:beforeAutospacing="0" w:after="0" w:afterAutospacing="0"/>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823" w:type="dxa"/>
            <w:vMerge w:val="continue"/>
            <w:vAlign w:val="center"/>
          </w:tcPr>
          <w:p>
            <w:pPr>
              <w:pStyle w:val="31"/>
              <w:shd w:val="clear" w:color="auto" w:fill="FFFFFF"/>
              <w:spacing w:before="0" w:beforeAutospacing="0" w:after="0" w:afterAutospacing="0"/>
              <w:jc w:val="center"/>
              <w:rPr>
                <w:bCs/>
                <w:color w:val="auto"/>
              </w:rPr>
            </w:pPr>
          </w:p>
        </w:tc>
        <w:tc>
          <w:tcPr>
            <w:tcW w:w="955" w:type="dxa"/>
            <w:vAlign w:val="center"/>
          </w:tcPr>
          <w:p>
            <w:pPr>
              <w:pStyle w:val="31"/>
              <w:shd w:val="clear" w:color="auto" w:fill="FFFFFF"/>
              <w:spacing w:before="0" w:beforeAutospacing="0" w:after="0" w:afterAutospacing="0"/>
              <w:jc w:val="center"/>
              <w:rPr>
                <w:bCs/>
                <w:color w:val="auto"/>
              </w:rPr>
            </w:pPr>
            <w:r>
              <w:rPr>
                <w:rFonts w:hint="eastAsia"/>
                <w:bCs/>
                <w:color w:val="auto"/>
              </w:rPr>
              <w:t>注册资金</w:t>
            </w:r>
          </w:p>
        </w:tc>
        <w:tc>
          <w:tcPr>
            <w:tcW w:w="1036" w:type="dxa"/>
            <w:vAlign w:val="center"/>
          </w:tcPr>
          <w:p>
            <w:pPr>
              <w:pStyle w:val="31"/>
              <w:shd w:val="clear" w:color="auto" w:fill="FFFFFF"/>
              <w:spacing w:before="0" w:beforeAutospacing="0" w:after="0" w:afterAutospacing="0"/>
              <w:jc w:val="center"/>
              <w:rPr>
                <w:bCs/>
                <w:color w:val="auto"/>
              </w:rPr>
            </w:pPr>
          </w:p>
        </w:tc>
        <w:tc>
          <w:tcPr>
            <w:tcW w:w="1582" w:type="dxa"/>
            <w:gridSpan w:val="2"/>
            <w:vAlign w:val="center"/>
          </w:tcPr>
          <w:p>
            <w:pPr>
              <w:pStyle w:val="31"/>
              <w:shd w:val="clear" w:color="auto" w:fill="FFFFFF"/>
              <w:spacing w:before="0" w:beforeAutospacing="0" w:after="0" w:afterAutospacing="0"/>
              <w:jc w:val="center"/>
              <w:rPr>
                <w:bCs/>
                <w:color w:val="auto"/>
              </w:rPr>
            </w:pPr>
            <w:r>
              <w:rPr>
                <w:rFonts w:hint="eastAsia"/>
                <w:bCs/>
                <w:color w:val="auto"/>
              </w:rPr>
              <w:t>注册发证机关</w:t>
            </w:r>
          </w:p>
        </w:tc>
        <w:tc>
          <w:tcPr>
            <w:tcW w:w="2563" w:type="dxa"/>
            <w:gridSpan w:val="3"/>
            <w:vAlign w:val="center"/>
          </w:tcPr>
          <w:p>
            <w:pPr>
              <w:widowControl/>
              <w:jc w:val="center"/>
              <w:rPr>
                <w:rFonts w:ascii="宋体" w:hAnsi="宋体" w:cs="宋体"/>
                <w:bCs/>
                <w:color w:val="auto"/>
                <w:kern w:val="0"/>
                <w:sz w:val="24"/>
              </w:rPr>
            </w:pPr>
          </w:p>
          <w:p>
            <w:pPr>
              <w:pStyle w:val="31"/>
              <w:shd w:val="clear" w:color="auto" w:fill="FFFFFF"/>
              <w:spacing w:before="0" w:beforeAutospacing="0" w:after="0" w:afterAutospacing="0"/>
              <w:jc w:val="center"/>
              <w:rPr>
                <w:bCs/>
                <w:color w:val="auto"/>
              </w:rPr>
            </w:pPr>
          </w:p>
        </w:tc>
        <w:tc>
          <w:tcPr>
            <w:tcW w:w="1062" w:type="dxa"/>
            <w:vAlign w:val="center"/>
          </w:tcPr>
          <w:p>
            <w:pPr>
              <w:pStyle w:val="31"/>
              <w:shd w:val="clear" w:color="auto" w:fill="FFFFFF"/>
              <w:spacing w:before="0" w:beforeAutospacing="0" w:after="0" w:afterAutospacing="0"/>
              <w:jc w:val="center"/>
              <w:rPr>
                <w:bCs/>
                <w:color w:val="auto"/>
              </w:rPr>
            </w:pPr>
            <w:r>
              <w:rPr>
                <w:rFonts w:hint="eastAsia"/>
                <w:bCs/>
                <w:color w:val="auto"/>
              </w:rPr>
              <w:t>公司成立时间</w:t>
            </w:r>
          </w:p>
        </w:tc>
        <w:tc>
          <w:tcPr>
            <w:tcW w:w="933" w:type="dxa"/>
            <w:vAlign w:val="center"/>
          </w:tcPr>
          <w:p>
            <w:pPr>
              <w:pStyle w:val="31"/>
              <w:shd w:val="clear" w:color="auto" w:fill="FFFFFF"/>
              <w:spacing w:before="0" w:beforeAutospacing="0" w:after="0" w:afterAutospacing="0"/>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23" w:type="dxa"/>
            <w:vMerge w:val="continue"/>
            <w:vAlign w:val="center"/>
          </w:tcPr>
          <w:p>
            <w:pPr>
              <w:pStyle w:val="31"/>
              <w:shd w:val="clear" w:color="auto" w:fill="FFFFFF"/>
              <w:spacing w:before="0" w:beforeAutospacing="0" w:after="0" w:afterAutospacing="0"/>
              <w:jc w:val="center"/>
              <w:rPr>
                <w:bCs/>
                <w:color w:val="auto"/>
              </w:rPr>
            </w:pPr>
          </w:p>
        </w:tc>
        <w:tc>
          <w:tcPr>
            <w:tcW w:w="955" w:type="dxa"/>
            <w:vAlign w:val="center"/>
          </w:tcPr>
          <w:p>
            <w:pPr>
              <w:pStyle w:val="31"/>
              <w:shd w:val="clear" w:color="auto" w:fill="FFFFFF"/>
              <w:spacing w:before="0" w:beforeAutospacing="0" w:after="0" w:afterAutospacing="0"/>
              <w:jc w:val="center"/>
              <w:rPr>
                <w:bCs/>
                <w:color w:val="auto"/>
              </w:rPr>
            </w:pPr>
            <w:r>
              <w:rPr>
                <w:rFonts w:hint="eastAsia"/>
                <w:bCs/>
                <w:color w:val="auto"/>
              </w:rPr>
              <w:t>核准经营范围</w:t>
            </w:r>
          </w:p>
        </w:tc>
        <w:tc>
          <w:tcPr>
            <w:tcW w:w="7176" w:type="dxa"/>
            <w:gridSpan w:val="8"/>
            <w:vAlign w:val="center"/>
          </w:tcPr>
          <w:p>
            <w:pPr>
              <w:pStyle w:val="31"/>
              <w:shd w:val="clear" w:color="auto" w:fill="FFFFFF"/>
              <w:spacing w:before="0" w:beforeAutospacing="0" w:after="0" w:afterAutospacing="0"/>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23" w:type="dxa"/>
            <w:vMerge w:val="continue"/>
            <w:vAlign w:val="center"/>
          </w:tcPr>
          <w:p>
            <w:pPr>
              <w:pStyle w:val="31"/>
              <w:shd w:val="clear" w:color="auto" w:fill="FFFFFF"/>
              <w:spacing w:before="0" w:beforeAutospacing="0" w:after="0" w:afterAutospacing="0"/>
              <w:jc w:val="center"/>
              <w:rPr>
                <w:bCs/>
                <w:color w:val="auto"/>
              </w:rPr>
            </w:pPr>
          </w:p>
        </w:tc>
        <w:tc>
          <w:tcPr>
            <w:tcW w:w="8131" w:type="dxa"/>
            <w:gridSpan w:val="9"/>
            <w:vAlign w:val="center"/>
          </w:tcPr>
          <w:p>
            <w:pPr>
              <w:pStyle w:val="31"/>
              <w:shd w:val="clear" w:color="auto" w:fill="FFFFFF"/>
              <w:spacing w:before="0" w:beforeAutospacing="0" w:after="0" w:afterAutospacing="0"/>
              <w:jc w:val="center"/>
              <w:rPr>
                <w:bCs/>
                <w:color w:val="auto"/>
              </w:rPr>
            </w:pPr>
            <w:r>
              <w:rPr>
                <w:rFonts w:hint="eastAsia"/>
                <w:bCs/>
                <w:color w:val="auto"/>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23" w:type="dxa"/>
            <w:vMerge w:val="restart"/>
            <w:vAlign w:val="center"/>
          </w:tcPr>
          <w:p>
            <w:pPr>
              <w:pStyle w:val="31"/>
              <w:shd w:val="clear" w:color="auto" w:fill="FFFFFF"/>
              <w:spacing w:before="0" w:beforeAutospacing="0" w:after="0" w:afterAutospacing="0"/>
              <w:jc w:val="center"/>
              <w:rPr>
                <w:bCs/>
                <w:color w:val="auto"/>
              </w:rPr>
            </w:pPr>
            <w:r>
              <w:rPr>
                <w:bCs/>
                <w:color w:val="auto"/>
              </w:rPr>
              <w:t>2</w:t>
            </w:r>
            <w:r>
              <w:rPr>
                <w:rFonts w:hint="eastAsia"/>
                <w:bCs/>
                <w:color w:val="auto"/>
              </w:rPr>
              <w:t>．</w:t>
            </w:r>
          </w:p>
          <w:p>
            <w:pPr>
              <w:pStyle w:val="31"/>
              <w:shd w:val="clear" w:color="auto" w:fill="FFFFFF"/>
              <w:spacing w:before="0" w:beforeAutospacing="0" w:after="0" w:afterAutospacing="0"/>
              <w:jc w:val="center"/>
              <w:rPr>
                <w:bCs/>
                <w:color w:val="auto"/>
              </w:rPr>
            </w:pPr>
            <w:r>
              <w:rPr>
                <w:rFonts w:hint="eastAsia"/>
                <w:bCs/>
                <w:color w:val="auto"/>
              </w:rPr>
              <w:t>企业有关资质获证情况</w:t>
            </w:r>
          </w:p>
        </w:tc>
        <w:tc>
          <w:tcPr>
            <w:tcW w:w="1991" w:type="dxa"/>
            <w:gridSpan w:val="2"/>
            <w:vMerge w:val="restart"/>
            <w:vAlign w:val="center"/>
          </w:tcPr>
          <w:p>
            <w:pPr>
              <w:pStyle w:val="31"/>
              <w:shd w:val="clear" w:color="auto" w:fill="FFFFFF"/>
              <w:spacing w:before="0" w:beforeAutospacing="0" w:after="0" w:afterAutospacing="0"/>
              <w:jc w:val="center"/>
              <w:rPr>
                <w:bCs/>
                <w:color w:val="auto"/>
              </w:rPr>
            </w:pPr>
            <w:r>
              <w:rPr>
                <w:rFonts w:hint="eastAsia"/>
                <w:bCs/>
                <w:color w:val="auto"/>
              </w:rPr>
              <w:t>产品生产许可证情况（对需获得生产许可证的产品要填写此栏）</w:t>
            </w:r>
          </w:p>
        </w:tc>
        <w:tc>
          <w:tcPr>
            <w:tcW w:w="1036" w:type="dxa"/>
            <w:vAlign w:val="center"/>
          </w:tcPr>
          <w:p>
            <w:pPr>
              <w:pStyle w:val="31"/>
              <w:shd w:val="clear" w:color="auto" w:fill="FFFFFF"/>
              <w:spacing w:before="0" w:beforeAutospacing="0" w:after="0" w:afterAutospacing="0"/>
              <w:jc w:val="center"/>
              <w:rPr>
                <w:bCs/>
                <w:color w:val="auto"/>
              </w:rPr>
            </w:pPr>
            <w:r>
              <w:rPr>
                <w:rFonts w:hint="eastAsia"/>
                <w:bCs/>
                <w:color w:val="auto"/>
              </w:rPr>
              <w:t>产品名称</w:t>
            </w:r>
          </w:p>
        </w:tc>
        <w:tc>
          <w:tcPr>
            <w:tcW w:w="1528" w:type="dxa"/>
            <w:gridSpan w:val="2"/>
            <w:vAlign w:val="center"/>
          </w:tcPr>
          <w:p>
            <w:pPr>
              <w:pStyle w:val="31"/>
              <w:shd w:val="clear" w:color="auto" w:fill="FFFFFF"/>
              <w:spacing w:before="0" w:beforeAutospacing="0" w:after="0" w:afterAutospacing="0"/>
              <w:jc w:val="center"/>
              <w:rPr>
                <w:bCs/>
                <w:color w:val="auto"/>
              </w:rPr>
            </w:pPr>
            <w:r>
              <w:rPr>
                <w:rFonts w:hint="eastAsia"/>
                <w:bCs/>
                <w:color w:val="auto"/>
              </w:rPr>
              <w:t>发证机关</w:t>
            </w:r>
          </w:p>
        </w:tc>
        <w:tc>
          <w:tcPr>
            <w:tcW w:w="1025" w:type="dxa"/>
            <w:vAlign w:val="center"/>
          </w:tcPr>
          <w:p>
            <w:pPr>
              <w:pStyle w:val="31"/>
              <w:shd w:val="clear" w:color="auto" w:fill="FFFFFF"/>
              <w:spacing w:before="0" w:beforeAutospacing="0" w:after="0" w:afterAutospacing="0"/>
              <w:jc w:val="center"/>
              <w:rPr>
                <w:bCs/>
                <w:color w:val="auto"/>
              </w:rPr>
            </w:pPr>
            <w:r>
              <w:rPr>
                <w:rFonts w:hint="eastAsia"/>
                <w:bCs/>
                <w:color w:val="auto"/>
              </w:rPr>
              <w:t>编号</w:t>
            </w:r>
          </w:p>
        </w:tc>
        <w:tc>
          <w:tcPr>
            <w:tcW w:w="1618" w:type="dxa"/>
            <w:gridSpan w:val="2"/>
            <w:vAlign w:val="center"/>
          </w:tcPr>
          <w:p>
            <w:pPr>
              <w:pStyle w:val="31"/>
              <w:shd w:val="clear" w:color="auto" w:fill="FFFFFF"/>
              <w:spacing w:before="0" w:beforeAutospacing="0" w:after="0" w:afterAutospacing="0"/>
              <w:jc w:val="center"/>
              <w:rPr>
                <w:bCs/>
                <w:color w:val="auto"/>
              </w:rPr>
            </w:pPr>
            <w:r>
              <w:rPr>
                <w:rFonts w:hint="eastAsia"/>
                <w:bCs/>
                <w:color w:val="auto"/>
              </w:rPr>
              <w:t>发证时间</w:t>
            </w:r>
          </w:p>
        </w:tc>
        <w:tc>
          <w:tcPr>
            <w:tcW w:w="933" w:type="dxa"/>
            <w:vAlign w:val="center"/>
          </w:tcPr>
          <w:p>
            <w:pPr>
              <w:pStyle w:val="31"/>
              <w:shd w:val="clear" w:color="auto" w:fill="FFFFFF"/>
              <w:spacing w:before="0" w:beforeAutospacing="0" w:after="0" w:afterAutospacing="0"/>
              <w:jc w:val="center"/>
              <w:rPr>
                <w:bCs/>
                <w:color w:val="auto"/>
              </w:rPr>
            </w:pPr>
            <w:r>
              <w:rPr>
                <w:rFonts w:hint="eastAsia"/>
                <w:bCs/>
                <w:color w:val="auto"/>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823" w:type="dxa"/>
            <w:vMerge w:val="continue"/>
            <w:vAlign w:val="center"/>
          </w:tcPr>
          <w:p>
            <w:pPr>
              <w:pStyle w:val="31"/>
              <w:shd w:val="clear" w:color="auto" w:fill="FFFFFF"/>
              <w:spacing w:before="0" w:beforeAutospacing="0" w:after="0" w:afterAutospacing="0"/>
              <w:jc w:val="center"/>
              <w:rPr>
                <w:bCs/>
                <w:color w:val="auto"/>
              </w:rPr>
            </w:pPr>
          </w:p>
        </w:tc>
        <w:tc>
          <w:tcPr>
            <w:tcW w:w="1991" w:type="dxa"/>
            <w:gridSpan w:val="2"/>
            <w:vMerge w:val="continue"/>
            <w:vAlign w:val="center"/>
          </w:tcPr>
          <w:p>
            <w:pPr>
              <w:pStyle w:val="31"/>
              <w:shd w:val="clear" w:color="auto" w:fill="FFFFFF"/>
              <w:spacing w:before="0" w:beforeAutospacing="0" w:after="0" w:afterAutospacing="0"/>
              <w:jc w:val="center"/>
              <w:rPr>
                <w:bCs/>
                <w:color w:val="auto"/>
              </w:rPr>
            </w:pPr>
          </w:p>
        </w:tc>
        <w:tc>
          <w:tcPr>
            <w:tcW w:w="1036" w:type="dxa"/>
            <w:vAlign w:val="center"/>
          </w:tcPr>
          <w:p>
            <w:pPr>
              <w:pStyle w:val="31"/>
              <w:shd w:val="clear" w:color="auto" w:fill="FFFFFF"/>
              <w:spacing w:before="0" w:beforeAutospacing="0" w:after="0" w:afterAutospacing="0"/>
              <w:jc w:val="center"/>
              <w:rPr>
                <w:bCs/>
                <w:color w:val="auto"/>
              </w:rPr>
            </w:pPr>
          </w:p>
        </w:tc>
        <w:tc>
          <w:tcPr>
            <w:tcW w:w="1528" w:type="dxa"/>
            <w:gridSpan w:val="2"/>
            <w:vAlign w:val="center"/>
          </w:tcPr>
          <w:p>
            <w:pPr>
              <w:pStyle w:val="31"/>
              <w:shd w:val="clear" w:color="auto" w:fill="FFFFFF"/>
              <w:spacing w:before="0" w:beforeAutospacing="0" w:after="0" w:afterAutospacing="0"/>
              <w:jc w:val="center"/>
              <w:rPr>
                <w:bCs/>
                <w:color w:val="auto"/>
              </w:rPr>
            </w:pPr>
          </w:p>
        </w:tc>
        <w:tc>
          <w:tcPr>
            <w:tcW w:w="1025" w:type="dxa"/>
            <w:vAlign w:val="center"/>
          </w:tcPr>
          <w:p>
            <w:pPr>
              <w:pStyle w:val="31"/>
              <w:shd w:val="clear" w:color="auto" w:fill="FFFFFF"/>
              <w:spacing w:before="0" w:beforeAutospacing="0" w:after="0" w:afterAutospacing="0"/>
              <w:jc w:val="center"/>
              <w:rPr>
                <w:bCs/>
                <w:color w:val="auto"/>
              </w:rPr>
            </w:pPr>
          </w:p>
        </w:tc>
        <w:tc>
          <w:tcPr>
            <w:tcW w:w="2551" w:type="dxa"/>
            <w:gridSpan w:val="3"/>
            <w:vAlign w:val="center"/>
          </w:tcPr>
          <w:p>
            <w:pPr>
              <w:pStyle w:val="31"/>
              <w:shd w:val="clear" w:color="auto" w:fill="FFFFFF"/>
              <w:spacing w:before="0" w:beforeAutospacing="0" w:after="0" w:afterAutospacing="0"/>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823" w:type="dxa"/>
            <w:vMerge w:val="continue"/>
            <w:vAlign w:val="center"/>
          </w:tcPr>
          <w:p>
            <w:pPr>
              <w:pStyle w:val="31"/>
              <w:shd w:val="clear" w:color="auto" w:fill="FFFFFF"/>
              <w:spacing w:before="0" w:beforeAutospacing="0" w:after="0" w:afterAutospacing="0"/>
              <w:jc w:val="center"/>
              <w:rPr>
                <w:bCs/>
                <w:color w:val="auto"/>
              </w:rPr>
            </w:pPr>
          </w:p>
        </w:tc>
        <w:tc>
          <w:tcPr>
            <w:tcW w:w="1991" w:type="dxa"/>
            <w:gridSpan w:val="2"/>
            <w:vAlign w:val="center"/>
          </w:tcPr>
          <w:p>
            <w:pPr>
              <w:pStyle w:val="31"/>
              <w:shd w:val="clear" w:color="auto" w:fill="FFFFFF"/>
              <w:spacing w:before="0" w:beforeAutospacing="0" w:after="0" w:afterAutospacing="0"/>
              <w:jc w:val="center"/>
              <w:rPr>
                <w:bCs/>
                <w:color w:val="auto"/>
              </w:rPr>
            </w:pPr>
            <w:r>
              <w:rPr>
                <w:rFonts w:hint="eastAsia"/>
                <w:bCs/>
                <w:color w:val="auto"/>
              </w:rPr>
              <w:t>企业通过质量体系、环保体系、计量等认证情况</w:t>
            </w:r>
          </w:p>
        </w:tc>
        <w:tc>
          <w:tcPr>
            <w:tcW w:w="6140" w:type="dxa"/>
            <w:gridSpan w:val="7"/>
            <w:vAlign w:val="center"/>
          </w:tcPr>
          <w:p>
            <w:pPr>
              <w:pStyle w:val="31"/>
              <w:shd w:val="clear" w:color="auto" w:fill="FFFFFF"/>
              <w:spacing w:before="0" w:beforeAutospacing="0" w:after="0" w:afterAutospacing="0"/>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823" w:type="dxa"/>
            <w:vMerge w:val="continue"/>
            <w:vAlign w:val="center"/>
          </w:tcPr>
          <w:p>
            <w:pPr>
              <w:pStyle w:val="31"/>
              <w:shd w:val="clear" w:color="auto" w:fill="FFFFFF"/>
              <w:spacing w:before="0" w:beforeAutospacing="0" w:after="0" w:afterAutospacing="0"/>
              <w:jc w:val="center"/>
              <w:rPr>
                <w:bCs/>
                <w:color w:val="auto"/>
              </w:rPr>
            </w:pPr>
          </w:p>
        </w:tc>
        <w:tc>
          <w:tcPr>
            <w:tcW w:w="1991" w:type="dxa"/>
            <w:gridSpan w:val="2"/>
            <w:vAlign w:val="center"/>
          </w:tcPr>
          <w:p>
            <w:pPr>
              <w:pStyle w:val="31"/>
              <w:shd w:val="clear" w:color="auto" w:fill="FFFFFF"/>
              <w:spacing w:before="0" w:beforeAutospacing="0" w:after="0" w:afterAutospacing="0"/>
              <w:jc w:val="center"/>
              <w:rPr>
                <w:bCs/>
                <w:color w:val="auto"/>
              </w:rPr>
            </w:pPr>
            <w:r>
              <w:rPr>
                <w:rFonts w:hint="eastAsia"/>
                <w:bCs/>
                <w:color w:val="auto"/>
              </w:rPr>
              <w:t>企业获得专利情况</w:t>
            </w:r>
          </w:p>
        </w:tc>
        <w:tc>
          <w:tcPr>
            <w:tcW w:w="6140" w:type="dxa"/>
            <w:gridSpan w:val="7"/>
            <w:vAlign w:val="center"/>
          </w:tcPr>
          <w:p>
            <w:pPr>
              <w:pStyle w:val="31"/>
              <w:shd w:val="clear" w:color="auto" w:fill="FFFFFF"/>
              <w:spacing w:before="0" w:beforeAutospacing="0" w:after="0" w:afterAutospacing="0"/>
              <w:jc w:val="center"/>
              <w:rPr>
                <w:bCs/>
                <w:color w:val="auto"/>
              </w:rPr>
            </w:pPr>
          </w:p>
        </w:tc>
      </w:tr>
    </w:tbl>
    <w:p>
      <w:pPr>
        <w:pStyle w:val="31"/>
        <w:shd w:val="clear" w:color="auto" w:fill="FFFFFF"/>
        <w:spacing w:before="0" w:beforeAutospacing="0" w:after="0" w:afterAutospacing="0" w:line="360" w:lineRule="auto"/>
        <w:rPr>
          <w:b/>
          <w:color w:val="auto"/>
          <w:sz w:val="21"/>
          <w:szCs w:val="21"/>
        </w:rPr>
      </w:pPr>
    </w:p>
    <w:p>
      <w:pPr>
        <w:pStyle w:val="31"/>
        <w:shd w:val="clear" w:color="auto" w:fill="FFFFFF"/>
        <w:spacing w:before="0" w:beforeAutospacing="0" w:after="0" w:afterAutospacing="0" w:line="360" w:lineRule="auto"/>
        <w:rPr>
          <w:b/>
          <w:color w:val="auto"/>
          <w:sz w:val="21"/>
          <w:szCs w:val="21"/>
        </w:rPr>
      </w:pPr>
      <w:r>
        <w:rPr>
          <w:rFonts w:hint="eastAsia"/>
          <w:b/>
          <w:color w:val="auto"/>
          <w:sz w:val="21"/>
          <w:szCs w:val="21"/>
        </w:rPr>
        <w:t>要求：</w:t>
      </w:r>
    </w:p>
    <w:p>
      <w:pPr>
        <w:spacing w:line="360" w:lineRule="auto"/>
        <w:ind w:firstLine="424" w:firstLineChars="177"/>
        <w:rPr>
          <w:rFonts w:ascii="宋体" w:hAnsi="宋体"/>
          <w:color w:val="auto"/>
          <w:sz w:val="24"/>
        </w:rPr>
      </w:pPr>
      <w:r>
        <w:rPr>
          <w:rFonts w:hint="eastAsia" w:ascii="宋体" w:hAnsi="宋体"/>
          <w:color w:val="auto"/>
          <w:sz w:val="24"/>
        </w:rPr>
        <w:t>1.姓名栏必须将所有股东都统计在内，若非股份公司此行（第三行）无需填写；</w:t>
      </w:r>
    </w:p>
    <w:p>
      <w:pPr>
        <w:spacing w:line="360" w:lineRule="auto"/>
        <w:ind w:firstLine="424" w:firstLineChars="177"/>
        <w:rPr>
          <w:rFonts w:ascii="宋体" w:hAnsi="宋体"/>
          <w:color w:val="auto"/>
          <w:sz w:val="24"/>
          <w:u w:val="single"/>
        </w:rPr>
      </w:pPr>
      <w:r>
        <w:rPr>
          <w:rFonts w:hint="eastAsia" w:ascii="宋体" w:hAnsi="宋体"/>
          <w:color w:val="auto"/>
          <w:sz w:val="24"/>
        </w:rPr>
        <w:t>投标人名称（电子印章）：</w:t>
      </w:r>
    </w:p>
    <w:p>
      <w:pPr>
        <w:spacing w:line="360" w:lineRule="auto"/>
        <w:ind w:firstLine="424" w:firstLineChars="177"/>
        <w:rPr>
          <w:rFonts w:ascii="宋体" w:hAnsi="宋体"/>
          <w:color w:val="auto"/>
          <w:sz w:val="24"/>
        </w:rPr>
      </w:pPr>
      <w:r>
        <w:rPr>
          <w:rFonts w:hint="eastAsia" w:ascii="宋体" w:hAnsi="宋体"/>
          <w:color w:val="auto"/>
          <w:sz w:val="24"/>
        </w:rPr>
        <w:t>投标人代表签字或电子印章：</w:t>
      </w:r>
    </w:p>
    <w:p>
      <w:pPr>
        <w:spacing w:line="360" w:lineRule="auto"/>
        <w:ind w:firstLine="424" w:firstLineChars="177"/>
        <w:rPr>
          <w:rFonts w:ascii="宋体" w:hAnsi="宋体"/>
          <w:color w:val="auto"/>
          <w:sz w:val="24"/>
          <w:u w:val="single"/>
        </w:rPr>
      </w:pPr>
      <w:r>
        <w:rPr>
          <w:rFonts w:hint="eastAsia" w:ascii="宋体" w:hAnsi="宋体"/>
          <w:color w:val="auto"/>
          <w:sz w:val="24"/>
        </w:rPr>
        <w:t>职        务：</w:t>
      </w:r>
    </w:p>
    <w:p>
      <w:pPr>
        <w:pStyle w:val="31"/>
        <w:shd w:val="clear" w:color="auto" w:fill="FFFFFF"/>
        <w:spacing w:before="0" w:beforeAutospacing="0" w:after="0" w:afterAutospacing="0" w:line="360" w:lineRule="auto"/>
        <w:ind w:firstLine="424" w:firstLineChars="177"/>
        <w:rPr>
          <w:b/>
          <w:bCs/>
          <w:color w:val="auto"/>
        </w:rPr>
      </w:pPr>
      <w:r>
        <w:rPr>
          <w:rFonts w:hint="eastAsia"/>
          <w:color w:val="auto"/>
        </w:rPr>
        <w:t>日        期：：</w:t>
      </w:r>
    </w:p>
    <w:p>
      <w:pPr>
        <w:spacing w:line="360" w:lineRule="auto"/>
        <w:rPr>
          <w:rFonts w:ascii="宋体" w:hAnsi="宋体"/>
          <w:b/>
          <w:color w:val="auto"/>
          <w:sz w:val="28"/>
        </w:rPr>
      </w:pPr>
      <w:r>
        <w:rPr>
          <w:rFonts w:hint="eastAsia" w:ascii="宋体" w:hAnsi="宋体"/>
          <w:b/>
          <w:color w:val="auto"/>
          <w:sz w:val="28"/>
        </w:rPr>
        <w:t>附件6</w:t>
      </w:r>
    </w:p>
    <w:p>
      <w:pPr>
        <w:spacing w:line="360" w:lineRule="auto"/>
        <w:ind w:left="480"/>
        <w:jc w:val="center"/>
        <w:rPr>
          <w:rFonts w:ascii="宋体" w:hAnsi="宋体"/>
          <w:b/>
          <w:color w:val="auto"/>
          <w:sz w:val="32"/>
          <w:szCs w:val="32"/>
        </w:rPr>
      </w:pPr>
      <w:bookmarkStart w:id="67" w:name="_Toc26601_WPSOffice_Level1"/>
      <w:bookmarkStart w:id="68" w:name="_Toc12856_WPSOffice_Level1"/>
      <w:r>
        <w:rPr>
          <w:rFonts w:ascii="宋体" w:hAnsi="宋体"/>
          <w:color w:val="auto"/>
          <w:kern w:val="0"/>
          <w:sz w:val="32"/>
          <w:szCs w:val="32"/>
        </w:rPr>
        <w:t>技术</w:t>
      </w:r>
      <w:r>
        <w:rPr>
          <w:rFonts w:hint="eastAsia" w:ascii="宋体" w:hAnsi="宋体"/>
          <w:color w:val="auto"/>
          <w:kern w:val="0"/>
          <w:sz w:val="32"/>
          <w:szCs w:val="32"/>
        </w:rPr>
        <w:t>需求</w:t>
      </w:r>
      <w:r>
        <w:rPr>
          <w:rFonts w:ascii="宋体" w:hAnsi="宋体"/>
          <w:color w:val="auto"/>
          <w:kern w:val="0"/>
          <w:sz w:val="32"/>
          <w:szCs w:val="32"/>
        </w:rPr>
        <w:t>响应表</w:t>
      </w:r>
      <w:bookmarkEnd w:id="67"/>
      <w:bookmarkEnd w:id="68"/>
    </w:p>
    <w:p>
      <w:pPr>
        <w:spacing w:line="360" w:lineRule="auto"/>
        <w:rPr>
          <w:rFonts w:ascii="宋体" w:hAnsi="宋体"/>
          <w:color w:val="auto"/>
          <w:sz w:val="24"/>
        </w:rPr>
      </w:pPr>
    </w:p>
    <w:tbl>
      <w:tblPr>
        <w:tblStyle w:val="25"/>
        <w:tblW w:w="89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57"/>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735" w:type="dxa"/>
            <w:vAlign w:val="center"/>
          </w:tcPr>
          <w:p>
            <w:pPr>
              <w:jc w:val="center"/>
              <w:rPr>
                <w:rFonts w:ascii="宋体" w:hAnsi="宋体"/>
                <w:b/>
                <w:color w:val="auto"/>
                <w:sz w:val="24"/>
              </w:rPr>
            </w:pPr>
            <w:r>
              <w:rPr>
                <w:rFonts w:hint="eastAsia" w:ascii="宋体" w:hAnsi="宋体"/>
                <w:b/>
                <w:color w:val="auto"/>
                <w:sz w:val="24"/>
              </w:rPr>
              <w:t>序号</w:t>
            </w:r>
          </w:p>
        </w:tc>
        <w:tc>
          <w:tcPr>
            <w:tcW w:w="2457" w:type="dxa"/>
            <w:vAlign w:val="center"/>
          </w:tcPr>
          <w:p>
            <w:pPr>
              <w:jc w:val="center"/>
              <w:rPr>
                <w:rFonts w:ascii="宋体" w:hAnsi="宋体"/>
                <w:b/>
                <w:color w:val="auto"/>
                <w:sz w:val="24"/>
              </w:rPr>
            </w:pPr>
            <w:r>
              <w:rPr>
                <w:rFonts w:hint="eastAsia" w:ascii="宋体" w:hAnsi="宋体"/>
                <w:b/>
                <w:color w:val="auto"/>
                <w:sz w:val="24"/>
              </w:rPr>
              <w:t>名称</w:t>
            </w:r>
          </w:p>
        </w:tc>
        <w:tc>
          <w:tcPr>
            <w:tcW w:w="1449" w:type="dxa"/>
            <w:vAlign w:val="center"/>
          </w:tcPr>
          <w:p>
            <w:pPr>
              <w:ind w:left="52"/>
              <w:jc w:val="center"/>
              <w:rPr>
                <w:rFonts w:ascii="宋体" w:hAnsi="宋体"/>
                <w:b/>
                <w:color w:val="auto"/>
                <w:sz w:val="24"/>
              </w:rPr>
            </w:pPr>
            <w:r>
              <w:rPr>
                <w:rFonts w:hint="eastAsia" w:ascii="宋体" w:hAnsi="宋体"/>
                <w:b/>
                <w:color w:val="auto"/>
                <w:sz w:val="24"/>
              </w:rPr>
              <w:t>规格型号</w:t>
            </w:r>
          </w:p>
        </w:tc>
        <w:tc>
          <w:tcPr>
            <w:tcW w:w="1560" w:type="dxa"/>
            <w:vAlign w:val="center"/>
          </w:tcPr>
          <w:p>
            <w:pPr>
              <w:ind w:left="152"/>
              <w:jc w:val="center"/>
              <w:rPr>
                <w:rFonts w:ascii="宋体" w:hAnsi="宋体"/>
                <w:b/>
                <w:color w:val="auto"/>
                <w:sz w:val="24"/>
              </w:rPr>
            </w:pPr>
            <w:r>
              <w:rPr>
                <w:rFonts w:hint="eastAsia" w:ascii="宋体" w:hAnsi="宋体"/>
                <w:b/>
                <w:color w:val="auto"/>
                <w:sz w:val="24"/>
              </w:rPr>
              <w:t>招标参数</w:t>
            </w:r>
          </w:p>
        </w:tc>
        <w:tc>
          <w:tcPr>
            <w:tcW w:w="1401" w:type="dxa"/>
            <w:vAlign w:val="center"/>
          </w:tcPr>
          <w:p>
            <w:pPr>
              <w:jc w:val="center"/>
              <w:rPr>
                <w:rFonts w:ascii="宋体" w:hAnsi="宋体"/>
                <w:b/>
                <w:color w:val="auto"/>
                <w:sz w:val="24"/>
              </w:rPr>
            </w:pPr>
            <w:r>
              <w:rPr>
                <w:rFonts w:hint="eastAsia" w:ascii="宋体" w:hAnsi="宋体"/>
                <w:b/>
                <w:color w:val="auto"/>
                <w:sz w:val="24"/>
              </w:rPr>
              <w:t>投标参数</w:t>
            </w:r>
          </w:p>
        </w:tc>
        <w:tc>
          <w:tcPr>
            <w:tcW w:w="1365" w:type="dxa"/>
            <w:vAlign w:val="center"/>
          </w:tcPr>
          <w:p>
            <w:pPr>
              <w:jc w:val="center"/>
              <w:rPr>
                <w:rFonts w:ascii="宋体" w:hAnsi="宋体"/>
                <w:b/>
                <w:color w:val="auto"/>
                <w:sz w:val="24"/>
              </w:rPr>
            </w:pPr>
            <w:r>
              <w:rPr>
                <w:rFonts w:hint="eastAsia" w:ascii="宋体" w:hAnsi="宋体"/>
                <w:b/>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735" w:type="dxa"/>
            <w:vAlign w:val="center"/>
          </w:tcPr>
          <w:p>
            <w:pPr>
              <w:jc w:val="center"/>
              <w:rPr>
                <w:rFonts w:ascii="宋体" w:hAnsi="宋体"/>
                <w:color w:val="auto"/>
                <w:sz w:val="24"/>
              </w:rPr>
            </w:pPr>
          </w:p>
        </w:tc>
        <w:tc>
          <w:tcPr>
            <w:tcW w:w="2457" w:type="dxa"/>
            <w:vAlign w:val="center"/>
          </w:tcPr>
          <w:p>
            <w:pPr>
              <w:jc w:val="center"/>
              <w:rPr>
                <w:rFonts w:ascii="宋体" w:hAnsi="宋体"/>
                <w:color w:val="auto"/>
                <w:sz w:val="24"/>
              </w:rPr>
            </w:pPr>
          </w:p>
        </w:tc>
        <w:tc>
          <w:tcPr>
            <w:tcW w:w="1449" w:type="dxa"/>
            <w:vAlign w:val="center"/>
          </w:tcPr>
          <w:p>
            <w:pPr>
              <w:jc w:val="center"/>
              <w:rPr>
                <w:rFonts w:ascii="宋体" w:hAnsi="宋体"/>
                <w:color w:val="auto"/>
                <w:sz w:val="24"/>
              </w:rPr>
            </w:pPr>
          </w:p>
        </w:tc>
        <w:tc>
          <w:tcPr>
            <w:tcW w:w="1560" w:type="dxa"/>
            <w:vAlign w:val="center"/>
          </w:tcPr>
          <w:p>
            <w:pPr>
              <w:jc w:val="center"/>
              <w:rPr>
                <w:rFonts w:ascii="宋体" w:hAnsi="宋体"/>
                <w:color w:val="auto"/>
                <w:sz w:val="24"/>
              </w:rPr>
            </w:pPr>
          </w:p>
        </w:tc>
        <w:tc>
          <w:tcPr>
            <w:tcW w:w="1401" w:type="dxa"/>
            <w:vAlign w:val="center"/>
          </w:tcPr>
          <w:p>
            <w:pPr>
              <w:jc w:val="center"/>
              <w:rPr>
                <w:rFonts w:ascii="宋体" w:hAnsi="宋体"/>
                <w:color w:val="auto"/>
                <w:sz w:val="24"/>
              </w:rPr>
            </w:pPr>
          </w:p>
        </w:tc>
        <w:tc>
          <w:tcPr>
            <w:tcW w:w="1365"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35" w:type="dxa"/>
            <w:vAlign w:val="center"/>
          </w:tcPr>
          <w:p>
            <w:pPr>
              <w:jc w:val="center"/>
              <w:rPr>
                <w:rFonts w:ascii="宋体" w:hAnsi="宋体"/>
                <w:color w:val="auto"/>
                <w:sz w:val="24"/>
              </w:rPr>
            </w:pPr>
          </w:p>
        </w:tc>
        <w:tc>
          <w:tcPr>
            <w:tcW w:w="2457" w:type="dxa"/>
            <w:vAlign w:val="center"/>
          </w:tcPr>
          <w:p>
            <w:pPr>
              <w:jc w:val="center"/>
              <w:rPr>
                <w:rFonts w:ascii="宋体" w:hAnsi="宋体"/>
                <w:color w:val="auto"/>
                <w:sz w:val="24"/>
              </w:rPr>
            </w:pPr>
          </w:p>
        </w:tc>
        <w:tc>
          <w:tcPr>
            <w:tcW w:w="1449" w:type="dxa"/>
            <w:vAlign w:val="center"/>
          </w:tcPr>
          <w:p>
            <w:pPr>
              <w:jc w:val="center"/>
              <w:rPr>
                <w:rFonts w:ascii="宋体" w:hAnsi="宋体"/>
                <w:color w:val="auto"/>
                <w:sz w:val="24"/>
              </w:rPr>
            </w:pPr>
          </w:p>
        </w:tc>
        <w:tc>
          <w:tcPr>
            <w:tcW w:w="1560" w:type="dxa"/>
            <w:vAlign w:val="center"/>
          </w:tcPr>
          <w:p>
            <w:pPr>
              <w:jc w:val="center"/>
              <w:rPr>
                <w:rFonts w:ascii="宋体" w:hAnsi="宋体"/>
                <w:color w:val="auto"/>
                <w:sz w:val="24"/>
              </w:rPr>
            </w:pPr>
          </w:p>
        </w:tc>
        <w:tc>
          <w:tcPr>
            <w:tcW w:w="1401" w:type="dxa"/>
            <w:vAlign w:val="center"/>
          </w:tcPr>
          <w:p>
            <w:pPr>
              <w:jc w:val="center"/>
              <w:rPr>
                <w:rFonts w:ascii="宋体" w:hAnsi="宋体"/>
                <w:color w:val="auto"/>
                <w:sz w:val="24"/>
              </w:rPr>
            </w:pPr>
          </w:p>
        </w:tc>
        <w:tc>
          <w:tcPr>
            <w:tcW w:w="1365"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735" w:type="dxa"/>
            <w:vAlign w:val="center"/>
          </w:tcPr>
          <w:p>
            <w:pPr>
              <w:jc w:val="center"/>
              <w:rPr>
                <w:rFonts w:ascii="宋体" w:hAnsi="宋体"/>
                <w:color w:val="auto"/>
                <w:sz w:val="24"/>
              </w:rPr>
            </w:pPr>
          </w:p>
        </w:tc>
        <w:tc>
          <w:tcPr>
            <w:tcW w:w="2457" w:type="dxa"/>
            <w:vAlign w:val="center"/>
          </w:tcPr>
          <w:p>
            <w:pPr>
              <w:jc w:val="center"/>
              <w:rPr>
                <w:rFonts w:ascii="宋体" w:hAnsi="宋体"/>
                <w:color w:val="auto"/>
                <w:sz w:val="24"/>
              </w:rPr>
            </w:pPr>
          </w:p>
        </w:tc>
        <w:tc>
          <w:tcPr>
            <w:tcW w:w="1449" w:type="dxa"/>
            <w:vAlign w:val="center"/>
          </w:tcPr>
          <w:p>
            <w:pPr>
              <w:jc w:val="center"/>
              <w:rPr>
                <w:rFonts w:ascii="宋体" w:hAnsi="宋体"/>
                <w:color w:val="auto"/>
                <w:sz w:val="24"/>
              </w:rPr>
            </w:pPr>
          </w:p>
        </w:tc>
        <w:tc>
          <w:tcPr>
            <w:tcW w:w="1560" w:type="dxa"/>
            <w:vAlign w:val="center"/>
          </w:tcPr>
          <w:p>
            <w:pPr>
              <w:jc w:val="center"/>
              <w:rPr>
                <w:rFonts w:ascii="宋体" w:hAnsi="宋体"/>
                <w:color w:val="auto"/>
                <w:sz w:val="24"/>
              </w:rPr>
            </w:pPr>
          </w:p>
        </w:tc>
        <w:tc>
          <w:tcPr>
            <w:tcW w:w="1401" w:type="dxa"/>
            <w:vAlign w:val="center"/>
          </w:tcPr>
          <w:p>
            <w:pPr>
              <w:jc w:val="center"/>
              <w:rPr>
                <w:rFonts w:ascii="宋体" w:hAnsi="宋体"/>
                <w:color w:val="auto"/>
                <w:sz w:val="24"/>
              </w:rPr>
            </w:pPr>
          </w:p>
        </w:tc>
        <w:tc>
          <w:tcPr>
            <w:tcW w:w="1365"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735" w:type="dxa"/>
            <w:vAlign w:val="center"/>
          </w:tcPr>
          <w:p>
            <w:pPr>
              <w:jc w:val="center"/>
              <w:rPr>
                <w:rFonts w:ascii="宋体" w:hAnsi="宋体"/>
                <w:color w:val="auto"/>
                <w:sz w:val="24"/>
              </w:rPr>
            </w:pPr>
          </w:p>
        </w:tc>
        <w:tc>
          <w:tcPr>
            <w:tcW w:w="2457" w:type="dxa"/>
            <w:vAlign w:val="center"/>
          </w:tcPr>
          <w:p>
            <w:pPr>
              <w:jc w:val="center"/>
              <w:rPr>
                <w:rFonts w:ascii="宋体" w:hAnsi="宋体"/>
                <w:color w:val="auto"/>
                <w:sz w:val="24"/>
              </w:rPr>
            </w:pPr>
          </w:p>
        </w:tc>
        <w:tc>
          <w:tcPr>
            <w:tcW w:w="1449" w:type="dxa"/>
            <w:vAlign w:val="center"/>
          </w:tcPr>
          <w:p>
            <w:pPr>
              <w:jc w:val="center"/>
              <w:rPr>
                <w:rFonts w:ascii="宋体" w:hAnsi="宋体"/>
                <w:color w:val="auto"/>
                <w:sz w:val="24"/>
              </w:rPr>
            </w:pPr>
          </w:p>
        </w:tc>
        <w:tc>
          <w:tcPr>
            <w:tcW w:w="1560" w:type="dxa"/>
            <w:vAlign w:val="center"/>
          </w:tcPr>
          <w:p>
            <w:pPr>
              <w:jc w:val="center"/>
              <w:rPr>
                <w:rFonts w:ascii="宋体" w:hAnsi="宋体"/>
                <w:color w:val="auto"/>
                <w:sz w:val="24"/>
              </w:rPr>
            </w:pPr>
          </w:p>
        </w:tc>
        <w:tc>
          <w:tcPr>
            <w:tcW w:w="1401" w:type="dxa"/>
            <w:vAlign w:val="center"/>
          </w:tcPr>
          <w:p>
            <w:pPr>
              <w:jc w:val="center"/>
              <w:rPr>
                <w:rFonts w:ascii="宋体" w:hAnsi="宋体"/>
                <w:color w:val="auto"/>
                <w:sz w:val="24"/>
              </w:rPr>
            </w:pPr>
          </w:p>
        </w:tc>
        <w:tc>
          <w:tcPr>
            <w:tcW w:w="1365"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735" w:type="dxa"/>
            <w:vAlign w:val="center"/>
          </w:tcPr>
          <w:p>
            <w:pPr>
              <w:jc w:val="center"/>
              <w:rPr>
                <w:rFonts w:ascii="宋体" w:hAnsi="宋体"/>
                <w:color w:val="auto"/>
                <w:sz w:val="24"/>
              </w:rPr>
            </w:pPr>
          </w:p>
        </w:tc>
        <w:tc>
          <w:tcPr>
            <w:tcW w:w="2457" w:type="dxa"/>
            <w:vAlign w:val="center"/>
          </w:tcPr>
          <w:p>
            <w:pPr>
              <w:jc w:val="center"/>
              <w:rPr>
                <w:rFonts w:ascii="宋体" w:hAnsi="宋体"/>
                <w:color w:val="auto"/>
                <w:sz w:val="24"/>
              </w:rPr>
            </w:pPr>
          </w:p>
        </w:tc>
        <w:tc>
          <w:tcPr>
            <w:tcW w:w="1449" w:type="dxa"/>
            <w:vAlign w:val="center"/>
          </w:tcPr>
          <w:p>
            <w:pPr>
              <w:jc w:val="center"/>
              <w:rPr>
                <w:rFonts w:ascii="宋体" w:hAnsi="宋体"/>
                <w:color w:val="auto"/>
                <w:sz w:val="24"/>
              </w:rPr>
            </w:pPr>
          </w:p>
        </w:tc>
        <w:tc>
          <w:tcPr>
            <w:tcW w:w="1560" w:type="dxa"/>
            <w:vAlign w:val="center"/>
          </w:tcPr>
          <w:p>
            <w:pPr>
              <w:jc w:val="center"/>
              <w:rPr>
                <w:rFonts w:ascii="宋体" w:hAnsi="宋体"/>
                <w:color w:val="auto"/>
                <w:sz w:val="24"/>
              </w:rPr>
            </w:pPr>
          </w:p>
        </w:tc>
        <w:tc>
          <w:tcPr>
            <w:tcW w:w="1401" w:type="dxa"/>
            <w:vAlign w:val="center"/>
          </w:tcPr>
          <w:p>
            <w:pPr>
              <w:jc w:val="center"/>
              <w:rPr>
                <w:rFonts w:ascii="宋体" w:hAnsi="宋体"/>
                <w:color w:val="auto"/>
                <w:sz w:val="24"/>
              </w:rPr>
            </w:pPr>
          </w:p>
        </w:tc>
        <w:tc>
          <w:tcPr>
            <w:tcW w:w="1365"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735" w:type="dxa"/>
            <w:vAlign w:val="center"/>
          </w:tcPr>
          <w:p>
            <w:pPr>
              <w:jc w:val="center"/>
              <w:rPr>
                <w:rFonts w:ascii="宋体" w:hAnsi="宋体"/>
                <w:color w:val="auto"/>
                <w:sz w:val="24"/>
              </w:rPr>
            </w:pPr>
          </w:p>
        </w:tc>
        <w:tc>
          <w:tcPr>
            <w:tcW w:w="2457" w:type="dxa"/>
            <w:vAlign w:val="center"/>
          </w:tcPr>
          <w:p>
            <w:pPr>
              <w:jc w:val="center"/>
              <w:rPr>
                <w:rFonts w:ascii="宋体" w:hAnsi="宋体"/>
                <w:color w:val="auto"/>
                <w:sz w:val="24"/>
              </w:rPr>
            </w:pPr>
          </w:p>
        </w:tc>
        <w:tc>
          <w:tcPr>
            <w:tcW w:w="1449" w:type="dxa"/>
            <w:vAlign w:val="center"/>
          </w:tcPr>
          <w:p>
            <w:pPr>
              <w:jc w:val="center"/>
              <w:rPr>
                <w:rFonts w:ascii="宋体" w:hAnsi="宋体"/>
                <w:color w:val="auto"/>
                <w:sz w:val="24"/>
              </w:rPr>
            </w:pPr>
          </w:p>
        </w:tc>
        <w:tc>
          <w:tcPr>
            <w:tcW w:w="1560" w:type="dxa"/>
            <w:vAlign w:val="center"/>
          </w:tcPr>
          <w:p>
            <w:pPr>
              <w:jc w:val="center"/>
              <w:rPr>
                <w:rFonts w:ascii="宋体" w:hAnsi="宋体"/>
                <w:color w:val="auto"/>
                <w:sz w:val="24"/>
              </w:rPr>
            </w:pPr>
          </w:p>
        </w:tc>
        <w:tc>
          <w:tcPr>
            <w:tcW w:w="1401" w:type="dxa"/>
            <w:vAlign w:val="center"/>
          </w:tcPr>
          <w:p>
            <w:pPr>
              <w:jc w:val="center"/>
              <w:rPr>
                <w:rFonts w:ascii="宋体" w:hAnsi="宋体"/>
                <w:color w:val="auto"/>
                <w:sz w:val="24"/>
              </w:rPr>
            </w:pPr>
          </w:p>
        </w:tc>
        <w:tc>
          <w:tcPr>
            <w:tcW w:w="1365"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35" w:type="dxa"/>
            <w:vAlign w:val="center"/>
          </w:tcPr>
          <w:p>
            <w:pPr>
              <w:jc w:val="center"/>
              <w:rPr>
                <w:rFonts w:ascii="宋体" w:hAnsi="宋体"/>
                <w:color w:val="auto"/>
                <w:sz w:val="24"/>
              </w:rPr>
            </w:pPr>
          </w:p>
        </w:tc>
        <w:tc>
          <w:tcPr>
            <w:tcW w:w="2457" w:type="dxa"/>
            <w:vAlign w:val="center"/>
          </w:tcPr>
          <w:p>
            <w:pPr>
              <w:jc w:val="center"/>
              <w:rPr>
                <w:rFonts w:ascii="宋体" w:hAnsi="宋体"/>
                <w:color w:val="auto"/>
                <w:sz w:val="24"/>
              </w:rPr>
            </w:pPr>
          </w:p>
        </w:tc>
        <w:tc>
          <w:tcPr>
            <w:tcW w:w="1449" w:type="dxa"/>
            <w:vAlign w:val="center"/>
          </w:tcPr>
          <w:p>
            <w:pPr>
              <w:jc w:val="center"/>
              <w:rPr>
                <w:rFonts w:ascii="宋体" w:hAnsi="宋体"/>
                <w:color w:val="auto"/>
                <w:sz w:val="24"/>
              </w:rPr>
            </w:pPr>
          </w:p>
        </w:tc>
        <w:tc>
          <w:tcPr>
            <w:tcW w:w="1560" w:type="dxa"/>
            <w:vAlign w:val="center"/>
          </w:tcPr>
          <w:p>
            <w:pPr>
              <w:jc w:val="center"/>
              <w:rPr>
                <w:rFonts w:ascii="宋体" w:hAnsi="宋体"/>
                <w:color w:val="auto"/>
                <w:sz w:val="24"/>
              </w:rPr>
            </w:pPr>
          </w:p>
        </w:tc>
        <w:tc>
          <w:tcPr>
            <w:tcW w:w="1401" w:type="dxa"/>
            <w:vAlign w:val="center"/>
          </w:tcPr>
          <w:p>
            <w:pPr>
              <w:jc w:val="center"/>
              <w:rPr>
                <w:rFonts w:ascii="宋体" w:hAnsi="宋体"/>
                <w:color w:val="auto"/>
                <w:sz w:val="24"/>
              </w:rPr>
            </w:pPr>
          </w:p>
        </w:tc>
        <w:tc>
          <w:tcPr>
            <w:tcW w:w="1365" w:type="dxa"/>
            <w:vAlign w:val="center"/>
          </w:tcPr>
          <w:p>
            <w:pPr>
              <w:jc w:val="center"/>
              <w:rPr>
                <w:rFonts w:ascii="宋体" w:hAnsi="宋体"/>
                <w:color w:val="auto"/>
                <w:sz w:val="24"/>
              </w:rPr>
            </w:pPr>
          </w:p>
        </w:tc>
      </w:tr>
    </w:tbl>
    <w:p>
      <w:pPr>
        <w:pStyle w:val="33"/>
        <w:tabs>
          <w:tab w:val="left" w:pos="360"/>
        </w:tabs>
        <w:spacing w:line="360" w:lineRule="auto"/>
        <w:ind w:right="84" w:rightChars="40"/>
        <w:rPr>
          <w:rFonts w:ascii="宋体"/>
          <w:b/>
          <w:color w:val="auto"/>
          <w:szCs w:val="21"/>
        </w:rPr>
      </w:pPr>
      <w:r>
        <w:rPr>
          <w:rFonts w:hint="eastAsia" w:ascii="宋体"/>
          <w:b/>
          <w:color w:val="auto"/>
          <w:szCs w:val="21"/>
        </w:rPr>
        <w:t>要求：</w:t>
      </w:r>
    </w:p>
    <w:p>
      <w:pPr>
        <w:pStyle w:val="33"/>
        <w:tabs>
          <w:tab w:val="left" w:pos="360"/>
        </w:tabs>
        <w:spacing w:line="360" w:lineRule="auto"/>
        <w:ind w:right="84" w:rightChars="40" w:firstLine="420" w:firstLineChars="200"/>
        <w:rPr>
          <w:rFonts w:ascii="宋体"/>
          <w:color w:val="auto"/>
          <w:szCs w:val="21"/>
        </w:rPr>
      </w:pPr>
      <w:r>
        <w:rPr>
          <w:rFonts w:hint="eastAsia" w:ascii="宋体"/>
          <w:color w:val="auto"/>
          <w:szCs w:val="21"/>
        </w:rPr>
        <w:t>1. 本表的名称须与《报价明细表》一致。</w:t>
      </w:r>
    </w:p>
    <w:p>
      <w:pPr>
        <w:pStyle w:val="33"/>
        <w:spacing w:line="360" w:lineRule="auto"/>
        <w:ind w:right="84" w:rightChars="40" w:firstLine="420" w:firstLineChars="200"/>
        <w:rPr>
          <w:rFonts w:ascii="宋体"/>
          <w:color w:val="auto"/>
          <w:szCs w:val="21"/>
        </w:rPr>
      </w:pPr>
      <w:r>
        <w:rPr>
          <w:rFonts w:hint="eastAsia" w:ascii="宋体"/>
          <w:color w:val="auto"/>
          <w:szCs w:val="21"/>
        </w:rPr>
        <w:t>2.本表参照本招标文件第三章“招标需求”内具体技术需求填制，投标人应根据投标设备的性能指标、服务指标，对照招标文件要求在“偏离情况”栏注明“正偏离”、“负偏离”或“无偏离”。</w:t>
      </w:r>
    </w:p>
    <w:p>
      <w:pPr>
        <w:pStyle w:val="33"/>
        <w:spacing w:line="360" w:lineRule="auto"/>
        <w:ind w:right="84" w:rightChars="40" w:firstLine="420" w:firstLineChars="200"/>
        <w:rPr>
          <w:rFonts w:ascii="宋体"/>
          <w:color w:val="auto"/>
          <w:szCs w:val="21"/>
        </w:rPr>
      </w:pPr>
      <w:r>
        <w:rPr>
          <w:rFonts w:hint="eastAsia" w:ascii="宋体"/>
          <w:color w:val="auto"/>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color w:val="auto"/>
          <w:sz w:val="24"/>
        </w:rPr>
      </w:pPr>
    </w:p>
    <w:p>
      <w:pPr>
        <w:spacing w:line="360" w:lineRule="auto"/>
        <w:ind w:left="420"/>
        <w:rPr>
          <w:rFonts w:ascii="宋体" w:hAnsi="宋体"/>
          <w:color w:val="auto"/>
          <w:sz w:val="24"/>
          <w:u w:val="single"/>
        </w:rPr>
      </w:pPr>
      <w:r>
        <w:rPr>
          <w:rFonts w:hint="eastAsia" w:ascii="宋体" w:hAnsi="宋体"/>
          <w:color w:val="auto"/>
          <w:sz w:val="24"/>
        </w:rPr>
        <w:t>投标人名称（电子印章）：</w:t>
      </w:r>
    </w:p>
    <w:p>
      <w:pPr>
        <w:spacing w:line="360" w:lineRule="auto"/>
        <w:ind w:left="420"/>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投标人代表签字或电子印章：</w:t>
      </w:r>
    </w:p>
    <w:p>
      <w:pPr>
        <w:spacing w:line="360" w:lineRule="auto"/>
        <w:ind w:firstLine="435"/>
        <w:rPr>
          <w:rFonts w:ascii="宋体" w:hAnsi="宋体"/>
          <w:color w:val="auto"/>
          <w:sz w:val="24"/>
        </w:rPr>
      </w:pPr>
    </w:p>
    <w:p>
      <w:pPr>
        <w:spacing w:line="360" w:lineRule="auto"/>
        <w:ind w:firstLine="435"/>
        <w:rPr>
          <w:rFonts w:ascii="宋体" w:hAnsi="宋体"/>
          <w:color w:val="auto"/>
          <w:sz w:val="24"/>
          <w:u w:val="single"/>
        </w:rPr>
      </w:pPr>
      <w:r>
        <w:rPr>
          <w:rFonts w:hint="eastAsia" w:ascii="宋体" w:hAnsi="宋体"/>
          <w:color w:val="auto"/>
          <w:sz w:val="24"/>
        </w:rPr>
        <w:t>职        务：</w:t>
      </w:r>
    </w:p>
    <w:p>
      <w:pPr>
        <w:spacing w:line="360" w:lineRule="auto"/>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日        期：</w:t>
      </w:r>
    </w:p>
    <w:p>
      <w:pPr>
        <w:pStyle w:val="14"/>
        <w:rPr>
          <w:color w:val="auto"/>
        </w:rPr>
      </w:pPr>
    </w:p>
    <w:p>
      <w:pPr>
        <w:spacing w:line="360" w:lineRule="auto"/>
        <w:rPr>
          <w:rFonts w:ascii="宋体" w:hAnsi="宋体"/>
          <w:b/>
          <w:color w:val="auto"/>
          <w:sz w:val="28"/>
        </w:rPr>
      </w:pPr>
    </w:p>
    <w:p>
      <w:pPr>
        <w:spacing w:line="360" w:lineRule="auto"/>
        <w:rPr>
          <w:rFonts w:ascii="宋体" w:hAnsi="宋体"/>
          <w:color w:val="auto"/>
          <w:sz w:val="24"/>
        </w:rPr>
      </w:pPr>
      <w:r>
        <w:rPr>
          <w:rFonts w:hint="eastAsia" w:ascii="宋体" w:hAnsi="宋体"/>
          <w:b/>
          <w:color w:val="auto"/>
          <w:sz w:val="28"/>
        </w:rPr>
        <w:t>附件7</w:t>
      </w:r>
    </w:p>
    <w:p>
      <w:pPr>
        <w:snapToGrid w:val="0"/>
        <w:spacing w:before="156" w:beforeLines="50" w:after="50" w:line="360" w:lineRule="auto"/>
        <w:jc w:val="center"/>
        <w:rPr>
          <w:rFonts w:ascii="宋体" w:hAnsi="宋体"/>
          <w:b/>
          <w:color w:val="auto"/>
          <w:sz w:val="36"/>
          <w:szCs w:val="36"/>
        </w:rPr>
      </w:pPr>
      <w:bookmarkStart w:id="69" w:name="_Toc23671_WPSOffice_Level1"/>
      <w:bookmarkStart w:id="70" w:name="_Toc20569_WPSOffice_Level1"/>
      <w:r>
        <w:rPr>
          <w:rFonts w:hint="eastAsia" w:ascii="宋体" w:hAnsi="宋体"/>
          <w:b/>
          <w:color w:val="auto"/>
          <w:sz w:val="32"/>
          <w:szCs w:val="32"/>
        </w:rPr>
        <w:t>项目实施人员一览表（第 标）</w:t>
      </w:r>
      <w:bookmarkEnd w:id="69"/>
      <w:bookmarkEnd w:id="70"/>
    </w:p>
    <w:p>
      <w:pPr>
        <w:snapToGrid w:val="0"/>
        <w:spacing w:before="156" w:beforeLines="50" w:after="50" w:line="360" w:lineRule="auto"/>
        <w:ind w:firstLine="2400" w:firstLineChars="1000"/>
        <w:rPr>
          <w:rFonts w:ascii="宋体" w:hAnsi="宋体"/>
          <w:color w:val="auto"/>
          <w:sz w:val="24"/>
        </w:rPr>
      </w:pPr>
      <w:r>
        <w:rPr>
          <w:rFonts w:hint="eastAsia" w:ascii="宋体" w:hAnsi="宋体"/>
          <w:color w:val="auto"/>
          <w:sz w:val="24"/>
        </w:rPr>
        <w:t>（主要从业人员及其技术资格）</w:t>
      </w:r>
    </w:p>
    <w:tbl>
      <w:tblPr>
        <w:tblStyle w:val="25"/>
        <w:tblW w:w="917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auto"/>
                <w:sz w:val="24"/>
                <w:szCs w:val="20"/>
              </w:rPr>
            </w:pPr>
            <w:r>
              <w:rPr>
                <w:rFonts w:hint="eastAsia" w:ascii="宋体" w:hAnsi="宋体"/>
                <w:b/>
                <w:color w:val="auto"/>
                <w:sz w:val="24"/>
                <w:szCs w:val="20"/>
              </w:rPr>
              <w:t>序号</w:t>
            </w:r>
          </w:p>
        </w:tc>
        <w:tc>
          <w:tcPr>
            <w:tcW w:w="8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auto"/>
                <w:sz w:val="24"/>
                <w:szCs w:val="20"/>
              </w:rPr>
            </w:pPr>
            <w:r>
              <w:rPr>
                <w:rFonts w:hint="eastAsia" w:ascii="宋体" w:hAnsi="宋体"/>
                <w:b/>
                <w:color w:val="auto"/>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auto"/>
                <w:sz w:val="24"/>
                <w:szCs w:val="20"/>
              </w:rPr>
            </w:pPr>
            <w:r>
              <w:rPr>
                <w:rFonts w:hint="eastAsia" w:ascii="宋体" w:hAnsi="宋体"/>
                <w:b/>
                <w:color w:val="auto"/>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auto"/>
                <w:sz w:val="24"/>
                <w:szCs w:val="20"/>
              </w:rPr>
            </w:pPr>
            <w:r>
              <w:rPr>
                <w:rFonts w:hint="eastAsia" w:ascii="宋体" w:hAnsi="宋体"/>
                <w:b/>
                <w:color w:val="auto"/>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auto"/>
                <w:sz w:val="24"/>
                <w:szCs w:val="20"/>
              </w:rPr>
            </w:pPr>
            <w:r>
              <w:rPr>
                <w:rFonts w:hint="eastAsia" w:ascii="宋体" w:hAnsi="宋体"/>
                <w:b/>
                <w:color w:val="auto"/>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auto"/>
                <w:sz w:val="24"/>
                <w:szCs w:val="20"/>
              </w:rPr>
            </w:pPr>
            <w:r>
              <w:rPr>
                <w:rFonts w:hint="eastAsia" w:ascii="宋体" w:hAnsi="宋体"/>
                <w:b/>
                <w:color w:val="auto"/>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color w:val="auto"/>
                <w:sz w:val="24"/>
                <w:szCs w:val="20"/>
              </w:rPr>
            </w:pPr>
            <w:r>
              <w:rPr>
                <w:rFonts w:hint="eastAsia" w:ascii="宋体" w:hAnsi="宋体"/>
                <w:b/>
                <w:bCs/>
                <w:color w:val="auto"/>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color w:val="auto"/>
                <w:sz w:val="24"/>
                <w:szCs w:val="20"/>
              </w:rPr>
            </w:pPr>
            <w:r>
              <w:rPr>
                <w:rFonts w:hint="eastAsia" w:ascii="宋体" w:hAnsi="宋体"/>
                <w:b/>
                <w:color w:val="auto"/>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6"/>
              <w:snapToGrid w:val="0"/>
              <w:spacing w:before="156" w:beforeLines="50" w:after="50" w:line="360" w:lineRule="auto"/>
              <w:ind w:left="5250"/>
              <w:rPr>
                <w:rFonts w:ascii="宋体" w:hAnsi="宋体" w:eastAsia="宋体"/>
                <w:b/>
                <w:color w:val="auto"/>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6"/>
              <w:snapToGrid w:val="0"/>
              <w:spacing w:before="156" w:beforeLines="50" w:after="50" w:line="360" w:lineRule="auto"/>
              <w:ind w:left="5250"/>
              <w:rPr>
                <w:rFonts w:ascii="宋体" w:hAnsi="宋体" w:eastAsia="宋体"/>
                <w:b/>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6"/>
              <w:spacing w:line="360" w:lineRule="auto"/>
              <w:ind w:left="5250"/>
              <w:rPr>
                <w:rFonts w:ascii="宋体" w:hAnsi="宋体"/>
                <w:color w:val="auto"/>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r>
    </w:tbl>
    <w:p>
      <w:pPr>
        <w:spacing w:line="360" w:lineRule="auto"/>
        <w:rPr>
          <w:rFonts w:ascii="宋体" w:hAnsi="宋体"/>
          <w:b/>
          <w:color w:val="auto"/>
          <w:szCs w:val="21"/>
        </w:rPr>
      </w:pPr>
      <w:r>
        <w:rPr>
          <w:rFonts w:hint="eastAsia" w:ascii="宋体" w:hAnsi="宋体"/>
          <w:b/>
          <w:color w:val="auto"/>
          <w:szCs w:val="21"/>
        </w:rPr>
        <w:t>要求：</w:t>
      </w:r>
    </w:p>
    <w:p>
      <w:pPr>
        <w:spacing w:line="360" w:lineRule="auto"/>
        <w:ind w:left="437"/>
        <w:rPr>
          <w:rFonts w:ascii="宋体" w:hAnsi="宋体"/>
          <w:color w:val="auto"/>
          <w:szCs w:val="21"/>
        </w:rPr>
      </w:pPr>
      <w:r>
        <w:rPr>
          <w:rFonts w:hint="eastAsia" w:ascii="宋体" w:hAnsi="宋体"/>
          <w:b/>
          <w:color w:val="auto"/>
          <w:szCs w:val="21"/>
        </w:rPr>
        <w:t>1.</w:t>
      </w:r>
      <w:r>
        <w:rPr>
          <w:rFonts w:hint="eastAsia" w:ascii="宋体" w:hAnsi="宋体"/>
          <w:color w:val="auto"/>
          <w:szCs w:val="21"/>
        </w:rPr>
        <w:t>在填写时，如本表格不适合投标单位的实际情况，可根据本表格式自行划表填写。</w:t>
      </w:r>
    </w:p>
    <w:p>
      <w:pPr>
        <w:pStyle w:val="32"/>
        <w:spacing w:line="360" w:lineRule="auto"/>
        <w:ind w:left="424" w:leftChars="202"/>
        <w:rPr>
          <w:rFonts w:ascii="宋体" w:hAnsi="宋体"/>
          <w:color w:val="auto"/>
          <w:szCs w:val="21"/>
        </w:rPr>
      </w:pPr>
      <w:r>
        <w:rPr>
          <w:rFonts w:hint="eastAsia" w:ascii="宋体" w:hAnsi="宋体"/>
          <w:color w:val="auto"/>
          <w:szCs w:val="21"/>
        </w:rPr>
        <w:t>2.附人员证书复印件；</w:t>
      </w:r>
    </w:p>
    <w:p>
      <w:pPr>
        <w:pStyle w:val="32"/>
        <w:spacing w:line="360" w:lineRule="auto"/>
        <w:rPr>
          <w:rFonts w:ascii="宋体" w:hAnsi="宋体"/>
          <w:color w:val="auto"/>
          <w:szCs w:val="21"/>
        </w:rPr>
      </w:pPr>
      <w:r>
        <w:rPr>
          <w:rFonts w:hint="eastAsia" w:ascii="宋体" w:hAnsi="宋体"/>
          <w:color w:val="auto"/>
          <w:szCs w:val="21"/>
        </w:rPr>
        <w:t>　　3.出具上述人员在本单位服务的外部证明，如：</w:t>
      </w:r>
      <w:r>
        <w:rPr>
          <w:rFonts w:ascii="宋体" w:hAnsi="宋体"/>
          <w:color w:val="auto"/>
          <w:szCs w:val="21"/>
        </w:rPr>
        <w:t>投标截止日之前</w:t>
      </w:r>
      <w:r>
        <w:rPr>
          <w:rFonts w:hint="eastAsia" w:ascii="宋体" w:hAnsi="宋体"/>
          <w:color w:val="auto"/>
          <w:szCs w:val="21"/>
        </w:rPr>
        <w:t>3</w:t>
      </w:r>
      <w:r>
        <w:rPr>
          <w:rFonts w:ascii="宋体" w:hAnsi="宋体"/>
          <w:color w:val="auto"/>
          <w:szCs w:val="21"/>
        </w:rPr>
        <w:t>个月以内的</w:t>
      </w:r>
      <w:r>
        <w:rPr>
          <w:rFonts w:hint="eastAsia" w:ascii="宋体" w:hAnsi="宋体"/>
          <w:color w:val="auto"/>
          <w:szCs w:val="21"/>
        </w:rPr>
        <w:t>代缴个税税单、参加社会保险的《投保单》或《社会保险参保人员证明》等。</w:t>
      </w:r>
    </w:p>
    <w:p>
      <w:pPr>
        <w:snapToGrid w:val="0"/>
        <w:spacing w:before="50" w:after="156" w:afterLines="50" w:line="360" w:lineRule="auto"/>
        <w:jc w:val="left"/>
        <w:rPr>
          <w:rFonts w:ascii="宋体" w:hAnsi="宋体"/>
          <w:color w:val="auto"/>
          <w:sz w:val="24"/>
          <w:szCs w:val="20"/>
        </w:rPr>
      </w:pPr>
    </w:p>
    <w:p>
      <w:pPr>
        <w:snapToGrid w:val="0"/>
        <w:spacing w:before="50" w:after="156" w:afterLines="50" w:line="360" w:lineRule="auto"/>
        <w:jc w:val="left"/>
        <w:rPr>
          <w:rFonts w:ascii="宋体" w:hAnsi="宋体"/>
          <w:color w:val="auto"/>
          <w:sz w:val="24"/>
          <w:szCs w:val="20"/>
        </w:rPr>
      </w:pPr>
    </w:p>
    <w:p>
      <w:pPr>
        <w:spacing w:line="360" w:lineRule="auto"/>
        <w:ind w:left="420"/>
        <w:rPr>
          <w:rFonts w:ascii="宋体" w:hAnsi="宋体"/>
          <w:color w:val="auto"/>
          <w:sz w:val="24"/>
          <w:u w:val="single"/>
        </w:rPr>
      </w:pPr>
      <w:r>
        <w:rPr>
          <w:rFonts w:hint="eastAsia" w:ascii="宋体" w:hAnsi="宋体"/>
          <w:color w:val="auto"/>
          <w:sz w:val="24"/>
        </w:rPr>
        <w:t>投标人名称（电子印章）：</w:t>
      </w:r>
    </w:p>
    <w:p>
      <w:pPr>
        <w:spacing w:line="360" w:lineRule="auto"/>
        <w:ind w:left="420"/>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投标人代表签字或电子印章：</w:t>
      </w:r>
    </w:p>
    <w:p>
      <w:pPr>
        <w:spacing w:line="360" w:lineRule="auto"/>
        <w:ind w:firstLine="435"/>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职        务：</w:t>
      </w:r>
    </w:p>
    <w:p>
      <w:pPr>
        <w:spacing w:line="360" w:lineRule="auto"/>
        <w:ind w:firstLine="435"/>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日        期：</w:t>
      </w:r>
    </w:p>
    <w:p>
      <w:pPr>
        <w:spacing w:line="360" w:lineRule="auto"/>
        <w:rPr>
          <w:rFonts w:ascii="宋体" w:hAnsi="宋体"/>
          <w:b/>
          <w:color w:val="auto"/>
          <w:sz w:val="28"/>
        </w:rPr>
      </w:pPr>
    </w:p>
    <w:p>
      <w:pPr>
        <w:pStyle w:val="14"/>
        <w:ind w:firstLine="0"/>
        <w:rPr>
          <w:color w:val="auto"/>
        </w:rPr>
      </w:pPr>
    </w:p>
    <w:p>
      <w:pPr>
        <w:spacing w:line="360" w:lineRule="auto"/>
        <w:rPr>
          <w:rFonts w:ascii="宋体" w:hAnsi="宋体"/>
          <w:color w:val="auto"/>
        </w:rPr>
      </w:pPr>
      <w:r>
        <w:rPr>
          <w:rFonts w:hint="eastAsia" w:ascii="宋体" w:hAnsi="宋体"/>
          <w:b/>
          <w:color w:val="auto"/>
          <w:sz w:val="28"/>
        </w:rPr>
        <w:t>附件8</w:t>
      </w:r>
    </w:p>
    <w:p>
      <w:pPr>
        <w:spacing w:before="156" w:beforeLines="50" w:after="156" w:afterLines="50" w:line="360" w:lineRule="auto"/>
        <w:ind w:right="-10"/>
        <w:jc w:val="center"/>
        <w:rPr>
          <w:rFonts w:ascii="宋体" w:hAnsi="宋体"/>
          <w:b/>
          <w:bCs/>
          <w:color w:val="auto"/>
          <w:sz w:val="32"/>
          <w:szCs w:val="32"/>
        </w:rPr>
      </w:pPr>
      <w:bookmarkStart w:id="71" w:name="_Toc23055_WPSOffice_Level1"/>
      <w:bookmarkStart w:id="72" w:name="_Toc12710_WPSOffice_Level1"/>
      <w:r>
        <w:rPr>
          <w:rFonts w:hint="eastAsia" w:ascii="宋体" w:hAnsi="宋体"/>
          <w:b/>
          <w:bCs/>
          <w:color w:val="auto"/>
          <w:sz w:val="32"/>
          <w:szCs w:val="32"/>
        </w:rPr>
        <w:t>项目负责人/技术负责人资格情况表</w:t>
      </w:r>
      <w:bookmarkEnd w:id="71"/>
      <w:bookmarkEnd w:id="72"/>
    </w:p>
    <w:p>
      <w:pPr>
        <w:spacing w:line="360" w:lineRule="auto"/>
        <w:rPr>
          <w:rFonts w:ascii="宋体" w:hAnsi="宋体"/>
          <w:color w:val="auto"/>
        </w:rPr>
      </w:pPr>
      <w:r>
        <w:rPr>
          <w:rFonts w:hint="eastAsia" w:ascii="宋体" w:hAnsi="宋体"/>
          <w:color w:val="auto"/>
        </w:rPr>
        <w:t>采购项目：                                            采购编号：</w:t>
      </w:r>
    </w:p>
    <w:tbl>
      <w:tblPr>
        <w:tblStyle w:val="25"/>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lang w:val="zh-CN"/>
              </w:rPr>
            </w:pPr>
            <w:r>
              <w:rPr>
                <w:rFonts w:hint="eastAsia" w:ascii="宋体" w:hAnsi="宋体"/>
                <w:b/>
                <w:bCs/>
                <w:color w:val="auto"/>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color w:val="auto"/>
                <w:lang w:val="zh-CN"/>
              </w:rPr>
            </w:pPr>
            <w:r>
              <w:rPr>
                <w:rFonts w:hint="eastAsia" w:ascii="宋体" w:hAnsi="宋体"/>
                <w:b/>
                <w:bCs/>
                <w:color w:val="auto"/>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lang w:val="zh-CN"/>
              </w:rPr>
            </w:pPr>
            <w:r>
              <w:rPr>
                <w:rFonts w:hint="eastAsia" w:ascii="宋体" w:hAnsi="宋体"/>
                <w:b/>
                <w:bCs/>
                <w:color w:val="auto"/>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color w:val="auto"/>
              </w:rPr>
            </w:pPr>
            <w:r>
              <w:rPr>
                <w:rFonts w:hint="eastAsia" w:ascii="宋体" w:hAnsi="宋体"/>
                <w:color w:val="auto"/>
              </w:rPr>
              <w:t>注：业绩证明应提供旁证材料</w:t>
            </w:r>
          </w:p>
          <w:p>
            <w:pPr>
              <w:autoSpaceDE w:val="0"/>
              <w:autoSpaceDN w:val="0"/>
              <w:adjustRightInd w:val="0"/>
              <w:snapToGrid w:val="0"/>
              <w:spacing w:line="360" w:lineRule="auto"/>
              <w:jc w:val="center"/>
              <w:rPr>
                <w:rFonts w:ascii="宋体" w:hAnsi="宋体"/>
                <w:color w:val="auto"/>
                <w:lang w:val="zh-CN"/>
              </w:rPr>
            </w:pPr>
            <w:r>
              <w:rPr>
                <w:rFonts w:hint="eastAsia" w:ascii="宋体" w:hAnsi="宋体"/>
                <w:color w:val="auto"/>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lang w:val="zh-CN"/>
              </w:rPr>
            </w:pPr>
            <w:r>
              <w:rPr>
                <w:rFonts w:hint="eastAsia" w:ascii="宋体" w:hAnsi="宋体"/>
                <w:b/>
                <w:bCs/>
                <w:color w:val="auto"/>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lang w:val="zh-CN"/>
              </w:rPr>
            </w:pPr>
            <w:r>
              <w:rPr>
                <w:rFonts w:hint="eastAsia" w:ascii="宋体" w:hAnsi="宋体"/>
                <w:b/>
                <w:bCs/>
                <w:color w:val="auto"/>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lang w:val="zh-CN"/>
              </w:rPr>
            </w:pPr>
            <w:r>
              <w:rPr>
                <w:rFonts w:hint="eastAsia" w:ascii="宋体" w:hAnsi="宋体"/>
                <w:b/>
                <w:bCs/>
                <w:color w:val="auto"/>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lang w:val="zh-CN"/>
              </w:rPr>
            </w:pPr>
            <w:r>
              <w:rPr>
                <w:rFonts w:hint="eastAsia" w:ascii="宋体" w:hAnsi="宋体"/>
                <w:b/>
                <w:bCs/>
                <w:color w:val="auto"/>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lang w:val="zh-CN"/>
              </w:rPr>
            </w:pPr>
            <w:r>
              <w:rPr>
                <w:rFonts w:hint="eastAsia" w:ascii="宋体" w:hAnsi="宋体"/>
                <w:b/>
                <w:bCs/>
                <w:color w:val="auto"/>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lang w:val="zh-CN"/>
              </w:rPr>
            </w:pPr>
            <w:r>
              <w:rPr>
                <w:rFonts w:hint="eastAsia" w:ascii="宋体" w:hAnsi="宋体"/>
                <w:b/>
                <w:bCs/>
                <w:color w:val="auto"/>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lang w:val="zh-CN"/>
              </w:rPr>
            </w:pPr>
            <w:r>
              <w:rPr>
                <w:rFonts w:hint="eastAsia" w:ascii="宋体" w:hAnsi="宋体"/>
                <w:b/>
                <w:bCs/>
                <w:color w:val="auto"/>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color w:val="auto"/>
                <w:lang w:val="zh-CN"/>
              </w:rPr>
            </w:pPr>
          </w:p>
        </w:tc>
      </w:tr>
    </w:tbl>
    <w:p>
      <w:pPr>
        <w:spacing w:line="360" w:lineRule="auto"/>
        <w:ind w:left="420"/>
        <w:rPr>
          <w:rFonts w:ascii="宋体" w:hAnsi="宋体"/>
          <w:color w:val="auto"/>
          <w:sz w:val="24"/>
        </w:rPr>
      </w:pPr>
    </w:p>
    <w:p>
      <w:pPr>
        <w:spacing w:line="360" w:lineRule="auto"/>
        <w:ind w:firstLine="480" w:firstLineChars="200"/>
        <w:rPr>
          <w:rFonts w:ascii="宋体" w:hAnsi="宋体"/>
          <w:color w:val="auto"/>
          <w:sz w:val="24"/>
          <w:u w:val="single"/>
        </w:rPr>
      </w:pPr>
      <w:r>
        <w:rPr>
          <w:rFonts w:hint="eastAsia" w:ascii="宋体" w:hAnsi="宋体"/>
          <w:color w:val="auto"/>
          <w:sz w:val="24"/>
        </w:rPr>
        <w:t>投标人名称（电子印章）：</w:t>
      </w:r>
    </w:p>
    <w:p>
      <w:pPr>
        <w:spacing w:line="360" w:lineRule="auto"/>
        <w:ind w:left="420"/>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投标人代表签字或电子印章：</w:t>
      </w:r>
    </w:p>
    <w:p>
      <w:pPr>
        <w:spacing w:line="360" w:lineRule="auto"/>
        <w:ind w:firstLine="435"/>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职        务：</w:t>
      </w:r>
    </w:p>
    <w:p>
      <w:pPr>
        <w:spacing w:line="360" w:lineRule="auto"/>
        <w:ind w:firstLine="435"/>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日        期：</w:t>
      </w:r>
    </w:p>
    <w:p>
      <w:pPr>
        <w:snapToGrid w:val="0"/>
        <w:spacing w:before="50" w:after="50" w:line="360" w:lineRule="auto"/>
        <w:rPr>
          <w:rFonts w:ascii="宋体" w:hAnsi="宋体"/>
          <w:b/>
          <w:color w:val="auto"/>
          <w:sz w:val="28"/>
        </w:rPr>
      </w:pPr>
    </w:p>
    <w:p>
      <w:pPr>
        <w:snapToGrid w:val="0"/>
        <w:spacing w:before="50" w:after="50" w:line="360" w:lineRule="auto"/>
        <w:rPr>
          <w:rFonts w:ascii="宋体" w:hAnsi="宋体"/>
          <w:b/>
          <w:color w:val="auto"/>
          <w:sz w:val="28"/>
        </w:rPr>
      </w:pPr>
      <w:r>
        <w:rPr>
          <w:rFonts w:hint="eastAsia" w:ascii="宋体" w:hAnsi="宋体"/>
          <w:b/>
          <w:color w:val="auto"/>
          <w:sz w:val="28"/>
        </w:rPr>
        <w:t>附件9</w:t>
      </w:r>
    </w:p>
    <w:p>
      <w:pPr>
        <w:spacing w:line="360" w:lineRule="auto"/>
        <w:ind w:left="480"/>
        <w:jc w:val="center"/>
        <w:rPr>
          <w:rFonts w:ascii="宋体" w:hAnsi="宋体"/>
          <w:b/>
          <w:color w:val="auto"/>
          <w:sz w:val="32"/>
          <w:szCs w:val="32"/>
        </w:rPr>
      </w:pPr>
      <w:r>
        <w:rPr>
          <w:rFonts w:hint="eastAsia" w:ascii="宋体" w:hAnsi="宋体"/>
          <w:b/>
          <w:color w:val="auto"/>
          <w:sz w:val="32"/>
          <w:szCs w:val="32"/>
        </w:rPr>
        <w:t>服务实施情况表（视情制作）</w:t>
      </w:r>
    </w:p>
    <w:p>
      <w:pPr>
        <w:spacing w:line="360" w:lineRule="auto"/>
        <w:ind w:firstLine="435"/>
        <w:rPr>
          <w:rFonts w:ascii="宋体" w:hAnsi="宋体"/>
          <w:b/>
          <w:color w:val="auto"/>
          <w:sz w:val="28"/>
        </w:rPr>
      </w:pPr>
    </w:p>
    <w:tbl>
      <w:tblPr>
        <w:tblStyle w:val="25"/>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685"/>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739" w:type="dxa"/>
            <w:vAlign w:val="center"/>
          </w:tcPr>
          <w:p>
            <w:pPr>
              <w:pStyle w:val="36"/>
              <w:spacing w:line="360" w:lineRule="auto"/>
              <w:jc w:val="center"/>
              <w:rPr>
                <w:rFonts w:ascii="宋体" w:hAnsi="宋体" w:cs="Arial"/>
                <w:b/>
                <w:color w:val="auto"/>
                <w:sz w:val="24"/>
              </w:rPr>
            </w:pPr>
            <w:r>
              <w:rPr>
                <w:rFonts w:hint="eastAsia" w:ascii="宋体" w:hAnsi="宋体" w:cs="Arial"/>
                <w:b/>
                <w:color w:val="auto"/>
                <w:sz w:val="24"/>
              </w:rPr>
              <w:t>序号</w:t>
            </w:r>
          </w:p>
        </w:tc>
        <w:tc>
          <w:tcPr>
            <w:tcW w:w="2685" w:type="dxa"/>
            <w:vAlign w:val="center"/>
          </w:tcPr>
          <w:p>
            <w:pPr>
              <w:pStyle w:val="36"/>
              <w:spacing w:line="360" w:lineRule="auto"/>
              <w:jc w:val="center"/>
              <w:rPr>
                <w:rFonts w:ascii="宋体" w:hAnsi="宋体" w:cs="Arial"/>
                <w:b/>
                <w:color w:val="auto"/>
                <w:sz w:val="24"/>
              </w:rPr>
            </w:pPr>
            <w:r>
              <w:rPr>
                <w:rFonts w:hint="eastAsia" w:ascii="宋体" w:hAnsi="宋体" w:cs="Arial"/>
                <w:b/>
                <w:color w:val="auto"/>
                <w:sz w:val="24"/>
              </w:rPr>
              <w:t>项目</w:t>
            </w:r>
          </w:p>
        </w:tc>
        <w:tc>
          <w:tcPr>
            <w:tcW w:w="3731" w:type="dxa"/>
            <w:vAlign w:val="center"/>
          </w:tcPr>
          <w:p>
            <w:pPr>
              <w:pStyle w:val="36"/>
              <w:spacing w:line="360" w:lineRule="auto"/>
              <w:jc w:val="center"/>
              <w:rPr>
                <w:rFonts w:ascii="宋体" w:hAnsi="宋体" w:cs="Arial"/>
                <w:b/>
                <w:color w:val="auto"/>
                <w:sz w:val="24"/>
              </w:rPr>
            </w:pPr>
            <w:r>
              <w:rPr>
                <w:rFonts w:hint="eastAsia" w:ascii="宋体" w:hAnsi="宋体" w:cs="Arial"/>
                <w:b/>
                <w:color w:val="auto"/>
                <w:sz w:val="24"/>
              </w:rPr>
              <w:t>投标人承诺</w:t>
            </w:r>
          </w:p>
        </w:tc>
        <w:tc>
          <w:tcPr>
            <w:tcW w:w="1373" w:type="dxa"/>
            <w:vAlign w:val="center"/>
          </w:tcPr>
          <w:p>
            <w:pPr>
              <w:pStyle w:val="36"/>
              <w:spacing w:line="360" w:lineRule="auto"/>
              <w:jc w:val="center"/>
              <w:rPr>
                <w:rFonts w:ascii="宋体" w:hAnsi="宋体" w:cs="Arial"/>
                <w:b/>
                <w:color w:val="auto"/>
                <w:sz w:val="24"/>
              </w:rPr>
            </w:pPr>
            <w:r>
              <w:rPr>
                <w:rFonts w:hint="eastAsia" w:ascii="宋体" w:hAnsi="宋体" w:cs="Arial"/>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8" w:hRule="atLeast"/>
          <w:jc w:val="center"/>
        </w:trPr>
        <w:tc>
          <w:tcPr>
            <w:tcW w:w="739" w:type="dxa"/>
            <w:vAlign w:val="center"/>
          </w:tcPr>
          <w:p>
            <w:pPr>
              <w:pStyle w:val="36"/>
              <w:spacing w:line="360" w:lineRule="auto"/>
              <w:jc w:val="center"/>
              <w:rPr>
                <w:rFonts w:ascii="宋体" w:hAnsi="宋体" w:cs="Arial"/>
                <w:bCs/>
                <w:color w:val="auto"/>
                <w:sz w:val="24"/>
              </w:rPr>
            </w:pPr>
            <w:r>
              <w:rPr>
                <w:rFonts w:hint="eastAsia" w:ascii="宋体" w:hAnsi="宋体" w:cs="Arial"/>
                <w:bCs/>
                <w:color w:val="auto"/>
                <w:sz w:val="24"/>
              </w:rPr>
              <w:t>1</w:t>
            </w:r>
          </w:p>
        </w:tc>
        <w:tc>
          <w:tcPr>
            <w:tcW w:w="2685" w:type="dxa"/>
            <w:vAlign w:val="center"/>
          </w:tcPr>
          <w:p>
            <w:pPr>
              <w:pStyle w:val="36"/>
              <w:widowControl/>
              <w:spacing w:line="360" w:lineRule="auto"/>
              <w:jc w:val="left"/>
              <w:rPr>
                <w:rFonts w:ascii="宋体" w:hAnsi="宋体" w:cs="Arial"/>
                <w:bCs/>
                <w:color w:val="auto"/>
                <w:sz w:val="24"/>
              </w:rPr>
            </w:pPr>
          </w:p>
        </w:tc>
        <w:tc>
          <w:tcPr>
            <w:tcW w:w="3731" w:type="dxa"/>
          </w:tcPr>
          <w:p>
            <w:pPr>
              <w:pStyle w:val="36"/>
              <w:spacing w:line="360" w:lineRule="auto"/>
              <w:rPr>
                <w:rFonts w:ascii="宋体" w:hAnsi="宋体" w:cs="Arial"/>
                <w:bCs/>
                <w:color w:val="auto"/>
                <w:sz w:val="24"/>
              </w:rPr>
            </w:pPr>
          </w:p>
        </w:tc>
        <w:tc>
          <w:tcPr>
            <w:tcW w:w="1373" w:type="dxa"/>
          </w:tcPr>
          <w:p>
            <w:pPr>
              <w:pStyle w:val="36"/>
              <w:spacing w:line="360" w:lineRule="auto"/>
              <w:rPr>
                <w:rFonts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20" w:hRule="exact"/>
          <w:jc w:val="center"/>
        </w:trPr>
        <w:tc>
          <w:tcPr>
            <w:tcW w:w="739" w:type="dxa"/>
            <w:vAlign w:val="center"/>
          </w:tcPr>
          <w:p>
            <w:pPr>
              <w:pStyle w:val="36"/>
              <w:spacing w:line="360" w:lineRule="auto"/>
              <w:jc w:val="center"/>
              <w:rPr>
                <w:rFonts w:ascii="宋体" w:hAnsi="宋体" w:cs="Arial"/>
                <w:bCs/>
                <w:color w:val="auto"/>
                <w:sz w:val="24"/>
              </w:rPr>
            </w:pPr>
            <w:r>
              <w:rPr>
                <w:rFonts w:hint="eastAsia" w:ascii="宋体" w:hAnsi="宋体" w:cs="Arial"/>
                <w:bCs/>
                <w:color w:val="auto"/>
                <w:sz w:val="24"/>
              </w:rPr>
              <w:t>2</w:t>
            </w:r>
          </w:p>
        </w:tc>
        <w:tc>
          <w:tcPr>
            <w:tcW w:w="2685" w:type="dxa"/>
            <w:vAlign w:val="center"/>
          </w:tcPr>
          <w:p>
            <w:pPr>
              <w:pStyle w:val="36"/>
              <w:spacing w:line="360" w:lineRule="auto"/>
              <w:rPr>
                <w:rFonts w:ascii="宋体" w:hAnsi="宋体" w:cs="Arial"/>
                <w:bCs/>
                <w:color w:val="auto"/>
                <w:sz w:val="24"/>
              </w:rPr>
            </w:pPr>
          </w:p>
        </w:tc>
        <w:tc>
          <w:tcPr>
            <w:tcW w:w="3731" w:type="dxa"/>
          </w:tcPr>
          <w:p>
            <w:pPr>
              <w:pStyle w:val="36"/>
              <w:spacing w:line="360" w:lineRule="auto"/>
              <w:rPr>
                <w:rFonts w:ascii="宋体" w:hAnsi="宋体" w:cs="Arial"/>
                <w:bCs/>
                <w:color w:val="auto"/>
                <w:sz w:val="24"/>
              </w:rPr>
            </w:pPr>
          </w:p>
        </w:tc>
        <w:tc>
          <w:tcPr>
            <w:tcW w:w="1373" w:type="dxa"/>
          </w:tcPr>
          <w:p>
            <w:pPr>
              <w:pStyle w:val="36"/>
              <w:widowControl/>
              <w:spacing w:line="360" w:lineRule="auto"/>
              <w:jc w:val="left"/>
              <w:rPr>
                <w:rFonts w:ascii="宋体" w:hAnsi="宋体" w:cs="Arial"/>
                <w:bCs/>
                <w:color w:val="auto"/>
                <w:sz w:val="24"/>
              </w:rPr>
            </w:pPr>
          </w:p>
          <w:p>
            <w:pPr>
              <w:pStyle w:val="36"/>
              <w:widowControl/>
              <w:spacing w:line="360" w:lineRule="auto"/>
              <w:jc w:val="left"/>
              <w:rPr>
                <w:rFonts w:ascii="宋体" w:hAnsi="宋体" w:cs="Arial"/>
                <w:bCs/>
                <w:color w:val="auto"/>
                <w:sz w:val="24"/>
              </w:rPr>
            </w:pPr>
          </w:p>
          <w:p>
            <w:pPr>
              <w:pStyle w:val="36"/>
              <w:spacing w:line="360" w:lineRule="auto"/>
              <w:rPr>
                <w:rFonts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5" w:hRule="exact"/>
          <w:jc w:val="center"/>
        </w:trPr>
        <w:tc>
          <w:tcPr>
            <w:tcW w:w="739" w:type="dxa"/>
            <w:vAlign w:val="center"/>
          </w:tcPr>
          <w:p>
            <w:pPr>
              <w:pStyle w:val="36"/>
              <w:widowControl/>
              <w:spacing w:line="360" w:lineRule="auto"/>
              <w:jc w:val="left"/>
              <w:rPr>
                <w:rFonts w:ascii="宋体" w:hAnsi="宋体" w:cs="Arial"/>
                <w:bCs/>
                <w:color w:val="auto"/>
                <w:sz w:val="24"/>
              </w:rPr>
            </w:pPr>
            <w:r>
              <w:rPr>
                <w:rFonts w:hint="eastAsia" w:ascii="宋体" w:hAnsi="宋体" w:cs="Arial"/>
                <w:bCs/>
                <w:color w:val="auto"/>
                <w:sz w:val="24"/>
              </w:rPr>
              <w:t xml:space="preserve"> 3</w:t>
            </w:r>
          </w:p>
        </w:tc>
        <w:tc>
          <w:tcPr>
            <w:tcW w:w="2685" w:type="dxa"/>
            <w:vAlign w:val="center"/>
          </w:tcPr>
          <w:p>
            <w:pPr>
              <w:pStyle w:val="36"/>
              <w:widowControl/>
              <w:spacing w:line="360" w:lineRule="auto"/>
              <w:jc w:val="left"/>
              <w:rPr>
                <w:rFonts w:ascii="宋体" w:hAnsi="宋体" w:cs="Arial"/>
                <w:bCs/>
                <w:color w:val="auto"/>
                <w:sz w:val="24"/>
              </w:rPr>
            </w:pPr>
          </w:p>
        </w:tc>
        <w:tc>
          <w:tcPr>
            <w:tcW w:w="3731" w:type="dxa"/>
          </w:tcPr>
          <w:p>
            <w:pPr>
              <w:pStyle w:val="36"/>
              <w:widowControl/>
              <w:spacing w:line="360" w:lineRule="auto"/>
              <w:jc w:val="left"/>
              <w:rPr>
                <w:rFonts w:ascii="宋体" w:hAnsi="宋体" w:cs="Arial"/>
                <w:bCs/>
                <w:i/>
                <w:color w:val="auto"/>
                <w:sz w:val="24"/>
              </w:rPr>
            </w:pPr>
          </w:p>
        </w:tc>
        <w:tc>
          <w:tcPr>
            <w:tcW w:w="1373" w:type="dxa"/>
          </w:tcPr>
          <w:p>
            <w:pPr>
              <w:pStyle w:val="36"/>
              <w:widowControl/>
              <w:spacing w:line="360" w:lineRule="auto"/>
              <w:jc w:val="left"/>
              <w:rPr>
                <w:rFonts w:ascii="宋体" w:hAnsi="宋体" w:cs="Arial"/>
                <w:bCs/>
                <w:i/>
                <w:color w:val="auto"/>
                <w:sz w:val="24"/>
              </w:rPr>
            </w:pPr>
          </w:p>
          <w:p>
            <w:pPr>
              <w:pStyle w:val="36"/>
              <w:widowControl/>
              <w:spacing w:line="360" w:lineRule="auto"/>
              <w:jc w:val="left"/>
              <w:rPr>
                <w:rFonts w:ascii="宋体" w:hAnsi="宋体" w:cs="Arial"/>
                <w:bCs/>
                <w:i/>
                <w:color w:val="auto"/>
                <w:sz w:val="24"/>
              </w:rPr>
            </w:pPr>
          </w:p>
          <w:p>
            <w:pPr>
              <w:pStyle w:val="36"/>
              <w:widowControl/>
              <w:spacing w:line="360" w:lineRule="auto"/>
              <w:jc w:val="left"/>
              <w:rPr>
                <w:rFonts w:ascii="宋体" w:hAnsi="宋体" w:cs="Arial"/>
                <w:bCs/>
                <w:i/>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exact"/>
          <w:jc w:val="center"/>
        </w:trPr>
        <w:tc>
          <w:tcPr>
            <w:tcW w:w="739" w:type="dxa"/>
            <w:vAlign w:val="center"/>
          </w:tcPr>
          <w:p>
            <w:pPr>
              <w:pStyle w:val="36"/>
              <w:widowControl/>
              <w:spacing w:line="360" w:lineRule="auto"/>
              <w:jc w:val="left"/>
              <w:rPr>
                <w:rFonts w:ascii="宋体" w:hAnsi="宋体" w:cs="Arial"/>
                <w:bCs/>
                <w:color w:val="auto"/>
                <w:sz w:val="24"/>
              </w:rPr>
            </w:pPr>
            <w:r>
              <w:rPr>
                <w:rFonts w:ascii="宋体" w:hAnsi="宋体" w:cs="Arial"/>
                <w:bCs/>
                <w:color w:val="auto"/>
                <w:sz w:val="24"/>
              </w:rPr>
              <w:t>……</w:t>
            </w:r>
          </w:p>
        </w:tc>
        <w:tc>
          <w:tcPr>
            <w:tcW w:w="2685" w:type="dxa"/>
            <w:vAlign w:val="center"/>
          </w:tcPr>
          <w:p>
            <w:pPr>
              <w:pStyle w:val="36"/>
              <w:widowControl/>
              <w:spacing w:line="360" w:lineRule="auto"/>
              <w:jc w:val="left"/>
              <w:rPr>
                <w:rFonts w:ascii="宋体" w:hAnsi="宋体" w:cs="Arial"/>
                <w:bCs/>
                <w:color w:val="auto"/>
                <w:sz w:val="24"/>
              </w:rPr>
            </w:pPr>
            <w:r>
              <w:rPr>
                <w:rFonts w:ascii="宋体" w:hAnsi="宋体" w:cs="Arial"/>
                <w:bCs/>
                <w:color w:val="auto"/>
                <w:sz w:val="24"/>
              </w:rPr>
              <w:t>……</w:t>
            </w:r>
          </w:p>
        </w:tc>
        <w:tc>
          <w:tcPr>
            <w:tcW w:w="3731" w:type="dxa"/>
          </w:tcPr>
          <w:p>
            <w:pPr>
              <w:pStyle w:val="36"/>
              <w:widowControl/>
              <w:spacing w:line="360" w:lineRule="auto"/>
              <w:jc w:val="left"/>
              <w:rPr>
                <w:rFonts w:ascii="宋体" w:hAnsi="宋体" w:cs="Arial"/>
                <w:bCs/>
                <w:color w:val="auto"/>
                <w:sz w:val="24"/>
              </w:rPr>
            </w:pPr>
          </w:p>
        </w:tc>
        <w:tc>
          <w:tcPr>
            <w:tcW w:w="1373" w:type="dxa"/>
          </w:tcPr>
          <w:p>
            <w:pPr>
              <w:pStyle w:val="36"/>
              <w:widowControl/>
              <w:spacing w:line="360" w:lineRule="auto"/>
              <w:jc w:val="left"/>
              <w:rPr>
                <w:rFonts w:ascii="宋体" w:hAnsi="宋体" w:cs="Arial"/>
                <w:bCs/>
                <w:color w:val="auto"/>
                <w:sz w:val="24"/>
              </w:rPr>
            </w:pPr>
          </w:p>
        </w:tc>
      </w:tr>
    </w:tbl>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ind w:left="420"/>
        <w:rPr>
          <w:rFonts w:ascii="宋体" w:hAnsi="宋体"/>
          <w:color w:val="auto"/>
          <w:sz w:val="24"/>
        </w:rPr>
      </w:pPr>
    </w:p>
    <w:p>
      <w:pPr>
        <w:spacing w:line="360" w:lineRule="auto"/>
        <w:ind w:left="420"/>
        <w:rPr>
          <w:rFonts w:ascii="宋体" w:hAnsi="宋体"/>
          <w:color w:val="auto"/>
          <w:sz w:val="24"/>
        </w:rPr>
      </w:pPr>
    </w:p>
    <w:p>
      <w:pPr>
        <w:spacing w:line="360" w:lineRule="auto"/>
        <w:ind w:left="420"/>
        <w:rPr>
          <w:rFonts w:ascii="宋体" w:hAnsi="宋体"/>
          <w:color w:val="auto"/>
          <w:sz w:val="24"/>
          <w:u w:val="single"/>
        </w:rPr>
      </w:pPr>
      <w:r>
        <w:rPr>
          <w:rFonts w:hint="eastAsia" w:ascii="宋体" w:hAnsi="宋体"/>
          <w:color w:val="auto"/>
          <w:sz w:val="24"/>
        </w:rPr>
        <w:t>投标人名称（盖章）：</w:t>
      </w:r>
      <w:r>
        <w:rPr>
          <w:rFonts w:hint="eastAsia" w:ascii="宋体" w:hAnsi="宋体"/>
          <w:color w:val="auto"/>
          <w:sz w:val="24"/>
          <w:u w:val="single"/>
        </w:rPr>
        <w:t xml:space="preserve">                      </w:t>
      </w:r>
    </w:p>
    <w:p>
      <w:pPr>
        <w:spacing w:line="360" w:lineRule="auto"/>
        <w:ind w:left="420"/>
        <w:rPr>
          <w:rFonts w:ascii="宋体" w:hAnsi="宋体"/>
          <w:color w:val="auto"/>
          <w:sz w:val="24"/>
        </w:rPr>
      </w:pPr>
      <w:r>
        <w:rPr>
          <w:rFonts w:hint="eastAsia" w:ascii="宋体" w:hAnsi="宋体"/>
          <w:color w:val="auto"/>
          <w:sz w:val="24"/>
        </w:rPr>
        <w:t xml:space="preserve"> </w:t>
      </w:r>
    </w:p>
    <w:p>
      <w:pPr>
        <w:spacing w:line="360" w:lineRule="auto"/>
        <w:ind w:firstLine="435"/>
        <w:rPr>
          <w:rFonts w:ascii="宋体" w:hAnsi="宋体"/>
          <w:color w:val="auto"/>
          <w:sz w:val="24"/>
        </w:rPr>
      </w:pPr>
      <w:r>
        <w:rPr>
          <w:rFonts w:hint="eastAsia" w:ascii="宋体" w:hAnsi="宋体"/>
          <w:color w:val="auto"/>
          <w:sz w:val="24"/>
        </w:rPr>
        <w:t>投标人代表签字：</w:t>
      </w:r>
      <w:r>
        <w:rPr>
          <w:rFonts w:hint="eastAsia" w:ascii="宋体" w:hAnsi="宋体"/>
          <w:color w:val="auto"/>
          <w:sz w:val="24"/>
          <w:u w:val="single"/>
        </w:rPr>
        <w:t xml:space="preserve">                          </w:t>
      </w:r>
    </w:p>
    <w:p>
      <w:pPr>
        <w:spacing w:line="360" w:lineRule="auto"/>
        <w:ind w:firstLine="435"/>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职        务：</w:t>
      </w:r>
      <w:r>
        <w:rPr>
          <w:rFonts w:hint="eastAsia" w:ascii="宋体" w:hAnsi="宋体"/>
          <w:color w:val="auto"/>
          <w:sz w:val="24"/>
          <w:u w:val="single"/>
        </w:rPr>
        <w:t xml:space="preserve">                            </w:t>
      </w:r>
    </w:p>
    <w:p>
      <w:pPr>
        <w:spacing w:line="360" w:lineRule="auto"/>
        <w:ind w:firstLine="435"/>
        <w:rPr>
          <w:rFonts w:ascii="宋体" w:hAnsi="宋体"/>
          <w:color w:val="auto"/>
          <w:sz w:val="24"/>
        </w:rPr>
      </w:pPr>
    </w:p>
    <w:p>
      <w:pPr>
        <w:spacing w:line="360" w:lineRule="auto"/>
        <w:ind w:firstLine="435"/>
        <w:rPr>
          <w:rFonts w:ascii="宋体" w:hAnsi="宋体"/>
          <w:b/>
          <w:color w:val="auto"/>
          <w:sz w:val="28"/>
        </w:rPr>
      </w:pPr>
      <w:r>
        <w:rPr>
          <w:rFonts w:hint="eastAsia" w:ascii="宋体" w:hAnsi="宋体"/>
          <w:color w:val="auto"/>
          <w:sz w:val="24"/>
        </w:rPr>
        <w:t>日        期：</w:t>
      </w:r>
      <w:r>
        <w:rPr>
          <w:rFonts w:hint="eastAsia" w:ascii="宋体" w:hAnsi="宋体"/>
          <w:color w:val="auto"/>
          <w:sz w:val="24"/>
          <w:u w:val="single"/>
        </w:rPr>
        <w:t xml:space="preserve">                            </w:t>
      </w:r>
    </w:p>
    <w:p>
      <w:pPr>
        <w:pStyle w:val="34"/>
        <w:spacing w:line="360" w:lineRule="auto"/>
        <w:jc w:val="left"/>
        <w:rPr>
          <w:rFonts w:ascii="宋体" w:hAnsi="宋体"/>
          <w:b/>
          <w:color w:val="auto"/>
          <w:sz w:val="28"/>
        </w:rPr>
      </w:pPr>
    </w:p>
    <w:p>
      <w:pPr>
        <w:pStyle w:val="34"/>
        <w:spacing w:line="360" w:lineRule="auto"/>
        <w:jc w:val="left"/>
        <w:rPr>
          <w:rFonts w:ascii="宋体" w:hAnsi="宋体"/>
          <w:b/>
          <w:color w:val="auto"/>
          <w:sz w:val="28"/>
        </w:rPr>
      </w:pPr>
    </w:p>
    <w:p>
      <w:pPr>
        <w:pStyle w:val="34"/>
        <w:spacing w:line="360" w:lineRule="auto"/>
        <w:jc w:val="left"/>
        <w:rPr>
          <w:rFonts w:ascii="宋体" w:hAnsi="宋体"/>
          <w:b/>
          <w:color w:val="auto"/>
          <w:sz w:val="28"/>
        </w:rPr>
      </w:pPr>
      <w:r>
        <w:rPr>
          <w:rFonts w:hint="eastAsia" w:ascii="宋体" w:hAnsi="宋体"/>
          <w:b/>
          <w:color w:val="auto"/>
          <w:sz w:val="28"/>
        </w:rPr>
        <w:t>附件10</w:t>
      </w:r>
    </w:p>
    <w:p>
      <w:pPr>
        <w:pStyle w:val="35"/>
        <w:spacing w:line="360" w:lineRule="auto"/>
        <w:jc w:val="center"/>
        <w:rPr>
          <w:rFonts w:ascii="宋体" w:hAnsi="宋体"/>
          <w:b/>
          <w:color w:val="auto"/>
          <w:sz w:val="32"/>
          <w:szCs w:val="32"/>
        </w:rPr>
      </w:pPr>
      <w:bookmarkStart w:id="73" w:name="_Toc11030_WPSOffice_Level1"/>
      <w:bookmarkStart w:id="74" w:name="_Toc17604_WPSOffice_Level1"/>
      <w:r>
        <w:rPr>
          <w:rFonts w:hint="eastAsia" w:ascii="宋体" w:hAnsi="宋体"/>
          <w:b/>
          <w:color w:val="auto"/>
          <w:sz w:val="32"/>
          <w:szCs w:val="32"/>
        </w:rPr>
        <w:t>证书一览表</w:t>
      </w:r>
      <w:bookmarkEnd w:id="73"/>
      <w:bookmarkEnd w:id="74"/>
    </w:p>
    <w:p>
      <w:pPr>
        <w:pStyle w:val="35"/>
        <w:spacing w:line="360" w:lineRule="auto"/>
        <w:jc w:val="center"/>
        <w:rPr>
          <w:rFonts w:ascii="宋体" w:hAnsi="宋体" w:cs="Arial"/>
          <w:color w:val="auto"/>
          <w:sz w:val="28"/>
          <w:szCs w:val="28"/>
        </w:rPr>
      </w:pPr>
    </w:p>
    <w:tbl>
      <w:tblPr>
        <w:tblStyle w:val="25"/>
        <w:tblW w:w="843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5"/>
              <w:spacing w:line="360" w:lineRule="auto"/>
              <w:jc w:val="center"/>
              <w:rPr>
                <w:rFonts w:ascii="宋体" w:hAnsi="宋体" w:cs="Arial"/>
                <w:b/>
                <w:bCs/>
                <w:color w:val="auto"/>
                <w:sz w:val="24"/>
              </w:rPr>
            </w:pPr>
            <w:r>
              <w:rPr>
                <w:rFonts w:hint="eastAsia" w:ascii="宋体" w:hAnsi="宋体" w:cs="Arial"/>
                <w:b/>
                <w:bCs/>
                <w:color w:val="auto"/>
                <w:sz w:val="24"/>
              </w:rPr>
              <w:t>证书名称</w:t>
            </w:r>
          </w:p>
        </w:tc>
        <w:tc>
          <w:tcPr>
            <w:tcW w:w="2258" w:type="dxa"/>
            <w:tcBorders>
              <w:top w:val="single" w:color="auto" w:sz="4" w:space="0"/>
              <w:bottom w:val="single" w:color="auto" w:sz="4" w:space="0"/>
            </w:tcBorders>
          </w:tcPr>
          <w:p>
            <w:pPr>
              <w:pStyle w:val="35"/>
              <w:spacing w:line="360" w:lineRule="auto"/>
              <w:jc w:val="center"/>
              <w:rPr>
                <w:rFonts w:ascii="宋体" w:hAnsi="宋体" w:cs="Arial"/>
                <w:b/>
                <w:bCs/>
                <w:color w:val="auto"/>
                <w:sz w:val="24"/>
              </w:rPr>
            </w:pPr>
            <w:r>
              <w:rPr>
                <w:rFonts w:hint="eastAsia" w:ascii="宋体" w:hAnsi="宋体" w:cs="Arial"/>
                <w:b/>
                <w:bCs/>
                <w:color w:val="auto"/>
                <w:sz w:val="24"/>
              </w:rPr>
              <w:t>发证单位</w:t>
            </w:r>
          </w:p>
        </w:tc>
        <w:tc>
          <w:tcPr>
            <w:tcW w:w="2260" w:type="dxa"/>
            <w:tcBorders>
              <w:top w:val="single" w:color="auto" w:sz="4" w:space="0"/>
              <w:bottom w:val="single" w:color="auto" w:sz="4" w:space="0"/>
            </w:tcBorders>
          </w:tcPr>
          <w:p>
            <w:pPr>
              <w:pStyle w:val="35"/>
              <w:spacing w:line="360" w:lineRule="auto"/>
              <w:jc w:val="center"/>
              <w:rPr>
                <w:rFonts w:ascii="宋体" w:hAnsi="宋体" w:cs="Arial"/>
                <w:b/>
                <w:bCs/>
                <w:color w:val="auto"/>
                <w:sz w:val="24"/>
              </w:rPr>
            </w:pPr>
            <w:r>
              <w:rPr>
                <w:rFonts w:hint="eastAsia" w:ascii="宋体" w:hAnsi="宋体" w:cs="Arial"/>
                <w:b/>
                <w:bCs/>
                <w:color w:val="auto"/>
                <w:sz w:val="24"/>
              </w:rPr>
              <w:t>证书等级</w:t>
            </w:r>
          </w:p>
        </w:tc>
        <w:tc>
          <w:tcPr>
            <w:tcW w:w="2047" w:type="dxa"/>
            <w:tcBorders>
              <w:top w:val="single" w:color="auto" w:sz="4" w:space="0"/>
              <w:bottom w:val="single" w:color="auto" w:sz="4" w:space="0"/>
              <w:right w:val="single" w:color="auto" w:sz="4" w:space="0"/>
            </w:tcBorders>
          </w:tcPr>
          <w:p>
            <w:pPr>
              <w:pStyle w:val="35"/>
              <w:spacing w:line="360" w:lineRule="auto"/>
              <w:jc w:val="center"/>
              <w:rPr>
                <w:rFonts w:ascii="宋体" w:hAnsi="宋体" w:cs="Arial"/>
                <w:b/>
                <w:bCs/>
                <w:color w:val="auto"/>
                <w:sz w:val="24"/>
              </w:rPr>
            </w:pPr>
            <w:r>
              <w:rPr>
                <w:rFonts w:hint="eastAsia" w:ascii="宋体" w:hAnsi="宋体" w:cs="Arial"/>
                <w:b/>
                <w:bCs/>
                <w:color w:val="auto"/>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5"/>
              <w:spacing w:line="360" w:lineRule="auto"/>
              <w:jc w:val="center"/>
              <w:rPr>
                <w:rFonts w:ascii="宋体" w:hAnsi="宋体" w:cs="Arial"/>
                <w:color w:val="auto"/>
                <w:szCs w:val="21"/>
              </w:rPr>
            </w:pPr>
          </w:p>
        </w:tc>
        <w:tc>
          <w:tcPr>
            <w:tcW w:w="2258" w:type="dxa"/>
            <w:tcBorders>
              <w:top w:val="single" w:color="auto" w:sz="4" w:space="0"/>
            </w:tcBorders>
          </w:tcPr>
          <w:p>
            <w:pPr>
              <w:pStyle w:val="35"/>
              <w:spacing w:line="360" w:lineRule="auto"/>
              <w:jc w:val="center"/>
              <w:rPr>
                <w:rFonts w:ascii="宋体" w:hAnsi="宋体" w:cs="Arial"/>
                <w:color w:val="auto"/>
                <w:szCs w:val="21"/>
              </w:rPr>
            </w:pPr>
          </w:p>
        </w:tc>
        <w:tc>
          <w:tcPr>
            <w:tcW w:w="2260" w:type="dxa"/>
            <w:tcBorders>
              <w:top w:val="single" w:color="auto" w:sz="4" w:space="0"/>
            </w:tcBorders>
          </w:tcPr>
          <w:p>
            <w:pPr>
              <w:pStyle w:val="35"/>
              <w:spacing w:line="360" w:lineRule="auto"/>
              <w:jc w:val="center"/>
              <w:rPr>
                <w:rFonts w:ascii="宋体" w:hAnsi="宋体" w:cs="Arial"/>
                <w:color w:val="auto"/>
                <w:szCs w:val="21"/>
              </w:rPr>
            </w:pPr>
          </w:p>
        </w:tc>
        <w:tc>
          <w:tcPr>
            <w:tcW w:w="2047" w:type="dxa"/>
            <w:tcBorders>
              <w:top w:val="single" w:color="auto" w:sz="4" w:space="0"/>
              <w:right w:val="single" w:color="auto" w:sz="4" w:space="0"/>
            </w:tcBorders>
          </w:tcPr>
          <w:p>
            <w:pPr>
              <w:pStyle w:val="35"/>
              <w:spacing w:line="360" w:lineRule="auto"/>
              <w:jc w:val="center"/>
              <w:rPr>
                <w:rFonts w:ascii="宋体" w:hAnsi="宋体" w:cs="Arial"/>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5"/>
              <w:spacing w:line="360" w:lineRule="auto"/>
              <w:jc w:val="center"/>
              <w:rPr>
                <w:rFonts w:ascii="宋体" w:hAnsi="宋体" w:cs="Arial"/>
                <w:color w:val="auto"/>
                <w:szCs w:val="21"/>
              </w:rPr>
            </w:pPr>
          </w:p>
        </w:tc>
        <w:tc>
          <w:tcPr>
            <w:tcW w:w="2258" w:type="dxa"/>
          </w:tcPr>
          <w:p>
            <w:pPr>
              <w:pStyle w:val="35"/>
              <w:spacing w:line="360" w:lineRule="auto"/>
              <w:jc w:val="center"/>
              <w:rPr>
                <w:rFonts w:ascii="宋体" w:hAnsi="宋体" w:cs="Arial"/>
                <w:color w:val="auto"/>
                <w:szCs w:val="21"/>
              </w:rPr>
            </w:pPr>
          </w:p>
        </w:tc>
        <w:tc>
          <w:tcPr>
            <w:tcW w:w="2260" w:type="dxa"/>
          </w:tcPr>
          <w:p>
            <w:pPr>
              <w:pStyle w:val="35"/>
              <w:spacing w:line="360" w:lineRule="auto"/>
              <w:jc w:val="center"/>
              <w:rPr>
                <w:rFonts w:ascii="宋体" w:hAnsi="宋体" w:cs="Arial"/>
                <w:color w:val="auto"/>
                <w:szCs w:val="21"/>
              </w:rPr>
            </w:pPr>
          </w:p>
        </w:tc>
        <w:tc>
          <w:tcPr>
            <w:tcW w:w="2047" w:type="dxa"/>
            <w:tcBorders>
              <w:right w:val="single" w:color="auto" w:sz="4" w:space="0"/>
            </w:tcBorders>
          </w:tcPr>
          <w:p>
            <w:pPr>
              <w:pStyle w:val="35"/>
              <w:spacing w:line="360" w:lineRule="auto"/>
              <w:jc w:val="center"/>
              <w:rPr>
                <w:rFonts w:ascii="宋体" w:hAnsi="宋体" w:cs="Arial"/>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5"/>
              <w:spacing w:line="360" w:lineRule="auto"/>
              <w:jc w:val="center"/>
              <w:rPr>
                <w:rFonts w:ascii="宋体" w:hAnsi="宋体" w:cs="Arial"/>
                <w:color w:val="auto"/>
                <w:szCs w:val="21"/>
              </w:rPr>
            </w:pPr>
          </w:p>
        </w:tc>
        <w:tc>
          <w:tcPr>
            <w:tcW w:w="2258" w:type="dxa"/>
          </w:tcPr>
          <w:p>
            <w:pPr>
              <w:pStyle w:val="35"/>
              <w:spacing w:line="360" w:lineRule="auto"/>
              <w:jc w:val="center"/>
              <w:rPr>
                <w:rFonts w:ascii="宋体" w:hAnsi="宋体" w:cs="Arial"/>
                <w:color w:val="auto"/>
                <w:szCs w:val="21"/>
              </w:rPr>
            </w:pPr>
          </w:p>
        </w:tc>
        <w:tc>
          <w:tcPr>
            <w:tcW w:w="2260" w:type="dxa"/>
          </w:tcPr>
          <w:p>
            <w:pPr>
              <w:pStyle w:val="35"/>
              <w:spacing w:line="360" w:lineRule="auto"/>
              <w:jc w:val="center"/>
              <w:rPr>
                <w:rFonts w:ascii="宋体" w:hAnsi="宋体" w:cs="Arial"/>
                <w:color w:val="auto"/>
                <w:szCs w:val="21"/>
              </w:rPr>
            </w:pPr>
          </w:p>
        </w:tc>
        <w:tc>
          <w:tcPr>
            <w:tcW w:w="2047" w:type="dxa"/>
            <w:tcBorders>
              <w:right w:val="single" w:color="auto" w:sz="4" w:space="0"/>
            </w:tcBorders>
          </w:tcPr>
          <w:p>
            <w:pPr>
              <w:pStyle w:val="35"/>
              <w:spacing w:line="360" w:lineRule="auto"/>
              <w:jc w:val="center"/>
              <w:rPr>
                <w:rFonts w:ascii="宋体" w:hAnsi="宋体" w:cs="Arial"/>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5"/>
              <w:spacing w:line="360" w:lineRule="auto"/>
              <w:jc w:val="center"/>
              <w:rPr>
                <w:rFonts w:ascii="宋体" w:hAnsi="宋体" w:cs="Arial"/>
                <w:color w:val="auto"/>
                <w:szCs w:val="21"/>
              </w:rPr>
            </w:pPr>
          </w:p>
        </w:tc>
        <w:tc>
          <w:tcPr>
            <w:tcW w:w="2258" w:type="dxa"/>
          </w:tcPr>
          <w:p>
            <w:pPr>
              <w:pStyle w:val="35"/>
              <w:spacing w:line="360" w:lineRule="auto"/>
              <w:jc w:val="center"/>
              <w:rPr>
                <w:rFonts w:ascii="宋体" w:hAnsi="宋体" w:cs="Arial"/>
                <w:color w:val="auto"/>
                <w:szCs w:val="21"/>
              </w:rPr>
            </w:pPr>
          </w:p>
        </w:tc>
        <w:tc>
          <w:tcPr>
            <w:tcW w:w="2260" w:type="dxa"/>
          </w:tcPr>
          <w:p>
            <w:pPr>
              <w:pStyle w:val="35"/>
              <w:spacing w:line="360" w:lineRule="auto"/>
              <w:jc w:val="center"/>
              <w:rPr>
                <w:rFonts w:ascii="宋体" w:hAnsi="宋体" w:cs="Arial"/>
                <w:color w:val="auto"/>
                <w:szCs w:val="21"/>
              </w:rPr>
            </w:pPr>
          </w:p>
        </w:tc>
        <w:tc>
          <w:tcPr>
            <w:tcW w:w="2047" w:type="dxa"/>
            <w:tcBorders>
              <w:right w:val="single" w:color="auto" w:sz="4" w:space="0"/>
            </w:tcBorders>
          </w:tcPr>
          <w:p>
            <w:pPr>
              <w:pStyle w:val="35"/>
              <w:spacing w:line="360" w:lineRule="auto"/>
              <w:jc w:val="center"/>
              <w:rPr>
                <w:rFonts w:ascii="宋体" w:hAnsi="宋体" w:cs="Arial"/>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5"/>
              <w:spacing w:line="360" w:lineRule="auto"/>
              <w:jc w:val="center"/>
              <w:rPr>
                <w:rFonts w:ascii="宋体" w:hAnsi="宋体" w:cs="Arial"/>
                <w:color w:val="auto"/>
                <w:szCs w:val="21"/>
              </w:rPr>
            </w:pPr>
          </w:p>
        </w:tc>
        <w:tc>
          <w:tcPr>
            <w:tcW w:w="2258" w:type="dxa"/>
          </w:tcPr>
          <w:p>
            <w:pPr>
              <w:pStyle w:val="35"/>
              <w:spacing w:line="360" w:lineRule="auto"/>
              <w:jc w:val="center"/>
              <w:rPr>
                <w:rFonts w:ascii="宋体" w:hAnsi="宋体" w:cs="Arial"/>
                <w:color w:val="auto"/>
                <w:szCs w:val="21"/>
              </w:rPr>
            </w:pPr>
          </w:p>
        </w:tc>
        <w:tc>
          <w:tcPr>
            <w:tcW w:w="2260" w:type="dxa"/>
          </w:tcPr>
          <w:p>
            <w:pPr>
              <w:pStyle w:val="35"/>
              <w:spacing w:line="360" w:lineRule="auto"/>
              <w:jc w:val="center"/>
              <w:rPr>
                <w:rFonts w:ascii="宋体" w:hAnsi="宋体" w:cs="Arial"/>
                <w:color w:val="auto"/>
                <w:szCs w:val="21"/>
              </w:rPr>
            </w:pPr>
          </w:p>
        </w:tc>
        <w:tc>
          <w:tcPr>
            <w:tcW w:w="2047" w:type="dxa"/>
            <w:tcBorders>
              <w:right w:val="single" w:color="auto" w:sz="4" w:space="0"/>
            </w:tcBorders>
          </w:tcPr>
          <w:p>
            <w:pPr>
              <w:pStyle w:val="35"/>
              <w:spacing w:line="360" w:lineRule="auto"/>
              <w:jc w:val="center"/>
              <w:rPr>
                <w:rFonts w:ascii="宋体" w:hAnsi="宋体" w:cs="Arial"/>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5"/>
              <w:spacing w:line="360" w:lineRule="auto"/>
              <w:jc w:val="center"/>
              <w:rPr>
                <w:rFonts w:ascii="宋体" w:hAnsi="宋体" w:cs="Arial"/>
                <w:color w:val="auto"/>
                <w:szCs w:val="21"/>
              </w:rPr>
            </w:pPr>
          </w:p>
        </w:tc>
        <w:tc>
          <w:tcPr>
            <w:tcW w:w="2258" w:type="dxa"/>
          </w:tcPr>
          <w:p>
            <w:pPr>
              <w:pStyle w:val="35"/>
              <w:spacing w:line="360" w:lineRule="auto"/>
              <w:jc w:val="center"/>
              <w:rPr>
                <w:rFonts w:ascii="宋体" w:hAnsi="宋体" w:cs="Arial"/>
                <w:color w:val="auto"/>
                <w:szCs w:val="21"/>
              </w:rPr>
            </w:pPr>
          </w:p>
        </w:tc>
        <w:tc>
          <w:tcPr>
            <w:tcW w:w="2260" w:type="dxa"/>
          </w:tcPr>
          <w:p>
            <w:pPr>
              <w:pStyle w:val="35"/>
              <w:spacing w:line="360" w:lineRule="auto"/>
              <w:jc w:val="center"/>
              <w:rPr>
                <w:rFonts w:ascii="宋体" w:hAnsi="宋体" w:cs="Arial"/>
                <w:color w:val="auto"/>
                <w:szCs w:val="21"/>
              </w:rPr>
            </w:pPr>
          </w:p>
        </w:tc>
        <w:tc>
          <w:tcPr>
            <w:tcW w:w="2047" w:type="dxa"/>
            <w:tcBorders>
              <w:right w:val="single" w:color="auto" w:sz="4" w:space="0"/>
            </w:tcBorders>
          </w:tcPr>
          <w:p>
            <w:pPr>
              <w:pStyle w:val="35"/>
              <w:spacing w:line="360" w:lineRule="auto"/>
              <w:jc w:val="center"/>
              <w:rPr>
                <w:rFonts w:ascii="宋体" w:hAnsi="宋体" w:cs="Arial"/>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5"/>
              <w:spacing w:line="360" w:lineRule="auto"/>
              <w:jc w:val="center"/>
              <w:rPr>
                <w:rFonts w:ascii="宋体" w:hAnsi="宋体" w:cs="Arial"/>
                <w:color w:val="auto"/>
                <w:szCs w:val="21"/>
              </w:rPr>
            </w:pPr>
          </w:p>
        </w:tc>
        <w:tc>
          <w:tcPr>
            <w:tcW w:w="2258" w:type="dxa"/>
            <w:tcBorders>
              <w:bottom w:val="single" w:color="auto" w:sz="4" w:space="0"/>
            </w:tcBorders>
          </w:tcPr>
          <w:p>
            <w:pPr>
              <w:pStyle w:val="35"/>
              <w:spacing w:line="360" w:lineRule="auto"/>
              <w:jc w:val="center"/>
              <w:rPr>
                <w:rFonts w:ascii="宋体" w:hAnsi="宋体" w:cs="Arial"/>
                <w:color w:val="auto"/>
                <w:szCs w:val="21"/>
              </w:rPr>
            </w:pPr>
          </w:p>
        </w:tc>
        <w:tc>
          <w:tcPr>
            <w:tcW w:w="2260" w:type="dxa"/>
            <w:tcBorders>
              <w:bottom w:val="single" w:color="auto" w:sz="4" w:space="0"/>
            </w:tcBorders>
          </w:tcPr>
          <w:p>
            <w:pPr>
              <w:pStyle w:val="35"/>
              <w:spacing w:line="360" w:lineRule="auto"/>
              <w:jc w:val="center"/>
              <w:rPr>
                <w:rFonts w:ascii="宋体" w:hAnsi="宋体" w:cs="Arial"/>
                <w:color w:val="auto"/>
                <w:szCs w:val="21"/>
              </w:rPr>
            </w:pPr>
          </w:p>
        </w:tc>
        <w:tc>
          <w:tcPr>
            <w:tcW w:w="2047" w:type="dxa"/>
            <w:tcBorders>
              <w:bottom w:val="single" w:color="auto" w:sz="4" w:space="0"/>
              <w:right w:val="single" w:color="auto" w:sz="4" w:space="0"/>
            </w:tcBorders>
          </w:tcPr>
          <w:p>
            <w:pPr>
              <w:pStyle w:val="35"/>
              <w:spacing w:line="360" w:lineRule="auto"/>
              <w:jc w:val="center"/>
              <w:rPr>
                <w:rFonts w:ascii="宋体" w:hAnsi="宋体" w:cs="Arial"/>
                <w:color w:val="auto"/>
                <w:szCs w:val="21"/>
              </w:rPr>
            </w:pPr>
          </w:p>
        </w:tc>
      </w:tr>
    </w:tbl>
    <w:p>
      <w:pPr>
        <w:pStyle w:val="35"/>
        <w:tabs>
          <w:tab w:val="left" w:pos="1050"/>
        </w:tabs>
        <w:spacing w:line="360" w:lineRule="auto"/>
        <w:rPr>
          <w:rFonts w:ascii="仿宋_GB2312" w:hAnsi="宋体" w:eastAsia="仿宋_GB2312"/>
          <w:color w:val="auto"/>
          <w:sz w:val="24"/>
        </w:rPr>
      </w:pPr>
    </w:p>
    <w:p>
      <w:pPr>
        <w:pStyle w:val="35"/>
        <w:tabs>
          <w:tab w:val="left" w:pos="1050"/>
        </w:tabs>
        <w:spacing w:line="360" w:lineRule="auto"/>
        <w:rPr>
          <w:rFonts w:ascii="宋体" w:hAnsi="宋体"/>
          <w:color w:val="auto"/>
          <w:szCs w:val="21"/>
        </w:rPr>
      </w:pPr>
      <w:r>
        <w:rPr>
          <w:rFonts w:hint="eastAsia" w:ascii="宋体" w:hAnsi="宋体"/>
          <w:b/>
          <w:color w:val="auto"/>
          <w:szCs w:val="21"/>
        </w:rPr>
        <w:t>要求：</w:t>
      </w:r>
    </w:p>
    <w:p>
      <w:pPr>
        <w:pStyle w:val="35"/>
        <w:tabs>
          <w:tab w:val="left" w:pos="1050"/>
        </w:tabs>
        <w:spacing w:line="360" w:lineRule="auto"/>
        <w:ind w:firstLine="424" w:firstLineChars="202"/>
        <w:rPr>
          <w:rFonts w:ascii="宋体" w:hAnsi="宋体"/>
          <w:color w:val="auto"/>
          <w:szCs w:val="21"/>
        </w:rPr>
      </w:pPr>
      <w:r>
        <w:rPr>
          <w:rFonts w:hint="eastAsia" w:ascii="宋体" w:hAnsi="宋体"/>
          <w:color w:val="auto"/>
          <w:szCs w:val="21"/>
        </w:rPr>
        <w:t>1.填写投标人获得资质、认证或企业信誉证书；</w:t>
      </w:r>
    </w:p>
    <w:p>
      <w:pPr>
        <w:pStyle w:val="35"/>
        <w:tabs>
          <w:tab w:val="left" w:pos="1050"/>
        </w:tabs>
        <w:spacing w:line="360" w:lineRule="auto"/>
        <w:ind w:firstLine="424" w:firstLineChars="202"/>
        <w:rPr>
          <w:rFonts w:ascii="宋体" w:hAnsi="宋体"/>
          <w:color w:val="auto"/>
          <w:szCs w:val="21"/>
        </w:rPr>
      </w:pPr>
      <w:r>
        <w:rPr>
          <w:rFonts w:hint="eastAsia" w:ascii="宋体" w:hAnsi="宋体"/>
          <w:color w:val="auto"/>
          <w:szCs w:val="21"/>
        </w:rPr>
        <w:t>2.附所列证书复印件或其他证明材料。</w:t>
      </w:r>
    </w:p>
    <w:p>
      <w:pPr>
        <w:pStyle w:val="35"/>
        <w:tabs>
          <w:tab w:val="left" w:pos="1050"/>
        </w:tabs>
        <w:spacing w:line="360" w:lineRule="auto"/>
        <w:ind w:firstLine="720" w:firstLineChars="300"/>
        <w:rPr>
          <w:rFonts w:ascii="仿宋_GB2312" w:hAnsi="宋体" w:eastAsia="仿宋_GB2312"/>
          <w:color w:val="auto"/>
          <w:sz w:val="24"/>
        </w:rPr>
      </w:pPr>
    </w:p>
    <w:p>
      <w:pPr>
        <w:pStyle w:val="35"/>
        <w:tabs>
          <w:tab w:val="left" w:pos="1050"/>
        </w:tabs>
        <w:spacing w:line="360" w:lineRule="auto"/>
        <w:ind w:firstLine="720" w:firstLineChars="300"/>
        <w:rPr>
          <w:rFonts w:ascii="仿宋_GB2312" w:hAnsi="宋体" w:eastAsia="仿宋_GB2312"/>
          <w:color w:val="auto"/>
          <w:sz w:val="24"/>
        </w:rPr>
      </w:pPr>
    </w:p>
    <w:p>
      <w:pPr>
        <w:pStyle w:val="35"/>
        <w:tabs>
          <w:tab w:val="left" w:pos="1050"/>
        </w:tabs>
        <w:spacing w:line="360" w:lineRule="auto"/>
        <w:ind w:firstLine="720" w:firstLineChars="300"/>
        <w:rPr>
          <w:rFonts w:ascii="仿宋_GB2312" w:hAnsi="宋体" w:eastAsia="仿宋_GB2312"/>
          <w:color w:val="auto"/>
          <w:sz w:val="24"/>
        </w:rPr>
      </w:pPr>
    </w:p>
    <w:p>
      <w:pPr>
        <w:spacing w:line="360" w:lineRule="auto"/>
        <w:ind w:firstLine="424" w:firstLineChars="177"/>
        <w:rPr>
          <w:rFonts w:ascii="宋体" w:hAnsi="宋体"/>
          <w:color w:val="auto"/>
          <w:sz w:val="24"/>
          <w:u w:val="single"/>
        </w:rPr>
      </w:pPr>
      <w:r>
        <w:rPr>
          <w:rFonts w:hint="eastAsia" w:ascii="宋体" w:hAnsi="宋体"/>
          <w:color w:val="auto"/>
          <w:sz w:val="24"/>
        </w:rPr>
        <w:t>投标人名称（电子印章）：</w:t>
      </w:r>
    </w:p>
    <w:p>
      <w:pPr>
        <w:spacing w:line="360" w:lineRule="auto"/>
        <w:ind w:left="420"/>
        <w:rPr>
          <w:rFonts w:ascii="宋体" w:hAnsi="宋体"/>
          <w:color w:val="auto"/>
          <w:sz w:val="24"/>
        </w:rPr>
      </w:pPr>
    </w:p>
    <w:p>
      <w:pPr>
        <w:spacing w:line="360" w:lineRule="auto"/>
        <w:ind w:firstLine="424" w:firstLineChars="177"/>
        <w:rPr>
          <w:rFonts w:ascii="宋体" w:hAnsi="宋体"/>
          <w:color w:val="auto"/>
          <w:sz w:val="24"/>
        </w:rPr>
      </w:pPr>
      <w:r>
        <w:rPr>
          <w:rFonts w:hint="eastAsia" w:ascii="宋体" w:hAnsi="宋体"/>
          <w:color w:val="auto"/>
          <w:sz w:val="24"/>
        </w:rPr>
        <w:t>投标人代表签字或电子印章：</w:t>
      </w:r>
    </w:p>
    <w:p>
      <w:pPr>
        <w:spacing w:line="360" w:lineRule="auto"/>
        <w:ind w:firstLine="435"/>
        <w:rPr>
          <w:rFonts w:ascii="宋体" w:hAnsi="宋体"/>
          <w:color w:val="auto"/>
          <w:sz w:val="24"/>
        </w:rPr>
      </w:pPr>
    </w:p>
    <w:p>
      <w:pPr>
        <w:spacing w:line="360" w:lineRule="auto"/>
        <w:ind w:firstLine="424" w:firstLineChars="177"/>
        <w:rPr>
          <w:rFonts w:ascii="宋体" w:hAnsi="宋体"/>
          <w:color w:val="auto"/>
          <w:sz w:val="24"/>
          <w:u w:val="single"/>
        </w:rPr>
      </w:pPr>
      <w:r>
        <w:rPr>
          <w:rFonts w:hint="eastAsia" w:ascii="宋体" w:hAnsi="宋体"/>
          <w:color w:val="auto"/>
          <w:sz w:val="24"/>
        </w:rPr>
        <w:t>职        务：</w:t>
      </w:r>
    </w:p>
    <w:p>
      <w:pPr>
        <w:spacing w:line="360" w:lineRule="auto"/>
        <w:rPr>
          <w:rFonts w:ascii="宋体" w:hAnsi="宋体"/>
          <w:color w:val="auto"/>
          <w:sz w:val="24"/>
        </w:rPr>
      </w:pPr>
    </w:p>
    <w:p>
      <w:pPr>
        <w:pStyle w:val="31"/>
        <w:shd w:val="clear" w:color="auto" w:fill="FFFFFF"/>
        <w:spacing w:before="0" w:beforeAutospacing="0" w:after="0" w:afterAutospacing="0" w:line="360" w:lineRule="auto"/>
        <w:ind w:firstLine="424" w:firstLineChars="177"/>
        <w:rPr>
          <w:b/>
          <w:bCs/>
          <w:color w:val="auto"/>
        </w:rPr>
      </w:pPr>
      <w:r>
        <w:rPr>
          <w:rFonts w:hint="eastAsia"/>
          <w:color w:val="auto"/>
        </w:rPr>
        <w:t>日        期：：</w:t>
      </w:r>
    </w:p>
    <w:p>
      <w:pPr>
        <w:spacing w:line="360" w:lineRule="auto"/>
        <w:rPr>
          <w:rFonts w:ascii="宋体" w:hAnsi="宋体"/>
          <w:b/>
          <w:color w:val="auto"/>
          <w:sz w:val="28"/>
        </w:rPr>
      </w:pPr>
    </w:p>
    <w:p>
      <w:pPr>
        <w:spacing w:line="360" w:lineRule="auto"/>
        <w:rPr>
          <w:rFonts w:ascii="宋体" w:hAnsi="宋体"/>
          <w:b/>
          <w:color w:val="auto"/>
          <w:sz w:val="28"/>
        </w:rPr>
      </w:pPr>
    </w:p>
    <w:p>
      <w:pPr>
        <w:pStyle w:val="14"/>
        <w:rPr>
          <w:rFonts w:ascii="宋体" w:hAnsi="宋体"/>
          <w:b/>
          <w:color w:val="auto"/>
          <w:sz w:val="28"/>
        </w:rPr>
      </w:pPr>
    </w:p>
    <w:p>
      <w:pPr>
        <w:spacing w:line="360" w:lineRule="auto"/>
        <w:rPr>
          <w:rFonts w:ascii="宋体" w:hAnsi="宋体"/>
          <w:b/>
          <w:color w:val="auto"/>
          <w:sz w:val="28"/>
        </w:rPr>
      </w:pPr>
      <w:r>
        <w:rPr>
          <w:rFonts w:hint="eastAsia" w:ascii="宋体" w:hAnsi="宋体"/>
          <w:b/>
          <w:color w:val="auto"/>
          <w:sz w:val="28"/>
        </w:rPr>
        <w:t>附件11</w:t>
      </w:r>
    </w:p>
    <w:p>
      <w:pPr>
        <w:pStyle w:val="34"/>
        <w:spacing w:line="360" w:lineRule="auto"/>
        <w:jc w:val="center"/>
        <w:rPr>
          <w:rFonts w:ascii="宋体" w:hAnsi="宋体"/>
          <w:b/>
          <w:color w:val="auto"/>
          <w:sz w:val="32"/>
          <w:szCs w:val="32"/>
        </w:rPr>
      </w:pPr>
      <w:bookmarkStart w:id="75" w:name="_Toc7134_WPSOffice_Level1"/>
      <w:bookmarkStart w:id="76" w:name="_Toc19231_WPSOffice_Level1"/>
      <w:r>
        <w:rPr>
          <w:rFonts w:hint="eastAsia" w:ascii="宋体" w:hAnsi="宋体"/>
          <w:b/>
          <w:color w:val="auto"/>
          <w:sz w:val="32"/>
          <w:szCs w:val="32"/>
        </w:rPr>
        <w:t>投标人类似项目实施情况一览表</w:t>
      </w:r>
      <w:bookmarkEnd w:id="75"/>
      <w:bookmarkEnd w:id="76"/>
    </w:p>
    <w:p>
      <w:pPr>
        <w:pStyle w:val="34"/>
        <w:spacing w:line="360" w:lineRule="auto"/>
        <w:jc w:val="center"/>
        <w:rPr>
          <w:rFonts w:ascii="仿宋_GB2312" w:eastAsia="仿宋_GB2312"/>
          <w:b/>
          <w:color w:val="auto"/>
          <w:sz w:val="28"/>
          <w:szCs w:val="28"/>
        </w:rPr>
      </w:pPr>
    </w:p>
    <w:tbl>
      <w:tblPr>
        <w:tblStyle w:val="25"/>
        <w:tblW w:w="95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4"/>
              <w:jc w:val="center"/>
              <w:rPr>
                <w:rFonts w:ascii="宋体" w:hAnsi="宋体" w:cs="Arial"/>
                <w:b/>
                <w:bCs/>
                <w:color w:val="auto"/>
                <w:sz w:val="24"/>
              </w:rPr>
            </w:pPr>
            <w:r>
              <w:rPr>
                <w:rFonts w:hint="eastAsia" w:ascii="宋体" w:hAnsi="宋体" w:cs="Arial"/>
                <w:b/>
                <w:bCs/>
                <w:color w:val="auto"/>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4"/>
              <w:jc w:val="center"/>
              <w:rPr>
                <w:rFonts w:ascii="宋体" w:hAnsi="宋体" w:cs="Arial"/>
                <w:b/>
                <w:bCs/>
                <w:color w:val="auto"/>
                <w:sz w:val="24"/>
              </w:rPr>
            </w:pPr>
            <w:r>
              <w:rPr>
                <w:rFonts w:hint="eastAsia" w:ascii="宋体" w:hAnsi="宋体" w:cs="Arial"/>
                <w:b/>
                <w:bCs/>
                <w:color w:val="auto"/>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4"/>
              <w:jc w:val="center"/>
              <w:rPr>
                <w:rFonts w:ascii="宋体" w:hAnsi="宋体" w:cs="Arial"/>
                <w:b/>
                <w:bCs/>
                <w:color w:val="auto"/>
                <w:sz w:val="24"/>
              </w:rPr>
            </w:pPr>
            <w:r>
              <w:rPr>
                <w:rFonts w:hint="eastAsia" w:ascii="宋体" w:hAnsi="宋体" w:cs="Arial"/>
                <w:b/>
                <w:bCs/>
                <w:color w:val="auto"/>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4"/>
              <w:jc w:val="center"/>
              <w:rPr>
                <w:rFonts w:ascii="宋体" w:hAnsi="宋体" w:cs="Arial"/>
                <w:b/>
                <w:bCs/>
                <w:color w:val="auto"/>
                <w:sz w:val="24"/>
              </w:rPr>
            </w:pPr>
            <w:r>
              <w:rPr>
                <w:rFonts w:hint="eastAsia" w:ascii="宋体" w:hAnsi="宋体" w:cs="Arial"/>
                <w:b/>
                <w:bCs/>
                <w:color w:val="auto"/>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4"/>
              <w:jc w:val="center"/>
              <w:rPr>
                <w:rFonts w:ascii="宋体" w:hAnsi="宋体" w:cs="Arial"/>
                <w:b/>
                <w:bCs/>
                <w:color w:val="auto"/>
                <w:sz w:val="24"/>
              </w:rPr>
            </w:pPr>
            <w:r>
              <w:rPr>
                <w:rFonts w:hint="eastAsia" w:ascii="宋体" w:hAnsi="宋体" w:cs="Arial"/>
                <w:b/>
                <w:bCs/>
                <w:color w:val="auto"/>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4"/>
              <w:jc w:val="center"/>
              <w:rPr>
                <w:rFonts w:ascii="宋体" w:hAnsi="宋体" w:cs="Arial"/>
                <w:b/>
                <w:bCs/>
                <w:color w:val="auto"/>
                <w:sz w:val="24"/>
              </w:rPr>
            </w:pPr>
            <w:r>
              <w:rPr>
                <w:rFonts w:hint="eastAsia" w:ascii="宋体" w:hAnsi="宋体" w:cs="Arial"/>
                <w:b/>
                <w:bCs/>
                <w:color w:val="auto"/>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4"/>
              <w:jc w:val="center"/>
              <w:rPr>
                <w:rFonts w:ascii="宋体" w:hAnsi="宋体" w:cs="Arial"/>
                <w:b/>
                <w:bCs/>
                <w:color w:val="auto"/>
                <w:sz w:val="24"/>
              </w:rPr>
            </w:pPr>
            <w:r>
              <w:rPr>
                <w:rFonts w:hint="eastAsia" w:ascii="宋体" w:hAnsi="宋体" w:cs="Arial"/>
                <w:b/>
                <w:bCs/>
                <w:color w:val="auto"/>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4"/>
              <w:spacing w:line="360" w:lineRule="auto"/>
              <w:jc w:val="center"/>
              <w:rPr>
                <w:rFonts w:ascii="宋体" w:hAnsi="宋体" w:cs="Arial"/>
                <w:color w:val="auto"/>
                <w:sz w:val="24"/>
              </w:rPr>
            </w:pPr>
            <w:r>
              <w:rPr>
                <w:rFonts w:hint="eastAsia" w:ascii="宋体" w:hAnsi="宋体" w:cs="Arial"/>
                <w:color w:val="auto"/>
                <w:sz w:val="24"/>
              </w:rPr>
              <w:t>1</w:t>
            </w:r>
          </w:p>
        </w:tc>
        <w:tc>
          <w:tcPr>
            <w:tcW w:w="129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4"/>
              <w:spacing w:line="360" w:lineRule="auto"/>
              <w:jc w:val="center"/>
              <w:rPr>
                <w:rFonts w:ascii="宋体" w:hAnsi="宋体" w:cs="Arial"/>
                <w:color w:val="auto"/>
                <w:sz w:val="24"/>
              </w:rPr>
            </w:pPr>
            <w:r>
              <w:rPr>
                <w:rFonts w:hint="eastAsia" w:ascii="宋体" w:hAnsi="宋体" w:cs="Arial"/>
                <w:color w:val="auto"/>
                <w:sz w:val="24"/>
              </w:rPr>
              <w:t>2</w:t>
            </w:r>
          </w:p>
        </w:tc>
        <w:tc>
          <w:tcPr>
            <w:tcW w:w="129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4"/>
              <w:spacing w:line="360" w:lineRule="auto"/>
              <w:jc w:val="center"/>
              <w:rPr>
                <w:rFonts w:ascii="宋体" w:hAnsi="宋体" w:cs="Arial"/>
                <w:color w:val="auto"/>
                <w:sz w:val="24"/>
              </w:rPr>
            </w:pPr>
            <w:r>
              <w:rPr>
                <w:rFonts w:hint="eastAsia" w:ascii="宋体" w:hAnsi="宋体" w:cs="Arial"/>
                <w:color w:val="auto"/>
                <w:sz w:val="24"/>
              </w:rPr>
              <w:t>3</w:t>
            </w:r>
          </w:p>
        </w:tc>
        <w:tc>
          <w:tcPr>
            <w:tcW w:w="129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r>
              <w:rPr>
                <w:rFonts w:hint="eastAsia" w:ascii="宋体" w:hAnsi="宋体" w:cs="Arial"/>
                <w:color w:val="auto"/>
                <w:sz w:val="24"/>
              </w:rPr>
              <w:t>…</w:t>
            </w:r>
          </w:p>
        </w:tc>
        <w:tc>
          <w:tcPr>
            <w:tcW w:w="129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29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29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29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color w:val="auto"/>
                <w:sz w:val="24"/>
              </w:rPr>
            </w:pPr>
          </w:p>
        </w:tc>
      </w:tr>
    </w:tbl>
    <w:p>
      <w:pPr>
        <w:autoSpaceDE w:val="0"/>
        <w:autoSpaceDN w:val="0"/>
        <w:adjustRightInd w:val="0"/>
        <w:spacing w:before="156" w:beforeLines="50" w:line="360" w:lineRule="auto"/>
        <w:rPr>
          <w:rFonts w:ascii="宋体" w:hAnsi="宋体" w:cs="Arial"/>
          <w:b/>
          <w:color w:val="auto"/>
          <w:szCs w:val="21"/>
        </w:rPr>
      </w:pPr>
      <w:r>
        <w:rPr>
          <w:rFonts w:hint="eastAsia" w:ascii="宋体" w:hAnsi="宋体" w:cs="Arial"/>
          <w:b/>
          <w:color w:val="auto"/>
          <w:szCs w:val="21"/>
        </w:rPr>
        <w:t>要求</w:t>
      </w:r>
      <w:r>
        <w:rPr>
          <w:rFonts w:ascii="宋体" w:hAnsi="宋体" w:cs="Arial"/>
          <w:b/>
          <w:color w:val="auto"/>
          <w:szCs w:val="21"/>
        </w:rPr>
        <w:t>：</w:t>
      </w:r>
    </w:p>
    <w:p>
      <w:pPr>
        <w:autoSpaceDE w:val="0"/>
        <w:autoSpaceDN w:val="0"/>
        <w:adjustRightInd w:val="0"/>
        <w:spacing w:before="156" w:beforeLines="50" w:line="360" w:lineRule="auto"/>
        <w:ind w:firstLine="424" w:firstLineChars="202"/>
        <w:rPr>
          <w:rFonts w:ascii="宋体" w:hAnsi="宋体" w:cs="Arial"/>
          <w:b/>
          <w:color w:val="auto"/>
          <w:szCs w:val="21"/>
        </w:rPr>
      </w:pPr>
      <w:r>
        <w:rPr>
          <w:rFonts w:ascii="宋体" w:hAnsi="宋体" w:cs="Arial"/>
          <w:color w:val="auto"/>
          <w:szCs w:val="21"/>
        </w:rPr>
        <w:t>1</w:t>
      </w:r>
      <w:r>
        <w:rPr>
          <w:rFonts w:hint="eastAsia" w:ascii="宋体" w:hAnsi="宋体" w:cs="Arial"/>
          <w:color w:val="auto"/>
          <w:szCs w:val="21"/>
        </w:rPr>
        <w:t>.</w:t>
      </w:r>
      <w:r>
        <w:rPr>
          <w:rFonts w:ascii="宋体" w:hAnsi="宋体" w:cs="Arial"/>
          <w:color w:val="auto"/>
          <w:szCs w:val="21"/>
        </w:rPr>
        <w:t>业绩证明应提供证明材料（合同</w:t>
      </w:r>
      <w:r>
        <w:rPr>
          <w:rFonts w:hint="eastAsia" w:ascii="宋体" w:hAnsi="宋体" w:cs="Arial"/>
          <w:color w:val="auto"/>
          <w:szCs w:val="21"/>
        </w:rPr>
        <w:t>复印件可只提供首页、含金额页、盖章页并加盖投标人电子印章</w:t>
      </w:r>
      <w:r>
        <w:rPr>
          <w:rFonts w:ascii="宋体" w:hAnsi="宋体" w:cs="Arial"/>
          <w:color w:val="auto"/>
          <w:szCs w:val="21"/>
        </w:rPr>
        <w:t>）；</w:t>
      </w:r>
    </w:p>
    <w:p>
      <w:pPr>
        <w:spacing w:line="360" w:lineRule="auto"/>
        <w:ind w:firstLine="424" w:firstLineChars="202"/>
        <w:jc w:val="left"/>
        <w:rPr>
          <w:rFonts w:ascii="宋体" w:hAnsi="宋体" w:cs="Arial"/>
          <w:color w:val="auto"/>
          <w:szCs w:val="21"/>
        </w:rPr>
      </w:pPr>
      <w:r>
        <w:rPr>
          <w:rFonts w:ascii="宋体" w:hAnsi="宋体" w:cs="Arial"/>
          <w:color w:val="auto"/>
          <w:szCs w:val="21"/>
        </w:rPr>
        <w:t>2</w:t>
      </w:r>
      <w:r>
        <w:rPr>
          <w:rFonts w:hint="eastAsia" w:ascii="宋体" w:hAnsi="宋体" w:cs="Arial"/>
          <w:color w:val="auto"/>
          <w:szCs w:val="21"/>
        </w:rPr>
        <w:t>.投标人</w:t>
      </w:r>
      <w:r>
        <w:rPr>
          <w:rFonts w:ascii="宋体" w:hAnsi="宋体" w:cs="Arial"/>
          <w:color w:val="auto"/>
          <w:szCs w:val="21"/>
        </w:rPr>
        <w:t>可按此表格式复制</w:t>
      </w:r>
      <w:r>
        <w:rPr>
          <w:rFonts w:hint="eastAsia" w:ascii="宋体" w:hAnsi="宋体" w:cs="Arial"/>
          <w:color w:val="auto"/>
          <w:szCs w:val="21"/>
        </w:rPr>
        <w:t>。</w:t>
      </w:r>
    </w:p>
    <w:p>
      <w:pPr>
        <w:spacing w:line="360" w:lineRule="auto"/>
        <w:rPr>
          <w:rFonts w:ascii="宋体" w:hAnsi="宋体"/>
          <w:color w:val="auto"/>
          <w:sz w:val="22"/>
          <w:szCs w:val="22"/>
        </w:rPr>
      </w:pPr>
    </w:p>
    <w:p>
      <w:pPr>
        <w:spacing w:line="360" w:lineRule="auto"/>
        <w:rPr>
          <w:rFonts w:ascii="宋体" w:hAnsi="宋体"/>
          <w:color w:val="auto"/>
          <w:sz w:val="22"/>
          <w:szCs w:val="22"/>
        </w:rPr>
      </w:pPr>
    </w:p>
    <w:p>
      <w:pPr>
        <w:spacing w:line="360" w:lineRule="auto"/>
        <w:ind w:left="420"/>
        <w:rPr>
          <w:rFonts w:ascii="宋体" w:hAnsi="宋体"/>
          <w:color w:val="auto"/>
          <w:sz w:val="24"/>
          <w:u w:val="single"/>
        </w:rPr>
      </w:pPr>
      <w:r>
        <w:rPr>
          <w:rFonts w:hint="eastAsia" w:ascii="宋体" w:hAnsi="宋体"/>
          <w:color w:val="auto"/>
          <w:sz w:val="24"/>
        </w:rPr>
        <w:t>投标人名称（电子印章）：</w:t>
      </w:r>
    </w:p>
    <w:p>
      <w:pPr>
        <w:spacing w:line="360" w:lineRule="auto"/>
        <w:ind w:left="420"/>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投标人代表签字或电子印章：</w:t>
      </w:r>
    </w:p>
    <w:p>
      <w:pPr>
        <w:spacing w:line="360" w:lineRule="auto"/>
        <w:ind w:firstLine="435"/>
        <w:rPr>
          <w:rFonts w:ascii="宋体" w:hAnsi="宋体"/>
          <w:color w:val="auto"/>
          <w:sz w:val="24"/>
        </w:rPr>
      </w:pPr>
    </w:p>
    <w:p>
      <w:pPr>
        <w:spacing w:line="360" w:lineRule="auto"/>
        <w:ind w:firstLine="435"/>
        <w:rPr>
          <w:rFonts w:ascii="宋体" w:hAnsi="宋体"/>
          <w:color w:val="auto"/>
          <w:sz w:val="24"/>
          <w:u w:val="single"/>
        </w:rPr>
      </w:pPr>
      <w:r>
        <w:rPr>
          <w:rFonts w:hint="eastAsia" w:ascii="宋体" w:hAnsi="宋体"/>
          <w:color w:val="auto"/>
          <w:sz w:val="24"/>
        </w:rPr>
        <w:t>职        务：</w:t>
      </w:r>
    </w:p>
    <w:p>
      <w:pPr>
        <w:spacing w:line="360" w:lineRule="auto"/>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日        期：</w:t>
      </w:r>
    </w:p>
    <w:p>
      <w:pPr>
        <w:jc w:val="center"/>
        <w:rPr>
          <w:rFonts w:ascii="仿宋" w:hAnsi="仿宋" w:eastAsia="仿宋"/>
          <w:snapToGrid w:val="0"/>
          <w:color w:val="auto"/>
          <w:kern w:val="0"/>
          <w:sz w:val="24"/>
        </w:rPr>
      </w:pPr>
    </w:p>
    <w:p>
      <w:pPr>
        <w:pStyle w:val="35"/>
        <w:tabs>
          <w:tab w:val="left" w:pos="1050"/>
        </w:tabs>
        <w:spacing w:line="360" w:lineRule="auto"/>
        <w:rPr>
          <w:rFonts w:ascii="宋体" w:hAnsi="宋体"/>
          <w:b/>
          <w:color w:val="auto"/>
          <w:sz w:val="28"/>
        </w:rPr>
      </w:pPr>
    </w:p>
    <w:p>
      <w:pPr>
        <w:pStyle w:val="35"/>
        <w:tabs>
          <w:tab w:val="left" w:pos="1050"/>
        </w:tabs>
        <w:spacing w:line="360" w:lineRule="auto"/>
        <w:rPr>
          <w:rFonts w:ascii="宋体" w:hAnsi="宋体"/>
          <w:b/>
          <w:color w:val="auto"/>
          <w:sz w:val="28"/>
        </w:rPr>
      </w:pPr>
    </w:p>
    <w:p>
      <w:pPr>
        <w:pStyle w:val="35"/>
        <w:tabs>
          <w:tab w:val="left" w:pos="1050"/>
        </w:tabs>
        <w:spacing w:line="360" w:lineRule="auto"/>
        <w:rPr>
          <w:rFonts w:ascii="仿宋_GB2312" w:hAnsi="宋体"/>
          <w:color w:val="auto"/>
          <w:sz w:val="24"/>
        </w:rPr>
      </w:pPr>
      <w:r>
        <w:rPr>
          <w:rFonts w:hint="eastAsia" w:ascii="宋体" w:hAnsi="宋体"/>
          <w:b/>
          <w:color w:val="auto"/>
          <w:sz w:val="28"/>
        </w:rPr>
        <w:t>附件12</w:t>
      </w:r>
    </w:p>
    <w:p>
      <w:pPr>
        <w:spacing w:line="360" w:lineRule="auto"/>
        <w:ind w:left="549" w:hanging="549" w:hangingChars="171"/>
        <w:jc w:val="center"/>
        <w:rPr>
          <w:rFonts w:ascii="宋体" w:hAnsi="宋体"/>
          <w:b/>
          <w:color w:val="auto"/>
          <w:sz w:val="32"/>
          <w:szCs w:val="32"/>
        </w:rPr>
      </w:pPr>
      <w:bookmarkStart w:id="77" w:name="_Toc3068_WPSOffice_Level1"/>
      <w:bookmarkStart w:id="78" w:name="_Toc21582_WPSOffice_Level1"/>
      <w:r>
        <w:rPr>
          <w:rFonts w:hint="eastAsia" w:ascii="宋体" w:hAnsi="宋体"/>
          <w:b/>
          <w:color w:val="auto"/>
          <w:sz w:val="32"/>
          <w:szCs w:val="32"/>
        </w:rPr>
        <w:t>商务需求响应表</w:t>
      </w:r>
      <w:bookmarkEnd w:id="77"/>
      <w:bookmarkEnd w:id="78"/>
    </w:p>
    <w:p>
      <w:pPr>
        <w:spacing w:line="360" w:lineRule="auto"/>
        <w:ind w:left="481" w:leftChars="229" w:firstLine="813" w:firstLineChars="450"/>
        <w:rPr>
          <w:rFonts w:ascii="宋体" w:hAnsi="宋体"/>
          <w:b/>
          <w:color w:val="auto"/>
          <w:sz w:val="18"/>
          <w:szCs w:val="18"/>
        </w:rPr>
      </w:pPr>
    </w:p>
    <w:tbl>
      <w:tblPr>
        <w:tblStyle w:val="25"/>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rPr>
        <w:tc>
          <w:tcPr>
            <w:tcW w:w="735" w:type="dxa"/>
            <w:vAlign w:val="center"/>
          </w:tcPr>
          <w:p>
            <w:pPr>
              <w:rPr>
                <w:rFonts w:ascii="宋体" w:hAnsi="宋体"/>
                <w:b/>
                <w:color w:val="auto"/>
                <w:sz w:val="24"/>
              </w:rPr>
            </w:pPr>
            <w:r>
              <w:rPr>
                <w:rFonts w:hint="eastAsia" w:ascii="宋体" w:hAnsi="宋体"/>
                <w:b/>
                <w:color w:val="auto"/>
                <w:sz w:val="24"/>
              </w:rPr>
              <w:t>序号</w:t>
            </w:r>
          </w:p>
        </w:tc>
        <w:tc>
          <w:tcPr>
            <w:tcW w:w="1785" w:type="dxa"/>
            <w:vAlign w:val="center"/>
          </w:tcPr>
          <w:p>
            <w:pPr>
              <w:rPr>
                <w:rFonts w:ascii="宋体" w:hAnsi="宋体"/>
                <w:b/>
                <w:color w:val="auto"/>
                <w:sz w:val="24"/>
              </w:rPr>
            </w:pPr>
            <w:r>
              <w:rPr>
                <w:rFonts w:hint="eastAsia" w:ascii="宋体" w:hAnsi="宋体"/>
                <w:b/>
                <w:color w:val="auto"/>
                <w:sz w:val="24"/>
              </w:rPr>
              <w:t xml:space="preserve">   内容</w:t>
            </w:r>
          </w:p>
        </w:tc>
        <w:tc>
          <w:tcPr>
            <w:tcW w:w="1785" w:type="dxa"/>
            <w:vAlign w:val="center"/>
          </w:tcPr>
          <w:p>
            <w:pPr>
              <w:ind w:left="53" w:leftChars="25" w:firstLine="241" w:firstLineChars="100"/>
              <w:rPr>
                <w:rFonts w:ascii="宋体" w:hAnsi="宋体"/>
                <w:b/>
                <w:color w:val="auto"/>
                <w:sz w:val="24"/>
              </w:rPr>
            </w:pPr>
            <w:r>
              <w:rPr>
                <w:rFonts w:hint="eastAsia" w:ascii="宋体" w:hAnsi="宋体"/>
                <w:b/>
                <w:color w:val="auto"/>
                <w:sz w:val="24"/>
              </w:rPr>
              <w:t>招标需求</w:t>
            </w:r>
          </w:p>
        </w:tc>
        <w:tc>
          <w:tcPr>
            <w:tcW w:w="1365" w:type="dxa"/>
            <w:vAlign w:val="center"/>
          </w:tcPr>
          <w:p>
            <w:pPr>
              <w:ind w:left="152"/>
              <w:rPr>
                <w:rFonts w:ascii="宋体" w:hAnsi="宋体"/>
                <w:b/>
                <w:color w:val="auto"/>
                <w:sz w:val="24"/>
              </w:rPr>
            </w:pPr>
            <w:r>
              <w:rPr>
                <w:rFonts w:hint="eastAsia" w:ascii="宋体" w:hAnsi="宋体"/>
                <w:b/>
                <w:color w:val="auto"/>
                <w:sz w:val="24"/>
              </w:rPr>
              <w:t>是否响应</w:t>
            </w:r>
          </w:p>
        </w:tc>
        <w:tc>
          <w:tcPr>
            <w:tcW w:w="2625" w:type="dxa"/>
            <w:vAlign w:val="center"/>
          </w:tcPr>
          <w:p>
            <w:pPr>
              <w:jc w:val="center"/>
              <w:rPr>
                <w:rFonts w:ascii="宋体" w:hAnsi="宋体"/>
                <w:b/>
                <w:color w:val="auto"/>
                <w:sz w:val="24"/>
              </w:rPr>
            </w:pPr>
            <w:r>
              <w:rPr>
                <w:rFonts w:hint="eastAsia" w:ascii="宋体" w:hAnsi="宋体"/>
                <w:b/>
                <w:color w:val="auto"/>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rPr>
                <w:rFonts w:ascii="宋体" w:hAnsi="宋体"/>
                <w:color w:val="auto"/>
                <w:sz w:val="24"/>
              </w:rPr>
            </w:pPr>
          </w:p>
        </w:tc>
        <w:tc>
          <w:tcPr>
            <w:tcW w:w="1785" w:type="dxa"/>
          </w:tcPr>
          <w:p>
            <w:pPr>
              <w:snapToGrid w:val="0"/>
              <w:rPr>
                <w:rFonts w:ascii="宋体" w:hAnsi="宋体"/>
                <w:color w:val="auto"/>
                <w:sz w:val="24"/>
              </w:rPr>
            </w:pPr>
          </w:p>
        </w:tc>
        <w:tc>
          <w:tcPr>
            <w:tcW w:w="1785" w:type="dxa"/>
            <w:vAlign w:val="center"/>
          </w:tcPr>
          <w:p>
            <w:pPr>
              <w:rPr>
                <w:rFonts w:ascii="宋体" w:hAnsi="宋体"/>
                <w:color w:val="auto"/>
                <w:sz w:val="24"/>
              </w:rPr>
            </w:pPr>
          </w:p>
        </w:tc>
        <w:tc>
          <w:tcPr>
            <w:tcW w:w="1365" w:type="dxa"/>
            <w:vAlign w:val="center"/>
          </w:tcPr>
          <w:p>
            <w:pPr>
              <w:rPr>
                <w:rFonts w:ascii="宋体" w:hAnsi="宋体"/>
                <w:color w:val="auto"/>
                <w:sz w:val="24"/>
              </w:rPr>
            </w:pPr>
          </w:p>
        </w:tc>
        <w:tc>
          <w:tcPr>
            <w:tcW w:w="2625"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rPr>
                <w:rFonts w:ascii="宋体" w:hAnsi="宋体"/>
                <w:color w:val="auto"/>
                <w:sz w:val="24"/>
              </w:rPr>
            </w:pPr>
          </w:p>
        </w:tc>
        <w:tc>
          <w:tcPr>
            <w:tcW w:w="1785" w:type="dxa"/>
          </w:tcPr>
          <w:p>
            <w:pPr>
              <w:snapToGrid w:val="0"/>
              <w:rPr>
                <w:rFonts w:ascii="宋体" w:hAnsi="宋体"/>
                <w:color w:val="auto"/>
                <w:sz w:val="24"/>
              </w:rPr>
            </w:pPr>
          </w:p>
        </w:tc>
        <w:tc>
          <w:tcPr>
            <w:tcW w:w="1785" w:type="dxa"/>
            <w:vAlign w:val="center"/>
          </w:tcPr>
          <w:p>
            <w:pPr>
              <w:rPr>
                <w:rFonts w:ascii="宋体" w:hAnsi="宋体"/>
                <w:color w:val="auto"/>
                <w:sz w:val="24"/>
              </w:rPr>
            </w:pPr>
          </w:p>
        </w:tc>
        <w:tc>
          <w:tcPr>
            <w:tcW w:w="1365" w:type="dxa"/>
            <w:vAlign w:val="center"/>
          </w:tcPr>
          <w:p>
            <w:pPr>
              <w:rPr>
                <w:rFonts w:ascii="宋体" w:hAnsi="宋体"/>
                <w:color w:val="auto"/>
                <w:sz w:val="24"/>
              </w:rPr>
            </w:pPr>
          </w:p>
        </w:tc>
        <w:tc>
          <w:tcPr>
            <w:tcW w:w="2625"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color w:val="auto"/>
                <w:sz w:val="24"/>
              </w:rPr>
            </w:pPr>
          </w:p>
        </w:tc>
        <w:tc>
          <w:tcPr>
            <w:tcW w:w="1785" w:type="dxa"/>
          </w:tcPr>
          <w:p>
            <w:pPr>
              <w:snapToGrid w:val="0"/>
              <w:rPr>
                <w:rFonts w:ascii="宋体" w:hAnsi="宋体"/>
                <w:color w:val="auto"/>
                <w:sz w:val="24"/>
              </w:rPr>
            </w:pPr>
          </w:p>
        </w:tc>
        <w:tc>
          <w:tcPr>
            <w:tcW w:w="1785" w:type="dxa"/>
            <w:vAlign w:val="center"/>
          </w:tcPr>
          <w:p>
            <w:pPr>
              <w:rPr>
                <w:rFonts w:ascii="宋体" w:hAnsi="宋体"/>
                <w:color w:val="auto"/>
                <w:sz w:val="24"/>
              </w:rPr>
            </w:pPr>
          </w:p>
        </w:tc>
        <w:tc>
          <w:tcPr>
            <w:tcW w:w="1365" w:type="dxa"/>
            <w:vAlign w:val="center"/>
          </w:tcPr>
          <w:p>
            <w:pPr>
              <w:rPr>
                <w:rFonts w:ascii="宋体" w:hAnsi="宋体"/>
                <w:color w:val="auto"/>
                <w:sz w:val="24"/>
              </w:rPr>
            </w:pPr>
          </w:p>
        </w:tc>
        <w:tc>
          <w:tcPr>
            <w:tcW w:w="2625"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color w:val="auto"/>
                <w:sz w:val="24"/>
              </w:rPr>
            </w:pPr>
          </w:p>
        </w:tc>
        <w:tc>
          <w:tcPr>
            <w:tcW w:w="1785" w:type="dxa"/>
          </w:tcPr>
          <w:p>
            <w:pPr>
              <w:snapToGrid w:val="0"/>
              <w:rPr>
                <w:rFonts w:ascii="宋体" w:hAnsi="宋体"/>
                <w:color w:val="auto"/>
                <w:sz w:val="24"/>
              </w:rPr>
            </w:pPr>
          </w:p>
        </w:tc>
        <w:tc>
          <w:tcPr>
            <w:tcW w:w="1785" w:type="dxa"/>
            <w:vAlign w:val="center"/>
          </w:tcPr>
          <w:p>
            <w:pPr>
              <w:rPr>
                <w:rFonts w:ascii="宋体" w:hAnsi="宋体"/>
                <w:color w:val="auto"/>
                <w:sz w:val="24"/>
              </w:rPr>
            </w:pPr>
          </w:p>
        </w:tc>
        <w:tc>
          <w:tcPr>
            <w:tcW w:w="1365" w:type="dxa"/>
            <w:vAlign w:val="center"/>
          </w:tcPr>
          <w:p>
            <w:pPr>
              <w:rPr>
                <w:rFonts w:ascii="宋体" w:hAnsi="宋体"/>
                <w:color w:val="auto"/>
                <w:sz w:val="24"/>
              </w:rPr>
            </w:pPr>
          </w:p>
        </w:tc>
        <w:tc>
          <w:tcPr>
            <w:tcW w:w="2625"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color w:val="auto"/>
                <w:sz w:val="24"/>
              </w:rPr>
            </w:pPr>
          </w:p>
        </w:tc>
        <w:tc>
          <w:tcPr>
            <w:tcW w:w="1785" w:type="dxa"/>
          </w:tcPr>
          <w:p>
            <w:pPr>
              <w:snapToGrid w:val="0"/>
              <w:rPr>
                <w:rFonts w:ascii="宋体" w:hAnsi="宋体"/>
                <w:color w:val="auto"/>
                <w:sz w:val="24"/>
              </w:rPr>
            </w:pPr>
          </w:p>
        </w:tc>
        <w:tc>
          <w:tcPr>
            <w:tcW w:w="1785" w:type="dxa"/>
            <w:vAlign w:val="center"/>
          </w:tcPr>
          <w:p>
            <w:pPr>
              <w:rPr>
                <w:rFonts w:ascii="宋体" w:hAnsi="宋体"/>
                <w:color w:val="auto"/>
                <w:sz w:val="24"/>
              </w:rPr>
            </w:pPr>
          </w:p>
        </w:tc>
        <w:tc>
          <w:tcPr>
            <w:tcW w:w="1365" w:type="dxa"/>
            <w:vAlign w:val="center"/>
          </w:tcPr>
          <w:p>
            <w:pPr>
              <w:rPr>
                <w:rFonts w:ascii="宋体" w:hAnsi="宋体"/>
                <w:color w:val="auto"/>
                <w:sz w:val="24"/>
              </w:rPr>
            </w:pPr>
          </w:p>
        </w:tc>
        <w:tc>
          <w:tcPr>
            <w:tcW w:w="2625"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color w:val="auto"/>
                <w:sz w:val="24"/>
              </w:rPr>
            </w:pPr>
          </w:p>
        </w:tc>
        <w:tc>
          <w:tcPr>
            <w:tcW w:w="1785" w:type="dxa"/>
          </w:tcPr>
          <w:p>
            <w:pPr>
              <w:snapToGrid w:val="0"/>
              <w:rPr>
                <w:rFonts w:ascii="宋体" w:hAnsi="宋体"/>
                <w:color w:val="auto"/>
                <w:sz w:val="24"/>
              </w:rPr>
            </w:pPr>
          </w:p>
        </w:tc>
        <w:tc>
          <w:tcPr>
            <w:tcW w:w="1785" w:type="dxa"/>
            <w:vAlign w:val="center"/>
          </w:tcPr>
          <w:p>
            <w:pPr>
              <w:rPr>
                <w:rFonts w:ascii="宋体" w:hAnsi="宋体"/>
                <w:color w:val="auto"/>
                <w:sz w:val="24"/>
              </w:rPr>
            </w:pPr>
          </w:p>
        </w:tc>
        <w:tc>
          <w:tcPr>
            <w:tcW w:w="1365" w:type="dxa"/>
            <w:vAlign w:val="center"/>
          </w:tcPr>
          <w:p>
            <w:pPr>
              <w:rPr>
                <w:rFonts w:ascii="宋体" w:hAnsi="宋体"/>
                <w:color w:val="auto"/>
                <w:sz w:val="24"/>
              </w:rPr>
            </w:pPr>
          </w:p>
        </w:tc>
        <w:tc>
          <w:tcPr>
            <w:tcW w:w="2625"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35" w:type="dxa"/>
            <w:vAlign w:val="center"/>
          </w:tcPr>
          <w:p>
            <w:pPr>
              <w:rPr>
                <w:rFonts w:ascii="宋体" w:hAnsi="宋体"/>
                <w:color w:val="auto"/>
                <w:sz w:val="24"/>
              </w:rPr>
            </w:pPr>
          </w:p>
        </w:tc>
        <w:tc>
          <w:tcPr>
            <w:tcW w:w="1785" w:type="dxa"/>
          </w:tcPr>
          <w:p>
            <w:pPr>
              <w:snapToGrid w:val="0"/>
              <w:rPr>
                <w:rFonts w:ascii="宋体" w:hAnsi="宋体"/>
                <w:color w:val="auto"/>
                <w:sz w:val="24"/>
              </w:rPr>
            </w:pPr>
          </w:p>
        </w:tc>
        <w:tc>
          <w:tcPr>
            <w:tcW w:w="1785" w:type="dxa"/>
            <w:vAlign w:val="center"/>
          </w:tcPr>
          <w:p>
            <w:pPr>
              <w:rPr>
                <w:rFonts w:ascii="宋体" w:hAnsi="宋体"/>
                <w:color w:val="auto"/>
                <w:sz w:val="24"/>
              </w:rPr>
            </w:pPr>
          </w:p>
        </w:tc>
        <w:tc>
          <w:tcPr>
            <w:tcW w:w="1365" w:type="dxa"/>
            <w:vAlign w:val="center"/>
          </w:tcPr>
          <w:p>
            <w:pPr>
              <w:rPr>
                <w:rFonts w:ascii="宋体" w:hAnsi="宋体"/>
                <w:color w:val="auto"/>
                <w:sz w:val="24"/>
              </w:rPr>
            </w:pPr>
          </w:p>
        </w:tc>
        <w:tc>
          <w:tcPr>
            <w:tcW w:w="2625"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rPr>
                <w:rFonts w:ascii="宋体" w:hAnsi="宋体"/>
                <w:color w:val="auto"/>
                <w:sz w:val="24"/>
              </w:rPr>
            </w:pPr>
          </w:p>
        </w:tc>
        <w:tc>
          <w:tcPr>
            <w:tcW w:w="1785" w:type="dxa"/>
          </w:tcPr>
          <w:p>
            <w:pPr>
              <w:snapToGrid w:val="0"/>
              <w:rPr>
                <w:rFonts w:ascii="宋体" w:hAnsi="宋体"/>
                <w:color w:val="auto"/>
                <w:sz w:val="24"/>
              </w:rPr>
            </w:pPr>
          </w:p>
        </w:tc>
        <w:tc>
          <w:tcPr>
            <w:tcW w:w="1785" w:type="dxa"/>
            <w:vAlign w:val="center"/>
          </w:tcPr>
          <w:p>
            <w:pPr>
              <w:rPr>
                <w:rFonts w:ascii="宋体" w:hAnsi="宋体"/>
                <w:color w:val="auto"/>
                <w:sz w:val="24"/>
              </w:rPr>
            </w:pPr>
          </w:p>
        </w:tc>
        <w:tc>
          <w:tcPr>
            <w:tcW w:w="1365" w:type="dxa"/>
            <w:vAlign w:val="center"/>
          </w:tcPr>
          <w:p>
            <w:pPr>
              <w:rPr>
                <w:rFonts w:ascii="宋体" w:hAnsi="宋体"/>
                <w:color w:val="auto"/>
                <w:sz w:val="24"/>
              </w:rPr>
            </w:pPr>
          </w:p>
        </w:tc>
        <w:tc>
          <w:tcPr>
            <w:tcW w:w="2625" w:type="dxa"/>
            <w:vAlign w:val="center"/>
          </w:tcPr>
          <w:p>
            <w:pPr>
              <w:rPr>
                <w:rFonts w:ascii="宋体" w:hAnsi="宋体"/>
                <w:color w:val="auto"/>
                <w:sz w:val="24"/>
              </w:rPr>
            </w:pPr>
          </w:p>
        </w:tc>
      </w:tr>
    </w:tbl>
    <w:p>
      <w:pPr>
        <w:spacing w:line="360" w:lineRule="auto"/>
        <w:rPr>
          <w:rFonts w:ascii="宋体" w:hAnsi="宋体"/>
          <w:color w:val="auto"/>
          <w:sz w:val="24"/>
        </w:rPr>
      </w:pPr>
    </w:p>
    <w:p>
      <w:pPr>
        <w:spacing w:line="360" w:lineRule="auto"/>
        <w:ind w:left="420"/>
        <w:rPr>
          <w:rFonts w:ascii="宋体" w:hAnsi="宋体"/>
          <w:color w:val="auto"/>
          <w:sz w:val="24"/>
          <w:u w:val="single"/>
        </w:rPr>
      </w:pPr>
      <w:r>
        <w:rPr>
          <w:rFonts w:hint="eastAsia" w:ascii="宋体" w:hAnsi="宋体"/>
          <w:color w:val="auto"/>
          <w:sz w:val="24"/>
        </w:rPr>
        <w:t>投标人名称（电子印章）：</w:t>
      </w:r>
    </w:p>
    <w:p>
      <w:pPr>
        <w:spacing w:line="360" w:lineRule="auto"/>
        <w:ind w:left="420"/>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投标人代表签字或电子印章：</w:t>
      </w:r>
    </w:p>
    <w:p>
      <w:pPr>
        <w:spacing w:line="360" w:lineRule="auto"/>
        <w:ind w:firstLine="435"/>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职        务：</w:t>
      </w:r>
    </w:p>
    <w:p>
      <w:pPr>
        <w:spacing w:line="360" w:lineRule="auto"/>
        <w:ind w:firstLine="435"/>
        <w:rPr>
          <w:rFonts w:ascii="宋体" w:hAnsi="宋体"/>
          <w:color w:val="auto"/>
          <w:sz w:val="24"/>
        </w:rPr>
      </w:pPr>
    </w:p>
    <w:p>
      <w:pPr>
        <w:spacing w:line="360" w:lineRule="auto"/>
        <w:ind w:firstLine="435"/>
        <w:rPr>
          <w:rFonts w:ascii="宋体" w:hAnsi="宋体"/>
          <w:color w:val="auto"/>
          <w:sz w:val="24"/>
          <w:u w:val="single"/>
        </w:rPr>
      </w:pPr>
      <w:r>
        <w:rPr>
          <w:rFonts w:hint="eastAsia" w:ascii="宋体" w:hAnsi="宋体"/>
          <w:color w:val="auto"/>
          <w:sz w:val="24"/>
        </w:rPr>
        <w:t>日        期：</w:t>
      </w:r>
    </w:p>
    <w:p>
      <w:pPr>
        <w:tabs>
          <w:tab w:val="left" w:pos="2460"/>
        </w:tabs>
        <w:spacing w:line="360" w:lineRule="auto"/>
        <w:ind w:firstLine="435"/>
        <w:rPr>
          <w:rFonts w:ascii="宋体" w:hAnsi="宋体"/>
          <w:b/>
          <w:color w:val="auto"/>
          <w:sz w:val="28"/>
        </w:rPr>
      </w:pPr>
    </w:p>
    <w:p>
      <w:pPr>
        <w:tabs>
          <w:tab w:val="left" w:pos="2460"/>
        </w:tabs>
        <w:spacing w:line="360" w:lineRule="auto"/>
        <w:ind w:firstLine="435"/>
        <w:rPr>
          <w:rFonts w:ascii="宋体" w:hAnsi="宋体"/>
          <w:b/>
          <w:color w:val="auto"/>
          <w:sz w:val="28"/>
        </w:rPr>
      </w:pPr>
    </w:p>
    <w:p>
      <w:pPr>
        <w:tabs>
          <w:tab w:val="left" w:pos="2460"/>
        </w:tabs>
        <w:spacing w:line="360" w:lineRule="auto"/>
        <w:ind w:firstLine="435"/>
        <w:rPr>
          <w:rFonts w:ascii="宋体" w:hAnsi="宋体"/>
          <w:b/>
          <w:color w:val="auto"/>
          <w:sz w:val="28"/>
        </w:rPr>
      </w:pPr>
    </w:p>
    <w:p>
      <w:pPr>
        <w:tabs>
          <w:tab w:val="left" w:pos="2460"/>
        </w:tabs>
        <w:spacing w:line="360" w:lineRule="auto"/>
        <w:ind w:firstLine="435"/>
        <w:rPr>
          <w:rFonts w:ascii="宋体" w:hAnsi="宋体"/>
          <w:b/>
          <w:color w:val="auto"/>
          <w:sz w:val="28"/>
        </w:rPr>
      </w:pPr>
    </w:p>
    <w:p>
      <w:pPr>
        <w:pStyle w:val="14"/>
        <w:ind w:firstLine="0"/>
        <w:rPr>
          <w:rFonts w:ascii="宋体" w:hAnsi="宋体"/>
          <w:b/>
          <w:color w:val="auto"/>
          <w:sz w:val="28"/>
        </w:rPr>
      </w:pPr>
    </w:p>
    <w:p>
      <w:pPr>
        <w:pStyle w:val="14"/>
        <w:rPr>
          <w:rFonts w:ascii="宋体" w:hAnsi="宋体"/>
          <w:color w:val="auto"/>
          <w:sz w:val="24"/>
          <w:u w:val="single"/>
        </w:rPr>
      </w:pPr>
    </w:p>
    <w:p>
      <w:pPr>
        <w:pStyle w:val="35"/>
        <w:tabs>
          <w:tab w:val="left" w:pos="1050"/>
        </w:tabs>
        <w:spacing w:line="360" w:lineRule="auto"/>
        <w:rPr>
          <w:rFonts w:ascii="宋体" w:hAnsi="宋体"/>
          <w:b/>
          <w:color w:val="auto"/>
          <w:sz w:val="28"/>
        </w:rPr>
      </w:pPr>
      <w:r>
        <w:rPr>
          <w:rFonts w:hint="eastAsia" w:ascii="宋体" w:hAnsi="宋体"/>
          <w:b/>
          <w:color w:val="auto"/>
          <w:sz w:val="28"/>
        </w:rPr>
        <w:t>附件13</w:t>
      </w:r>
    </w:p>
    <w:p>
      <w:pPr>
        <w:pStyle w:val="14"/>
        <w:rPr>
          <w:color w:val="auto"/>
        </w:rPr>
      </w:pPr>
    </w:p>
    <w:p>
      <w:pPr>
        <w:spacing w:line="360" w:lineRule="auto"/>
        <w:ind w:right="-110"/>
        <w:jc w:val="center"/>
        <w:rPr>
          <w:rStyle w:val="51"/>
          <w:rFonts w:ascii="宋体" w:hAnsi="宋体"/>
          <w:color w:val="auto"/>
          <w:spacing w:val="40"/>
          <w:sz w:val="44"/>
          <w:szCs w:val="44"/>
        </w:rPr>
      </w:pPr>
      <w:r>
        <w:rPr>
          <w:rFonts w:hint="eastAsia" w:ascii="宋体" w:hAnsi="宋体"/>
          <w:color w:val="auto"/>
          <w:spacing w:val="40"/>
          <w:sz w:val="52"/>
          <w:szCs w:val="52"/>
          <w:lang w:eastAsia="zh-CN"/>
        </w:rPr>
        <w:t>台州市大数据发展中心</w:t>
      </w:r>
      <w:r>
        <w:rPr>
          <w:rFonts w:hint="eastAsia" w:ascii="宋体" w:hAnsi="宋体"/>
          <w:color w:val="auto"/>
          <w:spacing w:val="40"/>
          <w:sz w:val="52"/>
          <w:szCs w:val="52"/>
        </w:rPr>
        <w:t>台州市一体化智能化公共数据平台（数据资源体系）项目</w:t>
      </w:r>
    </w:p>
    <w:p>
      <w:pPr>
        <w:spacing w:before="312" w:line="360" w:lineRule="auto"/>
        <w:ind w:right="-108"/>
        <w:jc w:val="center"/>
        <w:rPr>
          <w:rStyle w:val="51"/>
          <w:rFonts w:ascii="宋体" w:hAnsi="宋体"/>
          <w:color w:val="auto"/>
          <w:sz w:val="36"/>
          <w:szCs w:val="36"/>
        </w:rPr>
      </w:pPr>
      <w:r>
        <w:rPr>
          <w:rStyle w:val="51"/>
          <w:rFonts w:ascii="宋体" w:hAnsi="宋体"/>
          <w:color w:val="auto"/>
          <w:sz w:val="36"/>
          <w:szCs w:val="36"/>
        </w:rPr>
        <w:t>项目编号：</w:t>
      </w:r>
      <w:r>
        <w:rPr>
          <w:rStyle w:val="51"/>
          <w:rFonts w:hint="eastAsia" w:ascii="宋体" w:hAnsi="宋体"/>
          <w:color w:val="auto"/>
          <w:sz w:val="36"/>
          <w:szCs w:val="36"/>
        </w:rPr>
        <w:t>TZTX-2022-GK007</w:t>
      </w:r>
    </w:p>
    <w:p>
      <w:pPr>
        <w:pStyle w:val="14"/>
        <w:rPr>
          <w:rStyle w:val="51"/>
          <w:rFonts w:ascii="宋体" w:hAnsi="宋体"/>
          <w:color w:val="auto"/>
          <w:sz w:val="36"/>
          <w:szCs w:val="36"/>
        </w:rPr>
      </w:pPr>
    </w:p>
    <w:p>
      <w:pPr>
        <w:pStyle w:val="14"/>
        <w:rPr>
          <w:rStyle w:val="51"/>
          <w:rFonts w:ascii="宋体" w:hAnsi="宋体"/>
          <w:color w:val="auto"/>
          <w:sz w:val="36"/>
          <w:szCs w:val="36"/>
        </w:rPr>
      </w:pPr>
    </w:p>
    <w:p>
      <w:pPr>
        <w:spacing w:line="360" w:lineRule="auto"/>
        <w:jc w:val="center"/>
        <w:rPr>
          <w:rStyle w:val="51"/>
          <w:rFonts w:ascii="宋体" w:hAnsi="宋体"/>
          <w:color w:val="auto"/>
          <w:sz w:val="84"/>
          <w:szCs w:val="84"/>
          <w:lang w:val="zh-CN"/>
        </w:rPr>
      </w:pPr>
      <w:r>
        <w:rPr>
          <w:rStyle w:val="51"/>
          <w:rFonts w:hint="eastAsia" w:ascii="宋体" w:hAnsi="宋体"/>
          <w:color w:val="auto"/>
          <w:sz w:val="84"/>
          <w:szCs w:val="84"/>
          <w:lang w:val="zh-CN"/>
        </w:rPr>
        <w:t>报</w:t>
      </w:r>
    </w:p>
    <w:p>
      <w:pPr>
        <w:spacing w:line="360" w:lineRule="auto"/>
        <w:jc w:val="center"/>
        <w:rPr>
          <w:rStyle w:val="51"/>
          <w:rFonts w:ascii="宋体" w:hAnsi="宋体"/>
          <w:color w:val="auto"/>
          <w:sz w:val="84"/>
          <w:szCs w:val="84"/>
          <w:lang w:val="zh-CN"/>
        </w:rPr>
      </w:pPr>
      <w:r>
        <w:rPr>
          <w:rStyle w:val="51"/>
          <w:rFonts w:hint="eastAsia" w:ascii="宋体" w:hAnsi="宋体"/>
          <w:color w:val="auto"/>
          <w:sz w:val="84"/>
          <w:szCs w:val="84"/>
          <w:lang w:val="zh-CN"/>
        </w:rPr>
        <w:t>价</w:t>
      </w:r>
    </w:p>
    <w:p>
      <w:pPr>
        <w:spacing w:line="360" w:lineRule="auto"/>
        <w:jc w:val="center"/>
        <w:rPr>
          <w:rStyle w:val="51"/>
          <w:rFonts w:ascii="宋体" w:hAnsi="宋体"/>
          <w:color w:val="auto"/>
          <w:sz w:val="84"/>
          <w:szCs w:val="84"/>
          <w:lang w:val="zh-CN"/>
        </w:rPr>
      </w:pPr>
      <w:r>
        <w:rPr>
          <w:rStyle w:val="51"/>
          <w:rFonts w:ascii="宋体" w:hAnsi="宋体"/>
          <w:color w:val="auto"/>
          <w:sz w:val="84"/>
          <w:szCs w:val="84"/>
          <w:lang w:val="zh-CN"/>
        </w:rPr>
        <w:t>文</w:t>
      </w:r>
    </w:p>
    <w:p>
      <w:pPr>
        <w:spacing w:line="360" w:lineRule="auto"/>
        <w:jc w:val="center"/>
        <w:rPr>
          <w:rStyle w:val="51"/>
          <w:rFonts w:ascii="宋体" w:hAnsi="宋体"/>
          <w:color w:val="auto"/>
          <w:sz w:val="84"/>
          <w:szCs w:val="84"/>
          <w:lang w:val="zh-CN"/>
        </w:rPr>
      </w:pPr>
      <w:r>
        <w:rPr>
          <w:rStyle w:val="51"/>
          <w:rFonts w:ascii="宋体" w:hAnsi="宋体"/>
          <w:color w:val="auto"/>
          <w:sz w:val="84"/>
          <w:szCs w:val="84"/>
          <w:lang w:val="zh-CN"/>
        </w:rPr>
        <w:t>件</w:t>
      </w:r>
    </w:p>
    <w:p>
      <w:pPr>
        <w:spacing w:line="360" w:lineRule="auto"/>
        <w:ind w:right="532"/>
        <w:rPr>
          <w:rStyle w:val="51"/>
          <w:rFonts w:ascii="宋体" w:hAnsi="宋体"/>
          <w:color w:val="auto"/>
          <w:sz w:val="36"/>
          <w:szCs w:val="36"/>
        </w:rPr>
      </w:pPr>
    </w:p>
    <w:p>
      <w:pPr>
        <w:spacing w:line="360" w:lineRule="auto"/>
        <w:ind w:right="532" w:firstLine="720" w:firstLineChars="200"/>
        <w:rPr>
          <w:rStyle w:val="51"/>
          <w:rFonts w:ascii="宋体" w:hAnsi="宋体"/>
          <w:color w:val="auto"/>
          <w:sz w:val="36"/>
          <w:szCs w:val="36"/>
        </w:rPr>
      </w:pPr>
      <w:r>
        <w:rPr>
          <w:rStyle w:val="51"/>
          <w:rFonts w:ascii="宋体" w:hAnsi="宋体"/>
          <w:color w:val="auto"/>
          <w:sz w:val="36"/>
          <w:szCs w:val="36"/>
        </w:rPr>
        <w:t>投标人全称（</w:t>
      </w:r>
      <w:r>
        <w:rPr>
          <w:rStyle w:val="51"/>
          <w:rFonts w:hint="eastAsia" w:ascii="宋体" w:hAnsi="宋体"/>
          <w:color w:val="auto"/>
          <w:sz w:val="36"/>
          <w:szCs w:val="36"/>
        </w:rPr>
        <w:t>电子印章</w:t>
      </w:r>
      <w:r>
        <w:rPr>
          <w:rStyle w:val="51"/>
          <w:rFonts w:ascii="宋体" w:hAnsi="宋体"/>
          <w:color w:val="auto"/>
          <w:sz w:val="36"/>
          <w:szCs w:val="36"/>
        </w:rPr>
        <w:t>）：</w:t>
      </w:r>
    </w:p>
    <w:p>
      <w:pPr>
        <w:spacing w:line="360" w:lineRule="auto"/>
        <w:ind w:right="532" w:firstLine="720" w:firstLineChars="200"/>
        <w:rPr>
          <w:rStyle w:val="51"/>
          <w:rFonts w:ascii="宋体" w:hAnsi="宋体"/>
          <w:color w:val="auto"/>
          <w:sz w:val="36"/>
          <w:szCs w:val="36"/>
        </w:rPr>
      </w:pPr>
      <w:r>
        <w:rPr>
          <w:rStyle w:val="51"/>
          <w:rFonts w:ascii="宋体" w:hAnsi="宋体"/>
          <w:color w:val="auto"/>
          <w:sz w:val="36"/>
          <w:szCs w:val="36"/>
        </w:rPr>
        <w:t>地    址：</w:t>
      </w:r>
    </w:p>
    <w:p>
      <w:pPr>
        <w:spacing w:line="360" w:lineRule="auto"/>
        <w:ind w:right="532" w:firstLine="720" w:firstLineChars="200"/>
        <w:rPr>
          <w:rStyle w:val="51"/>
          <w:rFonts w:ascii="宋体" w:hAnsi="宋体"/>
          <w:color w:val="auto"/>
          <w:sz w:val="36"/>
          <w:szCs w:val="36"/>
        </w:rPr>
      </w:pPr>
      <w:r>
        <w:rPr>
          <w:rStyle w:val="51"/>
          <w:rFonts w:ascii="宋体" w:hAnsi="宋体"/>
          <w:color w:val="auto"/>
          <w:sz w:val="36"/>
          <w:szCs w:val="36"/>
        </w:rPr>
        <w:t>时    间：</w:t>
      </w:r>
    </w:p>
    <w:p>
      <w:pPr>
        <w:pStyle w:val="14"/>
        <w:rPr>
          <w:color w:val="auto"/>
        </w:rPr>
      </w:pPr>
    </w:p>
    <w:p>
      <w:pPr>
        <w:pStyle w:val="2"/>
        <w:rPr>
          <w:rFonts w:ascii="宋体" w:hAnsi="宋体" w:cs="宋体"/>
          <w:color w:val="auto"/>
          <w:sz w:val="24"/>
        </w:rPr>
      </w:pPr>
    </w:p>
    <w:p>
      <w:pPr>
        <w:pStyle w:val="14"/>
        <w:rPr>
          <w:rFonts w:ascii="宋体" w:hAnsi="宋体" w:cs="宋体"/>
          <w:b/>
          <w:color w:val="auto"/>
          <w:sz w:val="24"/>
          <w:szCs w:val="24"/>
        </w:rPr>
      </w:pPr>
    </w:p>
    <w:p>
      <w:pPr>
        <w:jc w:val="center"/>
        <w:rPr>
          <w:rFonts w:ascii="宋体" w:hAnsi="宋体" w:cs="宋体"/>
          <w:b/>
          <w:bCs/>
          <w:color w:val="auto"/>
          <w:sz w:val="24"/>
        </w:rPr>
      </w:pPr>
      <w:bookmarkStart w:id="79" w:name="_Toc19972_WPSOffice_Level1"/>
      <w:bookmarkStart w:id="80" w:name="_Toc29537_WPSOffice_Level1"/>
    </w:p>
    <w:p>
      <w:pPr>
        <w:jc w:val="center"/>
        <w:rPr>
          <w:rFonts w:ascii="宋体" w:hAnsi="宋体" w:cs="宋体"/>
          <w:b/>
          <w:bCs/>
          <w:color w:val="auto"/>
          <w:sz w:val="24"/>
        </w:rPr>
      </w:pPr>
      <w:r>
        <w:rPr>
          <w:rFonts w:hint="eastAsia" w:ascii="宋体" w:hAnsi="宋体" w:cs="宋体"/>
          <w:b/>
          <w:bCs/>
          <w:color w:val="auto"/>
          <w:sz w:val="24"/>
        </w:rPr>
        <w:t>报价文件目录</w:t>
      </w:r>
      <w:bookmarkEnd w:id="79"/>
      <w:bookmarkEnd w:id="80"/>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bookmarkStart w:id="81" w:name="_Toc6778_WPSOffice_Level1"/>
      <w:bookmarkStart w:id="82" w:name="_Toc29988_WPSOffice_Level1"/>
      <w:r>
        <w:rPr>
          <w:rFonts w:hint="eastAsia" w:ascii="宋体" w:hAnsi="宋体" w:cs="宋体"/>
          <w:color w:val="auto"/>
          <w:sz w:val="24"/>
        </w:rPr>
        <w:t>1、开标一览表（附件14）；</w:t>
      </w:r>
      <w:bookmarkEnd w:id="81"/>
      <w:bookmarkEnd w:id="82"/>
    </w:p>
    <w:p>
      <w:pPr>
        <w:spacing w:line="360" w:lineRule="auto"/>
        <w:ind w:firstLine="480" w:firstLineChars="200"/>
        <w:rPr>
          <w:rFonts w:ascii="宋体" w:hAnsi="宋体" w:cs="宋体"/>
          <w:color w:val="auto"/>
          <w:sz w:val="24"/>
        </w:rPr>
      </w:pPr>
      <w:bookmarkStart w:id="83" w:name="_Toc15601_WPSOffice_Level1"/>
      <w:bookmarkStart w:id="84" w:name="_Toc11601_WPSOffice_Level1"/>
      <w:r>
        <w:rPr>
          <w:rFonts w:hint="eastAsia" w:ascii="宋体" w:hAnsi="宋体" w:cs="宋体"/>
          <w:color w:val="auto"/>
          <w:sz w:val="24"/>
        </w:rPr>
        <w:t>2、报价明细表（附件15）；</w:t>
      </w:r>
      <w:bookmarkEnd w:id="83"/>
      <w:bookmarkEnd w:id="84"/>
    </w:p>
    <w:p>
      <w:pPr>
        <w:spacing w:line="360" w:lineRule="auto"/>
        <w:ind w:firstLine="480" w:firstLineChars="200"/>
        <w:rPr>
          <w:rFonts w:ascii="宋体" w:hAnsi="宋体" w:cs="宋体"/>
          <w:color w:val="auto"/>
          <w:sz w:val="24"/>
        </w:rPr>
      </w:pPr>
      <w:bookmarkStart w:id="85" w:name="_Toc3001_WPSOffice_Level1"/>
      <w:bookmarkStart w:id="86" w:name="_Toc14672_WPSOffice_Level1"/>
      <w:r>
        <w:rPr>
          <w:rFonts w:hint="eastAsia" w:ascii="宋体" w:hAnsi="宋体" w:cs="宋体"/>
          <w:color w:val="auto"/>
          <w:sz w:val="24"/>
        </w:rPr>
        <w:t>3、中小企业声明函（附件16）；</w:t>
      </w:r>
    </w:p>
    <w:p>
      <w:pPr>
        <w:spacing w:line="360" w:lineRule="auto"/>
        <w:ind w:firstLine="480" w:firstLineChars="200"/>
        <w:rPr>
          <w:rFonts w:ascii="宋体" w:hAnsi="宋体" w:cs="宋体"/>
          <w:color w:val="auto"/>
          <w:sz w:val="24"/>
        </w:rPr>
      </w:pPr>
      <w:r>
        <w:rPr>
          <w:rFonts w:hint="eastAsia" w:ascii="宋体" w:hAnsi="宋体" w:cs="宋体"/>
          <w:color w:val="auto"/>
          <w:sz w:val="24"/>
        </w:rPr>
        <w:t>4、针对报价投标人认为其他需要说明的；</w:t>
      </w:r>
      <w:bookmarkEnd w:id="85"/>
      <w:bookmarkEnd w:id="86"/>
    </w:p>
    <w:p>
      <w:pPr>
        <w:spacing w:line="360" w:lineRule="auto"/>
        <w:ind w:firstLine="480" w:firstLineChars="200"/>
        <w:rPr>
          <w:rFonts w:ascii="宋体" w:hAnsi="宋体" w:cs="宋体"/>
          <w:color w:val="auto"/>
          <w:sz w:val="24"/>
        </w:rPr>
      </w:pPr>
    </w:p>
    <w:p>
      <w:pPr>
        <w:spacing w:line="360" w:lineRule="auto"/>
        <w:ind w:firstLine="482" w:firstLineChars="200"/>
        <w:rPr>
          <w:rFonts w:ascii="宋体" w:hAnsi="宋体" w:cs="宋体"/>
          <w:b/>
          <w:color w:val="auto"/>
          <w:sz w:val="24"/>
        </w:rPr>
      </w:pPr>
    </w:p>
    <w:p>
      <w:pPr>
        <w:spacing w:line="360" w:lineRule="auto"/>
        <w:ind w:firstLine="482" w:firstLineChars="200"/>
        <w:rPr>
          <w:rFonts w:ascii="宋体" w:hAnsi="宋体" w:cs="宋体"/>
          <w:b/>
          <w:color w:val="auto"/>
          <w:sz w:val="24"/>
        </w:rPr>
      </w:pPr>
    </w:p>
    <w:p>
      <w:pPr>
        <w:spacing w:line="360" w:lineRule="auto"/>
        <w:ind w:left="480"/>
        <w:rPr>
          <w:rFonts w:ascii="宋体" w:hAnsi="宋体" w:cs="宋体"/>
          <w:b/>
          <w:color w:val="auto"/>
          <w:sz w:val="24"/>
        </w:rPr>
      </w:pPr>
    </w:p>
    <w:p>
      <w:pPr>
        <w:spacing w:line="360" w:lineRule="auto"/>
        <w:ind w:left="480"/>
        <w:rPr>
          <w:rFonts w:ascii="宋体" w:hAnsi="宋体" w:cs="宋体"/>
          <w:b/>
          <w:color w:val="auto"/>
          <w:sz w:val="24"/>
        </w:rPr>
      </w:pPr>
    </w:p>
    <w:p>
      <w:pPr>
        <w:spacing w:line="360" w:lineRule="auto"/>
        <w:ind w:left="480"/>
        <w:rPr>
          <w:rFonts w:ascii="宋体" w:hAnsi="宋体" w:cs="宋体"/>
          <w:b/>
          <w:color w:val="auto"/>
          <w:sz w:val="24"/>
        </w:rPr>
      </w:pPr>
    </w:p>
    <w:p>
      <w:pPr>
        <w:spacing w:line="360" w:lineRule="auto"/>
        <w:ind w:left="480"/>
        <w:rPr>
          <w:rFonts w:ascii="宋体" w:hAnsi="宋体" w:cs="宋体"/>
          <w:b/>
          <w:color w:val="auto"/>
          <w:sz w:val="24"/>
        </w:rPr>
      </w:pPr>
    </w:p>
    <w:p>
      <w:pPr>
        <w:spacing w:line="360" w:lineRule="auto"/>
        <w:ind w:left="480"/>
        <w:rPr>
          <w:rFonts w:ascii="宋体" w:hAnsi="宋体" w:cs="宋体"/>
          <w:b/>
          <w:color w:val="auto"/>
          <w:sz w:val="24"/>
        </w:rPr>
      </w:pPr>
    </w:p>
    <w:p>
      <w:pPr>
        <w:spacing w:line="360" w:lineRule="auto"/>
        <w:ind w:left="480"/>
        <w:rPr>
          <w:rFonts w:ascii="宋体" w:hAnsi="宋体" w:cs="宋体"/>
          <w:b/>
          <w:color w:val="auto"/>
          <w:sz w:val="24"/>
        </w:rPr>
      </w:pPr>
    </w:p>
    <w:p>
      <w:pPr>
        <w:spacing w:line="360" w:lineRule="auto"/>
        <w:ind w:left="480"/>
        <w:rPr>
          <w:rFonts w:ascii="宋体" w:hAnsi="宋体" w:cs="宋体"/>
          <w:b/>
          <w:color w:val="auto"/>
          <w:sz w:val="24"/>
        </w:rPr>
      </w:pPr>
    </w:p>
    <w:p>
      <w:pPr>
        <w:spacing w:line="360" w:lineRule="auto"/>
        <w:ind w:left="480"/>
        <w:rPr>
          <w:rFonts w:ascii="宋体" w:hAnsi="宋体" w:cs="宋体"/>
          <w:b/>
          <w:color w:val="auto"/>
          <w:sz w:val="24"/>
        </w:rPr>
      </w:pPr>
    </w:p>
    <w:p>
      <w:pPr>
        <w:spacing w:line="360" w:lineRule="auto"/>
        <w:ind w:left="480"/>
        <w:rPr>
          <w:rFonts w:ascii="宋体" w:hAnsi="宋体" w:cs="宋体"/>
          <w:b/>
          <w:color w:val="auto"/>
          <w:sz w:val="24"/>
        </w:rPr>
      </w:pPr>
    </w:p>
    <w:p>
      <w:pPr>
        <w:spacing w:line="360" w:lineRule="auto"/>
        <w:ind w:left="480"/>
        <w:rPr>
          <w:rFonts w:ascii="宋体" w:hAnsi="宋体" w:cs="宋体"/>
          <w:b/>
          <w:color w:val="auto"/>
          <w:sz w:val="24"/>
        </w:rPr>
      </w:pPr>
    </w:p>
    <w:p>
      <w:pPr>
        <w:spacing w:line="360" w:lineRule="auto"/>
        <w:ind w:left="480"/>
        <w:rPr>
          <w:rFonts w:ascii="宋体" w:hAnsi="宋体" w:cs="宋体"/>
          <w:b/>
          <w:color w:val="auto"/>
          <w:sz w:val="24"/>
        </w:rPr>
      </w:pPr>
    </w:p>
    <w:p>
      <w:pPr>
        <w:spacing w:line="360" w:lineRule="auto"/>
        <w:ind w:left="480"/>
        <w:rPr>
          <w:rFonts w:ascii="宋体" w:hAnsi="宋体" w:cs="宋体"/>
          <w:b/>
          <w:color w:val="auto"/>
          <w:sz w:val="24"/>
        </w:rPr>
      </w:pPr>
    </w:p>
    <w:p>
      <w:pPr>
        <w:rPr>
          <w:rFonts w:ascii="宋体" w:hAnsi="宋体" w:cs="宋体"/>
          <w:color w:val="auto"/>
          <w:sz w:val="24"/>
        </w:rPr>
      </w:pPr>
      <w:r>
        <w:rPr>
          <w:rFonts w:hint="eastAsia" w:ascii="宋体" w:hAnsi="宋体" w:cs="宋体"/>
          <w:b/>
          <w:color w:val="auto"/>
          <w:sz w:val="24"/>
        </w:rPr>
        <w:br w:type="page"/>
      </w:r>
    </w:p>
    <w:p>
      <w:pPr>
        <w:pStyle w:val="35"/>
        <w:tabs>
          <w:tab w:val="left" w:pos="1050"/>
        </w:tabs>
        <w:spacing w:line="360" w:lineRule="auto"/>
        <w:rPr>
          <w:rFonts w:ascii="宋体" w:hAnsi="宋体"/>
          <w:b/>
          <w:color w:val="auto"/>
          <w:sz w:val="28"/>
        </w:rPr>
      </w:pPr>
      <w:r>
        <w:rPr>
          <w:rFonts w:hint="eastAsia" w:ascii="宋体" w:hAnsi="宋体"/>
          <w:b/>
          <w:color w:val="auto"/>
          <w:sz w:val="28"/>
        </w:rPr>
        <w:t>附件14</w:t>
      </w:r>
    </w:p>
    <w:p>
      <w:pPr>
        <w:spacing w:line="360" w:lineRule="auto"/>
        <w:ind w:left="-2" w:hanging="2"/>
        <w:jc w:val="center"/>
        <w:rPr>
          <w:rFonts w:ascii="宋体" w:hAnsi="宋体" w:cs="宋体"/>
          <w:b/>
          <w:color w:val="auto"/>
          <w:sz w:val="24"/>
        </w:rPr>
      </w:pPr>
      <w:bookmarkStart w:id="87" w:name="_Toc30363_WPSOffice_Level1"/>
      <w:bookmarkStart w:id="88" w:name="_Toc16144_WPSOffice_Level1"/>
      <w:r>
        <w:rPr>
          <w:rFonts w:hint="eastAsia" w:ascii="宋体" w:hAnsi="宋体" w:cs="宋体"/>
          <w:b/>
          <w:color w:val="auto"/>
          <w:sz w:val="24"/>
        </w:rPr>
        <w:t>开标一览表</w:t>
      </w:r>
      <w:bookmarkEnd w:id="87"/>
      <w:bookmarkEnd w:id="88"/>
    </w:p>
    <w:p>
      <w:pPr>
        <w:spacing w:line="360" w:lineRule="auto"/>
        <w:ind w:left="-2" w:hanging="2"/>
        <w:jc w:val="center"/>
        <w:rPr>
          <w:rFonts w:ascii="宋体" w:hAnsi="宋体" w:cs="宋体"/>
          <w:b/>
          <w:color w:val="auto"/>
          <w:sz w:val="24"/>
        </w:rPr>
      </w:pPr>
    </w:p>
    <w:p>
      <w:pPr>
        <w:pStyle w:val="15"/>
        <w:spacing w:line="320" w:lineRule="exact"/>
        <w:rPr>
          <w:rFonts w:hAnsi="宋体"/>
          <w:b/>
          <w:color w:val="auto"/>
          <w:sz w:val="24"/>
        </w:rPr>
      </w:pPr>
      <w:r>
        <w:rPr>
          <w:rFonts w:hint="eastAsia" w:hAnsi="宋体"/>
          <w:b/>
          <w:color w:val="auto"/>
          <w:sz w:val="24"/>
        </w:rPr>
        <w:t>项目编号：</w:t>
      </w:r>
    </w:p>
    <w:p>
      <w:pPr>
        <w:pStyle w:val="40"/>
        <w:spacing w:line="360" w:lineRule="auto"/>
        <w:ind w:right="480"/>
        <w:jc w:val="left"/>
        <w:rPr>
          <w:rFonts w:ascii="宋体" w:hAnsi="宋体" w:cs="宋体"/>
          <w:color w:val="auto"/>
          <w:sz w:val="24"/>
        </w:rPr>
      </w:pPr>
      <w:r>
        <w:rPr>
          <w:rFonts w:hint="eastAsia" w:ascii="宋体" w:hAnsi="宋体" w:cs="宋体"/>
          <w:b/>
          <w:color w:val="auto"/>
          <w:sz w:val="24"/>
        </w:rPr>
        <w:t>项目名称：</w:t>
      </w:r>
      <w:r>
        <w:rPr>
          <w:rFonts w:hint="eastAsia" w:ascii="宋体" w:hAnsi="宋体" w:cs="宋体"/>
          <w:color w:val="auto"/>
          <w:sz w:val="24"/>
        </w:rPr>
        <w:t xml:space="preserve">                                     [货币单位：人民币元]</w:t>
      </w:r>
    </w:p>
    <w:tbl>
      <w:tblPr>
        <w:tblStyle w:val="25"/>
        <w:tblW w:w="867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s="宋体"/>
                <w:color w:val="auto"/>
                <w:sz w:val="24"/>
              </w:rPr>
            </w:pPr>
            <w:r>
              <w:rPr>
                <w:rFonts w:hint="eastAsia" w:ascii="宋体" w:hAnsi="宋体" w:cs="宋体"/>
                <w:color w:val="auto"/>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s="宋体"/>
                <w:color w:val="auto"/>
                <w:sz w:val="24"/>
              </w:rPr>
            </w:pPr>
            <w:r>
              <w:rPr>
                <w:rFonts w:hint="eastAsia" w:ascii="宋体" w:hAnsi="宋体" w:cs="宋体"/>
                <w:color w:val="auto"/>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s="宋体"/>
                <w:color w:val="auto"/>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s="宋体"/>
                <w:color w:val="auto"/>
                <w:sz w:val="24"/>
              </w:rPr>
            </w:pPr>
            <w:r>
              <w:rPr>
                <w:rFonts w:hint="eastAsia" w:ascii="宋体" w:hAnsi="宋体" w:cs="宋体"/>
                <w:color w:val="auto"/>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s="宋体"/>
                <w:color w:val="auto"/>
                <w:sz w:val="24"/>
              </w:rPr>
            </w:pPr>
          </w:p>
        </w:tc>
      </w:tr>
    </w:tbl>
    <w:p>
      <w:pPr>
        <w:spacing w:line="360" w:lineRule="auto"/>
        <w:ind w:left="480"/>
        <w:rPr>
          <w:rFonts w:ascii="宋体" w:hAnsi="宋体" w:cs="宋体"/>
          <w:b/>
          <w:color w:val="auto"/>
          <w:sz w:val="24"/>
        </w:rPr>
      </w:pPr>
    </w:p>
    <w:p>
      <w:pPr>
        <w:spacing w:line="360" w:lineRule="auto"/>
        <w:rPr>
          <w:rFonts w:ascii="宋体" w:hAnsi="宋体" w:cs="宋体"/>
          <w:color w:val="auto"/>
          <w:sz w:val="24"/>
        </w:rPr>
      </w:pPr>
      <w:r>
        <w:rPr>
          <w:rFonts w:hint="eastAsia" w:ascii="宋体" w:hAnsi="宋体" w:cs="宋体"/>
          <w:b/>
          <w:color w:val="auto"/>
          <w:sz w:val="24"/>
        </w:rPr>
        <w:t>填报要求：</w:t>
      </w:r>
    </w:p>
    <w:p>
      <w:pPr>
        <w:spacing w:line="360" w:lineRule="auto"/>
        <w:ind w:left="420"/>
        <w:rPr>
          <w:rFonts w:ascii="宋体" w:hAnsi="宋体" w:cs="宋体"/>
          <w:color w:val="auto"/>
          <w:sz w:val="24"/>
        </w:rPr>
      </w:pPr>
      <w:r>
        <w:rPr>
          <w:rFonts w:hint="eastAsia" w:ascii="宋体" w:hAnsi="宋体" w:cs="宋体"/>
          <w:color w:val="auto"/>
          <w:sz w:val="24"/>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ascii="宋体" w:hAnsi="宋体" w:cs="宋体"/>
          <w:color w:val="auto"/>
          <w:sz w:val="24"/>
        </w:rPr>
      </w:pPr>
    </w:p>
    <w:p>
      <w:pPr>
        <w:spacing w:line="360" w:lineRule="auto"/>
        <w:ind w:left="420"/>
        <w:rPr>
          <w:rFonts w:ascii="宋体" w:hAnsi="宋体" w:cs="宋体"/>
          <w:color w:val="auto"/>
          <w:sz w:val="24"/>
          <w:u w:val="single"/>
        </w:rPr>
      </w:pPr>
      <w:r>
        <w:rPr>
          <w:rFonts w:hint="eastAsia" w:ascii="宋体" w:hAnsi="宋体" w:cs="宋体"/>
          <w:color w:val="auto"/>
          <w:sz w:val="24"/>
        </w:rPr>
        <w:t>投标人名称（电子印章）：</w:t>
      </w:r>
    </w:p>
    <w:p>
      <w:pPr>
        <w:spacing w:line="360" w:lineRule="auto"/>
        <w:ind w:left="420"/>
        <w:rPr>
          <w:rFonts w:ascii="宋体" w:hAnsi="宋体" w:cs="宋体"/>
          <w:color w:val="auto"/>
          <w:sz w:val="24"/>
        </w:rPr>
      </w:pPr>
    </w:p>
    <w:p>
      <w:pPr>
        <w:spacing w:line="360" w:lineRule="auto"/>
        <w:ind w:firstLine="435"/>
        <w:rPr>
          <w:rFonts w:ascii="宋体" w:hAnsi="宋体" w:cs="宋体"/>
          <w:color w:val="auto"/>
          <w:sz w:val="24"/>
        </w:rPr>
      </w:pPr>
      <w:r>
        <w:rPr>
          <w:rFonts w:hint="eastAsia" w:ascii="宋体" w:hAnsi="宋体" w:cs="宋体"/>
          <w:color w:val="auto"/>
          <w:sz w:val="24"/>
        </w:rPr>
        <w:t>投标人代表签字或电子印章：</w:t>
      </w:r>
    </w:p>
    <w:p>
      <w:pPr>
        <w:spacing w:line="360" w:lineRule="auto"/>
        <w:ind w:firstLine="435"/>
        <w:rPr>
          <w:rFonts w:ascii="宋体" w:hAnsi="宋体" w:cs="宋体"/>
          <w:color w:val="auto"/>
          <w:sz w:val="24"/>
        </w:rPr>
      </w:pPr>
    </w:p>
    <w:p>
      <w:pPr>
        <w:spacing w:line="360" w:lineRule="auto"/>
        <w:ind w:firstLine="435"/>
        <w:rPr>
          <w:rFonts w:ascii="宋体" w:hAnsi="宋体" w:cs="宋体"/>
          <w:color w:val="auto"/>
          <w:sz w:val="24"/>
        </w:rPr>
      </w:pPr>
      <w:r>
        <w:rPr>
          <w:rFonts w:hint="eastAsia" w:ascii="宋体" w:hAnsi="宋体" w:cs="宋体"/>
          <w:color w:val="auto"/>
          <w:sz w:val="24"/>
        </w:rPr>
        <w:t>职        务：</w:t>
      </w:r>
    </w:p>
    <w:p>
      <w:pPr>
        <w:spacing w:line="360" w:lineRule="auto"/>
        <w:rPr>
          <w:rFonts w:ascii="宋体" w:hAnsi="宋体" w:cs="宋体"/>
          <w:color w:val="auto"/>
          <w:sz w:val="24"/>
        </w:rPr>
      </w:pPr>
    </w:p>
    <w:p>
      <w:pPr>
        <w:spacing w:line="360" w:lineRule="auto"/>
        <w:ind w:firstLine="435"/>
        <w:rPr>
          <w:rFonts w:ascii="宋体" w:hAnsi="宋体" w:cs="宋体"/>
          <w:color w:val="auto"/>
          <w:sz w:val="24"/>
        </w:rPr>
      </w:pPr>
      <w:r>
        <w:rPr>
          <w:rFonts w:hint="eastAsia" w:ascii="宋体" w:hAnsi="宋体" w:cs="宋体"/>
          <w:color w:val="auto"/>
          <w:sz w:val="24"/>
        </w:rPr>
        <w:t>日        期：</w:t>
      </w:r>
    </w:p>
    <w:p>
      <w:pPr>
        <w:spacing w:line="360" w:lineRule="auto"/>
        <w:rPr>
          <w:rFonts w:ascii="宋体" w:hAnsi="宋体" w:cs="宋体"/>
          <w:b/>
          <w:color w:val="auto"/>
          <w:sz w:val="24"/>
        </w:rPr>
      </w:pPr>
    </w:p>
    <w:p>
      <w:pPr>
        <w:rPr>
          <w:rFonts w:ascii="宋体" w:hAnsi="宋体" w:cs="宋体"/>
          <w:color w:val="auto"/>
          <w:sz w:val="24"/>
        </w:rPr>
      </w:pPr>
      <w:r>
        <w:rPr>
          <w:rFonts w:hint="eastAsia" w:ascii="宋体" w:hAnsi="宋体" w:cs="宋体"/>
          <w:b/>
          <w:color w:val="auto"/>
          <w:sz w:val="24"/>
        </w:rPr>
        <w:br w:type="page"/>
      </w:r>
    </w:p>
    <w:p>
      <w:pPr>
        <w:pStyle w:val="35"/>
        <w:tabs>
          <w:tab w:val="left" w:pos="1050"/>
        </w:tabs>
        <w:spacing w:line="360" w:lineRule="auto"/>
        <w:rPr>
          <w:rFonts w:ascii="宋体" w:hAnsi="宋体"/>
          <w:b/>
          <w:color w:val="auto"/>
          <w:sz w:val="28"/>
        </w:rPr>
      </w:pPr>
      <w:r>
        <w:rPr>
          <w:rFonts w:hint="eastAsia" w:ascii="宋体" w:hAnsi="宋体"/>
          <w:b/>
          <w:color w:val="auto"/>
          <w:sz w:val="28"/>
        </w:rPr>
        <w:t>附件15</w:t>
      </w:r>
    </w:p>
    <w:p>
      <w:pPr>
        <w:spacing w:line="360" w:lineRule="auto"/>
        <w:ind w:left="480"/>
        <w:jc w:val="center"/>
        <w:rPr>
          <w:rFonts w:ascii="宋体" w:hAnsi="宋体"/>
          <w:color w:val="auto"/>
        </w:rPr>
      </w:pPr>
      <w:r>
        <w:rPr>
          <w:rFonts w:hint="eastAsia" w:ascii="宋体" w:hAnsi="宋体"/>
          <w:b/>
          <w:color w:val="auto"/>
          <w:sz w:val="32"/>
          <w:szCs w:val="32"/>
        </w:rPr>
        <w:t xml:space="preserve">报价明细表 </w:t>
      </w:r>
      <w:r>
        <w:rPr>
          <w:rFonts w:hint="eastAsia" w:ascii="宋体" w:hAnsi="宋体"/>
          <w:color w:val="auto"/>
          <w:sz w:val="24"/>
        </w:rPr>
        <w:t xml:space="preserve">                                                                                                                                         </w:t>
      </w:r>
    </w:p>
    <w:p>
      <w:pPr>
        <w:spacing w:line="360" w:lineRule="auto"/>
        <w:rPr>
          <w:rFonts w:ascii="宋体" w:hAnsi="宋体"/>
          <w:color w:val="auto"/>
          <w:sz w:val="24"/>
        </w:rPr>
      </w:pPr>
      <w:r>
        <w:rPr>
          <w:rFonts w:hint="eastAsia" w:ascii="宋体" w:hAnsi="宋体"/>
          <w:color w:val="auto"/>
          <w:sz w:val="24"/>
        </w:rPr>
        <w:t xml:space="preserve">  项目编号：</w:t>
      </w:r>
      <w:r>
        <w:rPr>
          <w:rFonts w:hint="eastAsia" w:ascii="宋体" w:hAnsi="宋体"/>
          <w:color w:val="auto"/>
          <w:sz w:val="24"/>
          <w:u w:val="single"/>
        </w:rPr>
        <w:t xml:space="preserve">             </w:t>
      </w:r>
    </w:p>
    <w:p>
      <w:pPr>
        <w:pStyle w:val="40"/>
        <w:spacing w:line="360" w:lineRule="auto"/>
        <w:ind w:right="480"/>
        <w:jc w:val="right"/>
        <w:rPr>
          <w:rFonts w:ascii="宋体" w:hAnsi="宋体"/>
          <w:color w:val="auto"/>
          <w:sz w:val="24"/>
        </w:rPr>
      </w:pPr>
      <w:r>
        <w:rPr>
          <w:rFonts w:hint="eastAsia" w:ascii="宋体" w:hAnsi="宋体"/>
          <w:color w:val="auto"/>
          <w:sz w:val="24"/>
        </w:rPr>
        <w:t>[货币单位：人民币元]</w:t>
      </w:r>
    </w:p>
    <w:tbl>
      <w:tblPr>
        <w:tblStyle w:val="25"/>
        <w:tblW w:w="8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921"/>
        <w:gridCol w:w="1466"/>
        <w:gridCol w:w="2040"/>
        <w:gridCol w:w="1473"/>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trPr>
        <w:tc>
          <w:tcPr>
            <w:tcW w:w="734" w:type="dxa"/>
            <w:vAlign w:val="center"/>
          </w:tcPr>
          <w:p>
            <w:pPr>
              <w:spacing w:line="360" w:lineRule="auto"/>
              <w:jc w:val="center"/>
              <w:rPr>
                <w:rFonts w:ascii="宋体" w:hAnsi="宋体"/>
                <w:b/>
                <w:color w:val="auto"/>
                <w:sz w:val="24"/>
              </w:rPr>
            </w:pPr>
            <w:r>
              <w:rPr>
                <w:rFonts w:hint="eastAsia" w:ascii="宋体" w:hAnsi="宋体"/>
                <w:b/>
                <w:color w:val="auto"/>
                <w:sz w:val="24"/>
              </w:rPr>
              <w:t>序号</w:t>
            </w:r>
          </w:p>
        </w:tc>
        <w:tc>
          <w:tcPr>
            <w:tcW w:w="1921" w:type="dxa"/>
            <w:vAlign w:val="center"/>
          </w:tcPr>
          <w:p>
            <w:pPr>
              <w:spacing w:line="360" w:lineRule="auto"/>
              <w:jc w:val="center"/>
              <w:rPr>
                <w:rFonts w:ascii="宋体" w:hAnsi="宋体"/>
                <w:b/>
                <w:color w:val="auto"/>
                <w:sz w:val="24"/>
              </w:rPr>
            </w:pPr>
            <w:r>
              <w:rPr>
                <w:rFonts w:hint="eastAsia" w:ascii="宋体" w:hAnsi="宋体"/>
                <w:b/>
                <w:color w:val="auto"/>
                <w:sz w:val="24"/>
              </w:rPr>
              <w:t>报价名称</w:t>
            </w:r>
          </w:p>
        </w:tc>
        <w:tc>
          <w:tcPr>
            <w:tcW w:w="1466" w:type="dxa"/>
            <w:vAlign w:val="center"/>
          </w:tcPr>
          <w:p>
            <w:pPr>
              <w:spacing w:line="360" w:lineRule="auto"/>
              <w:ind w:left="152"/>
              <w:jc w:val="center"/>
              <w:rPr>
                <w:rFonts w:ascii="宋体" w:hAnsi="宋体"/>
                <w:b/>
                <w:color w:val="auto"/>
                <w:sz w:val="24"/>
              </w:rPr>
            </w:pPr>
            <w:r>
              <w:rPr>
                <w:rFonts w:hint="eastAsia" w:ascii="宋体" w:hAnsi="宋体"/>
                <w:b/>
                <w:color w:val="auto"/>
                <w:sz w:val="24"/>
              </w:rPr>
              <w:t>数量</w:t>
            </w:r>
          </w:p>
        </w:tc>
        <w:tc>
          <w:tcPr>
            <w:tcW w:w="2040" w:type="dxa"/>
            <w:vAlign w:val="center"/>
          </w:tcPr>
          <w:p>
            <w:pPr>
              <w:spacing w:line="360" w:lineRule="auto"/>
              <w:jc w:val="center"/>
              <w:rPr>
                <w:rFonts w:ascii="宋体" w:hAnsi="宋体"/>
                <w:b/>
                <w:color w:val="auto"/>
                <w:sz w:val="24"/>
              </w:rPr>
            </w:pPr>
            <w:r>
              <w:rPr>
                <w:rFonts w:hint="eastAsia" w:ascii="宋体" w:hAnsi="宋体"/>
                <w:b/>
                <w:color w:val="auto"/>
                <w:sz w:val="24"/>
              </w:rPr>
              <w:t>单价</w:t>
            </w:r>
          </w:p>
        </w:tc>
        <w:tc>
          <w:tcPr>
            <w:tcW w:w="1473" w:type="dxa"/>
            <w:vAlign w:val="center"/>
          </w:tcPr>
          <w:p>
            <w:pPr>
              <w:spacing w:line="360" w:lineRule="auto"/>
              <w:jc w:val="center"/>
              <w:rPr>
                <w:rFonts w:ascii="宋体" w:hAnsi="宋体"/>
                <w:b/>
                <w:color w:val="auto"/>
                <w:sz w:val="24"/>
              </w:rPr>
            </w:pPr>
            <w:r>
              <w:rPr>
                <w:rFonts w:hint="eastAsia" w:ascii="宋体" w:hAnsi="宋体"/>
                <w:b/>
                <w:color w:val="auto"/>
                <w:sz w:val="24"/>
              </w:rPr>
              <w:t>小计</w:t>
            </w:r>
          </w:p>
        </w:tc>
        <w:tc>
          <w:tcPr>
            <w:tcW w:w="1266" w:type="dxa"/>
            <w:vAlign w:val="center"/>
          </w:tcPr>
          <w:p>
            <w:pPr>
              <w:spacing w:line="360" w:lineRule="auto"/>
              <w:jc w:val="center"/>
              <w:rPr>
                <w:rFonts w:ascii="宋体" w:hAnsi="宋体"/>
                <w:b/>
                <w:color w:val="auto"/>
                <w:sz w:val="24"/>
              </w:rPr>
            </w:pPr>
            <w:r>
              <w:rPr>
                <w:rFonts w:hint="eastAsia" w:ascii="宋体" w:hAnsi="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7" w:hRule="atLeast"/>
        </w:trPr>
        <w:tc>
          <w:tcPr>
            <w:tcW w:w="734" w:type="dxa"/>
          </w:tcPr>
          <w:p>
            <w:pPr>
              <w:pStyle w:val="55"/>
              <w:spacing w:line="360" w:lineRule="auto"/>
              <w:jc w:val="center"/>
              <w:rPr>
                <w:rFonts w:ascii="仿宋_GB2312" w:hAnsi="仿宋" w:eastAsia="仿宋_GB2312"/>
                <w:color w:val="auto"/>
                <w:sz w:val="30"/>
                <w:szCs w:val="30"/>
              </w:rPr>
            </w:pPr>
            <w:r>
              <w:rPr>
                <w:rFonts w:hint="eastAsia" w:ascii="仿宋_GB2312" w:hAnsi="仿宋" w:eastAsia="仿宋_GB2312"/>
                <w:color w:val="auto"/>
                <w:sz w:val="30"/>
                <w:szCs w:val="30"/>
              </w:rPr>
              <w:t>1</w:t>
            </w:r>
          </w:p>
        </w:tc>
        <w:tc>
          <w:tcPr>
            <w:tcW w:w="1921" w:type="dxa"/>
            <w:vAlign w:val="center"/>
          </w:tcPr>
          <w:p>
            <w:pPr>
              <w:spacing w:line="360" w:lineRule="auto"/>
              <w:rPr>
                <w:rFonts w:ascii="仿宋_GB2312" w:hAnsi="仿宋" w:eastAsia="仿宋_GB2312"/>
                <w:color w:val="auto"/>
                <w:sz w:val="28"/>
                <w:szCs w:val="28"/>
              </w:rPr>
            </w:pPr>
          </w:p>
        </w:tc>
        <w:tc>
          <w:tcPr>
            <w:tcW w:w="1466" w:type="dxa"/>
            <w:vAlign w:val="center"/>
          </w:tcPr>
          <w:p>
            <w:pPr>
              <w:spacing w:line="360" w:lineRule="auto"/>
              <w:rPr>
                <w:rFonts w:ascii="宋体" w:hAnsi="宋体"/>
                <w:color w:val="auto"/>
                <w:sz w:val="24"/>
              </w:rPr>
            </w:pPr>
          </w:p>
        </w:tc>
        <w:tc>
          <w:tcPr>
            <w:tcW w:w="2040" w:type="dxa"/>
            <w:vAlign w:val="center"/>
          </w:tcPr>
          <w:p>
            <w:pPr>
              <w:spacing w:line="360" w:lineRule="auto"/>
              <w:rPr>
                <w:rFonts w:ascii="宋体" w:hAnsi="宋体"/>
                <w:color w:val="auto"/>
                <w:sz w:val="24"/>
              </w:rPr>
            </w:pPr>
          </w:p>
        </w:tc>
        <w:tc>
          <w:tcPr>
            <w:tcW w:w="1473" w:type="dxa"/>
            <w:vAlign w:val="center"/>
          </w:tcPr>
          <w:p>
            <w:pPr>
              <w:spacing w:line="360" w:lineRule="auto"/>
              <w:rPr>
                <w:rFonts w:ascii="宋体" w:hAnsi="宋体"/>
                <w:color w:val="auto"/>
                <w:sz w:val="24"/>
              </w:rPr>
            </w:pPr>
          </w:p>
        </w:tc>
        <w:tc>
          <w:tcPr>
            <w:tcW w:w="1266" w:type="dxa"/>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734" w:type="dxa"/>
          </w:tcPr>
          <w:p>
            <w:pPr>
              <w:pStyle w:val="55"/>
              <w:spacing w:line="360" w:lineRule="auto"/>
              <w:jc w:val="center"/>
              <w:rPr>
                <w:rFonts w:ascii="仿宋_GB2312" w:hAnsi="仿宋" w:eastAsia="仿宋_GB2312"/>
                <w:color w:val="auto"/>
                <w:sz w:val="30"/>
                <w:szCs w:val="30"/>
              </w:rPr>
            </w:pPr>
            <w:r>
              <w:rPr>
                <w:rFonts w:hint="eastAsia" w:ascii="仿宋_GB2312" w:hAnsi="仿宋" w:eastAsia="仿宋_GB2312"/>
                <w:color w:val="auto"/>
                <w:sz w:val="30"/>
                <w:szCs w:val="30"/>
              </w:rPr>
              <w:t>2</w:t>
            </w:r>
          </w:p>
        </w:tc>
        <w:tc>
          <w:tcPr>
            <w:tcW w:w="1921" w:type="dxa"/>
            <w:vAlign w:val="center"/>
          </w:tcPr>
          <w:p>
            <w:pPr>
              <w:spacing w:line="360" w:lineRule="auto"/>
              <w:rPr>
                <w:rFonts w:ascii="仿宋_GB2312" w:hAnsi="仿宋" w:eastAsia="仿宋_GB2312"/>
                <w:color w:val="auto"/>
                <w:sz w:val="28"/>
                <w:szCs w:val="28"/>
              </w:rPr>
            </w:pPr>
          </w:p>
        </w:tc>
        <w:tc>
          <w:tcPr>
            <w:tcW w:w="1466" w:type="dxa"/>
            <w:vAlign w:val="center"/>
          </w:tcPr>
          <w:p>
            <w:pPr>
              <w:spacing w:line="360" w:lineRule="auto"/>
              <w:rPr>
                <w:rFonts w:ascii="宋体" w:hAnsi="宋体"/>
                <w:color w:val="auto"/>
                <w:sz w:val="24"/>
              </w:rPr>
            </w:pPr>
          </w:p>
        </w:tc>
        <w:tc>
          <w:tcPr>
            <w:tcW w:w="2040" w:type="dxa"/>
            <w:vAlign w:val="center"/>
          </w:tcPr>
          <w:p>
            <w:pPr>
              <w:spacing w:line="360" w:lineRule="auto"/>
              <w:rPr>
                <w:rFonts w:ascii="宋体" w:hAnsi="宋体"/>
                <w:color w:val="auto"/>
                <w:sz w:val="24"/>
              </w:rPr>
            </w:pPr>
          </w:p>
        </w:tc>
        <w:tc>
          <w:tcPr>
            <w:tcW w:w="1473" w:type="dxa"/>
            <w:vAlign w:val="center"/>
          </w:tcPr>
          <w:p>
            <w:pPr>
              <w:spacing w:line="360" w:lineRule="auto"/>
              <w:rPr>
                <w:rFonts w:ascii="宋体" w:hAnsi="宋体"/>
                <w:color w:val="auto"/>
                <w:sz w:val="24"/>
              </w:rPr>
            </w:pPr>
          </w:p>
        </w:tc>
        <w:tc>
          <w:tcPr>
            <w:tcW w:w="1266" w:type="dxa"/>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734" w:type="dxa"/>
            <w:vAlign w:val="center"/>
          </w:tcPr>
          <w:p>
            <w:pPr>
              <w:spacing w:line="360" w:lineRule="auto"/>
              <w:jc w:val="center"/>
              <w:rPr>
                <w:rFonts w:ascii="宋体" w:hAnsi="宋体"/>
                <w:color w:val="auto"/>
                <w:sz w:val="24"/>
              </w:rPr>
            </w:pPr>
            <w:r>
              <w:rPr>
                <w:rFonts w:hint="eastAsia" w:ascii="仿宋_GB2312" w:hAnsi="仿宋" w:eastAsia="仿宋_GB2312"/>
                <w:color w:val="auto"/>
                <w:sz w:val="30"/>
                <w:szCs w:val="30"/>
              </w:rPr>
              <w:t>3</w:t>
            </w:r>
          </w:p>
        </w:tc>
        <w:tc>
          <w:tcPr>
            <w:tcW w:w="1921" w:type="dxa"/>
            <w:vAlign w:val="center"/>
          </w:tcPr>
          <w:p>
            <w:pPr>
              <w:spacing w:line="360" w:lineRule="auto"/>
              <w:rPr>
                <w:rFonts w:ascii="宋体" w:hAnsi="宋体"/>
                <w:color w:val="auto"/>
                <w:sz w:val="24"/>
              </w:rPr>
            </w:pPr>
          </w:p>
        </w:tc>
        <w:tc>
          <w:tcPr>
            <w:tcW w:w="1466" w:type="dxa"/>
            <w:vAlign w:val="center"/>
          </w:tcPr>
          <w:p>
            <w:pPr>
              <w:spacing w:line="360" w:lineRule="auto"/>
              <w:rPr>
                <w:rFonts w:ascii="宋体" w:hAnsi="宋体"/>
                <w:color w:val="auto"/>
                <w:sz w:val="24"/>
              </w:rPr>
            </w:pPr>
          </w:p>
        </w:tc>
        <w:tc>
          <w:tcPr>
            <w:tcW w:w="2040" w:type="dxa"/>
            <w:vAlign w:val="center"/>
          </w:tcPr>
          <w:p>
            <w:pPr>
              <w:spacing w:line="360" w:lineRule="auto"/>
              <w:rPr>
                <w:rFonts w:ascii="宋体" w:hAnsi="宋体"/>
                <w:color w:val="auto"/>
                <w:sz w:val="24"/>
              </w:rPr>
            </w:pPr>
          </w:p>
        </w:tc>
        <w:tc>
          <w:tcPr>
            <w:tcW w:w="1473" w:type="dxa"/>
            <w:vAlign w:val="center"/>
          </w:tcPr>
          <w:p>
            <w:pPr>
              <w:spacing w:line="360" w:lineRule="auto"/>
              <w:rPr>
                <w:rFonts w:ascii="宋体" w:hAnsi="宋体"/>
                <w:color w:val="auto"/>
                <w:sz w:val="24"/>
              </w:rPr>
            </w:pPr>
          </w:p>
        </w:tc>
        <w:tc>
          <w:tcPr>
            <w:tcW w:w="1266" w:type="dxa"/>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734" w:type="dxa"/>
            <w:vAlign w:val="center"/>
          </w:tcPr>
          <w:p>
            <w:pPr>
              <w:spacing w:line="360" w:lineRule="auto"/>
              <w:rPr>
                <w:rFonts w:ascii="宋体" w:hAnsi="宋体"/>
                <w:color w:val="auto"/>
                <w:sz w:val="24"/>
              </w:rPr>
            </w:pPr>
            <w:r>
              <w:rPr>
                <w:rFonts w:hint="eastAsia" w:ascii="仿宋_GB2312" w:hAnsi="仿宋" w:eastAsia="仿宋_GB2312"/>
                <w:color w:val="auto"/>
                <w:sz w:val="30"/>
                <w:szCs w:val="30"/>
              </w:rPr>
              <w:t>……</w:t>
            </w:r>
          </w:p>
        </w:tc>
        <w:tc>
          <w:tcPr>
            <w:tcW w:w="1921" w:type="dxa"/>
            <w:vAlign w:val="center"/>
          </w:tcPr>
          <w:p>
            <w:pPr>
              <w:spacing w:line="360" w:lineRule="auto"/>
              <w:rPr>
                <w:rFonts w:ascii="宋体" w:hAnsi="宋体"/>
                <w:color w:val="auto"/>
                <w:sz w:val="24"/>
              </w:rPr>
            </w:pPr>
          </w:p>
        </w:tc>
        <w:tc>
          <w:tcPr>
            <w:tcW w:w="1466" w:type="dxa"/>
            <w:vAlign w:val="center"/>
          </w:tcPr>
          <w:p>
            <w:pPr>
              <w:spacing w:line="360" w:lineRule="auto"/>
              <w:rPr>
                <w:rFonts w:ascii="宋体" w:hAnsi="宋体"/>
                <w:color w:val="auto"/>
                <w:sz w:val="24"/>
              </w:rPr>
            </w:pPr>
          </w:p>
        </w:tc>
        <w:tc>
          <w:tcPr>
            <w:tcW w:w="2040" w:type="dxa"/>
            <w:vAlign w:val="center"/>
          </w:tcPr>
          <w:p>
            <w:pPr>
              <w:spacing w:line="360" w:lineRule="auto"/>
              <w:rPr>
                <w:rFonts w:ascii="宋体" w:hAnsi="宋体"/>
                <w:color w:val="auto"/>
                <w:sz w:val="24"/>
              </w:rPr>
            </w:pPr>
          </w:p>
        </w:tc>
        <w:tc>
          <w:tcPr>
            <w:tcW w:w="1473" w:type="dxa"/>
            <w:vAlign w:val="center"/>
          </w:tcPr>
          <w:p>
            <w:pPr>
              <w:spacing w:line="360" w:lineRule="auto"/>
              <w:rPr>
                <w:rFonts w:ascii="宋体" w:hAnsi="宋体"/>
                <w:color w:val="auto"/>
                <w:sz w:val="24"/>
              </w:rPr>
            </w:pPr>
          </w:p>
        </w:tc>
        <w:tc>
          <w:tcPr>
            <w:tcW w:w="1266" w:type="dxa"/>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8900" w:type="dxa"/>
            <w:gridSpan w:val="6"/>
            <w:vAlign w:val="center"/>
          </w:tcPr>
          <w:p>
            <w:pPr>
              <w:spacing w:line="360" w:lineRule="auto"/>
              <w:rPr>
                <w:rFonts w:ascii="宋体" w:hAnsi="宋体"/>
                <w:color w:val="auto"/>
                <w:sz w:val="24"/>
              </w:rPr>
            </w:pPr>
            <w:r>
              <w:rPr>
                <w:rFonts w:hint="eastAsia" w:ascii="宋体" w:hAnsi="宋体"/>
                <w:b/>
                <w:color w:val="auto"/>
                <w:sz w:val="24"/>
              </w:rPr>
              <w:t>合计人民币：大写                              小写</w:t>
            </w:r>
          </w:p>
        </w:tc>
      </w:tr>
    </w:tbl>
    <w:p>
      <w:pPr>
        <w:spacing w:line="360" w:lineRule="auto"/>
        <w:rPr>
          <w:rFonts w:ascii="宋体" w:hAnsi="宋体"/>
          <w:b/>
          <w:color w:val="auto"/>
          <w:sz w:val="24"/>
        </w:rPr>
      </w:pPr>
      <w:r>
        <w:rPr>
          <w:rFonts w:hint="eastAsia" w:ascii="宋体" w:hAnsi="宋体"/>
          <w:b/>
          <w:color w:val="auto"/>
          <w:sz w:val="24"/>
        </w:rPr>
        <w:t>要求：</w:t>
      </w:r>
    </w:p>
    <w:p>
      <w:pPr>
        <w:spacing w:line="360" w:lineRule="auto"/>
        <w:ind w:left="435"/>
        <w:rPr>
          <w:rFonts w:ascii="宋体" w:hAnsi="宋体"/>
          <w:color w:val="auto"/>
          <w:sz w:val="24"/>
        </w:rPr>
      </w:pPr>
      <w:r>
        <w:rPr>
          <w:rFonts w:hint="eastAsia" w:ascii="宋体" w:hAnsi="宋体"/>
          <w:color w:val="auto"/>
          <w:sz w:val="24"/>
        </w:rPr>
        <w:t>1. 本表为《开标一览表》的报价明细表，如有缺项、漏项，视为投标报价中已包含相关费用，采购人无需另外支付任何费用。</w:t>
      </w:r>
    </w:p>
    <w:p>
      <w:pPr>
        <w:spacing w:line="360" w:lineRule="auto"/>
        <w:ind w:left="435"/>
        <w:rPr>
          <w:rFonts w:ascii="宋体"/>
          <w:color w:val="auto"/>
          <w:sz w:val="24"/>
          <w:lang w:val="zh-CN"/>
        </w:rPr>
      </w:pPr>
      <w:r>
        <w:rPr>
          <w:rFonts w:hint="eastAsia" w:ascii="宋体" w:hAnsi="宋体"/>
          <w:color w:val="auto"/>
          <w:sz w:val="24"/>
        </w:rPr>
        <w:t>2.</w:t>
      </w:r>
      <w:r>
        <w:rPr>
          <w:rFonts w:hint="eastAsia" w:ascii="宋体"/>
          <w:color w:val="auto"/>
          <w:sz w:val="24"/>
          <w:lang w:val="zh-CN"/>
        </w:rPr>
        <w:t>“报价明细表”中的报价合计应与“开标一览表”中的投标总报价相一致，不一致时，以开标一览表为准。</w:t>
      </w:r>
    </w:p>
    <w:p>
      <w:pPr>
        <w:spacing w:line="360" w:lineRule="auto"/>
        <w:ind w:left="435"/>
        <w:rPr>
          <w:rFonts w:ascii="宋体"/>
          <w:color w:val="auto"/>
          <w:szCs w:val="21"/>
          <w:lang w:val="zh-CN"/>
        </w:rPr>
      </w:pPr>
    </w:p>
    <w:p>
      <w:pPr>
        <w:spacing w:line="360" w:lineRule="auto"/>
        <w:rPr>
          <w:rFonts w:ascii="宋体" w:hAnsi="宋体" w:cs="宋体"/>
          <w:color w:val="auto"/>
          <w:kern w:val="0"/>
          <w:sz w:val="24"/>
        </w:rPr>
      </w:pPr>
    </w:p>
    <w:p>
      <w:pPr>
        <w:spacing w:line="360" w:lineRule="auto"/>
        <w:ind w:left="420"/>
        <w:rPr>
          <w:rFonts w:ascii="宋体" w:hAnsi="宋体"/>
          <w:color w:val="auto"/>
          <w:sz w:val="24"/>
          <w:u w:val="single"/>
        </w:rPr>
      </w:pPr>
      <w:r>
        <w:rPr>
          <w:rFonts w:hint="eastAsia" w:ascii="宋体" w:hAnsi="宋体"/>
          <w:color w:val="auto"/>
          <w:sz w:val="24"/>
        </w:rPr>
        <w:t>投标人名称（电子印章）：</w:t>
      </w:r>
    </w:p>
    <w:p>
      <w:pPr>
        <w:spacing w:line="360" w:lineRule="auto"/>
        <w:ind w:left="420"/>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投标人代表签字或电子印章：</w:t>
      </w:r>
    </w:p>
    <w:p>
      <w:pPr>
        <w:spacing w:line="360" w:lineRule="auto"/>
        <w:ind w:firstLine="435"/>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职        务：</w:t>
      </w:r>
    </w:p>
    <w:p>
      <w:pPr>
        <w:spacing w:line="360" w:lineRule="auto"/>
        <w:ind w:firstLine="435"/>
        <w:rPr>
          <w:rFonts w:ascii="宋体" w:hAnsi="宋体"/>
          <w:color w:val="auto"/>
          <w:sz w:val="24"/>
        </w:rPr>
      </w:pPr>
    </w:p>
    <w:p>
      <w:pPr>
        <w:spacing w:line="360" w:lineRule="auto"/>
        <w:ind w:firstLine="435"/>
        <w:rPr>
          <w:rFonts w:ascii="宋体" w:hAnsi="宋体"/>
          <w:color w:val="auto"/>
          <w:sz w:val="24"/>
        </w:rPr>
      </w:pPr>
      <w:r>
        <w:rPr>
          <w:rFonts w:hint="eastAsia" w:ascii="宋体" w:hAnsi="宋体"/>
          <w:color w:val="auto"/>
          <w:sz w:val="24"/>
        </w:rPr>
        <w:t>日        期：</w:t>
      </w:r>
    </w:p>
    <w:p>
      <w:pPr>
        <w:rPr>
          <w:rFonts w:ascii="宋体" w:hAnsi="宋体" w:cs="宋体"/>
          <w:color w:val="auto"/>
          <w:sz w:val="24"/>
        </w:rPr>
      </w:pPr>
    </w:p>
    <w:p>
      <w:pPr>
        <w:pStyle w:val="35"/>
        <w:tabs>
          <w:tab w:val="left" w:pos="1050"/>
        </w:tabs>
        <w:spacing w:line="360" w:lineRule="auto"/>
        <w:rPr>
          <w:rFonts w:ascii="宋体" w:hAnsi="宋体"/>
          <w:b/>
          <w:color w:val="auto"/>
          <w:sz w:val="28"/>
        </w:rPr>
      </w:pPr>
      <w:r>
        <w:rPr>
          <w:rFonts w:hint="eastAsia" w:ascii="宋体" w:hAnsi="宋体"/>
          <w:b/>
          <w:color w:val="auto"/>
          <w:sz w:val="28"/>
        </w:rPr>
        <w:t>附件16</w:t>
      </w:r>
    </w:p>
    <w:p>
      <w:pPr>
        <w:pStyle w:val="41"/>
        <w:spacing w:line="360" w:lineRule="auto"/>
        <w:jc w:val="center"/>
        <w:rPr>
          <w:rFonts w:ascii="宋体" w:hAnsi="宋体"/>
          <w:b/>
          <w:color w:val="auto"/>
          <w:sz w:val="32"/>
          <w:szCs w:val="32"/>
          <w:lang w:val="en-GB"/>
        </w:rPr>
      </w:pPr>
      <w:bookmarkStart w:id="89" w:name="_Toc17646_WPSOffice_Level1"/>
      <w:bookmarkStart w:id="90" w:name="_Toc27483_WPSOffice_Level1"/>
      <w:r>
        <w:rPr>
          <w:rFonts w:hint="eastAsia" w:ascii="宋体" w:hAnsi="宋体"/>
          <w:b/>
          <w:color w:val="auto"/>
          <w:sz w:val="32"/>
          <w:szCs w:val="32"/>
          <w:lang w:val="en-GB"/>
        </w:rPr>
        <w:t>中小企业声明函</w:t>
      </w:r>
    </w:p>
    <w:p>
      <w:pPr>
        <w:pStyle w:val="41"/>
        <w:spacing w:line="360" w:lineRule="auto"/>
        <w:jc w:val="center"/>
        <w:rPr>
          <w:rFonts w:ascii="宋体" w:hAnsi="宋体"/>
          <w:b/>
          <w:color w:val="auto"/>
          <w:sz w:val="24"/>
          <w:lang w:val="en-GB"/>
        </w:rPr>
      </w:pPr>
    </w:p>
    <w:p>
      <w:pPr>
        <w:pStyle w:val="41"/>
        <w:spacing w:line="360" w:lineRule="auto"/>
        <w:ind w:firstLine="480" w:firstLineChars="200"/>
        <w:rPr>
          <w:rFonts w:ascii="宋体" w:hAnsi="宋体"/>
          <w:color w:val="auto"/>
          <w:sz w:val="24"/>
        </w:rPr>
      </w:pPr>
      <w:r>
        <w:rPr>
          <w:rFonts w:hint="eastAsia" w:ascii="宋体" w:hAnsi="宋体"/>
          <w:color w:val="auto"/>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1"/>
        <w:numPr>
          <w:ilvl w:val="0"/>
          <w:numId w:val="25"/>
        </w:numPr>
        <w:spacing w:line="360" w:lineRule="auto"/>
        <w:ind w:firstLine="480" w:firstLineChars="200"/>
        <w:rPr>
          <w:rFonts w:ascii="宋体" w:hAnsi="宋体"/>
          <w:color w:val="auto"/>
          <w:sz w:val="24"/>
        </w:rPr>
      </w:pPr>
      <w:r>
        <w:rPr>
          <w:rFonts w:hint="eastAsia" w:ascii="宋体" w:hAnsi="宋体"/>
          <w:color w:val="auto"/>
          <w:sz w:val="24"/>
        </w:rPr>
        <w:t>（标的名称），属于（招标文件中明确的所属行业）；承建（承接）企业为（企业名称），从业人员人，营业收入为万元，资产总额为万元</w:t>
      </w:r>
      <w:r>
        <w:rPr>
          <w:rFonts w:hint="eastAsia" w:ascii="宋体" w:hAnsi="宋体" w:cs="宋体"/>
          <w:color w:val="auto"/>
          <w:sz w:val="24"/>
        </w:rPr>
        <w:fldChar w:fldCharType="begin"/>
      </w:r>
      <w:r>
        <w:rPr>
          <w:rFonts w:hint="eastAsia" w:ascii="宋体" w:hAnsi="宋体" w:cs="宋体"/>
          <w:color w:val="auto"/>
          <w:sz w:val="24"/>
        </w:rPr>
        <w:instrText xml:space="preserve"> = 1 \* GB3 </w:instrText>
      </w:r>
      <w:r>
        <w:rPr>
          <w:rFonts w:hint="eastAsia" w:ascii="宋体" w:hAnsi="宋体" w:cs="宋体"/>
          <w:color w:val="auto"/>
          <w:sz w:val="24"/>
        </w:rPr>
        <w:fldChar w:fldCharType="separate"/>
      </w:r>
      <w:r>
        <w:rPr>
          <w:rFonts w:hint="eastAsia" w:ascii="宋体" w:hAnsi="宋体" w:cs="宋体"/>
          <w:color w:val="auto"/>
          <w:sz w:val="24"/>
        </w:rPr>
        <w:t>①</w:t>
      </w:r>
      <w:r>
        <w:rPr>
          <w:rFonts w:hint="eastAsia" w:ascii="宋体" w:hAnsi="宋体" w:cs="宋体"/>
          <w:color w:val="auto"/>
          <w:sz w:val="24"/>
        </w:rPr>
        <w:fldChar w:fldCharType="end"/>
      </w:r>
      <w:r>
        <w:rPr>
          <w:rFonts w:hint="eastAsia" w:ascii="宋体" w:hAnsi="宋体"/>
          <w:color w:val="auto"/>
          <w:sz w:val="24"/>
        </w:rPr>
        <w:t>，属于（中型企业、小型企业、微型企业）；</w:t>
      </w:r>
    </w:p>
    <w:p>
      <w:pPr>
        <w:pStyle w:val="41"/>
        <w:spacing w:line="360" w:lineRule="auto"/>
        <w:ind w:firstLine="480" w:firstLineChars="200"/>
        <w:rPr>
          <w:rFonts w:ascii="宋体" w:hAnsi="宋体"/>
          <w:color w:val="auto"/>
          <w:sz w:val="24"/>
        </w:rPr>
      </w:pPr>
      <w:r>
        <w:rPr>
          <w:rFonts w:hint="eastAsia" w:ascii="宋体" w:hAnsi="宋体"/>
          <w:color w:val="auto"/>
          <w:sz w:val="24"/>
        </w:rPr>
        <w:t>2.（标的名称），属于（招标文件中明确的所属行业）；承建（承接）企业为（企业名称），从业人员人，营业收入为万元，资产总额为万元，属于（中型企业、小型企业、微型企业）；</w:t>
      </w:r>
    </w:p>
    <w:p>
      <w:pPr>
        <w:pStyle w:val="41"/>
        <w:spacing w:line="360" w:lineRule="auto"/>
        <w:ind w:firstLine="480" w:firstLineChars="200"/>
        <w:rPr>
          <w:rFonts w:ascii="宋体" w:hAnsi="宋体"/>
          <w:color w:val="auto"/>
          <w:sz w:val="24"/>
        </w:rPr>
      </w:pPr>
      <w:r>
        <w:rPr>
          <w:rFonts w:hint="eastAsia" w:ascii="宋体" w:hAnsi="宋体"/>
          <w:color w:val="auto"/>
          <w:sz w:val="24"/>
        </w:rPr>
        <w:t>……以上企业，不属于大企业的分支机构，不存在控股股东为大企业的情形，也不存在与大企业的负责人为同一人的情形。</w:t>
      </w:r>
    </w:p>
    <w:p>
      <w:pPr>
        <w:pStyle w:val="41"/>
        <w:spacing w:line="360" w:lineRule="auto"/>
        <w:ind w:firstLine="480" w:firstLineChars="200"/>
        <w:rPr>
          <w:rFonts w:ascii="宋体" w:hAnsi="宋体"/>
          <w:color w:val="auto"/>
          <w:sz w:val="24"/>
        </w:rPr>
      </w:pPr>
      <w:r>
        <w:rPr>
          <w:rFonts w:hint="eastAsia" w:ascii="宋体" w:hAnsi="宋体"/>
          <w:color w:val="auto"/>
          <w:sz w:val="24"/>
        </w:rPr>
        <w:t>本企业对上述声明内容的真实性负责。如有虚假，将依法承担相应责任。</w:t>
      </w:r>
    </w:p>
    <w:p>
      <w:pPr>
        <w:pStyle w:val="41"/>
        <w:spacing w:line="360" w:lineRule="auto"/>
        <w:ind w:firstLine="480" w:firstLineChars="200"/>
        <w:rPr>
          <w:rFonts w:ascii="宋体" w:hAnsi="宋体" w:cs="Arial"/>
          <w:bCs/>
          <w:color w:val="auto"/>
          <w:sz w:val="24"/>
        </w:rPr>
      </w:pPr>
      <w:r>
        <w:rPr>
          <w:rFonts w:ascii="宋体" w:hAnsi="宋体" w:cs="Arial"/>
          <w:bCs/>
          <w:color w:val="auto"/>
          <w:sz w:val="24"/>
        </w:rPr>
        <w:t>信息查询</w:t>
      </w:r>
      <w:r>
        <w:rPr>
          <w:rFonts w:hint="eastAsia" w:ascii="宋体" w:hAnsi="宋体" w:cs="Arial"/>
          <w:bCs/>
          <w:color w:val="auto"/>
          <w:sz w:val="24"/>
        </w:rPr>
        <w:t>网址为：</w:t>
      </w:r>
    </w:p>
    <w:p>
      <w:pPr>
        <w:spacing w:line="360" w:lineRule="auto"/>
        <w:rPr>
          <w:rFonts w:hint="eastAsia" w:ascii="宋体" w:hAnsi="宋体" w:eastAsia="宋体"/>
          <w:b/>
          <w:color w:val="auto"/>
          <w:szCs w:val="21"/>
          <w:lang w:val="en-US" w:eastAsia="zh-CN"/>
        </w:rPr>
      </w:pPr>
      <w:r>
        <w:rPr>
          <w:rFonts w:hint="eastAsia" w:ascii="宋体" w:hAnsi="宋体"/>
          <w:b/>
          <w:color w:val="auto"/>
          <w:szCs w:val="21"/>
          <w:lang w:val="en-US" w:eastAsia="zh-CN"/>
        </w:rPr>
        <w:t>要求：</w:t>
      </w:r>
    </w:p>
    <w:p>
      <w:pPr>
        <w:numPr>
          <w:ilvl w:val="0"/>
          <w:numId w:val="26"/>
        </w:numPr>
        <w:autoSpaceDE/>
        <w:autoSpaceDN/>
        <w:adjustRightInd/>
        <w:spacing w:line="360" w:lineRule="auto"/>
        <w:ind w:left="435" w:right="0" w:firstLine="0"/>
        <w:rPr>
          <w:rFonts w:hint="eastAsia" w:ascii="宋体" w:hAnsi="宋体"/>
          <w:color w:val="auto"/>
          <w:sz w:val="21"/>
          <w:szCs w:val="21"/>
        </w:rPr>
      </w:pPr>
      <w:r>
        <w:rPr>
          <w:rFonts w:hint="eastAsia" w:ascii="宋体" w:hAnsi="宋体"/>
          <w:color w:val="auto"/>
          <w:sz w:val="21"/>
          <w:szCs w:val="21"/>
        </w:rPr>
        <w:t>如</w:t>
      </w:r>
      <w:r>
        <w:rPr>
          <w:rFonts w:hint="eastAsia" w:ascii="宋体" w:hAnsi="宋体"/>
          <w:color w:val="auto"/>
          <w:sz w:val="21"/>
          <w:szCs w:val="21"/>
          <w:lang w:eastAsia="zh-CN"/>
        </w:rPr>
        <w:t>响应</w:t>
      </w:r>
      <w:r>
        <w:rPr>
          <w:rFonts w:hint="eastAsia" w:ascii="宋体" w:hAnsi="宋体"/>
          <w:color w:val="auto"/>
          <w:sz w:val="21"/>
          <w:szCs w:val="21"/>
        </w:rPr>
        <w:t>产品由小微企业生产，则需提供中小企业声明函。</w:t>
      </w:r>
    </w:p>
    <w:p>
      <w:pPr>
        <w:numPr>
          <w:ilvl w:val="0"/>
          <w:numId w:val="26"/>
        </w:numPr>
        <w:autoSpaceDE/>
        <w:autoSpaceDN/>
        <w:adjustRightInd/>
        <w:spacing w:line="360" w:lineRule="auto"/>
        <w:ind w:left="435" w:right="0" w:firstLine="0"/>
        <w:rPr>
          <w:rFonts w:hint="eastAsia" w:ascii="宋体" w:hAnsi="宋体"/>
          <w:color w:val="auto"/>
          <w:sz w:val="21"/>
          <w:szCs w:val="21"/>
        </w:rPr>
      </w:pPr>
      <w:r>
        <w:rPr>
          <w:rFonts w:hint="eastAsia" w:ascii="宋体" w:hAnsi="宋体"/>
          <w:color w:val="auto"/>
          <w:sz w:val="21"/>
          <w:szCs w:val="21"/>
        </w:rPr>
        <w:t>如</w:t>
      </w:r>
      <w:r>
        <w:rPr>
          <w:rFonts w:hint="eastAsia" w:ascii="宋体" w:hAnsi="宋体"/>
          <w:color w:val="auto"/>
          <w:sz w:val="21"/>
          <w:szCs w:val="21"/>
          <w:lang w:eastAsia="zh-CN"/>
        </w:rPr>
        <w:t>成交</w:t>
      </w:r>
      <w:r>
        <w:rPr>
          <w:rFonts w:hint="eastAsia" w:ascii="宋体" w:hAnsi="宋体"/>
          <w:color w:val="auto"/>
          <w:sz w:val="21"/>
          <w:szCs w:val="21"/>
        </w:rPr>
        <w:t>人声明为小微企业，本声明函将随</w:t>
      </w:r>
      <w:r>
        <w:rPr>
          <w:rFonts w:hint="eastAsia" w:ascii="宋体" w:hAnsi="宋体"/>
          <w:color w:val="auto"/>
          <w:sz w:val="21"/>
          <w:szCs w:val="21"/>
          <w:lang w:eastAsia="zh-CN"/>
        </w:rPr>
        <w:t>成交</w:t>
      </w:r>
      <w:r>
        <w:rPr>
          <w:rFonts w:hint="eastAsia" w:ascii="宋体" w:hAnsi="宋体"/>
          <w:color w:val="auto"/>
          <w:sz w:val="21"/>
          <w:szCs w:val="21"/>
        </w:rPr>
        <w:t>结果同时公告，接受社会监督。</w:t>
      </w:r>
    </w:p>
    <w:p>
      <w:pPr>
        <w:pStyle w:val="41"/>
        <w:spacing w:line="360" w:lineRule="auto"/>
        <w:rPr>
          <w:rFonts w:ascii="宋体" w:hAnsi="宋体"/>
          <w:color w:val="auto"/>
          <w:spacing w:val="6"/>
          <w:sz w:val="24"/>
        </w:rPr>
      </w:pPr>
    </w:p>
    <w:p>
      <w:pPr>
        <w:pStyle w:val="41"/>
        <w:spacing w:line="360" w:lineRule="auto"/>
        <w:ind w:firstLine="480" w:firstLineChars="200"/>
        <w:rPr>
          <w:rFonts w:ascii="宋体" w:hAnsi="宋体" w:cs="Arial"/>
          <w:bCs/>
          <w:color w:val="auto"/>
          <w:sz w:val="24"/>
        </w:rPr>
      </w:pPr>
    </w:p>
    <w:p>
      <w:pPr>
        <w:pStyle w:val="41"/>
        <w:spacing w:line="360" w:lineRule="auto"/>
        <w:rPr>
          <w:rFonts w:ascii="宋体" w:hAnsi="宋体"/>
          <w:color w:val="auto"/>
          <w:sz w:val="24"/>
        </w:rPr>
      </w:pPr>
    </w:p>
    <w:p>
      <w:pPr>
        <w:pStyle w:val="41"/>
        <w:spacing w:line="360" w:lineRule="auto"/>
        <w:ind w:firstLine="4800" w:firstLineChars="2000"/>
        <w:rPr>
          <w:rFonts w:ascii="宋体" w:hAnsi="宋体"/>
          <w:color w:val="auto"/>
          <w:sz w:val="24"/>
        </w:rPr>
      </w:pPr>
      <w:r>
        <w:rPr>
          <w:rFonts w:hint="eastAsia" w:ascii="宋体" w:hAnsi="宋体"/>
          <w:color w:val="auto"/>
          <w:sz w:val="24"/>
        </w:rPr>
        <w:t>企业名称（盖章）：</w:t>
      </w:r>
    </w:p>
    <w:p>
      <w:pPr>
        <w:pStyle w:val="41"/>
        <w:spacing w:line="360" w:lineRule="auto"/>
        <w:ind w:firstLine="4800" w:firstLineChars="2000"/>
        <w:rPr>
          <w:rFonts w:ascii="宋体" w:hAnsi="宋体"/>
          <w:color w:val="auto"/>
          <w:sz w:val="24"/>
        </w:rPr>
      </w:pPr>
      <w:r>
        <w:rPr>
          <w:rFonts w:hint="eastAsia" w:ascii="宋体" w:hAnsi="宋体"/>
          <w:color w:val="auto"/>
          <w:sz w:val="24"/>
        </w:rPr>
        <w:t>日期：××年××月××日</w:t>
      </w:r>
    </w:p>
    <w:p>
      <w:pPr>
        <w:pStyle w:val="14"/>
        <w:rPr>
          <w:rFonts w:ascii="宋体" w:hAnsi="宋体" w:cs="宋体"/>
          <w:color w:val="auto"/>
          <w:sz w:val="24"/>
          <w:szCs w:val="24"/>
        </w:rPr>
      </w:pPr>
    </w:p>
    <w:p>
      <w:pPr>
        <w:pStyle w:val="14"/>
        <w:rPr>
          <w:rFonts w:ascii="宋体" w:hAnsi="宋体" w:cs="宋体"/>
          <w:color w:val="auto"/>
          <w:sz w:val="24"/>
          <w:szCs w:val="24"/>
        </w:rPr>
      </w:pPr>
    </w:p>
    <w:p>
      <w:pPr>
        <w:spacing w:line="360" w:lineRule="auto"/>
        <w:rPr>
          <w:rFonts w:ascii="宋体" w:hAnsi="宋体" w:cs="宋体"/>
          <w:color w:val="auto"/>
          <w:sz w:val="24"/>
        </w:rPr>
      </w:pPr>
      <w:r>
        <w:rPr>
          <w:rFonts w:ascii="宋体" w:hAnsi="宋体" w:cs="宋体"/>
          <w:color w:val="auto"/>
          <w:sz w:val="24"/>
        </w:rPr>
        <mc:AlternateContent>
          <mc:Choice Requires="wps">
            <w:drawing>
              <wp:anchor distT="0" distB="0" distL="0" distR="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1026" name="直接连接符 3"/>
                <wp:cNvGraphicFramePr/>
                <a:graphic xmlns:a="http://schemas.openxmlformats.org/drawingml/2006/main">
                  <a:graphicData uri="http://schemas.microsoft.com/office/word/2010/wordprocessingShape">
                    <wps:wsp>
                      <wps:cNvCnPr/>
                      <wps:spPr>
                        <a:xfrm>
                          <a:off x="0" y="0"/>
                          <a:ext cx="2984500" cy="0"/>
                        </a:xfrm>
                        <a:prstGeom prst="line">
                          <a:avLst/>
                        </a:prstGeom>
                        <a:ln w="15875" cap="flat" cmpd="sng">
                          <a:solidFill>
                            <a:srgbClr val="000000"/>
                          </a:solidFill>
                          <a:prstDash val="solid"/>
                          <a:miter/>
                        </a:ln>
                      </wps:spPr>
                      <wps:bodyPr/>
                    </wps:wsp>
                  </a:graphicData>
                </a:graphic>
              </wp:anchor>
            </w:drawing>
          </mc:Choice>
          <mc:Fallback>
            <w:pict>
              <v:line id="直接连接符 3"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0UqpXTAAAABgEAAA8AAAAAAAAAAQAgAAAAIgAAAGRycy9kb3ducmV2LnhtbFBLAQIUABQAAAAI&#10;AIdO4kDmpSL7uQEAAEQDAAAOAAAAAAAAAAEAIAAAACIBAABkcnMvZTJvRG9jLnhtbFBLBQYAAAAA&#10;BgAGAFkBAABNBQAAAAA=&#10;">
                <v:fill on="f" focussize="0,0"/>
                <v:stroke weight="1.25pt" color="#000000" joinstyle="miter"/>
                <v:imagedata o:title=""/>
                <o:lock v:ext="edit" aspectratio="f"/>
              </v:line>
            </w:pict>
          </mc:Fallback>
        </mc:AlternateContent>
      </w:r>
    </w:p>
    <w:p>
      <w:pPr>
        <w:spacing w:line="360" w:lineRule="auto"/>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 1 \* GB3 </w:instrText>
      </w:r>
      <w:r>
        <w:rPr>
          <w:rFonts w:hint="eastAsia" w:ascii="宋体" w:hAnsi="宋体" w:cs="宋体"/>
          <w:color w:val="auto"/>
          <w:sz w:val="24"/>
        </w:rPr>
        <w:fldChar w:fldCharType="separate"/>
      </w:r>
      <w:r>
        <w:rPr>
          <w:rFonts w:hint="eastAsia" w:ascii="宋体" w:hAnsi="宋体" w:cs="宋体"/>
          <w:color w:val="auto"/>
          <w:sz w:val="24"/>
        </w:rPr>
        <w:t>①</w:t>
      </w:r>
      <w:r>
        <w:rPr>
          <w:rFonts w:hint="eastAsia" w:ascii="宋体" w:hAnsi="宋体" w:cs="宋体"/>
          <w:color w:val="auto"/>
          <w:sz w:val="24"/>
        </w:rPr>
        <w:fldChar w:fldCharType="end"/>
      </w:r>
      <w:r>
        <w:rPr>
          <w:rFonts w:hint="eastAsia" w:ascii="宋体" w:hAnsi="宋体" w:cs="宋体"/>
          <w:color w:val="auto"/>
          <w:sz w:val="24"/>
        </w:rPr>
        <w:t>从业人员、营业收入、资产总额填报上一年度数据，无上一年度数据的新成立企业可不填报。</w:t>
      </w:r>
    </w:p>
    <w:p>
      <w:pPr>
        <w:spacing w:line="360" w:lineRule="auto"/>
        <w:rPr>
          <w:rFonts w:ascii="宋体" w:hAnsi="宋体" w:cs="宋体"/>
          <w:color w:val="auto"/>
          <w:sz w:val="24"/>
        </w:rPr>
      </w:pPr>
    </w:p>
    <w:p>
      <w:pPr>
        <w:pStyle w:val="2"/>
        <w:rPr>
          <w:color w:val="auto"/>
        </w:rPr>
      </w:pPr>
    </w:p>
    <w:p>
      <w:pPr>
        <w:pStyle w:val="15"/>
        <w:spacing w:line="360" w:lineRule="auto"/>
        <w:jc w:val="center"/>
        <w:outlineLvl w:val="1"/>
        <w:rPr>
          <w:rFonts w:hAnsi="宋体"/>
          <w:b/>
          <w:color w:val="auto"/>
          <w:sz w:val="32"/>
          <w:szCs w:val="32"/>
          <w:lang w:val="en-GB"/>
        </w:rPr>
      </w:pPr>
      <w:r>
        <w:rPr>
          <w:rFonts w:hint="eastAsia" w:hAnsi="宋体"/>
          <w:b/>
          <w:color w:val="auto"/>
          <w:sz w:val="32"/>
          <w:szCs w:val="32"/>
          <w:lang w:val="en-GB"/>
        </w:rPr>
        <w:t>残疾人福利性单位声明函</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u w:val="single"/>
        </w:rPr>
        <w:t xml:space="preserve">    政府采购中心 </w:t>
      </w:r>
      <w:r>
        <w:rPr>
          <w:rFonts w:hint="eastAsia" w:ascii="宋体" w:hAnsi="宋体" w:cs="宋体"/>
          <w:color w:val="auto"/>
          <w:sz w:val="24"/>
        </w:rPr>
        <w:t>单位的</w:t>
      </w:r>
      <w:r>
        <w:rPr>
          <w:rFonts w:hint="eastAsia" w:ascii="宋体" w:hAnsi="宋体" w:cs="宋体"/>
          <w:color w:val="auto"/>
          <w:sz w:val="24"/>
          <w:u w:val="single"/>
        </w:rPr>
        <w:t xml:space="preserve">          </w:t>
      </w:r>
      <w:r>
        <w:rPr>
          <w:rFonts w:hint="eastAsia" w:ascii="宋体" w:hAnsi="宋体" w:cs="宋体"/>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color w:val="auto"/>
          <w:sz w:val="24"/>
        </w:rPr>
      </w:pPr>
      <w:r>
        <w:rPr>
          <w:rFonts w:hint="eastAsia" w:ascii="宋体" w:hAnsi="宋体" w:cs="宋体"/>
          <w:color w:val="auto"/>
          <w:sz w:val="24"/>
        </w:rPr>
        <w:t xml:space="preserve">           </w:t>
      </w:r>
    </w:p>
    <w:p>
      <w:pPr>
        <w:tabs>
          <w:tab w:val="left" w:pos="4860"/>
        </w:tabs>
        <w:spacing w:line="588" w:lineRule="exact"/>
        <w:ind w:right="1560" w:firstLine="480" w:firstLineChars="200"/>
        <w:jc w:val="center"/>
        <w:rPr>
          <w:rFonts w:ascii="宋体" w:hAnsi="宋体" w:cs="宋体"/>
          <w:color w:val="auto"/>
          <w:sz w:val="24"/>
        </w:rPr>
      </w:pPr>
      <w:r>
        <w:rPr>
          <w:rFonts w:hint="eastAsia" w:ascii="宋体" w:hAnsi="宋体" w:cs="宋体"/>
          <w:color w:val="auto"/>
          <w:sz w:val="24"/>
        </w:rPr>
        <w:t xml:space="preserve">                                单位名称（盖章）：</w:t>
      </w:r>
    </w:p>
    <w:p>
      <w:pPr>
        <w:tabs>
          <w:tab w:val="left" w:pos="4860"/>
        </w:tabs>
        <w:spacing w:line="588" w:lineRule="exact"/>
        <w:ind w:right="1560" w:firstLine="480" w:firstLineChars="200"/>
        <w:jc w:val="center"/>
        <w:rPr>
          <w:rFonts w:ascii="宋体" w:hAnsi="宋体" w:cs="宋体"/>
          <w:color w:val="auto"/>
          <w:sz w:val="24"/>
        </w:rPr>
      </w:pPr>
      <w:r>
        <w:rPr>
          <w:rFonts w:hint="eastAsia" w:ascii="宋体" w:hAnsi="宋体" w:cs="宋体"/>
          <w:color w:val="auto"/>
          <w:sz w:val="24"/>
        </w:rPr>
        <w:t xml:space="preserve">        </w:t>
      </w:r>
    </w:p>
    <w:p>
      <w:pPr>
        <w:tabs>
          <w:tab w:val="left" w:pos="4860"/>
        </w:tabs>
        <w:spacing w:line="588" w:lineRule="exact"/>
        <w:ind w:right="1560" w:firstLine="480" w:firstLineChars="200"/>
        <w:jc w:val="center"/>
        <w:rPr>
          <w:rFonts w:ascii="宋体" w:hAnsi="宋体" w:cs="宋体"/>
          <w:color w:val="auto"/>
          <w:sz w:val="24"/>
        </w:rPr>
      </w:pPr>
      <w:r>
        <w:rPr>
          <w:rFonts w:hint="eastAsia" w:ascii="宋体" w:hAnsi="宋体" w:cs="宋体"/>
          <w:color w:val="auto"/>
          <w:sz w:val="24"/>
        </w:rPr>
        <w:t xml:space="preserve">                                  日         期  ：</w:t>
      </w: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snapToGrid w:val="0"/>
        <w:spacing w:before="156" w:beforeLines="50" w:after="50" w:line="360" w:lineRule="auto"/>
        <w:outlineLvl w:val="0"/>
        <w:rPr>
          <w:rFonts w:ascii="仿宋_GB2312" w:hAnsi="宋体"/>
          <w:bCs/>
          <w:color w:val="auto"/>
          <w:sz w:val="30"/>
          <w:szCs w:val="30"/>
        </w:rPr>
      </w:pPr>
      <w:r>
        <w:rPr>
          <w:rFonts w:hint="eastAsia" w:ascii="宋体" w:hAnsi="宋体"/>
          <w:b/>
          <w:color w:val="auto"/>
          <w:sz w:val="28"/>
        </w:rPr>
        <w:t>附件17</w:t>
      </w:r>
    </w:p>
    <w:p>
      <w:pPr>
        <w:outlineLvl w:val="0"/>
        <w:rPr>
          <w:color w:val="auto"/>
          <w:sz w:val="28"/>
          <w:szCs w:val="28"/>
        </w:rPr>
      </w:pPr>
      <w:bookmarkStart w:id="91" w:name="_Toc5436"/>
      <w:r>
        <w:rPr>
          <w:rFonts w:hint="eastAsia"/>
          <w:color w:val="auto"/>
          <w:sz w:val="28"/>
          <w:szCs w:val="28"/>
        </w:rPr>
        <w:t>其余事项：</w:t>
      </w:r>
      <w:bookmarkEnd w:id="91"/>
    </w:p>
    <w:p>
      <w:pPr>
        <w:ind w:firstLine="560" w:firstLineChars="200"/>
        <w:outlineLvl w:val="0"/>
        <w:rPr>
          <w:color w:val="auto"/>
          <w:sz w:val="28"/>
          <w:szCs w:val="28"/>
        </w:rPr>
      </w:pPr>
      <w:bookmarkStart w:id="92" w:name="_Toc24067"/>
      <w:r>
        <w:rPr>
          <w:rFonts w:hint="eastAsia"/>
          <w:color w:val="auto"/>
          <w:sz w:val="28"/>
          <w:szCs w:val="28"/>
        </w:rPr>
        <w:t>协商供应商如有融资需求，可使用以下银行的政采贷服务。</w:t>
      </w:r>
      <w:bookmarkEnd w:id="92"/>
    </w:p>
    <w:tbl>
      <w:tblPr>
        <w:tblStyle w:val="26"/>
        <w:tblW w:w="8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1300"/>
        <w:gridCol w:w="1584"/>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银行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贷款年利率</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联系人</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中国工商银行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3.8%起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王霖</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88588246  13857654562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中国农业银行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3.8%起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龚盛</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中国建设银行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3.8%起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梅晶晶</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88525339</w:t>
            </w:r>
          </w:p>
          <w:p>
            <w:pPr>
              <w:spacing w:line="400" w:lineRule="exact"/>
              <w:jc w:val="center"/>
              <w:rPr>
                <w:rFonts w:ascii="Arial" w:hAnsi="Arial"/>
                <w:color w:val="auto"/>
                <w:sz w:val="28"/>
                <w:szCs w:val="28"/>
              </w:rPr>
            </w:pPr>
            <w:r>
              <w:rPr>
                <w:rFonts w:hint="eastAsia" w:ascii="Arial" w:hAnsi="Arial"/>
                <w:color w:val="auto"/>
                <w:sz w:val="28"/>
                <w:szCs w:val="28"/>
              </w:rPr>
              <w:t>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中国银行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3.75%起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任茜</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浦发银行台州分行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4.05%起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王渊</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浦发银行椒江分行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4.05%起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孙瑞华</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交通银行台州分行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3.75%起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周翔宇</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招商银行台州分行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4.32%起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王海玲</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浙商银行台州分行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5.01%起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章涉漪</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81880185</w:t>
            </w:r>
          </w:p>
          <w:p>
            <w:pPr>
              <w:spacing w:line="400" w:lineRule="exact"/>
              <w:jc w:val="center"/>
              <w:rPr>
                <w:rFonts w:ascii="Arial" w:hAnsi="Arial"/>
                <w:color w:val="auto"/>
                <w:sz w:val="28"/>
                <w:szCs w:val="28"/>
              </w:rPr>
            </w:pPr>
            <w:r>
              <w:rPr>
                <w:rFonts w:hint="eastAsia" w:ascii="Arial" w:hAnsi="Arial"/>
                <w:color w:val="auto"/>
                <w:sz w:val="28"/>
                <w:szCs w:val="28"/>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中信银行台州分行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4.15%起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陈金园</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华夏银行台州分行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4.5%起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邱明达</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81871518</w:t>
            </w:r>
          </w:p>
          <w:p>
            <w:pPr>
              <w:spacing w:line="400" w:lineRule="exact"/>
              <w:jc w:val="center"/>
              <w:rPr>
                <w:rFonts w:ascii="Arial" w:hAnsi="Arial"/>
                <w:color w:val="auto"/>
                <w:sz w:val="28"/>
                <w:szCs w:val="28"/>
              </w:rPr>
            </w:pPr>
            <w:r>
              <w:rPr>
                <w:rFonts w:hint="eastAsia" w:ascii="Arial" w:hAnsi="Arial"/>
                <w:color w:val="auto"/>
                <w:sz w:val="28"/>
                <w:szCs w:val="28"/>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泰隆银行开发区支行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5.6%起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梁宛莉</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民泰银行椒江支行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5.8%起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陈慧珠</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绍兴银行台州分行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5.1%起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郭庭斌</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温州银行台州分行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4.55%起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王晓波</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平安银行台州分行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6.53%起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李俊丽</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宁波银行台州分行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4.35%起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戴莉丽</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金华银行台州分行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4.05%起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金雪婷</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81886670</w:t>
            </w:r>
          </w:p>
          <w:p>
            <w:pPr>
              <w:spacing w:line="400" w:lineRule="exact"/>
              <w:jc w:val="center"/>
              <w:rPr>
                <w:rFonts w:ascii="Arial" w:hAnsi="Arial"/>
                <w:color w:val="auto"/>
                <w:sz w:val="28"/>
                <w:szCs w:val="28"/>
              </w:rPr>
            </w:pPr>
            <w:r>
              <w:rPr>
                <w:rFonts w:hint="eastAsia" w:ascii="Arial" w:hAnsi="Arial"/>
                <w:color w:val="auto"/>
                <w:sz w:val="28"/>
                <w:szCs w:val="28"/>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台州银行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5.6%起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洪婷</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邮储银行台州分行</w:t>
            </w:r>
          </w:p>
        </w:tc>
        <w:tc>
          <w:tcPr>
            <w:tcW w:w="1300" w:type="dxa"/>
            <w:vAlign w:val="center"/>
          </w:tcPr>
          <w:p>
            <w:pPr>
              <w:spacing w:line="400" w:lineRule="exact"/>
              <w:jc w:val="center"/>
              <w:rPr>
                <w:rFonts w:ascii="Arial" w:hAnsi="Arial"/>
                <w:color w:val="auto"/>
                <w:sz w:val="28"/>
                <w:szCs w:val="28"/>
              </w:rPr>
            </w:pPr>
            <w:r>
              <w:rPr>
                <w:rFonts w:hint="eastAsia" w:ascii="Arial" w:hAnsi="Arial"/>
                <w:color w:val="auto"/>
                <w:sz w:val="28"/>
                <w:szCs w:val="28"/>
              </w:rPr>
              <w:t>3.85%起</w:t>
            </w:r>
          </w:p>
        </w:tc>
        <w:tc>
          <w:tcPr>
            <w:tcW w:w="1584" w:type="dxa"/>
            <w:vAlign w:val="center"/>
          </w:tcPr>
          <w:p>
            <w:pPr>
              <w:spacing w:line="400" w:lineRule="exact"/>
              <w:jc w:val="center"/>
              <w:rPr>
                <w:rFonts w:ascii="Arial" w:hAnsi="Arial"/>
                <w:color w:val="auto"/>
                <w:sz w:val="28"/>
                <w:szCs w:val="28"/>
              </w:rPr>
            </w:pPr>
            <w:r>
              <w:rPr>
                <w:rFonts w:hint="eastAsia" w:ascii="Arial" w:hAnsi="Arial"/>
                <w:color w:val="auto"/>
                <w:sz w:val="28"/>
                <w:szCs w:val="28"/>
              </w:rPr>
              <w:t>董庆</w:t>
            </w:r>
          </w:p>
        </w:tc>
        <w:tc>
          <w:tcPr>
            <w:tcW w:w="2099" w:type="dxa"/>
            <w:vAlign w:val="center"/>
          </w:tcPr>
          <w:p>
            <w:pPr>
              <w:spacing w:line="400" w:lineRule="exact"/>
              <w:jc w:val="center"/>
              <w:rPr>
                <w:rFonts w:ascii="Arial" w:hAnsi="Arial"/>
                <w:color w:val="auto"/>
                <w:sz w:val="28"/>
                <w:szCs w:val="28"/>
              </w:rPr>
            </w:pPr>
            <w:r>
              <w:rPr>
                <w:rFonts w:hint="eastAsia" w:ascii="Arial" w:hAnsi="Arial"/>
                <w:color w:val="auto"/>
                <w:sz w:val="28"/>
                <w:szCs w:val="28"/>
              </w:rPr>
              <w:t>81888982</w:t>
            </w:r>
          </w:p>
          <w:p>
            <w:pPr>
              <w:spacing w:line="400" w:lineRule="exact"/>
              <w:jc w:val="center"/>
              <w:rPr>
                <w:rFonts w:ascii="Arial" w:hAnsi="Arial"/>
                <w:color w:val="auto"/>
                <w:sz w:val="28"/>
                <w:szCs w:val="28"/>
              </w:rPr>
            </w:pPr>
            <w:r>
              <w:rPr>
                <w:rFonts w:hint="eastAsia" w:ascii="Arial" w:hAnsi="Arial"/>
                <w:color w:val="auto"/>
                <w:sz w:val="28"/>
                <w:szCs w:val="28"/>
              </w:rPr>
              <w:t>18957683735</w:t>
            </w:r>
          </w:p>
        </w:tc>
      </w:tr>
    </w:tbl>
    <w:p>
      <w:pPr>
        <w:pStyle w:val="14"/>
        <w:rPr>
          <w:color w:val="auto"/>
        </w:rPr>
      </w:pPr>
    </w:p>
    <w:p>
      <w:pPr>
        <w:pStyle w:val="14"/>
        <w:rPr>
          <w:color w:val="auto"/>
        </w:rPr>
      </w:pPr>
    </w:p>
    <w:p>
      <w:pPr>
        <w:outlineLvl w:val="0"/>
        <w:rPr>
          <w:color w:val="auto"/>
          <w:sz w:val="28"/>
          <w:szCs w:val="28"/>
        </w:rPr>
      </w:pPr>
      <w:bookmarkStart w:id="93" w:name="_Toc4895"/>
      <w:r>
        <w:rPr>
          <w:rFonts w:hint="eastAsia"/>
          <w:color w:val="auto"/>
          <w:sz w:val="28"/>
          <w:szCs w:val="28"/>
        </w:rPr>
        <w:t>协商供应商如有合同履约或预付款保函需要，可联系以下保险公司。</w:t>
      </w:r>
      <w:bookmarkEnd w:id="93"/>
    </w:p>
    <w:p>
      <w:pPr>
        <w:outlineLvl w:val="0"/>
        <w:rPr>
          <w:color w:val="auto"/>
          <w:sz w:val="28"/>
          <w:szCs w:val="28"/>
        </w:rPr>
      </w:pPr>
      <w:bookmarkStart w:id="94" w:name="_Toc4774"/>
      <w:r>
        <w:rPr>
          <w:rFonts w:hint="eastAsia"/>
          <w:color w:val="auto"/>
          <w:sz w:val="28"/>
          <w:szCs w:val="28"/>
        </w:rPr>
        <w:t>合同履约保函联系方式：</w:t>
      </w:r>
      <w:bookmarkEnd w:id="94"/>
    </w:p>
    <w:tbl>
      <w:tblPr>
        <w:tblStyle w:val="26"/>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4"/>
        <w:gridCol w:w="1791"/>
        <w:gridCol w:w="1471"/>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Arial" w:hAnsi="Arial"/>
                <w:color w:val="auto"/>
                <w:sz w:val="32"/>
                <w:szCs w:val="32"/>
              </w:rPr>
            </w:pPr>
            <w:r>
              <w:rPr>
                <w:rFonts w:hint="eastAsia" w:ascii="Arial" w:hAnsi="Arial"/>
                <w:color w:val="auto"/>
                <w:sz w:val="32"/>
                <w:szCs w:val="32"/>
              </w:rPr>
              <w:t>保险公司</w:t>
            </w:r>
          </w:p>
        </w:tc>
        <w:tc>
          <w:tcPr>
            <w:tcW w:w="1791" w:type="dxa"/>
            <w:vAlign w:val="center"/>
          </w:tcPr>
          <w:p>
            <w:pPr>
              <w:jc w:val="center"/>
              <w:rPr>
                <w:rFonts w:ascii="Arial" w:hAnsi="Arial"/>
                <w:color w:val="auto"/>
                <w:sz w:val="32"/>
                <w:szCs w:val="32"/>
              </w:rPr>
            </w:pPr>
            <w:r>
              <w:rPr>
                <w:rFonts w:hint="eastAsia" w:ascii="Arial" w:hAnsi="Arial"/>
                <w:color w:val="auto"/>
                <w:sz w:val="32"/>
                <w:szCs w:val="32"/>
              </w:rPr>
              <w:t>保费率</w:t>
            </w:r>
          </w:p>
        </w:tc>
        <w:tc>
          <w:tcPr>
            <w:tcW w:w="1471" w:type="dxa"/>
            <w:vAlign w:val="center"/>
          </w:tcPr>
          <w:p>
            <w:pPr>
              <w:jc w:val="center"/>
              <w:rPr>
                <w:rFonts w:ascii="Arial" w:hAnsi="Arial"/>
                <w:color w:val="auto"/>
                <w:sz w:val="32"/>
                <w:szCs w:val="32"/>
              </w:rPr>
            </w:pPr>
            <w:r>
              <w:rPr>
                <w:rFonts w:hint="eastAsia" w:ascii="Arial" w:hAnsi="Arial"/>
                <w:color w:val="auto"/>
                <w:sz w:val="32"/>
                <w:szCs w:val="32"/>
              </w:rPr>
              <w:t>联系人</w:t>
            </w:r>
          </w:p>
        </w:tc>
        <w:tc>
          <w:tcPr>
            <w:tcW w:w="1678" w:type="dxa"/>
            <w:vAlign w:val="center"/>
          </w:tcPr>
          <w:p>
            <w:pPr>
              <w:jc w:val="center"/>
              <w:rPr>
                <w:rFonts w:ascii="Arial" w:hAnsi="Arial"/>
                <w:color w:val="auto"/>
                <w:sz w:val="32"/>
                <w:szCs w:val="32"/>
              </w:rPr>
            </w:pPr>
            <w:r>
              <w:rPr>
                <w:rFonts w:hint="eastAsia" w:ascii="Arial" w:hAnsi="Arial"/>
                <w:color w:val="auto"/>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color w:val="auto"/>
                <w:sz w:val="24"/>
              </w:rPr>
            </w:pPr>
            <w:r>
              <w:rPr>
                <w:rFonts w:hint="eastAsia" w:ascii="宋体" w:hAnsi="宋体" w:cs="宋体"/>
                <w:color w:val="auto"/>
                <w:sz w:val="24"/>
              </w:rPr>
              <w:t>中国人寿财产保险股份有限公司台州中心支公司</w:t>
            </w:r>
          </w:p>
        </w:tc>
        <w:tc>
          <w:tcPr>
            <w:tcW w:w="1791" w:type="dxa"/>
            <w:vAlign w:val="center"/>
          </w:tcPr>
          <w:p>
            <w:pPr>
              <w:jc w:val="center"/>
              <w:rPr>
                <w:rFonts w:ascii="宋体" w:hAnsi="宋体" w:cs="宋体"/>
                <w:color w:val="auto"/>
                <w:sz w:val="24"/>
              </w:rPr>
            </w:pPr>
            <w:r>
              <w:rPr>
                <w:rFonts w:hint="eastAsia" w:ascii="宋体" w:hAnsi="宋体" w:cs="宋体"/>
                <w:color w:val="auto"/>
                <w:sz w:val="24"/>
              </w:rPr>
              <w:t>年费率1%，最低保费500元</w:t>
            </w:r>
          </w:p>
        </w:tc>
        <w:tc>
          <w:tcPr>
            <w:tcW w:w="1471" w:type="dxa"/>
            <w:vAlign w:val="center"/>
          </w:tcPr>
          <w:p>
            <w:pPr>
              <w:jc w:val="center"/>
              <w:rPr>
                <w:rFonts w:ascii="宋体" w:hAnsi="宋体" w:cs="宋体"/>
                <w:color w:val="auto"/>
                <w:sz w:val="24"/>
              </w:rPr>
            </w:pPr>
            <w:r>
              <w:rPr>
                <w:rFonts w:hint="eastAsia" w:ascii="宋体" w:hAnsi="宋体" w:cs="宋体"/>
                <w:color w:val="auto"/>
                <w:sz w:val="24"/>
              </w:rPr>
              <w:t>徐凌</w:t>
            </w:r>
          </w:p>
        </w:tc>
        <w:tc>
          <w:tcPr>
            <w:tcW w:w="1678" w:type="dxa"/>
            <w:vAlign w:val="center"/>
          </w:tcPr>
          <w:p>
            <w:pPr>
              <w:jc w:val="center"/>
              <w:rPr>
                <w:rFonts w:ascii="宋体" w:hAnsi="宋体" w:cs="宋体"/>
                <w:color w:val="auto"/>
                <w:sz w:val="24"/>
              </w:rPr>
            </w:pPr>
            <w:r>
              <w:rPr>
                <w:rFonts w:hint="eastAsia" w:ascii="宋体" w:hAnsi="宋体" w:cs="宋体"/>
                <w:color w:val="auto"/>
                <w:sz w:val="24"/>
              </w:rPr>
              <w:t>13905168070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color w:val="auto"/>
                <w:sz w:val="24"/>
              </w:rPr>
            </w:pPr>
            <w:r>
              <w:rPr>
                <w:rFonts w:hint="eastAsia" w:ascii="宋体" w:hAnsi="宋体" w:cs="宋体"/>
                <w:color w:val="auto"/>
                <w:sz w:val="24"/>
              </w:rPr>
              <w:t>永诚财产保险股份有限公司台州分公司</w:t>
            </w:r>
          </w:p>
        </w:tc>
        <w:tc>
          <w:tcPr>
            <w:tcW w:w="1791" w:type="dxa"/>
            <w:vAlign w:val="center"/>
          </w:tcPr>
          <w:p>
            <w:pPr>
              <w:jc w:val="center"/>
              <w:rPr>
                <w:rFonts w:ascii="宋体" w:hAnsi="宋体" w:cs="宋体"/>
                <w:color w:val="auto"/>
                <w:sz w:val="24"/>
              </w:rPr>
            </w:pPr>
            <w:r>
              <w:rPr>
                <w:rFonts w:hint="eastAsia" w:ascii="宋体" w:hAnsi="宋体" w:cs="宋体"/>
                <w:color w:val="auto"/>
                <w:sz w:val="24"/>
              </w:rPr>
              <w:t>年费率1%，最低保费1000元</w:t>
            </w:r>
          </w:p>
        </w:tc>
        <w:tc>
          <w:tcPr>
            <w:tcW w:w="1471" w:type="dxa"/>
            <w:vAlign w:val="center"/>
          </w:tcPr>
          <w:p>
            <w:pPr>
              <w:jc w:val="center"/>
              <w:rPr>
                <w:rFonts w:ascii="宋体" w:hAnsi="宋体" w:cs="宋体"/>
                <w:color w:val="auto"/>
                <w:sz w:val="24"/>
              </w:rPr>
            </w:pPr>
            <w:r>
              <w:rPr>
                <w:rFonts w:hint="eastAsia" w:ascii="宋体" w:hAnsi="宋体" w:cs="宋体"/>
                <w:color w:val="auto"/>
                <w:sz w:val="24"/>
              </w:rPr>
              <w:t>尹刚强</w:t>
            </w:r>
          </w:p>
        </w:tc>
        <w:tc>
          <w:tcPr>
            <w:tcW w:w="1678" w:type="dxa"/>
            <w:vAlign w:val="center"/>
          </w:tcPr>
          <w:p>
            <w:pPr>
              <w:jc w:val="center"/>
              <w:rPr>
                <w:rFonts w:ascii="宋体" w:hAnsi="宋体" w:cs="宋体"/>
                <w:color w:val="auto"/>
                <w:sz w:val="24"/>
              </w:rPr>
            </w:pPr>
            <w:r>
              <w:rPr>
                <w:rFonts w:hint="eastAsia" w:ascii="宋体" w:hAnsi="宋体" w:cs="宋体"/>
                <w:color w:val="auto"/>
                <w:sz w:val="24"/>
              </w:rPr>
              <w:t>13750668184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color w:val="auto"/>
                <w:sz w:val="24"/>
              </w:rPr>
            </w:pPr>
            <w:r>
              <w:rPr>
                <w:rFonts w:hint="eastAsia" w:ascii="宋体" w:hAnsi="宋体" w:cs="宋体"/>
                <w:color w:val="auto"/>
                <w:sz w:val="24"/>
              </w:rPr>
              <w:t>华泰财产保险有限公司台州中心支公司</w:t>
            </w:r>
          </w:p>
        </w:tc>
        <w:tc>
          <w:tcPr>
            <w:tcW w:w="1791" w:type="dxa"/>
            <w:vAlign w:val="center"/>
          </w:tcPr>
          <w:p>
            <w:pPr>
              <w:jc w:val="center"/>
              <w:rPr>
                <w:rFonts w:ascii="宋体" w:hAnsi="宋体" w:cs="宋体"/>
                <w:color w:val="auto"/>
                <w:sz w:val="24"/>
              </w:rPr>
            </w:pPr>
            <w:r>
              <w:rPr>
                <w:rFonts w:hint="eastAsia" w:ascii="宋体" w:hAnsi="宋体" w:cs="宋体"/>
                <w:color w:val="auto"/>
                <w:sz w:val="24"/>
              </w:rPr>
              <w:t>年费率0.5%，最低保费1000元</w:t>
            </w:r>
          </w:p>
        </w:tc>
        <w:tc>
          <w:tcPr>
            <w:tcW w:w="1471" w:type="dxa"/>
            <w:vAlign w:val="center"/>
          </w:tcPr>
          <w:p>
            <w:pPr>
              <w:jc w:val="center"/>
              <w:rPr>
                <w:rFonts w:ascii="宋体" w:hAnsi="宋体" w:cs="宋体"/>
                <w:color w:val="auto"/>
                <w:sz w:val="24"/>
              </w:rPr>
            </w:pPr>
            <w:r>
              <w:rPr>
                <w:rFonts w:hint="eastAsia" w:ascii="宋体" w:hAnsi="宋体" w:cs="宋体"/>
                <w:color w:val="auto"/>
                <w:sz w:val="24"/>
              </w:rPr>
              <w:t>王灵芳</w:t>
            </w:r>
          </w:p>
        </w:tc>
        <w:tc>
          <w:tcPr>
            <w:tcW w:w="1678" w:type="dxa"/>
            <w:vAlign w:val="center"/>
          </w:tcPr>
          <w:p>
            <w:pPr>
              <w:jc w:val="center"/>
              <w:rPr>
                <w:rFonts w:ascii="宋体" w:hAnsi="宋体" w:cs="宋体"/>
                <w:color w:val="auto"/>
                <w:sz w:val="24"/>
              </w:rPr>
            </w:pPr>
            <w:r>
              <w:rPr>
                <w:rFonts w:hint="eastAsia" w:ascii="宋体" w:hAnsi="宋体" w:cs="宋体"/>
                <w:color w:val="auto"/>
                <w:sz w:val="24"/>
              </w:rPr>
              <w:t>88869818，13586123199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color w:val="auto"/>
                <w:sz w:val="24"/>
              </w:rPr>
            </w:pPr>
            <w:r>
              <w:rPr>
                <w:rFonts w:hint="eastAsia" w:ascii="宋体" w:hAnsi="宋体" w:cs="宋体"/>
                <w:color w:val="auto"/>
                <w:sz w:val="24"/>
              </w:rPr>
              <w:t>中国大地财产保险股份有限公司台州中心支公司</w:t>
            </w:r>
          </w:p>
        </w:tc>
        <w:tc>
          <w:tcPr>
            <w:tcW w:w="1791" w:type="dxa"/>
            <w:vAlign w:val="center"/>
          </w:tcPr>
          <w:p>
            <w:pPr>
              <w:jc w:val="center"/>
              <w:rPr>
                <w:rFonts w:ascii="宋体" w:hAnsi="宋体" w:cs="宋体"/>
                <w:color w:val="auto"/>
                <w:sz w:val="24"/>
              </w:rPr>
            </w:pPr>
            <w:r>
              <w:rPr>
                <w:rFonts w:hint="eastAsia" w:ascii="宋体" w:hAnsi="宋体" w:cs="宋体"/>
                <w:color w:val="auto"/>
                <w:sz w:val="24"/>
              </w:rPr>
              <w:t>年费率1.5%，最低保费500元</w:t>
            </w:r>
          </w:p>
        </w:tc>
        <w:tc>
          <w:tcPr>
            <w:tcW w:w="1471" w:type="dxa"/>
            <w:vAlign w:val="center"/>
          </w:tcPr>
          <w:p>
            <w:pPr>
              <w:jc w:val="center"/>
              <w:rPr>
                <w:rFonts w:ascii="宋体" w:hAnsi="宋体" w:cs="宋体"/>
                <w:color w:val="auto"/>
                <w:sz w:val="24"/>
              </w:rPr>
            </w:pPr>
            <w:r>
              <w:rPr>
                <w:rFonts w:hint="eastAsia" w:ascii="宋体" w:hAnsi="宋体" w:cs="宋体"/>
                <w:color w:val="auto"/>
                <w:sz w:val="24"/>
              </w:rPr>
              <w:t>徐小明</w:t>
            </w:r>
          </w:p>
        </w:tc>
        <w:tc>
          <w:tcPr>
            <w:tcW w:w="1678" w:type="dxa"/>
            <w:vAlign w:val="center"/>
          </w:tcPr>
          <w:p>
            <w:pPr>
              <w:jc w:val="center"/>
              <w:rPr>
                <w:rFonts w:ascii="宋体" w:hAnsi="宋体" w:cs="宋体"/>
                <w:color w:val="auto"/>
                <w:sz w:val="24"/>
              </w:rPr>
            </w:pPr>
            <w:r>
              <w:rPr>
                <w:rFonts w:hint="eastAsia" w:ascii="宋体" w:hAnsi="宋体" w:cs="宋体"/>
                <w:color w:val="auto"/>
                <w:sz w:val="24"/>
              </w:rPr>
              <w:t>88552788，13968603112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color w:val="auto"/>
                <w:sz w:val="24"/>
              </w:rPr>
            </w:pPr>
            <w:r>
              <w:rPr>
                <w:rFonts w:hint="eastAsia" w:ascii="宋体" w:hAnsi="宋体" w:cs="宋体"/>
                <w:color w:val="auto"/>
                <w:sz w:val="24"/>
              </w:rPr>
              <w:t>阳光保险台州中心支公司</w:t>
            </w:r>
          </w:p>
        </w:tc>
        <w:tc>
          <w:tcPr>
            <w:tcW w:w="1791" w:type="dxa"/>
            <w:vAlign w:val="center"/>
          </w:tcPr>
          <w:p>
            <w:pPr>
              <w:jc w:val="center"/>
              <w:rPr>
                <w:rFonts w:ascii="宋体" w:hAnsi="宋体" w:cs="宋体"/>
                <w:color w:val="auto"/>
                <w:sz w:val="24"/>
              </w:rPr>
            </w:pPr>
            <w:r>
              <w:rPr>
                <w:rFonts w:hint="eastAsia" w:ascii="宋体" w:hAnsi="宋体" w:cs="宋体"/>
                <w:color w:val="auto"/>
                <w:sz w:val="24"/>
              </w:rPr>
              <w:t>年费率1%，最低保费500元</w:t>
            </w:r>
          </w:p>
        </w:tc>
        <w:tc>
          <w:tcPr>
            <w:tcW w:w="1471" w:type="dxa"/>
            <w:vAlign w:val="center"/>
          </w:tcPr>
          <w:p>
            <w:pPr>
              <w:jc w:val="center"/>
              <w:rPr>
                <w:rFonts w:ascii="宋体" w:hAnsi="宋体" w:cs="宋体"/>
                <w:color w:val="auto"/>
                <w:sz w:val="24"/>
              </w:rPr>
            </w:pPr>
            <w:r>
              <w:rPr>
                <w:rFonts w:hint="eastAsia" w:ascii="宋体" w:hAnsi="宋体" w:cs="宋体"/>
                <w:color w:val="auto"/>
                <w:sz w:val="24"/>
              </w:rPr>
              <w:t>林高明</w:t>
            </w:r>
          </w:p>
        </w:tc>
        <w:tc>
          <w:tcPr>
            <w:tcW w:w="1678" w:type="dxa"/>
            <w:vAlign w:val="center"/>
          </w:tcPr>
          <w:p>
            <w:pPr>
              <w:jc w:val="center"/>
              <w:rPr>
                <w:rFonts w:ascii="宋体" w:hAnsi="宋体" w:cs="宋体"/>
                <w:color w:val="auto"/>
                <w:sz w:val="24"/>
              </w:rPr>
            </w:pPr>
            <w:r>
              <w:rPr>
                <w:rFonts w:hint="eastAsia" w:ascii="宋体" w:hAnsi="宋体" w:cs="宋体"/>
                <w:color w:val="auto"/>
                <w:sz w:val="24"/>
              </w:rPr>
              <w:t>15888682693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color w:val="auto"/>
                <w:sz w:val="24"/>
              </w:rPr>
            </w:pPr>
            <w:r>
              <w:rPr>
                <w:rFonts w:hint="eastAsia" w:ascii="宋体" w:hAnsi="宋体" w:cs="宋体"/>
                <w:color w:val="auto"/>
                <w:sz w:val="24"/>
              </w:rPr>
              <w:t>中华联合财产保险股份有限公司台州中心支公司</w:t>
            </w:r>
          </w:p>
        </w:tc>
        <w:tc>
          <w:tcPr>
            <w:tcW w:w="1791" w:type="dxa"/>
            <w:vAlign w:val="center"/>
          </w:tcPr>
          <w:p>
            <w:pPr>
              <w:jc w:val="center"/>
              <w:rPr>
                <w:rFonts w:ascii="宋体" w:hAnsi="宋体" w:cs="宋体"/>
                <w:color w:val="auto"/>
                <w:sz w:val="24"/>
              </w:rPr>
            </w:pPr>
            <w:r>
              <w:rPr>
                <w:rFonts w:hint="eastAsia" w:ascii="宋体" w:hAnsi="宋体" w:cs="宋体"/>
                <w:color w:val="auto"/>
                <w:sz w:val="24"/>
              </w:rPr>
              <w:t>年费率2%，最低保费500元</w:t>
            </w:r>
          </w:p>
        </w:tc>
        <w:tc>
          <w:tcPr>
            <w:tcW w:w="1471" w:type="dxa"/>
            <w:vAlign w:val="center"/>
          </w:tcPr>
          <w:p>
            <w:pPr>
              <w:jc w:val="center"/>
              <w:rPr>
                <w:rFonts w:ascii="宋体" w:hAnsi="宋体" w:cs="宋体"/>
                <w:color w:val="auto"/>
                <w:sz w:val="24"/>
              </w:rPr>
            </w:pPr>
            <w:r>
              <w:rPr>
                <w:rFonts w:hint="eastAsia" w:ascii="宋体" w:hAnsi="宋体" w:cs="宋体"/>
                <w:color w:val="auto"/>
                <w:sz w:val="24"/>
              </w:rPr>
              <w:t>王仙高</w:t>
            </w:r>
          </w:p>
        </w:tc>
        <w:tc>
          <w:tcPr>
            <w:tcW w:w="1678" w:type="dxa"/>
            <w:vAlign w:val="center"/>
          </w:tcPr>
          <w:p>
            <w:pPr>
              <w:jc w:val="center"/>
              <w:rPr>
                <w:rFonts w:ascii="宋体" w:hAnsi="宋体" w:cs="宋体"/>
                <w:color w:val="auto"/>
                <w:sz w:val="24"/>
              </w:rPr>
            </w:pPr>
            <w:r>
              <w:rPr>
                <w:rFonts w:hint="eastAsia" w:ascii="宋体" w:hAnsi="宋体" w:cs="宋体"/>
                <w:color w:val="auto"/>
                <w:sz w:val="24"/>
              </w:rPr>
              <w:t>13858600221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color w:val="auto"/>
                <w:sz w:val="24"/>
              </w:rPr>
            </w:pPr>
            <w:r>
              <w:rPr>
                <w:rFonts w:hint="eastAsia" w:ascii="宋体" w:hAnsi="宋体" w:cs="宋体"/>
                <w:color w:val="auto"/>
                <w:sz w:val="24"/>
              </w:rPr>
              <w:t>中国人民财产保险股份有限公司台州中心支公司</w:t>
            </w:r>
          </w:p>
        </w:tc>
        <w:tc>
          <w:tcPr>
            <w:tcW w:w="1791" w:type="dxa"/>
            <w:vAlign w:val="center"/>
          </w:tcPr>
          <w:p>
            <w:pPr>
              <w:jc w:val="center"/>
              <w:rPr>
                <w:rFonts w:ascii="宋体" w:hAnsi="宋体" w:cs="宋体"/>
                <w:color w:val="auto"/>
                <w:sz w:val="24"/>
              </w:rPr>
            </w:pPr>
            <w:r>
              <w:rPr>
                <w:rFonts w:hint="eastAsia" w:ascii="宋体" w:hAnsi="宋体" w:cs="宋体"/>
                <w:color w:val="auto"/>
                <w:sz w:val="24"/>
              </w:rPr>
              <w:t>年费率0.3%，最低保费1000元</w:t>
            </w:r>
          </w:p>
        </w:tc>
        <w:tc>
          <w:tcPr>
            <w:tcW w:w="1471" w:type="dxa"/>
            <w:vAlign w:val="center"/>
          </w:tcPr>
          <w:p>
            <w:pPr>
              <w:jc w:val="center"/>
              <w:rPr>
                <w:rFonts w:ascii="宋体" w:hAnsi="宋体" w:cs="宋体"/>
                <w:color w:val="auto"/>
                <w:sz w:val="24"/>
              </w:rPr>
            </w:pPr>
            <w:r>
              <w:rPr>
                <w:rFonts w:hint="eastAsia" w:ascii="宋体" w:hAnsi="宋体" w:cs="宋体"/>
                <w:color w:val="auto"/>
                <w:sz w:val="24"/>
              </w:rPr>
              <w:t>王仙春</w:t>
            </w:r>
          </w:p>
        </w:tc>
        <w:tc>
          <w:tcPr>
            <w:tcW w:w="1678" w:type="dxa"/>
            <w:vAlign w:val="center"/>
          </w:tcPr>
          <w:p>
            <w:pPr>
              <w:jc w:val="center"/>
              <w:rPr>
                <w:rFonts w:ascii="宋体" w:hAnsi="宋体" w:cs="宋体"/>
                <w:color w:val="auto"/>
                <w:sz w:val="24"/>
              </w:rPr>
            </w:pPr>
            <w:r>
              <w:rPr>
                <w:rFonts w:hint="eastAsia" w:ascii="宋体" w:hAnsi="宋体" w:cs="宋体"/>
                <w:color w:val="auto"/>
                <w:sz w:val="24"/>
              </w:rPr>
              <w:t>13515769179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color w:val="auto"/>
                <w:sz w:val="24"/>
              </w:rPr>
            </w:pPr>
            <w:r>
              <w:rPr>
                <w:rFonts w:hint="eastAsia" w:ascii="宋体" w:hAnsi="宋体" w:cs="宋体"/>
                <w:color w:val="auto"/>
                <w:sz w:val="24"/>
              </w:rPr>
              <w:t>永安财产保险股份有限公司台州中心支公司</w:t>
            </w:r>
          </w:p>
        </w:tc>
        <w:tc>
          <w:tcPr>
            <w:tcW w:w="1791" w:type="dxa"/>
            <w:vAlign w:val="center"/>
          </w:tcPr>
          <w:p>
            <w:pPr>
              <w:jc w:val="center"/>
              <w:rPr>
                <w:rFonts w:ascii="宋体" w:hAnsi="宋体" w:cs="宋体"/>
                <w:color w:val="auto"/>
                <w:sz w:val="24"/>
              </w:rPr>
            </w:pPr>
            <w:r>
              <w:rPr>
                <w:rFonts w:hint="eastAsia" w:ascii="宋体" w:hAnsi="宋体" w:cs="宋体"/>
                <w:color w:val="auto"/>
                <w:sz w:val="24"/>
              </w:rPr>
              <w:t>年费率0.3%，最低保费1000元</w:t>
            </w:r>
          </w:p>
        </w:tc>
        <w:tc>
          <w:tcPr>
            <w:tcW w:w="1471" w:type="dxa"/>
            <w:vAlign w:val="center"/>
          </w:tcPr>
          <w:p>
            <w:pPr>
              <w:jc w:val="center"/>
              <w:rPr>
                <w:rFonts w:ascii="宋体" w:hAnsi="宋体" w:cs="宋体"/>
                <w:color w:val="auto"/>
                <w:sz w:val="24"/>
              </w:rPr>
            </w:pPr>
            <w:r>
              <w:rPr>
                <w:rFonts w:hint="eastAsia" w:ascii="宋体" w:hAnsi="宋体" w:cs="宋体"/>
                <w:color w:val="auto"/>
                <w:sz w:val="24"/>
              </w:rPr>
              <w:t>王春宇</w:t>
            </w:r>
          </w:p>
        </w:tc>
        <w:tc>
          <w:tcPr>
            <w:tcW w:w="1678" w:type="dxa"/>
            <w:vAlign w:val="center"/>
          </w:tcPr>
          <w:p>
            <w:pPr>
              <w:jc w:val="center"/>
              <w:rPr>
                <w:rFonts w:ascii="宋体" w:hAnsi="宋体" w:cs="宋体"/>
                <w:color w:val="auto"/>
                <w:sz w:val="24"/>
              </w:rPr>
            </w:pPr>
            <w:r>
              <w:rPr>
                <w:rFonts w:hint="eastAsia" w:ascii="宋体" w:hAnsi="宋体" w:cs="宋体"/>
                <w:color w:val="auto"/>
                <w:sz w:val="24"/>
              </w:rPr>
              <w:t>13676675331</w:t>
            </w:r>
          </w:p>
        </w:tc>
      </w:tr>
    </w:tbl>
    <w:p>
      <w:pPr>
        <w:ind w:firstLine="640" w:firstLineChars="200"/>
        <w:rPr>
          <w:color w:val="auto"/>
          <w:sz w:val="32"/>
          <w:szCs w:val="32"/>
        </w:rPr>
      </w:pPr>
    </w:p>
    <w:p>
      <w:pPr>
        <w:ind w:firstLine="640" w:firstLineChars="200"/>
        <w:outlineLvl w:val="0"/>
        <w:rPr>
          <w:color w:val="auto"/>
          <w:sz w:val="32"/>
          <w:szCs w:val="32"/>
        </w:rPr>
      </w:pPr>
      <w:bookmarkStart w:id="95" w:name="_Toc4077"/>
      <w:r>
        <w:rPr>
          <w:rFonts w:hint="eastAsia"/>
          <w:color w:val="auto"/>
          <w:sz w:val="32"/>
          <w:szCs w:val="32"/>
        </w:rPr>
        <w:t>预付款保函联系方式</w:t>
      </w:r>
      <w:bookmarkEnd w:id="95"/>
    </w:p>
    <w:tbl>
      <w:tblPr>
        <w:tblStyle w:val="26"/>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5"/>
        <w:gridCol w:w="1602"/>
        <w:gridCol w:w="2027"/>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095" w:type="dxa"/>
            <w:vAlign w:val="center"/>
          </w:tcPr>
          <w:p>
            <w:pPr>
              <w:jc w:val="center"/>
              <w:rPr>
                <w:rFonts w:ascii="Arial" w:hAnsi="Arial"/>
                <w:color w:val="auto"/>
                <w:sz w:val="32"/>
                <w:szCs w:val="32"/>
              </w:rPr>
            </w:pPr>
            <w:r>
              <w:rPr>
                <w:rFonts w:hint="eastAsia" w:ascii="Arial" w:hAnsi="Arial"/>
                <w:color w:val="auto"/>
                <w:sz w:val="32"/>
                <w:szCs w:val="32"/>
              </w:rPr>
              <w:t>保险公司</w:t>
            </w:r>
          </w:p>
        </w:tc>
        <w:tc>
          <w:tcPr>
            <w:tcW w:w="1602" w:type="dxa"/>
            <w:vAlign w:val="center"/>
          </w:tcPr>
          <w:p>
            <w:pPr>
              <w:jc w:val="center"/>
              <w:rPr>
                <w:rFonts w:ascii="Arial" w:hAnsi="Arial"/>
                <w:color w:val="auto"/>
                <w:sz w:val="32"/>
                <w:szCs w:val="32"/>
              </w:rPr>
            </w:pPr>
            <w:r>
              <w:rPr>
                <w:rFonts w:hint="eastAsia" w:ascii="Arial" w:hAnsi="Arial"/>
                <w:color w:val="auto"/>
                <w:sz w:val="32"/>
                <w:szCs w:val="32"/>
              </w:rPr>
              <w:t>保费率</w:t>
            </w:r>
          </w:p>
        </w:tc>
        <w:tc>
          <w:tcPr>
            <w:tcW w:w="2027" w:type="dxa"/>
            <w:vAlign w:val="center"/>
          </w:tcPr>
          <w:p>
            <w:pPr>
              <w:jc w:val="center"/>
              <w:rPr>
                <w:rFonts w:ascii="Arial" w:hAnsi="Arial"/>
                <w:color w:val="auto"/>
                <w:sz w:val="32"/>
                <w:szCs w:val="32"/>
              </w:rPr>
            </w:pPr>
            <w:r>
              <w:rPr>
                <w:rFonts w:hint="eastAsia" w:ascii="Arial" w:hAnsi="Arial"/>
                <w:color w:val="auto"/>
                <w:sz w:val="32"/>
                <w:szCs w:val="32"/>
              </w:rPr>
              <w:t>联系人</w:t>
            </w:r>
          </w:p>
        </w:tc>
        <w:tc>
          <w:tcPr>
            <w:tcW w:w="1923" w:type="dxa"/>
            <w:vAlign w:val="center"/>
          </w:tcPr>
          <w:p>
            <w:pPr>
              <w:jc w:val="center"/>
              <w:rPr>
                <w:rFonts w:ascii="Arial" w:hAnsi="Arial"/>
                <w:color w:val="auto"/>
                <w:sz w:val="32"/>
                <w:szCs w:val="32"/>
              </w:rPr>
            </w:pPr>
            <w:r>
              <w:rPr>
                <w:rFonts w:hint="eastAsia" w:ascii="Arial" w:hAnsi="Arial"/>
                <w:color w:val="auto"/>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095" w:type="dxa"/>
            <w:vAlign w:val="center"/>
          </w:tcPr>
          <w:p>
            <w:pPr>
              <w:jc w:val="center"/>
              <w:rPr>
                <w:rFonts w:ascii="宋体" w:hAnsi="宋体" w:cs="宋体"/>
                <w:color w:val="auto"/>
                <w:sz w:val="24"/>
              </w:rPr>
            </w:pPr>
            <w:r>
              <w:rPr>
                <w:rFonts w:hint="eastAsia" w:ascii="宋体" w:hAnsi="宋体" w:cs="宋体"/>
                <w:color w:val="auto"/>
                <w:sz w:val="24"/>
              </w:rPr>
              <w:t>中国人寿财产保险股份有限公司台州中心支公司</w:t>
            </w:r>
          </w:p>
        </w:tc>
        <w:tc>
          <w:tcPr>
            <w:tcW w:w="1602" w:type="dxa"/>
            <w:vAlign w:val="center"/>
          </w:tcPr>
          <w:p>
            <w:pPr>
              <w:jc w:val="center"/>
              <w:rPr>
                <w:rFonts w:ascii="宋体" w:hAnsi="宋体" w:cs="宋体"/>
                <w:color w:val="auto"/>
                <w:sz w:val="24"/>
              </w:rPr>
            </w:pPr>
            <w:r>
              <w:rPr>
                <w:rFonts w:hint="eastAsia" w:ascii="宋体" w:hAnsi="宋体" w:cs="宋体"/>
                <w:color w:val="auto"/>
                <w:sz w:val="24"/>
              </w:rPr>
              <w:t>年费率3%，最低保费500元</w:t>
            </w:r>
          </w:p>
        </w:tc>
        <w:tc>
          <w:tcPr>
            <w:tcW w:w="2027" w:type="dxa"/>
            <w:vAlign w:val="center"/>
          </w:tcPr>
          <w:p>
            <w:pPr>
              <w:jc w:val="center"/>
              <w:rPr>
                <w:rFonts w:ascii="宋体" w:hAnsi="宋体" w:cs="宋体"/>
                <w:color w:val="auto"/>
                <w:sz w:val="24"/>
              </w:rPr>
            </w:pPr>
            <w:r>
              <w:rPr>
                <w:rFonts w:hint="eastAsia" w:ascii="宋体" w:hAnsi="宋体" w:cs="宋体"/>
                <w:color w:val="auto"/>
                <w:sz w:val="24"/>
              </w:rPr>
              <w:t>徐凌</w:t>
            </w:r>
          </w:p>
        </w:tc>
        <w:tc>
          <w:tcPr>
            <w:tcW w:w="1923" w:type="dxa"/>
            <w:vAlign w:val="center"/>
          </w:tcPr>
          <w:p>
            <w:pPr>
              <w:jc w:val="center"/>
              <w:rPr>
                <w:rFonts w:ascii="宋体" w:hAnsi="宋体" w:cs="宋体"/>
                <w:color w:val="auto"/>
                <w:sz w:val="24"/>
              </w:rPr>
            </w:pPr>
            <w:r>
              <w:rPr>
                <w:rFonts w:hint="eastAsia" w:ascii="宋体" w:hAnsi="宋体" w:cs="宋体"/>
                <w:color w:val="auto"/>
                <w:sz w:val="24"/>
              </w:rPr>
              <w:t>13905168070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095" w:type="dxa"/>
            <w:vAlign w:val="center"/>
          </w:tcPr>
          <w:p>
            <w:pPr>
              <w:jc w:val="center"/>
              <w:rPr>
                <w:rFonts w:ascii="宋体" w:hAnsi="宋体" w:cs="宋体"/>
                <w:color w:val="auto"/>
                <w:sz w:val="24"/>
              </w:rPr>
            </w:pPr>
            <w:r>
              <w:rPr>
                <w:rFonts w:hint="eastAsia" w:ascii="宋体" w:hAnsi="宋体" w:cs="宋体"/>
                <w:color w:val="auto"/>
                <w:sz w:val="24"/>
              </w:rPr>
              <w:t>阳光保险台州中心支公司</w:t>
            </w:r>
          </w:p>
        </w:tc>
        <w:tc>
          <w:tcPr>
            <w:tcW w:w="1602" w:type="dxa"/>
            <w:vAlign w:val="center"/>
          </w:tcPr>
          <w:p>
            <w:pPr>
              <w:jc w:val="center"/>
              <w:rPr>
                <w:rFonts w:ascii="宋体" w:hAnsi="宋体" w:cs="宋体"/>
                <w:color w:val="auto"/>
                <w:sz w:val="24"/>
              </w:rPr>
            </w:pPr>
            <w:r>
              <w:rPr>
                <w:rFonts w:hint="eastAsia" w:ascii="宋体" w:hAnsi="宋体" w:cs="宋体"/>
                <w:color w:val="auto"/>
                <w:sz w:val="24"/>
              </w:rPr>
              <w:t>年费率1%，最低保费500元</w:t>
            </w:r>
          </w:p>
        </w:tc>
        <w:tc>
          <w:tcPr>
            <w:tcW w:w="2027" w:type="dxa"/>
            <w:vAlign w:val="center"/>
          </w:tcPr>
          <w:p>
            <w:pPr>
              <w:jc w:val="center"/>
              <w:rPr>
                <w:rFonts w:ascii="宋体" w:hAnsi="宋体" w:cs="宋体"/>
                <w:color w:val="auto"/>
                <w:sz w:val="24"/>
              </w:rPr>
            </w:pPr>
            <w:r>
              <w:rPr>
                <w:rFonts w:hint="eastAsia" w:ascii="宋体" w:hAnsi="宋体" w:cs="宋体"/>
                <w:color w:val="auto"/>
                <w:sz w:val="24"/>
              </w:rPr>
              <w:t>林高明</w:t>
            </w:r>
          </w:p>
        </w:tc>
        <w:tc>
          <w:tcPr>
            <w:tcW w:w="1923" w:type="dxa"/>
            <w:vAlign w:val="center"/>
          </w:tcPr>
          <w:p>
            <w:pPr>
              <w:jc w:val="center"/>
              <w:rPr>
                <w:rFonts w:ascii="宋体" w:hAnsi="宋体" w:cs="宋体"/>
                <w:color w:val="auto"/>
                <w:sz w:val="24"/>
              </w:rPr>
            </w:pPr>
            <w:r>
              <w:rPr>
                <w:rFonts w:hint="eastAsia" w:ascii="宋体" w:hAnsi="宋体" w:cs="宋体"/>
                <w:color w:val="auto"/>
                <w:sz w:val="24"/>
              </w:rPr>
              <w:t>15888682693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095" w:type="dxa"/>
            <w:vAlign w:val="center"/>
          </w:tcPr>
          <w:p>
            <w:pPr>
              <w:jc w:val="center"/>
              <w:rPr>
                <w:rFonts w:ascii="宋体" w:hAnsi="宋体" w:cs="宋体"/>
                <w:color w:val="auto"/>
                <w:sz w:val="24"/>
              </w:rPr>
            </w:pPr>
            <w:r>
              <w:rPr>
                <w:rFonts w:hint="eastAsia" w:ascii="宋体" w:hAnsi="宋体" w:cs="宋体"/>
                <w:color w:val="auto"/>
                <w:sz w:val="24"/>
              </w:rPr>
              <w:t>天安财产保险股份有限公司台州中心支公司</w:t>
            </w:r>
          </w:p>
        </w:tc>
        <w:tc>
          <w:tcPr>
            <w:tcW w:w="1602" w:type="dxa"/>
            <w:vAlign w:val="center"/>
          </w:tcPr>
          <w:p>
            <w:pPr>
              <w:jc w:val="center"/>
              <w:rPr>
                <w:rFonts w:ascii="宋体" w:hAnsi="宋体" w:cs="宋体"/>
                <w:color w:val="auto"/>
                <w:sz w:val="24"/>
              </w:rPr>
            </w:pPr>
            <w:r>
              <w:rPr>
                <w:rFonts w:hint="eastAsia" w:ascii="宋体" w:hAnsi="宋体" w:cs="宋体"/>
                <w:color w:val="auto"/>
                <w:sz w:val="24"/>
              </w:rPr>
              <w:t>年费率1%-2%，最低保费500元</w:t>
            </w:r>
          </w:p>
        </w:tc>
        <w:tc>
          <w:tcPr>
            <w:tcW w:w="2027" w:type="dxa"/>
            <w:vAlign w:val="center"/>
          </w:tcPr>
          <w:p>
            <w:pPr>
              <w:jc w:val="center"/>
              <w:rPr>
                <w:rFonts w:ascii="宋体" w:hAnsi="宋体" w:cs="宋体"/>
                <w:color w:val="auto"/>
                <w:sz w:val="24"/>
              </w:rPr>
            </w:pPr>
            <w:r>
              <w:rPr>
                <w:rFonts w:hint="eastAsia" w:ascii="宋体" w:hAnsi="宋体" w:cs="宋体"/>
                <w:color w:val="auto"/>
                <w:sz w:val="24"/>
              </w:rPr>
              <w:t>罗赛</w:t>
            </w:r>
          </w:p>
        </w:tc>
        <w:tc>
          <w:tcPr>
            <w:tcW w:w="1923" w:type="dxa"/>
            <w:vAlign w:val="center"/>
          </w:tcPr>
          <w:p>
            <w:pPr>
              <w:jc w:val="center"/>
              <w:rPr>
                <w:rFonts w:ascii="宋体" w:hAnsi="宋体" w:cs="宋体"/>
                <w:color w:val="auto"/>
                <w:sz w:val="24"/>
              </w:rPr>
            </w:pPr>
            <w:r>
              <w:rPr>
                <w:rFonts w:hint="eastAsia" w:ascii="宋体" w:hAnsi="宋体" w:cs="宋体"/>
                <w:color w:val="auto"/>
                <w:sz w:val="24"/>
              </w:rPr>
              <w:t>13736605643</w:t>
            </w:r>
          </w:p>
        </w:tc>
      </w:tr>
      <w:bookmarkEnd w:id="89"/>
      <w:bookmarkEnd w:id="90"/>
    </w:tbl>
    <w:p>
      <w:pPr>
        <w:pStyle w:val="14"/>
        <w:ind w:firstLine="0"/>
        <w:rPr>
          <w:color w:val="auto"/>
        </w:rPr>
      </w:pPr>
    </w:p>
    <w:sectPr>
      <w:headerReference r:id="rId3" w:type="default"/>
      <w:footerReference r:id="rId4" w:type="default"/>
      <w:pgSz w:w="11906" w:h="16838"/>
      <w:pgMar w:top="1134" w:right="141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8"/>
                          </w:pPr>
                          <w:r>
                            <w:fldChar w:fldCharType="begin"/>
                          </w:r>
                          <w:r>
                            <w:instrText xml:space="preserve"> PAGE  \* MERGEFORMAT </w:instrText>
                          </w:r>
                          <w:r>
                            <w:fldChar w:fldCharType="separate"/>
                          </w:r>
                          <w:r>
                            <w:t>112</w:t>
                          </w:r>
                          <w:r>
                            <w:fldChar w:fldCharType="end"/>
                          </w:r>
                        </w:p>
                      </w:txbxContent>
                    </wps:txbx>
                    <wps:bodyPr vert="horz" wrap="none" lIns="0" tIns="0" rIns="0" bIns="0" anchor="t">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5dblS0AAAAAUBAAAP&#10;AAAAAAAAAAEAIAAAACIAAABkcnMvZG93bnJldi54bWxQSwECFAAUAAAACACHTuJA6ljj/64BAABE&#10;AwAADgAAAAAAAAABACAAAAAfAQAAZHJzL2Uyb0RvYy54bWxQSwUGAAAAAAYABgBZAQAAPw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112</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rPr>
      <w:t xml:space="preserve">台州市政府采购招标文件--服务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112</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112</w:t>
    </w:r>
    <w:r>
      <w:rPr>
        <w:b/>
        <w:i/>
        <w:color w:val="000000"/>
        <w:spacing w:val="-20"/>
        <w:kern w:val="0"/>
        <w:sz w:val="18"/>
        <w:u w:val="single"/>
      </w:rPr>
      <w:fldChar w:fldCharType="end"/>
    </w:r>
    <w:r>
      <w:rPr>
        <w:rFonts w:hint="eastAsia"/>
        <w:b/>
        <w:i/>
        <w:color w:val="000000"/>
        <w:spacing w:val="-20"/>
        <w:kern w:val="0"/>
        <w:sz w:val="18"/>
        <w:u w:val="single"/>
      </w:rPr>
      <w:t>页</w:t>
    </w:r>
  </w:p>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D925E3"/>
    <w:multiLevelType w:val="singleLevel"/>
    <w:tmpl w:val="9AD925E3"/>
    <w:lvl w:ilvl="0" w:tentative="0">
      <w:start w:val="1"/>
      <w:numFmt w:val="decimal"/>
      <w:suff w:val="nothing"/>
      <w:lvlText w:val="（%1）"/>
      <w:lvlJc w:val="left"/>
    </w:lvl>
  </w:abstractNum>
  <w:abstractNum w:abstractNumId="1">
    <w:nsid w:val="AC2DDBA8"/>
    <w:multiLevelType w:val="singleLevel"/>
    <w:tmpl w:val="AC2DDBA8"/>
    <w:lvl w:ilvl="0" w:tentative="0">
      <w:start w:val="3"/>
      <w:numFmt w:val="chineseCounting"/>
      <w:suff w:val="nothing"/>
      <w:lvlText w:val="（%1）"/>
      <w:lvlJc w:val="left"/>
      <w:rPr>
        <w:rFonts w:hint="eastAsia"/>
      </w:rPr>
    </w:lvl>
  </w:abstractNum>
  <w:abstractNum w:abstractNumId="2">
    <w:nsid w:val="ACBEC2E9"/>
    <w:multiLevelType w:val="singleLevel"/>
    <w:tmpl w:val="ACBEC2E9"/>
    <w:lvl w:ilvl="0" w:tentative="0">
      <w:start w:val="1"/>
      <w:numFmt w:val="decimal"/>
      <w:suff w:val="nothing"/>
      <w:lvlText w:val="（%1）"/>
      <w:lvlJc w:val="left"/>
    </w:lvl>
  </w:abstractNum>
  <w:abstractNum w:abstractNumId="3">
    <w:nsid w:val="C52B1AB9"/>
    <w:multiLevelType w:val="singleLevel"/>
    <w:tmpl w:val="C52B1AB9"/>
    <w:lvl w:ilvl="0" w:tentative="0">
      <w:start w:val="1"/>
      <w:numFmt w:val="decimal"/>
      <w:suff w:val="nothing"/>
      <w:lvlText w:val="（%1）"/>
      <w:lvlJc w:val="left"/>
    </w:lvl>
  </w:abstractNum>
  <w:abstractNum w:abstractNumId="4">
    <w:nsid w:val="E38321AE"/>
    <w:multiLevelType w:val="singleLevel"/>
    <w:tmpl w:val="E38321AE"/>
    <w:lvl w:ilvl="0" w:tentative="0">
      <w:start w:val="1"/>
      <w:numFmt w:val="decimal"/>
      <w:suff w:val="nothing"/>
      <w:lvlText w:val="（%1）"/>
      <w:lvlJc w:val="left"/>
    </w:lvl>
  </w:abstractNum>
  <w:abstractNum w:abstractNumId="5">
    <w:nsid w:val="FBEECAA5"/>
    <w:multiLevelType w:val="singleLevel"/>
    <w:tmpl w:val="FBEECAA5"/>
    <w:lvl w:ilvl="0" w:tentative="0">
      <w:start w:val="1"/>
      <w:numFmt w:val="decimal"/>
      <w:suff w:val="nothing"/>
      <w:lvlText w:val="（%1）"/>
      <w:lvlJc w:val="left"/>
    </w:lvl>
  </w:abstractNum>
  <w:abstractNum w:abstractNumId="6">
    <w:nsid w:val="FDDC243A"/>
    <w:multiLevelType w:val="singleLevel"/>
    <w:tmpl w:val="FDDC243A"/>
    <w:lvl w:ilvl="0" w:tentative="0">
      <w:start w:val="1"/>
      <w:numFmt w:val="decimal"/>
      <w:suff w:val="nothing"/>
      <w:lvlText w:val="（%1）"/>
      <w:lvlJc w:val="left"/>
    </w:lvl>
  </w:abstractNum>
  <w:abstractNum w:abstractNumId="7">
    <w:nsid w:val="00000002"/>
    <w:multiLevelType w:val="singleLevel"/>
    <w:tmpl w:val="00000002"/>
    <w:lvl w:ilvl="0" w:tentative="0">
      <w:start w:val="1"/>
      <w:numFmt w:val="decimalEnclosedCircleChinese"/>
      <w:suff w:val="nothing"/>
      <w:lvlText w:val="%1　"/>
      <w:lvlJc w:val="left"/>
      <w:pPr>
        <w:ind w:left="0" w:firstLine="400"/>
      </w:pPr>
      <w:rPr>
        <w:rFonts w:hint="eastAsia"/>
      </w:rPr>
    </w:lvl>
  </w:abstractNum>
  <w:abstractNum w:abstractNumId="8">
    <w:nsid w:val="00000003"/>
    <w:multiLevelType w:val="multilevel"/>
    <w:tmpl w:val="00000003"/>
    <w:lvl w:ilvl="0" w:tentative="0">
      <w:start w:val="1"/>
      <w:numFmt w:val="chineseCounting"/>
      <w:suff w:val="nothing"/>
      <w:lvlText w:val="第%1章 "/>
      <w:lvlJc w:val="left"/>
      <w:pPr>
        <w:ind w:left="432" w:hanging="432"/>
      </w:pPr>
      <w:rPr>
        <w:rFonts w:hint="eastAsia"/>
      </w:rPr>
    </w:lvl>
    <w:lvl w:ilvl="1" w:tentative="0">
      <w:start w:val="1"/>
      <w:numFmt w:val="decimal"/>
      <w:isLgl/>
      <w:lvlText w:val="%1.%2."/>
      <w:lvlJc w:val="left"/>
      <w:pPr>
        <w:ind w:left="575" w:hanging="575"/>
      </w:pPr>
      <w:rPr>
        <w:rFonts w:hint="eastAsia"/>
      </w:rPr>
    </w:lvl>
    <w:lvl w:ilvl="2" w:tentative="0">
      <w:start w:val="1"/>
      <w:numFmt w:val="decimal"/>
      <w:isLgl/>
      <w:lvlText w:val="%1.%2.%3"/>
      <w:lvlJc w:val="left"/>
      <w:pPr>
        <w:ind w:left="720" w:hanging="720"/>
      </w:pPr>
      <w:rPr>
        <w:rFonts w:hint="eastAsia" w:ascii="Times New Roman" w:hAnsi="Times New Roman" w:eastAsia="宋体" w:cs="宋体"/>
        <w:sz w:val="24"/>
        <w:szCs w:val="24"/>
      </w:rPr>
    </w:lvl>
    <w:lvl w:ilvl="3" w:tentative="0">
      <w:start w:val="1"/>
      <w:numFmt w:val="decimal"/>
      <w:pStyle w:val="7"/>
      <w:isLgl/>
      <w:lvlText w:val="%1.%2.%3.%4."/>
      <w:lvlJc w:val="left"/>
      <w:pPr>
        <w:ind w:left="864" w:hanging="864"/>
      </w:pPr>
      <w:rPr>
        <w:rFonts w:hint="eastAsia"/>
      </w:rPr>
    </w:lvl>
    <w:lvl w:ilvl="4" w:tentative="0">
      <w:start w:val="1"/>
      <w:numFmt w:val="decimal"/>
      <w:pStyle w:val="8"/>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9">
    <w:nsid w:val="00000004"/>
    <w:multiLevelType w:val="singleLevel"/>
    <w:tmpl w:val="00000004"/>
    <w:lvl w:ilvl="0" w:tentative="0">
      <w:start w:val="1"/>
      <w:numFmt w:val="decimal"/>
      <w:suff w:val="nothing"/>
      <w:lvlText w:val="（%1）"/>
      <w:lvlJc w:val="left"/>
    </w:lvl>
  </w:abstractNum>
  <w:abstractNum w:abstractNumId="10">
    <w:nsid w:val="00000005"/>
    <w:multiLevelType w:val="singleLevel"/>
    <w:tmpl w:val="00000005"/>
    <w:lvl w:ilvl="0" w:tentative="0">
      <w:start w:val="1"/>
      <w:numFmt w:val="decimal"/>
      <w:pStyle w:val="13"/>
      <w:lvlText w:val="%1."/>
      <w:lvlJc w:val="left"/>
      <w:pPr>
        <w:tabs>
          <w:tab w:val="left" w:pos="360"/>
        </w:tabs>
        <w:ind w:left="360" w:hanging="360"/>
      </w:pPr>
    </w:lvl>
  </w:abstractNum>
  <w:abstractNum w:abstractNumId="11">
    <w:nsid w:val="00000006"/>
    <w:multiLevelType w:val="singleLevel"/>
    <w:tmpl w:val="00000006"/>
    <w:lvl w:ilvl="0" w:tentative="0">
      <w:start w:val="2"/>
      <w:numFmt w:val="chineseCounting"/>
      <w:suff w:val="space"/>
      <w:lvlText w:val="第%1章"/>
      <w:lvlJc w:val="left"/>
      <w:rPr>
        <w:rFonts w:hint="eastAsia"/>
      </w:rPr>
    </w:lvl>
  </w:abstractNum>
  <w:abstractNum w:abstractNumId="12">
    <w:nsid w:val="00000007"/>
    <w:multiLevelType w:val="multilevel"/>
    <w:tmpl w:val="00000007"/>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Text w:val="%1.%2.%3.%4.%5.%6.%7"/>
      <w:lvlJc w:val="left"/>
      <w:pPr>
        <w:ind w:left="5109" w:hanging="851"/>
      </w:pPr>
      <w:rPr>
        <w:rFonts w:hint="eastAsia"/>
      </w:rPr>
    </w:lvl>
    <w:lvl w:ilvl="7" w:tentative="0">
      <w:start w:val="1"/>
      <w:numFmt w:val="decimal"/>
      <w:suff w:val="nothing"/>
      <w:lvlText w:val="表%1-%8  "/>
      <w:lvlJc w:val="left"/>
      <w:pPr>
        <w:ind w:left="4820" w:hanging="1417"/>
      </w:pPr>
      <w:rPr>
        <w:rFonts w:hint="eastAsia" w:ascii="Times New Roman" w:hAnsi="Times New Roman" w:cs="Times New Roman"/>
        <w:bCs w:val="0"/>
        <w:i w:val="0"/>
        <w:iCs w:val="0"/>
        <w:caps w:val="0"/>
        <w:smallCaps w:val="0"/>
        <w:vanish w:val="0"/>
        <w:spacing w:val="0"/>
        <w:position w:val="0"/>
        <w:u w:val="none"/>
        <w:vertAlign w:val="baseline"/>
      </w:rPr>
    </w:lvl>
    <w:lvl w:ilvl="8" w:tentative="0">
      <w:start w:val="1"/>
      <w:numFmt w:val="decimal"/>
      <w:suff w:val="nothing"/>
      <w:lvlText w:val="图%1-%9  "/>
      <w:lvlJc w:val="left"/>
      <w:pPr>
        <w:ind w:left="5102" w:hanging="1700"/>
      </w:pPr>
      <w:rPr>
        <w:rFonts w:hint="eastAsia"/>
      </w:rPr>
    </w:lvl>
  </w:abstractNum>
  <w:abstractNum w:abstractNumId="13">
    <w:nsid w:val="00000008"/>
    <w:multiLevelType w:val="singleLevel"/>
    <w:tmpl w:val="00000008"/>
    <w:lvl w:ilvl="0" w:tentative="0">
      <w:start w:val="1"/>
      <w:numFmt w:val="chineseCounting"/>
      <w:suff w:val="space"/>
      <w:lvlText w:val="第%1章"/>
      <w:lvlJc w:val="left"/>
      <w:rPr>
        <w:rFonts w:hint="eastAsia"/>
      </w:rPr>
    </w:lvl>
  </w:abstractNum>
  <w:abstractNum w:abstractNumId="14">
    <w:nsid w:val="0000000A"/>
    <w:multiLevelType w:val="singleLevel"/>
    <w:tmpl w:val="0000000A"/>
    <w:lvl w:ilvl="0" w:tentative="0">
      <w:start w:val="1"/>
      <w:numFmt w:val="decimalEnclosedCircleChinese"/>
      <w:suff w:val="nothing"/>
      <w:lvlText w:val="%1　"/>
      <w:lvlJc w:val="left"/>
      <w:pPr>
        <w:ind w:left="0" w:firstLine="400"/>
      </w:pPr>
      <w:rPr>
        <w:rFonts w:hint="eastAsia"/>
      </w:rPr>
    </w:lvl>
  </w:abstractNum>
  <w:abstractNum w:abstractNumId="15">
    <w:nsid w:val="0000000C"/>
    <w:multiLevelType w:val="singleLevel"/>
    <w:tmpl w:val="0000000C"/>
    <w:lvl w:ilvl="0" w:tentative="0">
      <w:start w:val="1"/>
      <w:numFmt w:val="decimal"/>
      <w:suff w:val="nothing"/>
      <w:lvlText w:val="%1、"/>
      <w:lvlJc w:val="left"/>
    </w:lvl>
  </w:abstractNum>
  <w:abstractNum w:abstractNumId="16">
    <w:nsid w:val="0000000D"/>
    <w:multiLevelType w:val="singleLevel"/>
    <w:tmpl w:val="0000000D"/>
    <w:lvl w:ilvl="0" w:tentative="0">
      <w:start w:val="1"/>
      <w:numFmt w:val="decimal"/>
      <w:lvlText w:val="%1."/>
      <w:lvlJc w:val="left"/>
      <w:pPr>
        <w:tabs>
          <w:tab w:val="left" w:pos="312"/>
        </w:tabs>
      </w:pPr>
    </w:lvl>
  </w:abstractNum>
  <w:abstractNum w:abstractNumId="17">
    <w:nsid w:val="0091534F"/>
    <w:multiLevelType w:val="singleLevel"/>
    <w:tmpl w:val="0091534F"/>
    <w:lvl w:ilvl="0" w:tentative="0">
      <w:start w:val="1"/>
      <w:numFmt w:val="decimal"/>
      <w:lvlText w:val="(%1)"/>
      <w:lvlJc w:val="left"/>
      <w:pPr>
        <w:ind w:left="425" w:hanging="425"/>
      </w:pPr>
      <w:rPr>
        <w:rFonts w:hint="default"/>
      </w:rPr>
    </w:lvl>
  </w:abstractNum>
  <w:abstractNum w:abstractNumId="18">
    <w:nsid w:val="0E3DD1AC"/>
    <w:multiLevelType w:val="singleLevel"/>
    <w:tmpl w:val="0E3DD1AC"/>
    <w:lvl w:ilvl="0" w:tentative="0">
      <w:start w:val="1"/>
      <w:numFmt w:val="decimal"/>
      <w:suff w:val="nothing"/>
      <w:lvlText w:val="（%1）"/>
      <w:lvlJc w:val="left"/>
    </w:lvl>
  </w:abstractNum>
  <w:abstractNum w:abstractNumId="19">
    <w:nsid w:val="12658ED0"/>
    <w:multiLevelType w:val="singleLevel"/>
    <w:tmpl w:val="12658ED0"/>
    <w:lvl w:ilvl="0" w:tentative="0">
      <w:start w:val="1"/>
      <w:numFmt w:val="decimal"/>
      <w:suff w:val="nothing"/>
      <w:lvlText w:val="（%1）"/>
      <w:lvlJc w:val="left"/>
    </w:lvl>
  </w:abstractNum>
  <w:abstractNum w:abstractNumId="20">
    <w:nsid w:val="1729B7FE"/>
    <w:multiLevelType w:val="singleLevel"/>
    <w:tmpl w:val="1729B7FE"/>
    <w:lvl w:ilvl="0" w:tentative="0">
      <w:start w:val="1"/>
      <w:numFmt w:val="decimal"/>
      <w:suff w:val="nothing"/>
      <w:lvlText w:val="（%1）"/>
      <w:lvlJc w:val="left"/>
    </w:lvl>
  </w:abstractNum>
  <w:abstractNum w:abstractNumId="21">
    <w:nsid w:val="21B94EAA"/>
    <w:multiLevelType w:val="singleLevel"/>
    <w:tmpl w:val="21B94EAA"/>
    <w:lvl w:ilvl="0" w:tentative="0">
      <w:start w:val="1"/>
      <w:numFmt w:val="decimal"/>
      <w:suff w:val="nothing"/>
      <w:lvlText w:val="（%1）"/>
      <w:lvlJc w:val="left"/>
    </w:lvl>
  </w:abstractNum>
  <w:abstractNum w:abstractNumId="22">
    <w:nsid w:val="2452259A"/>
    <w:multiLevelType w:val="singleLevel"/>
    <w:tmpl w:val="2452259A"/>
    <w:lvl w:ilvl="0" w:tentative="0">
      <w:start w:val="1"/>
      <w:numFmt w:val="decimal"/>
      <w:suff w:val="nothing"/>
      <w:lvlText w:val="（%1）"/>
      <w:lvlJc w:val="left"/>
    </w:lvl>
  </w:abstractNum>
  <w:abstractNum w:abstractNumId="23">
    <w:nsid w:val="32D12C48"/>
    <w:multiLevelType w:val="singleLevel"/>
    <w:tmpl w:val="32D12C48"/>
    <w:lvl w:ilvl="0" w:tentative="0">
      <w:start w:val="6"/>
      <w:numFmt w:val="chineseCounting"/>
      <w:suff w:val="nothing"/>
      <w:lvlText w:val="（%1）"/>
      <w:lvlJc w:val="left"/>
      <w:rPr>
        <w:rFonts w:hint="eastAsia"/>
      </w:rPr>
    </w:lvl>
  </w:abstractNum>
  <w:abstractNum w:abstractNumId="24">
    <w:nsid w:val="39DCDC9B"/>
    <w:multiLevelType w:val="singleLevel"/>
    <w:tmpl w:val="39DCDC9B"/>
    <w:lvl w:ilvl="0" w:tentative="0">
      <w:start w:val="1"/>
      <w:numFmt w:val="decimal"/>
      <w:lvlText w:val="%1."/>
      <w:lvlJc w:val="left"/>
      <w:pPr>
        <w:tabs>
          <w:tab w:val="left" w:pos="312"/>
        </w:tabs>
      </w:pPr>
    </w:lvl>
  </w:abstractNum>
  <w:abstractNum w:abstractNumId="25">
    <w:nsid w:val="3C72C618"/>
    <w:multiLevelType w:val="singleLevel"/>
    <w:tmpl w:val="3C72C618"/>
    <w:lvl w:ilvl="0" w:tentative="0">
      <w:start w:val="1"/>
      <w:numFmt w:val="decimal"/>
      <w:suff w:val="nothing"/>
      <w:lvlText w:val="（%1）"/>
      <w:lvlJc w:val="left"/>
    </w:lvl>
  </w:abstractNum>
  <w:num w:numId="1">
    <w:abstractNumId w:val="12"/>
  </w:num>
  <w:num w:numId="2">
    <w:abstractNumId w:val="8"/>
  </w:num>
  <w:num w:numId="3">
    <w:abstractNumId w:val="10"/>
  </w:num>
  <w:num w:numId="4">
    <w:abstractNumId w:val="13"/>
  </w:num>
  <w:num w:numId="5">
    <w:abstractNumId w:val="11"/>
  </w:num>
  <w:num w:numId="6">
    <w:abstractNumId w:val="9"/>
  </w:num>
  <w:num w:numId="7">
    <w:abstractNumId w:val="14"/>
  </w:num>
  <w:num w:numId="8">
    <w:abstractNumId w:val="7"/>
  </w:num>
  <w:num w:numId="9">
    <w:abstractNumId w:val="1"/>
  </w:num>
  <w:num w:numId="10">
    <w:abstractNumId w:val="19"/>
  </w:num>
  <w:num w:numId="11">
    <w:abstractNumId w:val="2"/>
  </w:num>
  <w:num w:numId="12">
    <w:abstractNumId w:val="18"/>
  </w:num>
  <w:num w:numId="13">
    <w:abstractNumId w:val="5"/>
  </w:num>
  <w:num w:numId="14">
    <w:abstractNumId w:val="17"/>
  </w:num>
  <w:num w:numId="15">
    <w:abstractNumId w:val="20"/>
  </w:num>
  <w:num w:numId="16">
    <w:abstractNumId w:val="21"/>
  </w:num>
  <w:num w:numId="17">
    <w:abstractNumId w:val="4"/>
  </w:num>
  <w:num w:numId="18">
    <w:abstractNumId w:val="0"/>
  </w:num>
  <w:num w:numId="19">
    <w:abstractNumId w:val="25"/>
  </w:num>
  <w:num w:numId="20">
    <w:abstractNumId w:val="3"/>
  </w:num>
  <w:num w:numId="21">
    <w:abstractNumId w:val="22"/>
  </w:num>
  <w:num w:numId="22">
    <w:abstractNumId w:val="6"/>
  </w:num>
  <w:num w:numId="23">
    <w:abstractNumId w:val="23"/>
  </w:num>
  <w:num w:numId="24">
    <w:abstractNumId w:val="24"/>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C4"/>
    <w:rsid w:val="00072372"/>
    <w:rsid w:val="000E1F14"/>
    <w:rsid w:val="00135220"/>
    <w:rsid w:val="0018324D"/>
    <w:rsid w:val="0026002E"/>
    <w:rsid w:val="002A4640"/>
    <w:rsid w:val="002D2044"/>
    <w:rsid w:val="0032388F"/>
    <w:rsid w:val="00373D6A"/>
    <w:rsid w:val="00475080"/>
    <w:rsid w:val="00585B23"/>
    <w:rsid w:val="0062334A"/>
    <w:rsid w:val="0066474D"/>
    <w:rsid w:val="00674AF7"/>
    <w:rsid w:val="00712B6A"/>
    <w:rsid w:val="009123A2"/>
    <w:rsid w:val="009746D3"/>
    <w:rsid w:val="009A0FC4"/>
    <w:rsid w:val="00A679A9"/>
    <w:rsid w:val="00C10594"/>
    <w:rsid w:val="00DA07EC"/>
    <w:rsid w:val="00F25231"/>
    <w:rsid w:val="00FF4E09"/>
    <w:rsid w:val="0EE26468"/>
    <w:rsid w:val="15106D78"/>
    <w:rsid w:val="177E5B7E"/>
    <w:rsid w:val="18A059C4"/>
    <w:rsid w:val="1C8F2419"/>
    <w:rsid w:val="1EDD7780"/>
    <w:rsid w:val="30CB1164"/>
    <w:rsid w:val="362F5799"/>
    <w:rsid w:val="382B456D"/>
    <w:rsid w:val="3E611C8D"/>
    <w:rsid w:val="3F142F91"/>
    <w:rsid w:val="40ED14FE"/>
    <w:rsid w:val="41BF7984"/>
    <w:rsid w:val="444B1E76"/>
    <w:rsid w:val="48C321D9"/>
    <w:rsid w:val="509F73E7"/>
    <w:rsid w:val="572A45BC"/>
    <w:rsid w:val="575950D5"/>
    <w:rsid w:val="58617BEC"/>
    <w:rsid w:val="6F1A47E7"/>
    <w:rsid w:val="7A846671"/>
    <w:rsid w:val="7EF46500"/>
    <w:rsid w:val="7F2D7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5">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qFormat/>
    <w:uiPriority w:val="0"/>
    <w:pPr>
      <w:keepNext/>
      <w:keepLines/>
      <w:tabs>
        <w:tab w:val="left" w:pos="8280"/>
      </w:tabs>
      <w:spacing w:before="260" w:after="260" w:line="416" w:lineRule="auto"/>
      <w:outlineLvl w:val="2"/>
    </w:pPr>
    <w:rPr>
      <w:bCs/>
      <w:szCs w:val="32"/>
    </w:rPr>
  </w:style>
  <w:style w:type="paragraph" w:styleId="7">
    <w:name w:val="heading 4"/>
    <w:basedOn w:val="1"/>
    <w:next w:val="1"/>
    <w:qFormat/>
    <w:uiPriority w:val="0"/>
    <w:pPr>
      <w:keepNext/>
      <w:keepLines/>
      <w:numPr>
        <w:ilvl w:val="3"/>
        <w:numId w:val="2"/>
      </w:numPr>
      <w:tabs>
        <w:tab w:val="left" w:pos="0"/>
      </w:tabs>
      <w:adjustRightInd w:val="0"/>
      <w:snapToGrid w:val="0"/>
      <w:ind w:left="0" w:firstLine="0"/>
      <w:outlineLvl w:val="3"/>
    </w:pPr>
    <w:rPr>
      <w:rFonts w:ascii="Calibri" w:hAnsi="Calibri"/>
      <w:b/>
      <w:sz w:val="24"/>
    </w:rPr>
  </w:style>
  <w:style w:type="paragraph" w:styleId="8">
    <w:name w:val="heading 5"/>
    <w:next w:val="1"/>
    <w:qFormat/>
    <w:uiPriority w:val="0"/>
    <w:pPr>
      <w:keepNext/>
      <w:keepLines/>
      <w:numPr>
        <w:ilvl w:val="4"/>
        <w:numId w:val="2"/>
      </w:numPr>
      <w:spacing w:line="360" w:lineRule="auto"/>
      <w:ind w:left="0" w:firstLine="0"/>
      <w:outlineLvl w:val="4"/>
    </w:pPr>
    <w:rPr>
      <w:rFonts w:ascii="Times New Roman" w:hAnsi="Times New Roman" w:eastAsia="宋体" w:cs="Times New Roman"/>
      <w:b/>
      <w:sz w:val="24"/>
      <w:lang w:val="en-US" w:eastAsia="zh-CN" w:bidi="ar-SA"/>
    </w:rPr>
  </w:style>
  <w:style w:type="character" w:default="1" w:styleId="21">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1"/>
    <w:qFormat/>
    <w:uiPriority w:val="0"/>
    <w:pPr>
      <w:spacing w:after="120"/>
      <w:ind w:left="420" w:leftChars="200"/>
    </w:pPr>
  </w:style>
  <w:style w:type="paragraph" w:styleId="9">
    <w:name w:val="annotation subject"/>
    <w:basedOn w:val="10"/>
    <w:next w:val="10"/>
    <w:link w:val="60"/>
    <w:qFormat/>
    <w:uiPriority w:val="0"/>
    <w:rPr>
      <w:b/>
      <w:bCs/>
    </w:rPr>
  </w:style>
  <w:style w:type="paragraph" w:styleId="10">
    <w:name w:val="annotation text"/>
    <w:basedOn w:val="1"/>
    <w:link w:val="59"/>
    <w:qFormat/>
    <w:uiPriority w:val="0"/>
    <w:pPr>
      <w:jc w:val="left"/>
    </w:pPr>
  </w:style>
  <w:style w:type="paragraph" w:styleId="11">
    <w:name w:val="Body Text First Indent"/>
    <w:basedOn w:val="12"/>
    <w:qFormat/>
    <w:uiPriority w:val="0"/>
    <w:pPr>
      <w:ind w:firstLine="200" w:firstLineChars="200"/>
    </w:pPr>
  </w:style>
  <w:style w:type="paragraph" w:styleId="12">
    <w:name w:val="Body Text"/>
    <w:basedOn w:val="1"/>
    <w:qFormat/>
    <w:uiPriority w:val="0"/>
    <w:pPr>
      <w:spacing w:line="360" w:lineRule="exact"/>
    </w:pPr>
    <w:rPr>
      <w:sz w:val="24"/>
    </w:rPr>
  </w:style>
  <w:style w:type="paragraph" w:styleId="13">
    <w:name w:val="List Number"/>
    <w:basedOn w:val="1"/>
    <w:qFormat/>
    <w:uiPriority w:val="0"/>
    <w:pPr>
      <w:numPr>
        <w:ilvl w:val="0"/>
        <w:numId w:val="3"/>
      </w:numPr>
    </w:pPr>
  </w:style>
  <w:style w:type="paragraph" w:styleId="14">
    <w:name w:val="Normal Indent"/>
    <w:basedOn w:val="1"/>
    <w:qFormat/>
    <w:uiPriority w:val="0"/>
    <w:pPr>
      <w:ind w:firstLine="420"/>
    </w:pPr>
    <w:rPr>
      <w:szCs w:val="20"/>
    </w:rPr>
  </w:style>
  <w:style w:type="paragraph" w:styleId="15">
    <w:name w:val="Plain Text"/>
    <w:basedOn w:val="1"/>
    <w:next w:val="16"/>
    <w:qFormat/>
    <w:uiPriority w:val="0"/>
    <w:rPr>
      <w:rFonts w:ascii="宋体" w:hAnsi="Courier New" w:cs="宋体"/>
    </w:rPr>
  </w:style>
  <w:style w:type="paragraph" w:styleId="16">
    <w:name w:val="Date"/>
    <w:basedOn w:val="1"/>
    <w:next w:val="1"/>
    <w:qFormat/>
    <w:uiPriority w:val="0"/>
    <w:pPr>
      <w:ind w:left="2500" w:leftChars="2500"/>
    </w:pPr>
    <w:rPr>
      <w:rFonts w:ascii="Calibri" w:hAnsi="Calibri" w:eastAsia="楷体_GB2312" w:cs="宋体"/>
      <w:sz w:val="32"/>
      <w:szCs w:val="22"/>
    </w:rPr>
  </w:style>
  <w:style w:type="paragraph" w:styleId="17">
    <w:name w:val="Balloon Text"/>
    <w:basedOn w:val="1"/>
    <w:link w:val="50"/>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22">
    <w:name w:val="FollowedHyperlink"/>
    <w:basedOn w:val="21"/>
    <w:qFormat/>
    <w:uiPriority w:val="0"/>
    <w:rPr>
      <w:color w:val="800080"/>
      <w:u w:val="single"/>
    </w:rPr>
  </w:style>
  <w:style w:type="character" w:styleId="23">
    <w:name w:val="Hyperlink"/>
    <w:qFormat/>
    <w:uiPriority w:val="0"/>
    <w:rPr>
      <w:color w:val="0000FF"/>
      <w:u w:val="single"/>
    </w:rPr>
  </w:style>
  <w:style w:type="character" w:styleId="24">
    <w:name w:val="annotation reference"/>
    <w:basedOn w:val="21"/>
    <w:qFormat/>
    <w:uiPriority w:val="0"/>
    <w:rPr>
      <w:sz w:val="21"/>
      <w:szCs w:val="21"/>
    </w:rPr>
  </w:style>
  <w:style w:type="table" w:styleId="26">
    <w:name w:val="Table Grid"/>
    <w:basedOn w:val="25"/>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
  </w:style>
  <w:style w:type="paragraph" w:customStyle="1" w:styleId="27">
    <w:name w:val="无间隔1"/>
    <w:qFormat/>
    <w:uiPriority w:val="99"/>
    <w:pPr>
      <w:adjustRightInd w:val="0"/>
      <w:snapToGrid w:val="0"/>
    </w:pPr>
    <w:rPr>
      <w:rFonts w:ascii="Tahoma" w:hAnsi="Tahoma" w:eastAsia="微软雅黑" w:cs="宋体"/>
      <w:sz w:val="22"/>
      <w:szCs w:val="22"/>
      <w:lang w:val="en-US" w:eastAsia="zh-CN" w:bidi="ar-SA"/>
    </w:rPr>
  </w:style>
  <w:style w:type="paragraph" w:styleId="28">
    <w:name w:val="List Paragraph"/>
    <w:basedOn w:val="1"/>
    <w:qFormat/>
    <w:uiPriority w:val="34"/>
    <w:pPr>
      <w:ind w:firstLine="420" w:firstLineChars="200"/>
    </w:pPr>
    <w:rPr>
      <w:rFonts w:ascii="Calibri" w:hAnsi="Calibri"/>
      <w:szCs w:val="22"/>
    </w:rPr>
  </w:style>
  <w:style w:type="paragraph" w:customStyle="1" w:styleId="2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qFormat/>
    <w:uiPriority w:val="0"/>
    <w:pPr>
      <w:adjustRightInd w:val="0"/>
      <w:snapToGrid w:val="0"/>
    </w:pPr>
    <w:rPr>
      <w:rFonts w:ascii="Tahoma" w:hAnsi="Tahoma" w:eastAsia="微软雅黑" w:cs="宋体"/>
      <w:sz w:val="22"/>
      <w:szCs w:val="22"/>
      <w:lang w:val="en-US" w:eastAsia="zh-CN" w:bidi="ar-SA"/>
    </w:rPr>
  </w:style>
  <w:style w:type="paragraph" w:customStyle="1" w:styleId="3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qFormat/>
    <w:uiPriority w:val="0"/>
    <w:rPr>
      <w:rFonts w:ascii="Times New Roman" w:hAnsi="Times New Roman" w:eastAsia="宋体" w:cs="Times New Roman"/>
      <w:sz w:val="21"/>
      <w:szCs w:val="22"/>
      <w:lang w:val="en-US" w:eastAsia="zh-CN" w:bidi="ar-SA"/>
    </w:rPr>
  </w:style>
  <w:style w:type="paragraph" w:customStyle="1" w:styleId="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qFormat/>
    <w:uiPriority w:val="0"/>
    <w:pPr>
      <w:widowControl/>
      <w:jc w:val="left"/>
    </w:pPr>
    <w:rPr>
      <w:rFonts w:ascii="宋体" w:hAnsi="Courier New" w:cs="宋体"/>
      <w:szCs w:val="21"/>
    </w:rPr>
  </w:style>
  <w:style w:type="paragraph" w:customStyle="1" w:styleId="38">
    <w:name w:val="纯文本_0_1"/>
    <w:basedOn w:val="1"/>
    <w:qFormat/>
    <w:uiPriority w:val="0"/>
    <w:pPr>
      <w:widowControl/>
      <w:jc w:val="left"/>
    </w:pPr>
    <w:rPr>
      <w:rFonts w:ascii="宋体" w:hAnsi="Courier New" w:cs="宋体"/>
      <w:szCs w:val="21"/>
    </w:rPr>
  </w:style>
  <w:style w:type="paragraph" w:customStyle="1" w:styleId="3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1"/>
    <w:qFormat/>
    <w:uiPriority w:val="0"/>
    <w:rPr>
      <w:rFonts w:hint="default" w:ascii="Arial" w:hAnsi="Arial" w:cs="Arial"/>
      <w:color w:val="000000"/>
      <w:sz w:val="20"/>
      <w:szCs w:val="20"/>
      <w:u w:val="none"/>
    </w:rPr>
  </w:style>
  <w:style w:type="character" w:customStyle="1" w:styleId="44">
    <w:name w:val="font01"/>
    <w:basedOn w:val="21"/>
    <w:qFormat/>
    <w:uiPriority w:val="0"/>
    <w:rPr>
      <w:rFonts w:hint="eastAsia" w:ascii="宋体" w:hAnsi="宋体" w:eastAsia="宋体" w:cs="宋体"/>
      <w:color w:val="000000"/>
      <w:sz w:val="20"/>
      <w:szCs w:val="20"/>
      <w:u w:val="none"/>
    </w:rPr>
  </w:style>
  <w:style w:type="paragraph" w:customStyle="1" w:styleId="45">
    <w:name w:val="纯文本1"/>
    <w:basedOn w:val="46"/>
    <w:qFormat/>
    <w:uiPriority w:val="0"/>
    <w:pPr>
      <w:widowControl/>
      <w:jc w:val="left"/>
    </w:pPr>
    <w:rPr>
      <w:rFonts w:ascii="宋体" w:hAnsi="Courier New"/>
    </w:rPr>
  </w:style>
  <w:style w:type="paragraph" w:customStyle="1" w:styleId="4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qFormat/>
    <w:uiPriority w:val="1"/>
    <w:rPr>
      <w:rFonts w:ascii="宋体" w:hAnsi="宋体" w:cs="宋体"/>
    </w:rPr>
  </w:style>
  <w:style w:type="paragraph" w:customStyle="1" w:styleId="48">
    <w:name w:val="WPSOffice手动目录 1"/>
    <w:qFormat/>
    <w:uiPriority w:val="0"/>
    <w:rPr>
      <w:rFonts w:ascii="Times New Roman" w:hAnsi="Times New Roman" w:eastAsia="宋体" w:cs="Times New Roman"/>
      <w:lang w:val="en-US" w:eastAsia="zh-CN" w:bidi="ar-SA"/>
    </w:rPr>
  </w:style>
  <w:style w:type="character" w:customStyle="1" w:styleId="49">
    <w:name w:val="标题 1 Char Char"/>
    <w:basedOn w:val="21"/>
    <w:qFormat/>
    <w:uiPriority w:val="0"/>
    <w:rPr>
      <w:rFonts w:eastAsia="宋体"/>
      <w:b/>
      <w:spacing w:val="-2"/>
      <w:sz w:val="24"/>
      <w:lang w:val="en-US" w:eastAsia="zh-CN" w:bidi="ar-SA"/>
    </w:rPr>
  </w:style>
  <w:style w:type="character" w:customStyle="1" w:styleId="50">
    <w:name w:val="批注框文本 字符"/>
    <w:basedOn w:val="21"/>
    <w:link w:val="17"/>
    <w:qFormat/>
    <w:uiPriority w:val="0"/>
    <w:rPr>
      <w:kern w:val="2"/>
      <w:sz w:val="18"/>
      <w:szCs w:val="18"/>
    </w:rPr>
  </w:style>
  <w:style w:type="character" w:customStyle="1" w:styleId="51">
    <w:name w:val="NormalCharacter"/>
    <w:qFormat/>
    <w:uiPriority w:val="0"/>
  </w:style>
  <w:style w:type="paragraph" w:customStyle="1" w:styleId="52">
    <w:name w:val="NormalIndent"/>
    <w:basedOn w:val="1"/>
    <w:qFormat/>
    <w:uiPriority w:val="0"/>
    <w:pPr>
      <w:ind w:firstLine="420"/>
    </w:pPr>
    <w:rPr>
      <w:szCs w:val="20"/>
    </w:rPr>
  </w:style>
  <w:style w:type="paragraph" w:customStyle="1" w:styleId="53">
    <w:name w:val="表格文字"/>
    <w:basedOn w:val="1"/>
    <w:next w:val="12"/>
    <w:qFormat/>
    <w:uiPriority w:val="0"/>
    <w:rPr>
      <w:rFonts w:ascii="Arial" w:hAnsi="Arial"/>
      <w:szCs w:val="21"/>
    </w:rPr>
  </w:style>
  <w:style w:type="paragraph" w:customStyle="1" w:styleId="54">
    <w:name w:val="MY正文"/>
    <w:basedOn w:val="1"/>
    <w:qFormat/>
    <w:uiPriority w:val="0"/>
    <w:pPr>
      <w:spacing w:line="360" w:lineRule="auto"/>
      <w:ind w:firstLine="200" w:firstLineChars="200"/>
    </w:pPr>
    <w:rPr>
      <w:sz w:val="24"/>
    </w:rPr>
  </w:style>
  <w:style w:type="paragraph" w:customStyle="1" w:styleId="55">
    <w:name w:val="默认段落字体 Para Char Char Char Char Char Char Char Char Char1 Char Char Char Char"/>
    <w:basedOn w:val="1"/>
    <w:qFormat/>
    <w:uiPriority w:val="0"/>
    <w:rPr>
      <w:rFonts w:ascii="Tahoma" w:hAnsi="Tahoma"/>
      <w:sz w:val="24"/>
      <w:szCs w:val="20"/>
    </w:rPr>
  </w:style>
  <w:style w:type="paragraph" w:customStyle="1" w:styleId="56">
    <w:name w:val="样式1"/>
    <w:basedOn w:val="1"/>
    <w:qFormat/>
    <w:uiPriority w:val="0"/>
    <w:pPr>
      <w:widowControl/>
      <w:tabs>
        <w:tab w:val="left" w:pos="1212"/>
        <w:tab w:val="left" w:pos="3888"/>
      </w:tabs>
      <w:suppressAutoHyphens/>
      <w:snapToGrid w:val="0"/>
      <w:spacing w:line="336" w:lineRule="auto"/>
      <w:ind w:firstLine="432"/>
      <w:jc w:val="left"/>
    </w:pPr>
    <w:rPr>
      <w:rFonts w:ascii="宋体" w:hAnsi="宋体" w:eastAsia="Times New Roman" w:cs="宋体"/>
      <w:kern w:val="1"/>
      <w:sz w:val="24"/>
      <w:szCs w:val="20"/>
    </w:rPr>
  </w:style>
  <w:style w:type="character" w:customStyle="1" w:styleId="57">
    <w:name w:val="font31"/>
    <w:basedOn w:val="21"/>
    <w:qFormat/>
    <w:uiPriority w:val="0"/>
    <w:rPr>
      <w:rFonts w:hint="eastAsia" w:ascii="微软雅黑" w:hAnsi="微软雅黑" w:eastAsia="微软雅黑" w:cs="微软雅黑"/>
      <w:b/>
      <w:bCs/>
      <w:color w:val="000000"/>
      <w:sz w:val="18"/>
      <w:szCs w:val="18"/>
      <w:u w:val="none"/>
    </w:rPr>
  </w:style>
  <w:style w:type="character" w:customStyle="1" w:styleId="58">
    <w:name w:val="font11"/>
    <w:basedOn w:val="21"/>
    <w:qFormat/>
    <w:uiPriority w:val="0"/>
    <w:rPr>
      <w:rFonts w:hint="eastAsia" w:ascii="微软雅黑" w:hAnsi="微软雅黑" w:eastAsia="微软雅黑" w:cs="微软雅黑"/>
      <w:b/>
      <w:bCs/>
      <w:color w:val="FF0000"/>
      <w:sz w:val="18"/>
      <w:szCs w:val="18"/>
      <w:u w:val="none"/>
    </w:rPr>
  </w:style>
  <w:style w:type="character" w:customStyle="1" w:styleId="59">
    <w:name w:val="批注文字 字符"/>
    <w:basedOn w:val="21"/>
    <w:link w:val="10"/>
    <w:qFormat/>
    <w:uiPriority w:val="0"/>
    <w:rPr>
      <w:kern w:val="2"/>
      <w:sz w:val="21"/>
      <w:szCs w:val="24"/>
    </w:rPr>
  </w:style>
  <w:style w:type="character" w:customStyle="1" w:styleId="60">
    <w:name w:val="批注主题 字符"/>
    <w:basedOn w:val="59"/>
    <w:link w:val="9"/>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6702</Words>
  <Characters>38202</Characters>
  <Lines>318</Lines>
  <Paragraphs>89</Paragraphs>
  <TotalTime>8</TotalTime>
  <ScaleCrop>false</ScaleCrop>
  <LinksUpToDate>false</LinksUpToDate>
  <CharactersWithSpaces>44815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2022-02-18T05:19:00Z</dcterms:created>
  <dc:creator>Thorpe521</dc:creator>
  <cp:lastModifiedBy>Administrator</cp:lastModifiedBy>
  <cp:lastPrinted>2022-03-02T00:57:00Z</cp:lastPrinted>
  <dcterms:modified xsi:type="dcterms:W3CDTF">2022-07-08T00:54:44Z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4D6FA22754D540B588BFD6FE8DC99F6B</vt:lpwstr>
  </property>
</Properties>
</file>