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r>
        <w:rPr>
          <w:rFonts w:hint="eastAsia" w:ascii="宋体"/>
          <w:b/>
          <w:color w:val="auto"/>
          <w:kern w:val="0"/>
          <w:sz w:val="52"/>
          <w:szCs w:val="52"/>
          <w:highlight w:val="none"/>
        </w:rPr>
        <w:t>台州市政府采购招标文件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ascii="宋体" w:hAnsi="宋体" w:cs="Calibri Light"/>
          <w:color w:val="auto"/>
          <w:kern w:val="0"/>
          <w:sz w:val="28"/>
          <w:szCs w:val="28"/>
          <w:highlight w:val="none"/>
        </w:rPr>
      </w:pPr>
      <w:r>
        <w:rPr>
          <w:rFonts w:hint="eastAsia" w:ascii="宋体" w:hAnsi="宋体" w:cs="Calibri Light"/>
          <w:color w:val="auto"/>
          <w:kern w:val="0"/>
          <w:sz w:val="28"/>
          <w:szCs w:val="28"/>
          <w:highlight w:val="none"/>
        </w:rPr>
        <w:t>采购编号：台财采确临[2022]4174号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ascii="宋体"/>
          <w:b/>
          <w:color w:val="auto"/>
          <w:kern w:val="0"/>
          <w:sz w:val="32"/>
          <w:highlight w:val="none"/>
        </w:rPr>
      </w:pPr>
      <w:r>
        <w:rPr>
          <w:rFonts w:hint="eastAsia" w:ascii="宋体" w:hAnsi="宋体"/>
          <w:b/>
          <w:color w:val="auto"/>
          <w:sz w:val="36"/>
          <w:highlight w:val="none"/>
        </w:rPr>
        <w:t>（线上电子招投标）</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24"/>
          <w:highlight w:val="none"/>
        </w:rPr>
      </w:pPr>
    </w:p>
    <w:p>
      <w:pPr>
        <w:autoSpaceDE w:val="0"/>
        <w:autoSpaceDN w:val="0"/>
        <w:adjustRightInd w:val="0"/>
        <w:spacing w:line="360" w:lineRule="auto"/>
        <w:rPr>
          <w:rFonts w:ascii="宋体"/>
          <w:b/>
          <w:color w:val="auto"/>
          <w:kern w:val="0"/>
          <w:sz w:val="52"/>
          <w:szCs w:val="52"/>
          <w:highlight w:val="none"/>
        </w:rPr>
      </w:pPr>
    </w:p>
    <w:p>
      <w:pPr>
        <w:autoSpaceDE w:val="0"/>
        <w:autoSpaceDN w:val="0"/>
        <w:adjustRightInd w:val="0"/>
        <w:spacing w:line="360" w:lineRule="auto"/>
        <w:ind w:firstLine="1797" w:firstLineChars="642"/>
        <w:jc w:val="left"/>
        <w:rPr>
          <w:rFonts w:ascii="宋体"/>
          <w:color w:val="auto"/>
          <w:kern w:val="0"/>
          <w:sz w:val="28"/>
          <w:highlight w:val="none"/>
        </w:rPr>
      </w:pPr>
    </w:p>
    <w:p>
      <w:pPr>
        <w:autoSpaceDE w:val="0"/>
        <w:autoSpaceDN w:val="0"/>
        <w:adjustRightInd w:val="0"/>
        <w:spacing w:line="360" w:lineRule="auto"/>
        <w:jc w:val="left"/>
        <w:rPr>
          <w:rFonts w:ascii="宋体"/>
          <w:color w:val="auto"/>
          <w:kern w:val="0"/>
          <w:sz w:val="28"/>
          <w:highlight w:val="none"/>
        </w:rPr>
      </w:pPr>
    </w:p>
    <w:p>
      <w:pPr>
        <w:autoSpaceDE w:val="0"/>
        <w:autoSpaceDN w:val="0"/>
        <w:adjustRightInd w:val="0"/>
        <w:spacing w:line="360" w:lineRule="auto"/>
        <w:jc w:val="left"/>
        <w:rPr>
          <w:rFonts w:ascii="宋体"/>
          <w:color w:val="auto"/>
          <w:kern w:val="0"/>
          <w:sz w:val="28"/>
          <w:highlight w:val="none"/>
        </w:rPr>
      </w:pPr>
    </w:p>
    <w:p>
      <w:pPr>
        <w:autoSpaceDE w:val="0"/>
        <w:autoSpaceDN w:val="0"/>
        <w:adjustRightInd w:val="0"/>
        <w:spacing w:line="360" w:lineRule="auto"/>
        <w:jc w:val="left"/>
        <w:rPr>
          <w:rFonts w:ascii="宋体"/>
          <w:color w:val="auto"/>
          <w:kern w:val="0"/>
          <w:sz w:val="28"/>
          <w:highlight w:val="none"/>
        </w:rPr>
      </w:pPr>
    </w:p>
    <w:p>
      <w:pPr>
        <w:autoSpaceDE w:val="0"/>
        <w:autoSpaceDN w:val="0"/>
        <w:adjustRightInd w:val="0"/>
        <w:spacing w:line="360" w:lineRule="auto"/>
        <w:ind w:right="-197" w:rightChars="-94"/>
        <w:jc w:val="center"/>
        <w:rPr>
          <w:rFonts w:ascii="宋体"/>
          <w:color w:val="auto"/>
          <w:kern w:val="0"/>
          <w:sz w:val="28"/>
          <w:highlight w:val="none"/>
        </w:rPr>
      </w:pPr>
      <w:r>
        <w:rPr>
          <w:rFonts w:hint="eastAsia" w:ascii="宋体"/>
          <w:color w:val="auto"/>
          <w:kern w:val="0"/>
          <w:sz w:val="28"/>
          <w:highlight w:val="none"/>
        </w:rPr>
        <w:t>采购项目：2022年台州市区新增信号灯及配套设施建设项目</w:t>
      </w:r>
    </w:p>
    <w:p>
      <w:pPr>
        <w:autoSpaceDE w:val="0"/>
        <w:autoSpaceDN w:val="0"/>
        <w:adjustRightInd w:val="0"/>
        <w:spacing w:line="360" w:lineRule="auto"/>
        <w:jc w:val="center"/>
        <w:rPr>
          <w:rFonts w:ascii="宋体"/>
          <w:color w:val="auto"/>
          <w:kern w:val="0"/>
          <w:sz w:val="28"/>
          <w:highlight w:val="none"/>
        </w:rPr>
      </w:pPr>
      <w:r>
        <w:rPr>
          <w:rFonts w:hint="eastAsia" w:ascii="宋体"/>
          <w:color w:val="auto"/>
          <w:kern w:val="0"/>
          <w:sz w:val="28"/>
          <w:highlight w:val="none"/>
        </w:rPr>
        <w:t>采购人：台州市公安局交通警察局（盖章）</w:t>
      </w:r>
    </w:p>
    <w:p>
      <w:pPr>
        <w:autoSpaceDE w:val="0"/>
        <w:autoSpaceDN w:val="0"/>
        <w:adjustRightInd w:val="0"/>
        <w:spacing w:line="360" w:lineRule="auto"/>
        <w:rPr>
          <w:rFonts w:ascii="宋体"/>
          <w:color w:val="auto"/>
          <w:kern w:val="0"/>
          <w:sz w:val="28"/>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84"/>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浙江百和工程咨询有限公司（盖章）</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ascii="宋体" w:hAnsi="宋体" w:cs="宋体"/>
          <w:color w:val="auto"/>
          <w:kern w:val="0"/>
          <w:sz w:val="28"/>
          <w:szCs w:val="28"/>
          <w:highlight w:val="none"/>
        </w:rPr>
      </w:pPr>
      <w:r>
        <w:rPr>
          <w:rFonts w:hint="eastAsia" w:ascii="宋体" w:hAnsi="宋体"/>
          <w:color w:val="auto"/>
          <w:sz w:val="28"/>
          <w:szCs w:val="28"/>
          <w:highlight w:val="none"/>
        </w:rPr>
        <w:t>2</w:t>
      </w:r>
      <w:r>
        <w:rPr>
          <w:rFonts w:ascii="宋体" w:hAnsi="宋体"/>
          <w:color w:val="auto"/>
          <w:sz w:val="28"/>
          <w:szCs w:val="28"/>
          <w:highlight w:val="none"/>
        </w:rPr>
        <w:t>0</w:t>
      </w:r>
      <w:r>
        <w:rPr>
          <w:rFonts w:hint="eastAsia" w:ascii="宋体" w:hAnsi="宋体"/>
          <w:color w:val="auto"/>
          <w:sz w:val="28"/>
          <w:szCs w:val="28"/>
          <w:highlight w:val="none"/>
        </w:rPr>
        <w:t>22</w:t>
      </w:r>
      <w:r>
        <w:rPr>
          <w:rFonts w:hint="eastAsia" w:ascii="宋体" w:hAnsi="宋体" w:cs="宋体"/>
          <w:color w:val="auto"/>
          <w:kern w:val="0"/>
          <w:sz w:val="28"/>
          <w:szCs w:val="28"/>
          <w:highlight w:val="none"/>
        </w:rPr>
        <w:t>年</w:t>
      </w:r>
      <w:r>
        <w:rPr>
          <w:rFonts w:hint="eastAsia" w:ascii="宋体" w:hAnsi="宋体" w:cs="宋体"/>
          <w:color w:val="auto"/>
          <w:kern w:val="0"/>
          <w:sz w:val="28"/>
          <w:szCs w:val="28"/>
          <w:highlight w:val="none"/>
        </w:rPr>
        <w:t>8</w:t>
      </w:r>
      <w:r>
        <w:rPr>
          <w:rFonts w:hint="eastAsia" w:ascii="宋体" w:hAnsi="宋体" w:cs="宋体"/>
          <w:color w:val="auto"/>
          <w:kern w:val="0"/>
          <w:sz w:val="28"/>
          <w:szCs w:val="28"/>
          <w:highlight w:val="none"/>
        </w:rPr>
        <w:t>月</w:t>
      </w:r>
    </w:p>
    <w:p>
      <w:pPr>
        <w:spacing w:line="360" w:lineRule="auto"/>
        <w:rPr>
          <w:color w:val="auto"/>
          <w:highlight w:val="none"/>
        </w:rPr>
      </w:pPr>
    </w:p>
    <w:p>
      <w:pPr>
        <w:spacing w:line="360" w:lineRule="auto"/>
        <w:jc w:val="center"/>
        <w:rPr>
          <w:rFonts w:ascii="宋体" w:hAnsi="宋体" w:cs="Arial"/>
          <w:b/>
          <w:bCs/>
          <w:color w:val="auto"/>
          <w:sz w:val="36"/>
          <w:szCs w:val="36"/>
          <w:highlight w:val="none"/>
        </w:rPr>
      </w:pPr>
    </w:p>
    <w:p>
      <w:pPr>
        <w:spacing w:line="360" w:lineRule="auto"/>
        <w:jc w:val="center"/>
        <w:rPr>
          <w:rFonts w:ascii="宋体" w:hAnsi="宋体" w:cs="Arial"/>
          <w:b/>
          <w:bCs/>
          <w:color w:val="auto"/>
          <w:sz w:val="36"/>
          <w:szCs w:val="36"/>
          <w:highlight w:val="none"/>
        </w:rPr>
      </w:pPr>
      <w:r>
        <w:rPr>
          <w:rFonts w:hint="eastAsia" w:ascii="宋体" w:hAnsi="宋体" w:cs="Arial"/>
          <w:b/>
          <w:bCs/>
          <w:color w:val="auto"/>
          <w:sz w:val="36"/>
          <w:szCs w:val="36"/>
          <w:highlight w:val="none"/>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auto"/>
          <w:sz w:val="36"/>
          <w:highlight w:val="none"/>
        </w:rPr>
      </w:pPr>
    </w:p>
    <w:p>
      <w:pPr>
        <w:spacing w:line="360" w:lineRule="auto"/>
        <w:rPr>
          <w:rFonts w:ascii="新宋体" w:hAnsi="新宋体" w:eastAsia="新宋体"/>
          <w:color w:val="auto"/>
          <w:sz w:val="28"/>
          <w:szCs w:val="28"/>
          <w:highlight w:val="none"/>
        </w:rPr>
      </w:pPr>
    </w:p>
    <w:p>
      <w:pPr>
        <w:numPr>
          <w:ilvl w:val="0"/>
          <w:numId w:val="2"/>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公开招标采购公告</w:t>
      </w:r>
    </w:p>
    <w:p>
      <w:pPr>
        <w:numPr>
          <w:ilvl w:val="0"/>
          <w:numId w:val="2"/>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投标人须知</w:t>
      </w:r>
    </w:p>
    <w:p>
      <w:pPr>
        <w:numPr>
          <w:ilvl w:val="0"/>
          <w:numId w:val="2"/>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评标办法及评分标准</w:t>
      </w:r>
    </w:p>
    <w:p>
      <w:pPr>
        <w:numPr>
          <w:ilvl w:val="0"/>
          <w:numId w:val="2"/>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公开招标需求</w:t>
      </w:r>
    </w:p>
    <w:p>
      <w:pPr>
        <w:numPr>
          <w:ilvl w:val="0"/>
          <w:numId w:val="2"/>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政府采购合同主要条款指引</w:t>
      </w:r>
    </w:p>
    <w:p>
      <w:pPr>
        <w:numPr>
          <w:ilvl w:val="0"/>
          <w:numId w:val="2"/>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投标文件格式附件</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color w:val="auto"/>
          <w:kern w:val="0"/>
          <w:sz w:val="36"/>
          <w:szCs w:val="36"/>
          <w:highlight w:val="none"/>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pPr>
        <w:tabs>
          <w:tab w:val="left" w:pos="180"/>
          <w:tab w:val="left" w:pos="360"/>
          <w:tab w:val="left" w:pos="540"/>
          <w:tab w:val="left" w:pos="8280"/>
        </w:tabs>
        <w:autoSpaceDE w:val="0"/>
        <w:autoSpaceDN w:val="0"/>
        <w:adjustRightInd w:val="0"/>
        <w:spacing w:after="156" w:afterLines="50" w:line="360" w:lineRule="auto"/>
        <w:ind w:right="23"/>
        <w:jc w:val="center"/>
        <w:rPr>
          <w:rFonts w:asciiTheme="majorEastAsia" w:hAnsiTheme="majorEastAsia" w:eastAsiaTheme="majorEastAsia"/>
          <w:b/>
          <w:color w:val="auto"/>
          <w:kern w:val="0"/>
          <w:sz w:val="36"/>
          <w:szCs w:val="36"/>
          <w:highlight w:val="none"/>
        </w:rPr>
      </w:pPr>
      <w:r>
        <w:rPr>
          <w:rFonts w:hint="eastAsia" w:asciiTheme="majorEastAsia" w:hAnsiTheme="majorEastAsia" w:eastAsiaTheme="majorEastAsia"/>
          <w:b/>
          <w:color w:val="auto"/>
          <w:kern w:val="0"/>
          <w:sz w:val="36"/>
          <w:szCs w:val="36"/>
          <w:highlight w:val="none"/>
        </w:rPr>
        <w:t>第一章  公开</w:t>
      </w:r>
      <w:r>
        <w:rPr>
          <w:rFonts w:hint="eastAsia" w:asciiTheme="majorEastAsia" w:hAnsiTheme="majorEastAsia" w:eastAsiaTheme="majorEastAsia"/>
          <w:b/>
          <w:color w:val="auto"/>
          <w:sz w:val="36"/>
          <w:szCs w:val="36"/>
          <w:highlight w:val="none"/>
        </w:rPr>
        <w:t>招标采购公告</w:t>
      </w:r>
    </w:p>
    <w:p>
      <w:pPr>
        <w:tabs>
          <w:tab w:val="left" w:pos="180"/>
          <w:tab w:val="left" w:pos="360"/>
          <w:tab w:val="left" w:pos="540"/>
          <w:tab w:val="left" w:pos="8280"/>
        </w:tabs>
        <w:autoSpaceDE w:val="0"/>
        <w:autoSpaceDN w:val="0"/>
        <w:adjustRightInd w:val="0"/>
        <w:spacing w:line="360" w:lineRule="auto"/>
        <w:ind w:right="23" w:firstLine="539"/>
        <w:jc w:val="left"/>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根据《中华人民共和国政府采购法》、《中华人民共和国政府采购法实施条例》和财政部令第87号《政府采购货物和服务招标投标管理办法》等有关规定</w:t>
      </w:r>
      <w:r>
        <w:rPr>
          <w:rFonts w:asciiTheme="minorEastAsia" w:hAnsiTheme="minorEastAsia" w:eastAsiaTheme="minorEastAsia"/>
          <w:color w:val="auto"/>
          <w:kern w:val="0"/>
          <w:sz w:val="24"/>
          <w:highlight w:val="none"/>
        </w:rPr>
        <w:t xml:space="preserve">, </w:t>
      </w:r>
      <w:r>
        <w:rPr>
          <w:rFonts w:hint="eastAsia" w:asciiTheme="minorEastAsia" w:hAnsiTheme="minorEastAsia" w:eastAsiaTheme="minorEastAsia"/>
          <w:color w:val="auto"/>
          <w:kern w:val="0"/>
          <w:sz w:val="24"/>
          <w:highlight w:val="none"/>
        </w:rPr>
        <w:t>受采购人委托，现就</w:t>
      </w:r>
      <w:r>
        <w:rPr>
          <w:rFonts w:hint="eastAsia" w:asciiTheme="minorEastAsia" w:hAnsiTheme="minorEastAsia" w:eastAsiaTheme="minorEastAsia"/>
          <w:color w:val="auto"/>
          <w:sz w:val="24"/>
          <w:highlight w:val="none"/>
          <w:u w:val="single"/>
        </w:rPr>
        <w:t>台州市公安局交通警察局</w:t>
      </w:r>
      <w:r>
        <w:rPr>
          <w:rFonts w:hint="eastAsia" w:asciiTheme="minorEastAsia" w:hAnsiTheme="minorEastAsia" w:eastAsiaTheme="minorEastAsia"/>
          <w:color w:val="auto"/>
          <w:sz w:val="24"/>
          <w:highlight w:val="none"/>
        </w:rPr>
        <w:t>（单位</w:t>
      </w:r>
      <w:r>
        <w:rPr>
          <w:rFonts w:asciiTheme="minorEastAsia" w:hAnsiTheme="minorEastAsia" w:eastAsiaTheme="minorEastAsia"/>
          <w:color w:val="auto"/>
          <w:sz w:val="24"/>
          <w:highlight w:val="none"/>
        </w:rPr>
        <w:t>名称</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kern w:val="0"/>
          <w:sz w:val="24"/>
          <w:highlight w:val="none"/>
        </w:rPr>
        <w:t>的</w:t>
      </w:r>
      <w:r>
        <w:rPr>
          <w:rFonts w:hint="eastAsia" w:asciiTheme="minorEastAsia" w:hAnsiTheme="minorEastAsia" w:eastAsiaTheme="minorEastAsia"/>
          <w:color w:val="auto"/>
          <w:sz w:val="24"/>
          <w:highlight w:val="none"/>
          <w:u w:val="single"/>
        </w:rPr>
        <w:t>2022年台州市区新增信号灯及配套设施建设项目</w:t>
      </w:r>
      <w:r>
        <w:rPr>
          <w:rFonts w:hint="eastAsia" w:asciiTheme="minorEastAsia" w:hAnsiTheme="minorEastAsia" w:eastAsiaTheme="minorEastAsia"/>
          <w:color w:val="auto"/>
          <w:sz w:val="24"/>
          <w:highlight w:val="none"/>
        </w:rPr>
        <w:t>（项目</w:t>
      </w:r>
      <w:r>
        <w:rPr>
          <w:rFonts w:asciiTheme="minorEastAsia" w:hAnsiTheme="minorEastAsia" w:eastAsiaTheme="minorEastAsia"/>
          <w:color w:val="auto"/>
          <w:sz w:val="24"/>
          <w:highlight w:val="none"/>
        </w:rPr>
        <w:t>名称</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kern w:val="0"/>
          <w:sz w:val="24"/>
          <w:highlight w:val="none"/>
        </w:rPr>
        <w:t>进行公开招标采购，欢迎合格供应商前来投标。</w:t>
      </w:r>
    </w:p>
    <w:p>
      <w:pPr>
        <w:numPr>
          <w:ilvl w:val="0"/>
          <w:numId w:val="3"/>
        </w:numPr>
        <w:tabs>
          <w:tab w:val="left" w:pos="180"/>
          <w:tab w:val="left" w:pos="360"/>
          <w:tab w:val="left" w:pos="540"/>
          <w:tab w:val="left" w:pos="8280"/>
        </w:tabs>
        <w:autoSpaceDE w:val="0"/>
        <w:autoSpaceDN w:val="0"/>
        <w:adjustRightInd w:val="0"/>
        <w:spacing w:line="360" w:lineRule="auto"/>
        <w:ind w:left="539" w:right="23"/>
        <w:jc w:val="left"/>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项目编号：台财采确临[2022]4174号</w:t>
      </w:r>
    </w:p>
    <w:p>
      <w:pPr>
        <w:tabs>
          <w:tab w:val="left" w:pos="180"/>
          <w:tab w:val="left" w:pos="360"/>
          <w:tab w:val="left" w:pos="540"/>
          <w:tab w:val="left" w:pos="8280"/>
        </w:tabs>
        <w:autoSpaceDE w:val="0"/>
        <w:autoSpaceDN w:val="0"/>
        <w:adjustRightInd w:val="0"/>
        <w:spacing w:line="360" w:lineRule="auto"/>
        <w:ind w:right="23" w:firstLine="482"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b/>
          <w:color w:val="auto"/>
          <w:kern w:val="0"/>
          <w:sz w:val="24"/>
          <w:highlight w:val="none"/>
        </w:rPr>
        <w:t>二、招标项目概况：</w:t>
      </w:r>
    </w:p>
    <w:tbl>
      <w:tblPr>
        <w:tblStyle w:val="35"/>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6"/>
        <w:gridCol w:w="831"/>
        <w:gridCol w:w="784"/>
        <w:gridCol w:w="854"/>
        <w:gridCol w:w="1177"/>
        <w:gridCol w:w="1100"/>
        <w:gridCol w:w="1661"/>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72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序号</w:t>
            </w:r>
          </w:p>
        </w:tc>
        <w:tc>
          <w:tcPr>
            <w:tcW w:w="1436" w:type="dxa"/>
            <w:vAlign w:val="center"/>
          </w:tcPr>
          <w:p>
            <w:pPr>
              <w:tabs>
                <w:tab w:val="left" w:pos="8280"/>
              </w:tabs>
              <w:autoSpaceDE w:val="0"/>
              <w:autoSpaceDN w:val="0"/>
              <w:adjustRightInd w:val="0"/>
              <w:spacing w:line="360" w:lineRule="auto"/>
              <w:ind w:right="25" w:firstLine="120" w:firstLineChars="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标项内容</w:t>
            </w:r>
          </w:p>
        </w:tc>
        <w:tc>
          <w:tcPr>
            <w:tcW w:w="831"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宋体" w:hAnsi="宋体" w:cs="宋体"/>
                <w:b/>
                <w:color w:val="auto"/>
                <w:kern w:val="0"/>
                <w:sz w:val="24"/>
                <w:highlight w:val="none"/>
              </w:rPr>
              <w:t>简要技术要求</w:t>
            </w:r>
          </w:p>
        </w:tc>
        <w:tc>
          <w:tcPr>
            <w:tcW w:w="78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数量</w:t>
            </w:r>
          </w:p>
        </w:tc>
        <w:tc>
          <w:tcPr>
            <w:tcW w:w="85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单位</w:t>
            </w:r>
          </w:p>
        </w:tc>
        <w:tc>
          <w:tcPr>
            <w:tcW w:w="1177"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预算</w:t>
            </w:r>
          </w:p>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（万元）</w:t>
            </w:r>
          </w:p>
        </w:tc>
        <w:tc>
          <w:tcPr>
            <w:tcW w:w="1100" w:type="dxa"/>
            <w:vAlign w:val="center"/>
          </w:tcPr>
          <w:p>
            <w:pPr>
              <w:tabs>
                <w:tab w:val="left" w:pos="8280"/>
              </w:tabs>
              <w:autoSpaceDE w:val="0"/>
              <w:autoSpaceDN w:val="0"/>
              <w:adjustRightInd w:val="0"/>
              <w:spacing w:line="360" w:lineRule="auto"/>
              <w:ind w:right="25" w:firstLine="240"/>
              <w:rPr>
                <w:rFonts w:asciiTheme="minorEastAsia" w:hAnsiTheme="minorEastAsia"/>
                <w:b/>
                <w:color w:val="auto"/>
                <w:sz w:val="24"/>
                <w:highlight w:val="none"/>
              </w:rPr>
            </w:pPr>
            <w:r>
              <w:rPr>
                <w:rFonts w:hint="eastAsia" w:ascii="宋体" w:hAnsi="宋体" w:cs="宋体"/>
                <w:b/>
                <w:color w:val="auto"/>
                <w:sz w:val="24"/>
                <w:highlight w:val="none"/>
              </w:rPr>
              <w:t xml:space="preserve">上限结算率     </w:t>
            </w:r>
          </w:p>
        </w:tc>
        <w:tc>
          <w:tcPr>
            <w:tcW w:w="1661" w:type="dxa"/>
            <w:vAlign w:val="center"/>
          </w:tcPr>
          <w:p>
            <w:pPr>
              <w:tabs>
                <w:tab w:val="left" w:pos="8280"/>
              </w:tabs>
              <w:autoSpaceDE w:val="0"/>
              <w:autoSpaceDN w:val="0"/>
              <w:adjustRightInd w:val="0"/>
              <w:spacing w:line="360" w:lineRule="auto"/>
              <w:ind w:right="25" w:firstLine="240"/>
              <w:jc w:val="center"/>
              <w:rPr>
                <w:rFonts w:ascii="宋体" w:hAnsi="宋体" w:cs="宋体"/>
                <w:b/>
                <w:color w:val="auto"/>
                <w:sz w:val="24"/>
                <w:highlight w:val="none"/>
              </w:rPr>
            </w:pPr>
            <w:r>
              <w:rPr>
                <w:rFonts w:hint="eastAsia" w:ascii="宋体" w:hAnsi="宋体" w:cs="宋体"/>
                <w:b/>
                <w:color w:val="auto"/>
                <w:sz w:val="24"/>
                <w:highlight w:val="none"/>
              </w:rPr>
              <w:t>交货期     （交付期）</w:t>
            </w:r>
          </w:p>
        </w:tc>
        <w:tc>
          <w:tcPr>
            <w:tcW w:w="1096"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维护地点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72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1436"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2022年台州市区新增信号灯及配套设施建设项目</w:t>
            </w:r>
          </w:p>
        </w:tc>
        <w:tc>
          <w:tcPr>
            <w:tcW w:w="831"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详见技术需求</w:t>
            </w:r>
          </w:p>
        </w:tc>
        <w:tc>
          <w:tcPr>
            <w:tcW w:w="78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85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w:t>
            </w:r>
          </w:p>
        </w:tc>
        <w:tc>
          <w:tcPr>
            <w:tcW w:w="1177" w:type="dxa"/>
            <w:vAlign w:val="center"/>
          </w:tcPr>
          <w:p>
            <w:pPr>
              <w:tabs>
                <w:tab w:val="left" w:pos="8280"/>
              </w:tabs>
              <w:autoSpaceDE w:val="0"/>
              <w:autoSpaceDN w:val="0"/>
              <w:adjustRightInd w:val="0"/>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650</w:t>
            </w:r>
          </w:p>
        </w:tc>
        <w:tc>
          <w:tcPr>
            <w:tcW w:w="110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100%</w:t>
            </w:r>
          </w:p>
        </w:tc>
        <w:tc>
          <w:tcPr>
            <w:tcW w:w="1661" w:type="dxa"/>
            <w:vAlign w:val="center"/>
          </w:tcPr>
          <w:p>
            <w:pPr>
              <w:tabs>
                <w:tab w:val="left" w:pos="8280"/>
              </w:tabs>
              <w:autoSpaceDE w:val="0"/>
              <w:autoSpaceDN w:val="0"/>
              <w:adjustRightInd w:val="0"/>
              <w:spacing w:line="360" w:lineRule="auto"/>
              <w:ind w:right="25"/>
              <w:jc w:val="center"/>
              <w:rPr>
                <w:rFonts w:ascii="宋体" w:hAnsi="宋体" w:cs="宋体"/>
                <w:color w:val="auto"/>
                <w:szCs w:val="21"/>
                <w:highlight w:val="none"/>
              </w:rPr>
            </w:pPr>
            <w:r>
              <w:rPr>
                <w:rFonts w:hint="eastAsia" w:asciiTheme="minorEastAsia" w:hAnsiTheme="minorEastAsia" w:eastAsiaTheme="minorEastAsia"/>
                <w:color w:val="auto"/>
                <w:sz w:val="24"/>
                <w:highlight w:val="none"/>
              </w:rPr>
              <w:t>合同签订后150日内完成终验,要求合同签订后120日内初验通过，要求经试运行30日后终验通过。</w:t>
            </w:r>
          </w:p>
        </w:tc>
        <w:tc>
          <w:tcPr>
            <w:tcW w:w="1096"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台州市公安局交通警察局指定地点</w:t>
            </w:r>
          </w:p>
        </w:tc>
      </w:tr>
    </w:tbl>
    <w:p>
      <w:pPr>
        <w:tabs>
          <w:tab w:val="left" w:pos="180"/>
          <w:tab w:val="left" w:pos="360"/>
          <w:tab w:val="left" w:pos="540"/>
          <w:tab w:val="left" w:pos="8280"/>
        </w:tabs>
        <w:autoSpaceDE w:val="0"/>
        <w:autoSpaceDN w:val="0"/>
        <w:adjustRightInd w:val="0"/>
        <w:spacing w:line="360" w:lineRule="auto"/>
        <w:ind w:left="539" w:right="23"/>
        <w:jc w:val="left"/>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sz w:val="24"/>
          <w:highlight w:val="none"/>
        </w:rPr>
        <w:t>三、合格投标人的资格条件：</w:t>
      </w:r>
    </w:p>
    <w:p>
      <w:pPr>
        <w:pStyle w:val="47"/>
        <w:adjustRightInd w:val="0"/>
        <w:spacing w:before="0" w:line="360" w:lineRule="auto"/>
        <w:ind w:left="102" w:right="10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（一）符合《中华人民共和国政府采购法》第二十二条规定的投标人资格条件。</w:t>
      </w:r>
    </w:p>
    <w:p>
      <w:pPr>
        <w:pStyle w:val="47"/>
        <w:adjustRightInd w:val="0"/>
        <w:spacing w:before="0" w:line="360" w:lineRule="auto"/>
        <w:ind w:left="102" w:right="102" w:firstLine="480"/>
        <w:rPr>
          <w:rFonts w:ascii="宋体" w:eastAsia="宋体"/>
          <w:color w:val="auto"/>
          <w:sz w:val="24"/>
          <w:szCs w:val="24"/>
          <w:highlight w:val="none"/>
        </w:rPr>
      </w:pPr>
      <w:r>
        <w:rPr>
          <w:rFonts w:hint="eastAsia" w:ascii="宋体" w:eastAsia="宋体"/>
          <w:color w:val="auto"/>
          <w:sz w:val="24"/>
          <w:szCs w:val="24"/>
          <w:highlight w:val="none"/>
        </w:rPr>
        <w:t>（二）未被“信用中国”（www.creditchina.gov.cn）、中国政府采购网（www.ccgp.gov.cn）列入失信被执行人、重大税收违法案件当事人名单、政府采购严重违法失信行为记录名单。</w:t>
      </w:r>
    </w:p>
    <w:p>
      <w:pPr>
        <w:tabs>
          <w:tab w:val="left" w:pos="180"/>
          <w:tab w:val="left" w:pos="360"/>
          <w:tab w:val="left" w:pos="540"/>
          <w:tab w:val="left" w:pos="8280"/>
        </w:tabs>
        <w:autoSpaceDE w:val="0"/>
        <w:autoSpaceDN w:val="0"/>
        <w:adjustRightInd w:val="0"/>
        <w:spacing w:line="360" w:lineRule="auto"/>
        <w:ind w:right="23" w:firstLine="600" w:firstLineChars="250"/>
        <w:jc w:val="left"/>
        <w:rPr>
          <w:rFonts w:ascii="宋体"/>
          <w:color w:val="auto"/>
          <w:sz w:val="24"/>
          <w:highlight w:val="none"/>
        </w:rPr>
      </w:pPr>
      <w:r>
        <w:rPr>
          <w:rFonts w:hint="eastAsia" w:asciiTheme="minorEastAsia" w:hAnsiTheme="minorEastAsia" w:eastAsiaTheme="minorEastAsia"/>
          <w:color w:val="auto"/>
          <w:sz w:val="24"/>
          <w:highlight w:val="none"/>
        </w:rPr>
        <w:t>（三）落实政府采购政策需满足的资格要求：本项目按照《政府采购促进中小企业发展管理办法》【财库</w:t>
      </w:r>
      <w:r>
        <w:rPr>
          <w:rFonts w:hint="eastAsia"/>
          <w:color w:val="auto"/>
          <w:sz w:val="24"/>
          <w:highlight w:val="none"/>
        </w:rPr>
        <w:t>〔</w:t>
      </w:r>
      <w:r>
        <w:rPr>
          <w:rFonts w:asciiTheme="minorEastAsia" w:hAnsiTheme="minorEastAsia" w:eastAsiaTheme="minorEastAsia"/>
          <w:color w:val="auto"/>
          <w:sz w:val="24"/>
          <w:highlight w:val="none"/>
        </w:rPr>
        <w:t>2020</w:t>
      </w:r>
      <w:r>
        <w:rPr>
          <w:rFonts w:hint="eastAsia"/>
          <w:color w:val="auto"/>
          <w:sz w:val="24"/>
          <w:highlight w:val="none"/>
        </w:rPr>
        <w:t>〕</w:t>
      </w:r>
      <w:r>
        <w:rPr>
          <w:rFonts w:asciiTheme="minorEastAsia" w:hAnsiTheme="minorEastAsia" w:eastAsiaTheme="minorEastAsia"/>
          <w:color w:val="auto"/>
          <w:sz w:val="24"/>
          <w:highlight w:val="none"/>
        </w:rPr>
        <w:t>46号】第七条规定：专门面向中小企业采购。</w:t>
      </w:r>
    </w:p>
    <w:p>
      <w:pPr>
        <w:tabs>
          <w:tab w:val="left" w:pos="180"/>
          <w:tab w:val="left" w:pos="360"/>
          <w:tab w:val="left" w:pos="540"/>
          <w:tab w:val="left" w:pos="8280"/>
        </w:tabs>
        <w:autoSpaceDE w:val="0"/>
        <w:autoSpaceDN w:val="0"/>
        <w:adjustRightInd w:val="0"/>
        <w:spacing w:line="360" w:lineRule="auto"/>
        <w:ind w:right="23" w:firstLine="600" w:firstLineChars="25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（四）本项目供应商特定条件：</w:t>
      </w:r>
    </w:p>
    <w:p>
      <w:pPr>
        <w:pStyle w:val="18"/>
        <w:spacing w:line="360" w:lineRule="auto"/>
        <w:rPr>
          <w:rFonts w:eastAsiaTheme="minorEastAsia"/>
          <w:color w:val="auto"/>
          <w:highlight w:val="none"/>
        </w:rPr>
      </w:pPr>
      <w:r>
        <w:rPr>
          <w:rFonts w:hint="eastAsia" w:asciiTheme="minorEastAsia" w:hAnsiTheme="minorEastAsia" w:eastAsiaTheme="minorEastAsia"/>
          <w:color w:val="auto"/>
          <w:sz w:val="24"/>
          <w:highlight w:val="none"/>
        </w:rPr>
        <w:t>1、具备公路交通工程专业承包（交通安全设施分项）二级及以上资质。</w:t>
      </w:r>
    </w:p>
    <w:p>
      <w:pPr>
        <w:tabs>
          <w:tab w:val="left" w:pos="180"/>
          <w:tab w:val="left" w:pos="360"/>
          <w:tab w:val="left" w:pos="540"/>
          <w:tab w:val="left" w:pos="8280"/>
        </w:tabs>
        <w:autoSpaceDE w:val="0"/>
        <w:autoSpaceDN w:val="0"/>
        <w:adjustRightInd w:val="0"/>
        <w:spacing w:line="360" w:lineRule="auto"/>
        <w:ind w:right="23" w:firstLine="600" w:firstLineChars="250"/>
        <w:jc w:val="left"/>
        <w:rPr>
          <w:rFonts w:asciiTheme="minorEastAsia" w:hAnsiTheme="minorEastAsia" w:eastAsiaTheme="minorEastAsia"/>
          <w:color w:val="auto"/>
          <w:sz w:val="24"/>
          <w:highlight w:val="none"/>
        </w:rPr>
      </w:pPr>
      <w:r>
        <w:rPr>
          <w:rFonts w:hint="eastAsia" w:ascii="宋体" w:hAnsi="宋体" w:cs="宋体"/>
          <w:color w:val="auto"/>
          <w:kern w:val="0"/>
          <w:sz w:val="24"/>
          <w:highlight w:val="none"/>
          <w:lang w:bidi="ar"/>
        </w:rPr>
        <w:t>（五）</w:t>
      </w:r>
      <w:r>
        <w:rPr>
          <w:rFonts w:hint="eastAsia" w:asciiTheme="minorEastAsia" w:hAnsiTheme="minorEastAsia" w:eastAsiaTheme="minorEastAsia"/>
          <w:color w:val="auto"/>
          <w:sz w:val="24"/>
          <w:highlight w:val="none"/>
        </w:rPr>
        <w:t>本项目不接受联合体投标</w:t>
      </w:r>
      <w:r>
        <w:rPr>
          <w:rFonts w:hint="eastAsia" w:ascii="宋体" w:hAnsi="宋体"/>
          <w:color w:val="auto"/>
          <w:sz w:val="24"/>
          <w:highlight w:val="none"/>
        </w:rPr>
        <w:t>。</w:t>
      </w:r>
    </w:p>
    <w:p>
      <w:pPr>
        <w:tabs>
          <w:tab w:val="left" w:pos="180"/>
          <w:tab w:val="left" w:pos="360"/>
          <w:tab w:val="left" w:pos="540"/>
          <w:tab w:val="left" w:pos="8280"/>
        </w:tabs>
        <w:autoSpaceDE w:val="0"/>
        <w:autoSpaceDN w:val="0"/>
        <w:adjustRightInd w:val="0"/>
        <w:spacing w:line="360" w:lineRule="auto"/>
        <w:ind w:right="23"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四、招标文件获取的方式、时间：</w:t>
      </w:r>
    </w:p>
    <w:p>
      <w:pPr>
        <w:widowControl/>
        <w:spacing w:line="360" w:lineRule="auto"/>
        <w:ind w:firstLine="420"/>
        <w:jc w:val="left"/>
        <w:rPr>
          <w:rFonts w:ascii="宋体" w:hAnsi="宋体" w:cs="宋体"/>
          <w:color w:val="auto"/>
          <w:kern w:val="0"/>
          <w:sz w:val="27"/>
          <w:szCs w:val="27"/>
          <w:highlight w:val="none"/>
        </w:rPr>
      </w:pPr>
      <w:r>
        <w:rPr>
          <w:rFonts w:hint="eastAsia" w:ascii="宋体" w:hAnsi="宋体" w:cs="宋体"/>
          <w:color w:val="auto"/>
          <w:kern w:val="0"/>
          <w:sz w:val="24"/>
          <w:highlight w:val="none"/>
        </w:rPr>
        <w:t>1、本项目招标文件实行“政府采购云平台”在线获取，不提供招标文件纸质版。供应商获取招标文件前应先完成“政府采购云平台”的账号注册；</w:t>
      </w:r>
    </w:p>
    <w:p>
      <w:pPr>
        <w:widowControl/>
        <w:spacing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2、地点：</w:t>
      </w:r>
    </w:p>
    <w:p>
      <w:pPr>
        <w:widowControl/>
        <w:tabs>
          <w:tab w:val="right" w:pos="8306"/>
        </w:tabs>
        <w:spacing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（1）政采云平台（http://zfcg.czt.zj.gov.cn）；</w:t>
      </w:r>
      <w:r>
        <w:rPr>
          <w:rFonts w:ascii="宋体" w:hAnsi="宋体" w:cs="宋体"/>
          <w:color w:val="auto"/>
          <w:kern w:val="0"/>
          <w:sz w:val="24"/>
          <w:highlight w:val="none"/>
        </w:rPr>
        <w:tab/>
      </w:r>
    </w:p>
    <w:p>
      <w:pPr>
        <w:widowControl/>
        <w:spacing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（2）供应商网上报名操作指南：“浙江政府采购网-办事指南-省采中心-网上报名”（http://zfcg.czt.zj.gov.cn/bs_other/2018-03-30/12002.html）。</w:t>
      </w:r>
    </w:p>
    <w:p>
      <w:pPr>
        <w:widowControl/>
        <w:spacing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3、方式：潜在供应商登陆政采云平台，在线申请获取招标文件（进入“项目采购”应用，在获取招标文件菜单中选择项目，申请获取招标文件，本项目招标文件不收取工本费；</w:t>
      </w:r>
      <w:r>
        <w:rPr>
          <w:rFonts w:hint="eastAsia" w:ascii="宋体" w:hAnsi="宋体" w:cs="宋体"/>
          <w:color w:val="auto"/>
          <w:kern w:val="0"/>
          <w:sz w:val="24"/>
          <w:highlight w:val="none"/>
          <w:u w:val="single"/>
        </w:rPr>
        <w:t>仅需浏览招标文件的供应商可点击“游客，浏览招标文件”直接下载招标文件浏览</w:t>
      </w:r>
      <w:r>
        <w:rPr>
          <w:rFonts w:hint="eastAsia" w:ascii="宋体" w:hAnsi="宋体" w:cs="宋体"/>
          <w:color w:val="auto"/>
          <w:kern w:val="0"/>
          <w:sz w:val="24"/>
          <w:highlight w:val="none"/>
        </w:rPr>
        <w:t>）；</w:t>
      </w:r>
    </w:p>
    <w:p>
      <w:pPr>
        <w:widowControl/>
        <w:spacing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4、供应商获取招标文件时须提交的文件资料：无；</w:t>
      </w:r>
    </w:p>
    <w:p>
      <w:pPr>
        <w:widowControl/>
        <w:spacing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pPr>
        <w:spacing w:line="360" w:lineRule="auto"/>
        <w:ind w:firstLine="480" w:firstLineChars="200"/>
        <w:rPr>
          <w:rFonts w:ascii="宋体" w:hAnsi="宋体" w:cs="仿宋"/>
          <w:color w:val="auto"/>
          <w:sz w:val="24"/>
          <w:highlight w:val="none"/>
        </w:rPr>
      </w:pPr>
      <w:r>
        <w:rPr>
          <w:rFonts w:hint="eastAsia" w:ascii="宋体" w:hAnsi="宋体" w:cs="宋体"/>
          <w:color w:val="auto"/>
          <w:kern w:val="0"/>
          <w:sz w:val="24"/>
          <w:highlight w:val="none"/>
        </w:rPr>
        <w:t>注：请供应商按上述要求获取招标文件，如未在“政采云”系统内完成相关流程，引起的投标无效责任自负。</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3" w:firstLine="539"/>
        <w:jc w:val="left"/>
        <w:rPr>
          <w:rFonts w:ascii="宋体" w:hAnsi="宋体"/>
          <w:b/>
          <w:color w:val="auto"/>
          <w:kern w:val="0"/>
          <w:sz w:val="24"/>
          <w:highlight w:val="none"/>
        </w:rPr>
      </w:pPr>
      <w:r>
        <w:rPr>
          <w:rFonts w:hint="eastAsia" w:ascii="宋体" w:hAnsi="宋体" w:cs="Calibri Light"/>
          <w:b/>
          <w:color w:val="auto"/>
          <w:sz w:val="24"/>
          <w:highlight w:val="none"/>
        </w:rPr>
        <w:t>五、电子</w:t>
      </w:r>
      <w:r>
        <w:rPr>
          <w:rFonts w:hint="eastAsia" w:ascii="宋体" w:hAnsi="宋体"/>
          <w:b/>
          <w:color w:val="auto"/>
          <w:kern w:val="0"/>
          <w:sz w:val="24"/>
          <w:highlight w:val="none"/>
        </w:rPr>
        <w:t>投标文件递交截止时间及开标时间、地点：</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3" w:firstLine="480"/>
        <w:jc w:val="left"/>
        <w:rPr>
          <w:rFonts w:ascii="宋体" w:hAnsi="宋体" w:cs="仿宋"/>
          <w:color w:val="auto"/>
          <w:sz w:val="24"/>
          <w:highlight w:val="none"/>
        </w:rPr>
      </w:pPr>
      <w:r>
        <w:rPr>
          <w:rFonts w:hint="eastAsia" w:ascii="宋体" w:hAnsi="宋体" w:cs="仿宋"/>
          <w:color w:val="auto"/>
          <w:sz w:val="24"/>
          <w:highlight w:val="none"/>
        </w:rPr>
        <w:t>1、电子投标文件递交截止时间及开标时间：</w:t>
      </w:r>
      <w:r>
        <w:rPr>
          <w:rFonts w:hint="eastAsia" w:asciiTheme="majorEastAsia" w:hAnsiTheme="majorEastAsia" w:eastAsiaTheme="majorEastAsia" w:cstheme="majorEastAsia"/>
          <w:color w:val="auto"/>
          <w:sz w:val="24"/>
          <w:highlight w:val="none"/>
        </w:rPr>
        <w:t>2022年</w:t>
      </w:r>
      <w:r>
        <w:rPr>
          <w:rFonts w:hint="eastAsia" w:asciiTheme="majorEastAsia" w:hAnsiTheme="majorEastAsia" w:eastAsiaTheme="majorEastAsia" w:cstheme="majorEastAsia"/>
          <w:color w:val="auto"/>
          <w:sz w:val="24"/>
          <w:highlight w:val="none"/>
          <w:lang w:val="en-US" w:eastAsia="zh-CN"/>
        </w:rPr>
        <w:t>8</w:t>
      </w:r>
      <w:r>
        <w:rPr>
          <w:rFonts w:hint="eastAsia" w:asciiTheme="majorEastAsia" w:hAnsiTheme="majorEastAsia" w:eastAsiaTheme="majorEastAsia" w:cstheme="majorEastAsia"/>
          <w:color w:val="auto"/>
          <w:sz w:val="24"/>
          <w:highlight w:val="none"/>
        </w:rPr>
        <w:t>月</w:t>
      </w:r>
      <w:r>
        <w:rPr>
          <w:rFonts w:hint="eastAsia" w:asciiTheme="majorEastAsia" w:hAnsiTheme="majorEastAsia" w:eastAsiaTheme="majorEastAsia" w:cstheme="majorEastAsia"/>
          <w:color w:val="auto"/>
          <w:sz w:val="24"/>
          <w:highlight w:val="none"/>
          <w:lang w:val="en-US" w:eastAsia="zh-CN"/>
        </w:rPr>
        <w:t>30</w:t>
      </w:r>
      <w:r>
        <w:rPr>
          <w:rFonts w:hint="eastAsia" w:asciiTheme="majorEastAsia" w:hAnsiTheme="majorEastAsia" w:eastAsiaTheme="majorEastAsia" w:cstheme="majorEastAsia"/>
          <w:color w:val="auto"/>
          <w:sz w:val="24"/>
          <w:highlight w:val="none"/>
        </w:rPr>
        <w:t>日09时</w:t>
      </w:r>
      <w:r>
        <w:rPr>
          <w:rFonts w:hint="eastAsia" w:asciiTheme="majorEastAsia" w:hAnsiTheme="majorEastAsia" w:eastAsiaTheme="majorEastAsia" w:cstheme="majorEastAsia"/>
          <w:color w:val="auto"/>
          <w:sz w:val="24"/>
          <w:highlight w:val="none"/>
          <w:lang w:val="en-US" w:eastAsia="zh-CN"/>
        </w:rPr>
        <w:t>3</w:t>
      </w:r>
      <w:r>
        <w:rPr>
          <w:rFonts w:hint="eastAsia" w:asciiTheme="majorEastAsia" w:hAnsiTheme="majorEastAsia" w:eastAsiaTheme="majorEastAsia" w:cstheme="majorEastAsia"/>
          <w:color w:val="auto"/>
          <w:sz w:val="24"/>
          <w:highlight w:val="none"/>
        </w:rPr>
        <w:t>0分</w:t>
      </w:r>
      <w:r>
        <w:rPr>
          <w:rFonts w:hint="eastAsia" w:asciiTheme="majorEastAsia" w:hAnsiTheme="majorEastAsia" w:eastAsiaTheme="majorEastAsia" w:cstheme="majorEastAsia"/>
          <w:color w:val="auto"/>
          <w:sz w:val="24"/>
          <w:highlight w:val="none"/>
        </w:rPr>
        <w:t>（北京时间）</w:t>
      </w:r>
      <w:r>
        <w:rPr>
          <w:rFonts w:hint="eastAsia" w:ascii="宋体" w:hAnsi="宋体" w:cs="仿宋"/>
          <w:color w:val="auto"/>
          <w:sz w:val="24"/>
          <w:highlight w:val="none"/>
        </w:rPr>
        <w:t>；</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3" w:firstLine="480"/>
        <w:jc w:val="left"/>
        <w:rPr>
          <w:rFonts w:ascii="宋体" w:hAnsi="宋体" w:cs="仿宋"/>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、开标地点及电子投标文件提交地点：通过“政府采购云平台（www.zcygov.cn）”实行在线投标响应；</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3" w:firstLine="482" w:firstLineChars="200"/>
        <w:jc w:val="left"/>
        <w:rPr>
          <w:rFonts w:ascii="宋体" w:hAnsi="宋体" w:cs="Calibri Light"/>
          <w:color w:val="auto"/>
          <w:kern w:val="0"/>
          <w:sz w:val="24"/>
          <w:highlight w:val="none"/>
        </w:rPr>
      </w:pPr>
      <w:r>
        <w:rPr>
          <w:rFonts w:hint="eastAsia" w:ascii="宋体" w:hAnsi="宋体" w:cs="Calibri Light"/>
          <w:b/>
          <w:bCs/>
          <w:color w:val="auto"/>
          <w:sz w:val="24"/>
          <w:highlight w:val="none"/>
        </w:rPr>
        <w:t>六、投标保证金</w:t>
      </w:r>
      <w:r>
        <w:rPr>
          <w:rFonts w:hint="eastAsia" w:ascii="宋体" w:hAnsi="宋体" w:cs="Calibri Light"/>
          <w:b/>
          <w:color w:val="auto"/>
          <w:sz w:val="24"/>
          <w:highlight w:val="none"/>
        </w:rPr>
        <w:t>：</w:t>
      </w:r>
    </w:p>
    <w:p>
      <w:pPr>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无</w:t>
      </w:r>
    </w:p>
    <w:p>
      <w:pPr>
        <w:spacing w:line="360" w:lineRule="auto"/>
        <w:ind w:firstLine="482" w:firstLineChars="200"/>
        <w:rPr>
          <w:rFonts w:ascii="宋体" w:hAnsi="宋体" w:cs="仿宋"/>
          <w:b/>
          <w:bCs/>
          <w:color w:val="auto"/>
          <w:sz w:val="24"/>
          <w:highlight w:val="none"/>
        </w:rPr>
      </w:pPr>
      <w:r>
        <w:rPr>
          <w:rFonts w:hint="eastAsia" w:ascii="宋体" w:hAnsi="宋体" w:cs="仿宋"/>
          <w:b/>
          <w:bCs/>
          <w:color w:val="auto"/>
          <w:sz w:val="24"/>
          <w:highlight w:val="none"/>
        </w:rPr>
        <w:t>七、在线投标响应（电子投标）说明：</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政采云电子交易客户端”请自行前往“浙江政府采购网-下载专区-电子交易客户端”进行下载；电子投标具体操作流程详见《供应商项目采购-电子招投标操作指南》；通过“政府采购云平台”参与在线投标时如遇平台技术问题详询400-881-7190。</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3、投标供应商应当在投标截止时间前，将生成的“电子加密投标文件”上传递交至“政府采购云平台”。投标截止时间以后上传递交的投标文件将被“政府采购云平台”拒收。</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4、投标供应商在“政府采购云平台”完成“电子加密投标文件”的上传递交后，还可以（EMS邮寄或顺丰邮寄形式）在投标截止时间前递交以介质（U盘）存储的数据电文形式的“备份投标文件”，“备份投标文件”应当密封包装并在包装上标注投标项目名称、投标单位名称并加盖公章。</w:t>
      </w:r>
    </w:p>
    <w:p>
      <w:pPr>
        <w:spacing w:line="360" w:lineRule="auto"/>
        <w:ind w:firstLine="480" w:firstLineChars="200"/>
        <w:rPr>
          <w:rFonts w:cs="Arial" w:asciiTheme="minorEastAsia" w:hAnsiTheme="minorEastAsia" w:eastAsiaTheme="minorEastAsia"/>
          <w:color w:val="auto"/>
          <w:sz w:val="24"/>
          <w:highlight w:val="none"/>
        </w:rPr>
      </w:pPr>
      <w:r>
        <w:rPr>
          <w:rFonts w:hint="eastAsia" w:ascii="宋体" w:hAnsi="宋体" w:cs="Calibri Light"/>
          <w:color w:val="auto"/>
          <w:kern w:val="0"/>
          <w:sz w:val="24"/>
          <w:highlight w:val="none"/>
        </w:rPr>
        <w:t>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pPr>
        <w:spacing w:line="360" w:lineRule="auto"/>
        <w:ind w:firstLine="482" w:firstLineChars="200"/>
        <w:rPr>
          <w:rFonts w:ascii="宋体" w:hAnsi="宋体" w:cs="Arial"/>
          <w:color w:val="auto"/>
          <w:sz w:val="24"/>
          <w:highlight w:val="none"/>
        </w:rPr>
      </w:pPr>
      <w:r>
        <w:rPr>
          <w:rFonts w:hint="eastAsia" w:cs="Arial" w:asciiTheme="minorEastAsia" w:hAnsiTheme="minorEastAsia" w:eastAsiaTheme="minorEastAsia"/>
          <w:b/>
          <w:bCs/>
          <w:color w:val="auto"/>
          <w:sz w:val="24"/>
          <w:highlight w:val="none"/>
        </w:rPr>
        <w:t>八</w:t>
      </w:r>
      <w:r>
        <w:rPr>
          <w:rFonts w:cs="Arial" w:asciiTheme="minorEastAsia" w:hAnsiTheme="minorEastAsia" w:eastAsiaTheme="minorEastAsia"/>
          <w:b/>
          <w:bCs/>
          <w:color w:val="auto"/>
          <w:sz w:val="24"/>
          <w:highlight w:val="none"/>
        </w:rPr>
        <w:t>、</w:t>
      </w:r>
      <w:r>
        <w:rPr>
          <w:rFonts w:hint="eastAsia" w:ascii="宋体" w:hAnsi="宋体" w:cs="Arial"/>
          <w:b/>
          <w:color w:val="auto"/>
          <w:sz w:val="24"/>
          <w:highlight w:val="none"/>
        </w:rPr>
        <w:t>相关注意事项</w:t>
      </w:r>
      <w:r>
        <w:rPr>
          <w:rFonts w:hint="eastAsia" w:ascii="宋体" w:hAnsi="宋体" w:cs="Arial"/>
          <w:color w:val="auto"/>
          <w:sz w:val="24"/>
          <w:highlight w:val="none"/>
        </w:rPr>
        <w:t>：</w:t>
      </w:r>
    </w:p>
    <w:p>
      <w:pPr>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w:t>
      </w:r>
      <w:r>
        <w:rPr>
          <w:rFonts w:hint="eastAsia" w:cs="Arial" w:asciiTheme="minorEastAsia" w:hAnsiTheme="minorEastAsia" w:eastAsiaTheme="minorEastAsia"/>
          <w:color w:val="auto"/>
          <w:sz w:val="24"/>
          <w:highlight w:val="none"/>
        </w:rPr>
        <w:t>满后十五个工作日内向同级政府采购监督管理部门投诉。</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采购人书面质疑接收人：杨警官</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联系电话：0</w:t>
      </w:r>
      <w:r>
        <w:rPr>
          <w:rFonts w:ascii="宋体" w:hAnsi="宋体" w:cs="Calibri Light"/>
          <w:color w:val="auto"/>
          <w:kern w:val="0"/>
          <w:sz w:val="24"/>
          <w:highlight w:val="none"/>
        </w:rPr>
        <w:t>576-88212750</w:t>
      </w:r>
    </w:p>
    <w:p>
      <w:pPr>
        <w:spacing w:line="360" w:lineRule="auto"/>
        <w:ind w:firstLine="480" w:firstLineChars="200"/>
        <w:rPr>
          <w:rFonts w:cs="Arial" w:asciiTheme="minorEastAsia" w:hAnsiTheme="minorEastAsia" w:eastAsiaTheme="minorEastAsia"/>
          <w:color w:val="auto"/>
          <w:sz w:val="24"/>
          <w:highlight w:val="none"/>
        </w:rPr>
      </w:pPr>
      <w:r>
        <w:rPr>
          <w:rFonts w:hint="eastAsia" w:ascii="宋体" w:hAnsi="宋体" w:cs="Calibri Light"/>
          <w:color w:val="auto"/>
          <w:kern w:val="0"/>
          <w:sz w:val="24"/>
          <w:highlight w:val="none"/>
        </w:rPr>
        <w:t>书面质疑接收地址：台州市椒江区康平路2号</w:t>
      </w:r>
    </w:p>
    <w:p>
      <w:pPr>
        <w:spacing w:line="360" w:lineRule="auto"/>
        <w:ind w:firstLine="480" w:firstLineChars="200"/>
        <w:rPr>
          <w:rFonts w:cs="Arial" w:asciiTheme="minorEastAsia" w:hAnsiTheme="minorEastAsia" w:eastAsiaTheme="minorEastAsia"/>
          <w:color w:val="auto"/>
          <w:sz w:val="24"/>
          <w:highlight w:val="none"/>
        </w:rPr>
      </w:pP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招标</w:t>
      </w:r>
      <w:r>
        <w:rPr>
          <w:rFonts w:ascii="宋体" w:hAnsi="宋体" w:cs="Calibri Light"/>
          <w:color w:val="auto"/>
          <w:kern w:val="0"/>
          <w:sz w:val="24"/>
          <w:highlight w:val="none"/>
        </w:rPr>
        <w:t>代理机构</w:t>
      </w:r>
      <w:r>
        <w:rPr>
          <w:rFonts w:hint="eastAsia" w:ascii="宋体" w:hAnsi="宋体" w:cs="Calibri Light"/>
          <w:color w:val="auto"/>
          <w:kern w:val="0"/>
          <w:sz w:val="24"/>
          <w:highlight w:val="none"/>
        </w:rPr>
        <w:t>书面质疑接收人：徐工</w:t>
      </w:r>
    </w:p>
    <w:p>
      <w:pPr>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联系电话：</w:t>
      </w:r>
      <w:r>
        <w:rPr>
          <w:rFonts w:ascii="宋体" w:hAnsi="宋体" w:cs="Calibri Light"/>
          <w:color w:val="auto"/>
          <w:kern w:val="0"/>
          <w:sz w:val="24"/>
          <w:highlight w:val="none"/>
        </w:rPr>
        <w:t>13566655825</w:t>
      </w:r>
    </w:p>
    <w:p>
      <w:pPr>
        <w:spacing w:line="360" w:lineRule="auto"/>
        <w:ind w:firstLine="480" w:firstLineChars="200"/>
        <w:rPr>
          <w:rFonts w:cs="Arial" w:asciiTheme="minorEastAsia" w:hAnsiTheme="minorEastAsia" w:eastAsiaTheme="minorEastAsia"/>
          <w:color w:val="auto"/>
          <w:sz w:val="24"/>
          <w:highlight w:val="none"/>
        </w:rPr>
      </w:pPr>
      <w:r>
        <w:rPr>
          <w:rFonts w:hint="eastAsia" w:ascii="宋体" w:hAnsi="宋体" w:cs="Calibri Light"/>
          <w:color w:val="auto"/>
          <w:kern w:val="0"/>
          <w:sz w:val="24"/>
          <w:highlight w:val="none"/>
        </w:rPr>
        <w:t>书面质疑接收地址：浙江省台州市椒江区爱华路18号新台州大厦</w:t>
      </w:r>
      <w:r>
        <w:rPr>
          <w:rFonts w:ascii="宋体" w:hAnsi="宋体" w:cs="Calibri Light"/>
          <w:color w:val="auto"/>
          <w:kern w:val="0"/>
          <w:sz w:val="24"/>
          <w:highlight w:val="none"/>
        </w:rPr>
        <w:t>206</w:t>
      </w:r>
    </w:p>
    <w:p>
      <w:pPr>
        <w:spacing w:line="360" w:lineRule="auto"/>
        <w:ind w:firstLine="590" w:firstLineChars="24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九、联系方式：</w:t>
      </w:r>
    </w:p>
    <w:p>
      <w:pPr>
        <w:spacing w:line="360" w:lineRule="auto"/>
        <w:ind w:firstLine="472" w:firstLineChars="196"/>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（一）采购代理机构</w:t>
      </w:r>
    </w:p>
    <w:p>
      <w:pPr>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采购代理机构名称：浙江百和工程咨询有限公司</w:t>
      </w:r>
    </w:p>
    <w:p>
      <w:pPr>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项目联系人：吴女士　</w:t>
      </w:r>
    </w:p>
    <w:p>
      <w:pPr>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 xml:space="preserve">联系电话：15825475513     </w:t>
      </w:r>
    </w:p>
    <w:p>
      <w:pPr>
        <w:spacing w:line="360" w:lineRule="auto"/>
        <w:ind w:firstLine="600" w:firstLineChars="250"/>
        <w:rPr>
          <w:rFonts w:cs="Arial" w:asciiTheme="minorEastAsia" w:hAnsiTheme="minorEastAsia" w:eastAsiaTheme="minorEastAsia"/>
          <w:color w:val="auto"/>
          <w:sz w:val="24"/>
          <w:highlight w:val="none"/>
        </w:rPr>
      </w:pPr>
      <w:r>
        <w:rPr>
          <w:rFonts w:hint="eastAsia" w:ascii="宋体" w:hAnsi="宋体" w:cs="仿宋"/>
          <w:color w:val="auto"/>
          <w:sz w:val="24"/>
          <w:highlight w:val="none"/>
        </w:rPr>
        <w:t>地址：</w:t>
      </w:r>
      <w:r>
        <w:rPr>
          <w:rFonts w:hint="eastAsia" w:ascii="宋体" w:hAnsi="宋体" w:cs="Calibri Light"/>
          <w:color w:val="auto"/>
          <w:kern w:val="0"/>
          <w:sz w:val="24"/>
          <w:highlight w:val="none"/>
        </w:rPr>
        <w:t>浙江省台州市椒江区爱华路18号新台州大厦</w:t>
      </w:r>
      <w:r>
        <w:rPr>
          <w:rFonts w:ascii="宋体" w:hAnsi="宋体" w:cs="Calibri Light"/>
          <w:color w:val="auto"/>
          <w:kern w:val="0"/>
          <w:sz w:val="24"/>
          <w:highlight w:val="none"/>
        </w:rPr>
        <w:t>206</w:t>
      </w:r>
    </w:p>
    <w:p>
      <w:pPr>
        <w:spacing w:line="360" w:lineRule="auto"/>
        <w:ind w:firstLine="602" w:firstLineChars="25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（二）采购人</w:t>
      </w:r>
    </w:p>
    <w:p>
      <w:pPr>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采购人名称：台州市公安局交通警察局</w:t>
      </w:r>
    </w:p>
    <w:p>
      <w:pPr>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 xml:space="preserve">联系人：尤先生     </w:t>
      </w:r>
    </w:p>
    <w:p>
      <w:pPr>
        <w:spacing w:line="360" w:lineRule="auto"/>
        <w:ind w:firstLine="600" w:firstLineChars="250"/>
        <w:rPr>
          <w:rFonts w:ascii="宋体" w:hAnsi="宋体" w:cs="宋体"/>
          <w:color w:val="auto"/>
          <w:sz w:val="24"/>
          <w:highlight w:val="none"/>
          <w:shd w:val="clear" w:color="auto" w:fill="FFFFFF"/>
        </w:rPr>
      </w:pPr>
      <w:r>
        <w:rPr>
          <w:rFonts w:hint="eastAsia" w:ascii="宋体" w:hAnsi="宋体" w:cs="宋体"/>
          <w:color w:val="auto"/>
          <w:sz w:val="24"/>
          <w:highlight w:val="none"/>
        </w:rPr>
        <w:t>联系电话：</w:t>
      </w:r>
      <w:r>
        <w:rPr>
          <w:rFonts w:hint="eastAsia" w:ascii="宋体" w:hAnsi="宋体" w:cs="宋体"/>
          <w:color w:val="auto"/>
          <w:sz w:val="24"/>
          <w:highlight w:val="none"/>
          <w:shd w:val="clear" w:color="auto" w:fill="FFFFFF"/>
        </w:rPr>
        <w:t>13957654567</w:t>
      </w:r>
    </w:p>
    <w:p>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采购人地址：浙江省台州市椒江区机场北路451号</w:t>
      </w:r>
    </w:p>
    <w:p>
      <w:pPr>
        <w:spacing w:line="360" w:lineRule="auto"/>
        <w:ind w:firstLine="472" w:firstLineChars="196"/>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（三）同级政府采购监督管理部门</w:t>
      </w:r>
    </w:p>
    <w:p>
      <w:pPr>
        <w:spacing w:line="360" w:lineRule="auto"/>
        <w:ind w:left="525" w:leftChars="250"/>
        <w:rPr>
          <w:rFonts w:ascii="宋体" w:hAnsi="宋体" w:cs="仿宋"/>
          <w:color w:val="auto"/>
          <w:sz w:val="24"/>
          <w:highlight w:val="none"/>
        </w:rPr>
      </w:pPr>
      <w:r>
        <w:rPr>
          <w:rFonts w:hint="eastAsia" w:ascii="宋体" w:hAnsi="宋体" w:cs="仿宋"/>
          <w:color w:val="auto"/>
          <w:sz w:val="24"/>
          <w:highlight w:val="none"/>
        </w:rPr>
        <w:t>名称：台州市财政局政府采购监管处</w:t>
      </w:r>
    </w:p>
    <w:p>
      <w:pPr>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联系人：陈女士、李工</w:t>
      </w:r>
    </w:p>
    <w:p>
      <w:pPr>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监督投诉电话：</w:t>
      </w:r>
      <w:r>
        <w:rPr>
          <w:rFonts w:ascii="宋体" w:hAnsi="宋体" w:cs="仿宋"/>
          <w:color w:val="auto"/>
          <w:sz w:val="24"/>
          <w:highlight w:val="none"/>
        </w:rPr>
        <w:t>0576-88206705</w:t>
      </w:r>
      <w:r>
        <w:rPr>
          <w:rFonts w:hint="eastAsia" w:ascii="宋体" w:hAnsi="宋体" w:cs="仿宋"/>
          <w:color w:val="auto"/>
          <w:sz w:val="24"/>
          <w:highlight w:val="none"/>
        </w:rPr>
        <w:t>、0576-88206731</w:t>
      </w: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360" w:lineRule="auto"/>
        <w:ind w:right="386" w:firstLine="600" w:firstLineChars="250"/>
        <w:rPr>
          <w:color w:val="auto"/>
          <w:highlight w:val="none"/>
        </w:rPr>
        <w:sectPr>
          <w:pgSz w:w="11906" w:h="16838"/>
          <w:pgMar w:top="1440" w:right="1800" w:bottom="1440" w:left="1800" w:header="851" w:footer="992" w:gutter="0"/>
          <w:pgNumType w:fmt="numberInDash"/>
          <w:cols w:space="425" w:num="1"/>
          <w:docGrid w:type="lines" w:linePitch="312" w:charSpace="0"/>
        </w:sectPr>
      </w:pPr>
      <w:r>
        <w:rPr>
          <w:rFonts w:hint="eastAsia" w:ascii="宋体" w:hAnsi="宋体" w:cs="仿宋"/>
          <w:color w:val="auto"/>
          <w:sz w:val="24"/>
          <w:highlight w:val="none"/>
        </w:rPr>
        <w:t>地址：台州市椒江区纬一路66号</w:t>
      </w:r>
    </w:p>
    <w:p>
      <w:pPr>
        <w:numPr>
          <w:ilvl w:val="0"/>
          <w:numId w:val="4"/>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投标人须知</w:t>
      </w:r>
    </w:p>
    <w:p>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前附表</w:t>
      </w:r>
    </w:p>
    <w:tbl>
      <w:tblPr>
        <w:tblStyle w:val="35"/>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267"/>
        <w:gridCol w:w="6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序号</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项    目</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1</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供应商特定资格要求</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2</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kern w:val="0"/>
                <w:sz w:val="24"/>
                <w:highlight w:val="none"/>
              </w:rPr>
              <w:t>答疑会或</w:t>
            </w:r>
            <w:r>
              <w:rPr>
                <w:rFonts w:hint="eastAsia" w:asciiTheme="majorEastAsia" w:hAnsiTheme="majorEastAsia" w:eastAsiaTheme="majorEastAsia" w:cstheme="majorEastAsia"/>
                <w:color w:val="auto"/>
                <w:sz w:val="24"/>
                <w:highlight w:val="none"/>
              </w:rPr>
              <w:t>现场踏勘</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cs="Arial" w:asciiTheme="minorEastAsia" w:hAnsiTheme="minorEastAsia" w:eastAsiaTheme="minorEastAsia"/>
                <w:color w:val="auto"/>
                <w:sz w:val="24"/>
                <w:highlight w:val="none"/>
              </w:rPr>
              <w:t>本项目不组织答疑会或现场踏勘，</w:t>
            </w:r>
            <w:r>
              <w:rPr>
                <w:rFonts w:hint="eastAsia" w:ascii="宋体" w:hAnsi="宋体" w:cs="宋体"/>
                <w:b/>
                <w:bCs/>
                <w:color w:val="auto"/>
                <w:sz w:val="24"/>
                <w:highlight w:val="none"/>
              </w:rPr>
              <w:t>投标人如需现场踏勘，可联系采购人</w:t>
            </w:r>
            <w:r>
              <w:rPr>
                <w:rFonts w:hint="eastAsia" w:cs="Arial" w:asciiTheme="minorEastAsia" w:hAnsiTheme="minorEastAsia" w:eastAsiaTheme="minorEastAsia"/>
                <w:color w:val="auto"/>
                <w:sz w:val="24"/>
                <w:highlight w:val="none"/>
              </w:rPr>
              <w:t>联系人：</w:t>
            </w:r>
            <w:r>
              <w:rPr>
                <w:rFonts w:hint="eastAsia" w:ascii="宋体" w:hAnsi="宋体" w:cs="宋体"/>
                <w:color w:val="auto"/>
                <w:sz w:val="24"/>
                <w:highlight w:val="none"/>
              </w:rPr>
              <w:t>尤先生</w:t>
            </w:r>
            <w:r>
              <w:rPr>
                <w:rFonts w:hint="eastAsia" w:cs="Arial" w:asciiTheme="minorEastAsia" w:hAnsiTheme="minorEastAsia" w:eastAsiaTheme="minorEastAsia"/>
                <w:color w:val="auto"/>
                <w:sz w:val="24"/>
                <w:highlight w:val="none"/>
              </w:rPr>
              <w:t>；联系电话：13957654567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3</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投标文件的编制</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 w:val="24"/>
                <w:highlight w:val="none"/>
              </w:rPr>
            </w:pPr>
            <w:r>
              <w:rPr>
                <w:rFonts w:hint="eastAsia"/>
                <w:color w:val="auto"/>
                <w:sz w:val="24"/>
                <w:highlight w:val="none"/>
              </w:rPr>
              <w:t>一、供应商应先安装“政采云电子交易客户端”，并按照本招标文件和“政府采购云平台”的要求，通过“政采云电子交易客户端”编制并加密投标文件。</w:t>
            </w:r>
          </w:p>
          <w:p>
            <w:pPr>
              <w:spacing w:line="360" w:lineRule="auto"/>
              <w:rPr>
                <w:b/>
                <w:bCs/>
                <w:color w:val="auto"/>
                <w:sz w:val="24"/>
                <w:highlight w:val="none"/>
              </w:rPr>
            </w:pPr>
            <w:r>
              <w:rPr>
                <w:rFonts w:hint="eastAsia"/>
                <w:b/>
                <w:bCs/>
                <w:color w:val="auto"/>
                <w:sz w:val="24"/>
                <w:highlight w:val="none"/>
              </w:rPr>
              <w:t>二、样品一套，内容如下：</w:t>
            </w:r>
          </w:p>
          <w:p>
            <w:pPr>
              <w:spacing w:line="360" w:lineRule="auto"/>
              <w:rPr>
                <w:color w:val="auto"/>
                <w:sz w:val="24"/>
                <w:highlight w:val="none"/>
              </w:rPr>
            </w:pPr>
            <w:r>
              <w:rPr>
                <w:rFonts w:hint="eastAsia"/>
                <w:color w:val="auto"/>
                <w:sz w:val="24"/>
                <w:highlight w:val="none"/>
              </w:rPr>
              <w:t>1、采购清单中涉及的各类反光膜一套；</w:t>
            </w:r>
          </w:p>
          <w:p>
            <w:pPr>
              <w:spacing w:line="360" w:lineRule="auto"/>
              <w:rPr>
                <w:color w:val="auto"/>
                <w:sz w:val="24"/>
                <w:highlight w:val="none"/>
              </w:rPr>
            </w:pPr>
            <w:r>
              <w:rPr>
                <w:rFonts w:hint="eastAsia"/>
                <w:color w:val="auto"/>
                <w:sz w:val="24"/>
                <w:highlight w:val="none"/>
              </w:rPr>
              <w:t>2、灯具（满屏灯或箭头灯主灯一组（黄灯有9秒倒计时）、人行横道信号灯一组）；</w:t>
            </w:r>
          </w:p>
          <w:p>
            <w:pPr>
              <w:spacing w:line="360" w:lineRule="auto"/>
              <w:rPr>
                <w:color w:val="auto"/>
                <w:sz w:val="24"/>
                <w:highlight w:val="none"/>
              </w:rPr>
            </w:pPr>
            <w:r>
              <w:rPr>
                <w:color w:val="auto"/>
                <w:sz w:val="24"/>
                <w:highlight w:val="none"/>
              </w:rPr>
              <w:t>3</w:t>
            </w:r>
            <w:r>
              <w:rPr>
                <w:rFonts w:hint="eastAsia"/>
                <w:color w:val="auto"/>
                <w:sz w:val="24"/>
                <w:highlight w:val="none"/>
              </w:rPr>
              <w:t>、</w:t>
            </w:r>
            <w:r>
              <w:rPr>
                <w:rFonts w:hint="eastAsia" w:ascii="宋体" w:hAnsi="宋体" w:cs="宋体"/>
                <w:color w:val="auto"/>
                <w:sz w:val="24"/>
                <w:highlight w:val="none"/>
              </w:rPr>
              <w:t>1.5平方*4芯信号电源线(单股硬线)1米；</w:t>
            </w:r>
          </w:p>
          <w:p>
            <w:pPr>
              <w:spacing w:line="360" w:lineRule="auto"/>
              <w:rPr>
                <w:color w:val="auto"/>
                <w:sz w:val="24"/>
                <w:highlight w:val="none"/>
              </w:rPr>
            </w:pPr>
            <w:r>
              <w:rPr>
                <w:color w:val="auto"/>
                <w:sz w:val="24"/>
                <w:highlight w:val="none"/>
              </w:rPr>
              <w:t>4</w:t>
            </w:r>
            <w:r>
              <w:rPr>
                <w:rFonts w:hint="eastAsia"/>
                <w:color w:val="auto"/>
                <w:sz w:val="24"/>
                <w:highlight w:val="none"/>
              </w:rPr>
              <w:t>、分离式LED车道指示标志一块（直行车道），尺寸1.9米*1.2米，要求评标时可插电点亮。</w:t>
            </w:r>
          </w:p>
          <w:p>
            <w:pPr>
              <w:spacing w:line="360" w:lineRule="auto"/>
              <w:rPr>
                <w:color w:val="auto"/>
                <w:sz w:val="24"/>
                <w:highlight w:val="none"/>
              </w:rPr>
            </w:pPr>
            <w:r>
              <w:rPr>
                <w:rFonts w:hint="eastAsia"/>
                <w:b/>
                <w:bCs/>
                <w:color w:val="auto"/>
                <w:sz w:val="24"/>
                <w:highlight w:val="none"/>
              </w:rPr>
              <w:t>三、样品要求如下</w:t>
            </w:r>
            <w:r>
              <w:rPr>
                <w:rFonts w:hint="eastAsia"/>
                <w:color w:val="auto"/>
                <w:sz w:val="24"/>
                <w:highlight w:val="none"/>
              </w:rPr>
              <w:t>：</w:t>
            </w:r>
          </w:p>
          <w:p>
            <w:pPr>
              <w:pStyle w:val="15"/>
              <w:spacing w:line="360" w:lineRule="auto"/>
              <w:rPr>
                <w:rFonts w:ascii="宋体" w:hAnsi="宋体" w:cs="宋体"/>
                <w:bCs/>
                <w:color w:val="auto"/>
                <w:sz w:val="24"/>
                <w:highlight w:val="none"/>
              </w:rPr>
            </w:pPr>
            <w:r>
              <w:rPr>
                <w:rFonts w:hint="eastAsia" w:ascii="宋体" w:hAnsi="宋体" w:cs="宋体"/>
                <w:bCs/>
                <w:color w:val="auto"/>
                <w:sz w:val="24"/>
                <w:highlight w:val="none"/>
              </w:rPr>
              <w:t>1、包装，无密封要求，外包装上需写明项目名称、采购编号、及投标公司全称。评标时，对提交样品的供应商，由采购人随机编号，专家评审小组按编号评分。涉及检测报告、照片等佐证材料的样品，采用先打分后核实的方式；</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2、样品的</w:t>
            </w:r>
            <w:r>
              <w:rPr>
                <w:rFonts w:hint="eastAsia" w:ascii="宋体" w:hAnsi="宋体" w:cs="宋体"/>
                <w:color w:val="auto"/>
                <w:sz w:val="24"/>
                <w:highlight w:val="none"/>
                <w:lang w:val="zh-CN"/>
              </w:rPr>
              <w:t>技术规范要求同本项目供货要求，见招标文件第四章公开招标需求，随样品注明</w:t>
            </w:r>
            <w:r>
              <w:rPr>
                <w:rFonts w:hint="eastAsia" w:ascii="宋体" w:hAnsi="宋体" w:cs="宋体"/>
                <w:color w:val="auto"/>
                <w:sz w:val="24"/>
                <w:highlight w:val="none"/>
              </w:rPr>
              <w:t>样品清单、材质、型号、品牌等信息。</w:t>
            </w:r>
          </w:p>
          <w:p>
            <w:p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lang w:val="zh-CN"/>
              </w:rPr>
              <w:t>▲</w:t>
            </w:r>
            <w:r>
              <w:rPr>
                <w:rFonts w:ascii="宋体" w:hAnsi="宋体" w:cs="宋体"/>
                <w:color w:val="auto"/>
                <w:sz w:val="24"/>
                <w:highlight w:val="none"/>
              </w:rPr>
              <w:t>3</w:t>
            </w:r>
            <w:r>
              <w:rPr>
                <w:rFonts w:hint="eastAsia" w:ascii="宋体" w:hAnsi="宋体" w:cs="宋体"/>
                <w:color w:val="auto"/>
                <w:sz w:val="24"/>
                <w:highlight w:val="none"/>
              </w:rPr>
              <w:t>、</w:t>
            </w:r>
            <w:r>
              <w:rPr>
                <w:rFonts w:hint="eastAsia" w:ascii="宋体" w:hAnsi="宋体" w:cs="宋体"/>
                <w:b/>
                <w:bCs/>
                <w:color w:val="auto"/>
                <w:sz w:val="24"/>
                <w:highlight w:val="none"/>
              </w:rPr>
              <w:t>样品不得体现或影射投标人的信息，否则按无效标处理；</w:t>
            </w:r>
            <w:r>
              <w:rPr>
                <w:color w:val="auto"/>
                <w:highlight w:val="none"/>
              </w:rPr>
              <w:commentReference w:id="0"/>
            </w:r>
          </w:p>
          <w:p>
            <w:pPr>
              <w:pStyle w:val="18"/>
              <w:spacing w:line="360" w:lineRule="auto"/>
              <w:ind w:left="0" w:leftChars="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、中标人的样品将封存并作为实际供货的比较标准，投标人不得以样品精制和批量赶制为理由致使实际供货产品存与投标样品存在品质差异。</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4、投标截止时间前接收样品（供应商应提前留足时间，逾期或不符合规定的样品恕不接受）</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rPr>
              <w:t>递交地点：浙江省台州市市府大道777号民泰商业银行3楼</w:t>
            </w:r>
          </w:p>
          <w:p>
            <w:pPr>
              <w:snapToGrid w:val="0"/>
              <w:spacing w:line="360" w:lineRule="auto"/>
              <w:rPr>
                <w:color w:val="auto"/>
                <w:highlight w:val="none"/>
              </w:rPr>
            </w:pPr>
            <w:r>
              <w:rPr>
                <w:rFonts w:hint="eastAsia" w:ascii="宋体" w:hAnsi="宋体" w:cs="宋体"/>
                <w:color w:val="auto"/>
                <w:sz w:val="24"/>
                <w:highlight w:val="none"/>
              </w:rPr>
              <w:t>6、接收人：吴女士，联系电话：15825475513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Calibri Light"/>
                <w:color w:val="auto"/>
                <w:sz w:val="24"/>
                <w:highlight w:val="none"/>
              </w:rPr>
              <w:t>4</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宋体"/>
                <w:color w:val="auto"/>
                <w:sz w:val="24"/>
                <w:highlight w:val="none"/>
              </w:rPr>
              <w:t>投标文件的签章</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Calibri Light"/>
                <w:color w:val="auto"/>
                <w:sz w:val="24"/>
                <w:highlight w:val="none"/>
              </w:rPr>
            </w:pPr>
            <w:r>
              <w:rPr>
                <w:rFonts w:hint="eastAsia" w:ascii="宋体" w:hAnsi="宋体" w:cs="宋体"/>
                <w:color w:val="auto"/>
                <w:sz w:val="24"/>
                <w:highlight w:val="none"/>
              </w:rPr>
              <w:t>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Calibri Light"/>
                <w:color w:val="auto"/>
                <w:sz w:val="24"/>
                <w:highlight w:val="none"/>
              </w:rPr>
              <w:t>5</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宋体"/>
                <w:color w:val="auto"/>
                <w:sz w:val="24"/>
                <w:highlight w:val="none"/>
              </w:rPr>
              <w:t>投标文件的形式</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☑电子投标文件（包括“电子加密投标文件”和“备份投标文件”，在投标文件编制完成后同时生成）；</w:t>
            </w:r>
          </w:p>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（1）“电子加密投标文件”是指通过“政采云电子交易客户端”完成投标文件编制后生成并加密的数据电文形式的投标文件。</w:t>
            </w:r>
          </w:p>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（2）“备份投标文件”是指与“电子加密投标文件”同时生成的数据电文形式的电子文件（备份标书），其他方式编制的备份投标文件视为无效备份投标文件。</w:t>
            </w:r>
          </w:p>
          <w:p>
            <w:pPr>
              <w:pStyle w:val="18"/>
              <w:ind w:left="0" w:leftChars="0"/>
              <w:rPr>
                <w:rFonts w:eastAsiaTheme="majorEastAsia"/>
                <w:color w:val="auto"/>
                <w:highlight w:val="none"/>
              </w:rPr>
            </w:pPr>
            <w:r>
              <w:rPr>
                <w:rFonts w:hint="eastAsia" w:asciiTheme="majorEastAsia" w:hAnsiTheme="majorEastAsia" w:eastAsiaTheme="majorEastAsia" w:cstheme="majorEastAsia"/>
                <w:color w:val="auto"/>
                <w:sz w:val="24"/>
                <w:highlight w:val="none"/>
              </w:rPr>
              <w:t>（3）样品一套。</w:t>
            </w:r>
          </w:p>
          <w:p>
            <w:pPr>
              <w:spacing w:line="360" w:lineRule="auto"/>
              <w:rPr>
                <w:rFonts w:eastAsiaTheme="minorEastAsia"/>
                <w:color w:val="auto"/>
                <w:highlight w:val="none"/>
              </w:rPr>
            </w:pPr>
            <w:r>
              <w:rPr>
                <w:rFonts w:hint="eastAsia" w:asciiTheme="majorEastAsia" w:hAnsiTheme="majorEastAsia" w:eastAsiaTheme="majorEastAsia" w:cstheme="majorEastAsia"/>
                <w:color w:val="auto"/>
                <w:sz w:val="24"/>
                <w:highlight w:val="none"/>
              </w:rPr>
              <w:t>（4）中标后需提供纸质投标文件给招标代理机构作为备案存档，纸质投标文件系电子投标文件纸质版，两者内容应一致；数量为：资格证明文件</w:t>
            </w:r>
            <w:r>
              <w:rPr>
                <w:rFonts w:hint="eastAsia" w:asciiTheme="majorEastAsia" w:hAnsiTheme="majorEastAsia" w:eastAsiaTheme="majorEastAsia" w:cstheme="majorEastAsia"/>
                <w:b/>
                <w:bCs/>
                <w:color w:val="auto"/>
                <w:sz w:val="24"/>
                <w:highlight w:val="none"/>
              </w:rPr>
              <w:t>1</w:t>
            </w:r>
            <w:r>
              <w:rPr>
                <w:rFonts w:hint="eastAsia" w:asciiTheme="majorEastAsia" w:hAnsiTheme="majorEastAsia" w:eastAsiaTheme="majorEastAsia" w:cstheme="majorEastAsia"/>
                <w:color w:val="auto"/>
                <w:sz w:val="24"/>
                <w:highlight w:val="none"/>
              </w:rPr>
              <w:t>份；商务与技术文件</w:t>
            </w:r>
            <w:r>
              <w:rPr>
                <w:rFonts w:hint="eastAsia" w:asciiTheme="majorEastAsia" w:hAnsiTheme="majorEastAsia" w:eastAsiaTheme="majorEastAsia" w:cstheme="majorEastAsia"/>
                <w:b/>
                <w:bCs/>
                <w:color w:val="auto"/>
                <w:sz w:val="24"/>
                <w:highlight w:val="none"/>
              </w:rPr>
              <w:t>1</w:t>
            </w:r>
            <w:r>
              <w:rPr>
                <w:rFonts w:hint="eastAsia" w:asciiTheme="majorEastAsia" w:hAnsiTheme="majorEastAsia" w:eastAsiaTheme="majorEastAsia" w:cstheme="majorEastAsia"/>
                <w:color w:val="auto"/>
                <w:sz w:val="24"/>
                <w:highlight w:val="none"/>
              </w:rPr>
              <w:t>份；报价文件</w:t>
            </w:r>
            <w:r>
              <w:rPr>
                <w:rFonts w:hint="eastAsia" w:asciiTheme="majorEastAsia" w:hAnsiTheme="majorEastAsia" w:eastAsiaTheme="majorEastAsia" w:cstheme="majorEastAsia"/>
                <w:b/>
                <w:bCs/>
                <w:color w:val="auto"/>
                <w:sz w:val="24"/>
                <w:highlight w:val="none"/>
              </w:rPr>
              <w:t>1</w:t>
            </w:r>
            <w:r>
              <w:rPr>
                <w:rFonts w:hint="eastAsia" w:asciiTheme="majorEastAsia" w:hAnsiTheme="majorEastAsia" w:eastAsiaTheme="majorEastAsia" w:cstheme="majorEastAsia"/>
                <w:color w:val="auto"/>
                <w:sz w:val="24"/>
                <w:highlight w:val="none"/>
              </w:rPr>
              <w:t>份。邮寄到浙江省台州市椒江区爱华路18号新台州大厦206。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Theme="majorEastAsia" w:hAnsiTheme="majorEastAsia" w:eastAsiaTheme="majorEastAsia" w:cstheme="majorEastAsia"/>
                <w:color w:val="auto"/>
                <w:sz w:val="24"/>
                <w:highlight w:val="none"/>
              </w:rPr>
              <w:t>6</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宋体"/>
                <w:color w:val="auto"/>
                <w:sz w:val="24"/>
                <w:highlight w:val="none"/>
              </w:rPr>
              <w:t>投标文件份数</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（1）“电子加密投标文件”：在线上传递交、一份。</w:t>
            </w:r>
          </w:p>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（2） “备份投标文件”：密封包装后于投标截止时间前邮寄至招标代理处一份。</w:t>
            </w:r>
          </w:p>
          <w:p>
            <w:pPr>
              <w:pStyle w:val="18"/>
              <w:ind w:left="0" w:leftChars="0"/>
              <w:rPr>
                <w:color w:val="auto"/>
                <w:highlight w:val="none"/>
              </w:rPr>
            </w:pPr>
            <w:r>
              <w:rPr>
                <w:rFonts w:hint="eastAsia" w:asciiTheme="majorEastAsia" w:hAnsiTheme="majorEastAsia" w:eastAsiaTheme="majorEastAsia" w:cstheme="majorEastAsia"/>
                <w:color w:val="auto"/>
                <w:sz w:val="24"/>
                <w:highlight w:val="none"/>
              </w:rPr>
              <w:t>（3）样品一套。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Calibri Light"/>
                <w:color w:val="auto"/>
                <w:sz w:val="24"/>
                <w:highlight w:val="none"/>
              </w:rPr>
              <w:t>7</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宋体"/>
                <w:color w:val="auto"/>
                <w:sz w:val="24"/>
                <w:highlight w:val="none"/>
              </w:rPr>
              <w:t>投标文件的上传和递交</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（1）“电子加密投标文件”的上传、递交：</w:t>
            </w:r>
          </w:p>
          <w:p>
            <w:pPr>
              <w:spacing w:line="360" w:lineRule="auto"/>
              <w:rPr>
                <w:rFonts w:ascii="宋体" w:hAnsi="宋体" w:cs="宋体"/>
                <w:color w:val="auto"/>
                <w:sz w:val="24"/>
                <w:highlight w:val="none"/>
              </w:rPr>
            </w:pPr>
            <w:r>
              <w:rPr>
                <w:rFonts w:hint="eastAsia" w:ascii="宋体" w:hAnsi="宋体" w:cs="宋体"/>
                <w:color w:val="auto"/>
                <w:sz w:val="24"/>
                <w:highlight w:val="none"/>
              </w:rPr>
              <w:t>a.投标供应商应在投标截止时间前将“电子加密投标文件”成功上传递交至“政府采购云平台”，否则投标无效。</w:t>
            </w:r>
          </w:p>
          <w:p>
            <w:pPr>
              <w:spacing w:line="360" w:lineRule="auto"/>
              <w:rPr>
                <w:rFonts w:ascii="宋体" w:hAnsi="宋体" w:cs="宋体"/>
                <w:color w:val="auto"/>
                <w:sz w:val="24"/>
                <w:highlight w:val="none"/>
              </w:rPr>
            </w:pPr>
            <w:r>
              <w:rPr>
                <w:rFonts w:hint="eastAsia" w:ascii="宋体" w:hAnsi="宋体" w:cs="宋体"/>
                <w:color w:val="auto"/>
                <w:sz w:val="24"/>
                <w:highlight w:val="none"/>
              </w:rPr>
              <w:t>b.“电子加密投标文件”成功上传递交后，供应商可自行打印投标文件接收回执。</w:t>
            </w:r>
          </w:p>
          <w:p>
            <w:pPr>
              <w:spacing w:line="360" w:lineRule="auto"/>
              <w:rPr>
                <w:rFonts w:ascii="宋体" w:hAnsi="宋体" w:cs="宋体"/>
                <w:color w:val="auto"/>
                <w:sz w:val="24"/>
                <w:highlight w:val="none"/>
              </w:rPr>
            </w:pPr>
            <w:r>
              <w:rPr>
                <w:rFonts w:hint="eastAsia" w:ascii="宋体" w:hAnsi="宋体" w:cs="宋体"/>
                <w:color w:val="auto"/>
                <w:sz w:val="24"/>
                <w:highlight w:val="none"/>
              </w:rPr>
              <w:t>（2）“备份投标文件”的密封包装、递交：</w:t>
            </w:r>
          </w:p>
          <w:p>
            <w:pPr>
              <w:spacing w:line="360" w:lineRule="auto"/>
              <w:rPr>
                <w:rFonts w:ascii="宋体" w:hAnsi="宋体" w:cs="宋体"/>
                <w:color w:val="auto"/>
                <w:sz w:val="24"/>
                <w:highlight w:val="none"/>
              </w:rPr>
            </w:pPr>
            <w:r>
              <w:rPr>
                <w:rFonts w:hint="eastAsia" w:ascii="宋体" w:hAnsi="宋体" w:cs="宋体"/>
                <w:color w:val="auto"/>
                <w:sz w:val="24"/>
                <w:highlight w:val="none"/>
              </w:rPr>
              <w:t>a. “备份投标文件”以U盘的形式存储，并密封包装，在包装上标注投标项目名称、投标单位名称并加盖公章。没有密封包装或者（以收到邮件时间为准）逾期邮寄送达至投标地点的将不予接收；</w:t>
            </w:r>
          </w:p>
          <w:p>
            <w:pPr>
              <w:spacing w:line="360" w:lineRule="auto"/>
              <w:rPr>
                <w:rFonts w:ascii="宋体" w:hAnsi="宋体" w:cs="宋体"/>
                <w:color w:val="auto"/>
                <w:sz w:val="24"/>
                <w:highlight w:val="none"/>
              </w:rPr>
            </w:pPr>
            <w:r>
              <w:rPr>
                <w:rFonts w:ascii="宋体" w:hAnsi="宋体" w:cs="宋体"/>
                <w:color w:val="auto"/>
                <w:sz w:val="24"/>
                <w:highlight w:val="none"/>
              </w:rPr>
              <w:t>b</w:t>
            </w:r>
            <w:r>
              <w:rPr>
                <w:rFonts w:hint="eastAsia" w:ascii="宋体" w:hAnsi="宋体" w:cs="宋体"/>
                <w:color w:val="auto"/>
                <w:sz w:val="24"/>
                <w:highlight w:val="none"/>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 xml:space="preserve">注： </w:t>
            </w:r>
          </w:p>
          <w:p>
            <w:pPr>
              <w:spacing w:line="360" w:lineRule="auto"/>
              <w:rPr>
                <w:rFonts w:ascii="宋体" w:hAnsi="宋体" w:cs="Calibri Light"/>
                <w:b/>
                <w:bCs/>
                <w:color w:val="auto"/>
                <w:sz w:val="24"/>
                <w:highlight w:val="none"/>
              </w:rPr>
            </w:pPr>
            <w:r>
              <w:rPr>
                <w:rFonts w:hint="eastAsia" w:ascii="宋体" w:hAnsi="宋体" w:cs="Calibri Light"/>
                <w:b/>
                <w:bCs/>
                <w:color w:val="auto"/>
                <w:sz w:val="24"/>
                <w:highlight w:val="none"/>
              </w:rPr>
              <w:t>“备份投标文件”邮寄地址：浙江省台州市椒江区爱华路18号新台州大厦</w:t>
            </w:r>
            <w:r>
              <w:rPr>
                <w:rFonts w:ascii="宋体" w:hAnsi="宋体" w:cs="Calibri Light"/>
                <w:b/>
                <w:bCs/>
                <w:color w:val="auto"/>
                <w:sz w:val="24"/>
                <w:highlight w:val="none"/>
              </w:rPr>
              <w:t>206</w:t>
            </w:r>
            <w:r>
              <w:rPr>
                <w:rFonts w:hint="eastAsia" w:ascii="宋体" w:hAnsi="宋体" w:cs="Calibri Light"/>
                <w:b/>
                <w:bCs/>
                <w:color w:val="auto"/>
                <w:sz w:val="24"/>
                <w:highlight w:val="none"/>
              </w:rPr>
              <w:t>；</w:t>
            </w:r>
          </w:p>
          <w:p>
            <w:pPr>
              <w:spacing w:line="360" w:lineRule="auto"/>
              <w:rPr>
                <w:rFonts w:ascii="宋体" w:hAnsi="宋体" w:cs="Calibri Light"/>
                <w:b/>
                <w:bCs/>
                <w:color w:val="auto"/>
                <w:sz w:val="24"/>
                <w:highlight w:val="none"/>
              </w:rPr>
            </w:pPr>
            <w:r>
              <w:rPr>
                <w:rFonts w:hint="eastAsia" w:ascii="宋体" w:hAnsi="宋体" w:cs="Calibri Light"/>
                <w:b/>
                <w:bCs/>
                <w:color w:val="auto"/>
                <w:sz w:val="24"/>
                <w:highlight w:val="none"/>
              </w:rPr>
              <w:t>收件人：吴女士</w:t>
            </w:r>
          </w:p>
          <w:p>
            <w:pPr>
              <w:spacing w:line="360" w:lineRule="auto"/>
              <w:rPr>
                <w:rFonts w:ascii="宋体" w:hAnsi="宋体" w:cs="Calibri Light"/>
                <w:b/>
                <w:bCs/>
                <w:color w:val="auto"/>
                <w:sz w:val="24"/>
                <w:highlight w:val="none"/>
              </w:rPr>
            </w:pPr>
            <w:r>
              <w:rPr>
                <w:rFonts w:hint="eastAsia" w:ascii="宋体" w:hAnsi="宋体" w:cs="Calibri Light"/>
                <w:b/>
                <w:bCs/>
                <w:color w:val="auto"/>
                <w:sz w:val="24"/>
                <w:highlight w:val="none"/>
              </w:rPr>
              <w:t>联系电话：15825475513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Calibri Light"/>
                <w:color w:val="auto"/>
                <w:sz w:val="24"/>
                <w:highlight w:val="none"/>
              </w:rPr>
            </w:pPr>
            <w:r>
              <w:rPr>
                <w:rFonts w:hint="eastAsia" w:ascii="宋体" w:hAnsi="宋体" w:cs="Calibri Light"/>
                <w:color w:val="auto"/>
                <w:sz w:val="24"/>
                <w:highlight w:val="none"/>
              </w:rPr>
              <w:t>8</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电子加密投标文件的解密和异常情况处理</w:t>
            </w:r>
          </w:p>
          <w:p>
            <w:pPr>
              <w:spacing w:line="360" w:lineRule="auto"/>
              <w:jc w:val="center"/>
              <w:rPr>
                <w:rFonts w:ascii="宋体" w:hAnsi="宋体" w:cs="Calibri Light"/>
                <w:color w:val="auto"/>
                <w:sz w:val="24"/>
                <w:highlight w:val="none"/>
              </w:rPr>
            </w:pP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（1）开标后，采购组织机构将向各投标供应商发出“电子加密投标文件”的解密通知，各投标供应商代表应当在接到解密通知后30分钟内自行完成“电子加密投标文件”的在线解密。</w:t>
            </w:r>
          </w:p>
          <w:p>
            <w:pPr>
              <w:spacing w:line="360" w:lineRule="auto"/>
              <w:rPr>
                <w:rFonts w:ascii="宋体" w:hAnsi="宋体" w:cs="宋体"/>
                <w:color w:val="auto"/>
                <w:sz w:val="24"/>
                <w:highlight w:val="none"/>
              </w:rPr>
            </w:pPr>
            <w:r>
              <w:rPr>
                <w:rFonts w:hint="eastAsia" w:ascii="宋体" w:hAnsi="宋体" w:cs="宋体"/>
                <w:color w:val="auto"/>
                <w:sz w:val="24"/>
                <w:highlight w:val="none"/>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pacing w:line="360" w:lineRule="auto"/>
              <w:rPr>
                <w:rFonts w:ascii="宋体" w:hAnsi="宋体" w:cs="Calibri Light"/>
                <w:color w:val="auto"/>
                <w:sz w:val="24"/>
                <w:highlight w:val="none"/>
              </w:rPr>
            </w:pPr>
            <w:r>
              <w:rPr>
                <w:rFonts w:hint="eastAsia" w:ascii="宋体" w:hAnsi="宋体" w:cs="宋体"/>
                <w:color w:val="auto"/>
                <w:sz w:val="24"/>
                <w:highlight w:val="none"/>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9</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投标有效期</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投标有效期为开标后90天，</w:t>
            </w:r>
            <w:r>
              <w:rPr>
                <w:rFonts w:hint="eastAsia" w:asciiTheme="majorEastAsia" w:hAnsiTheme="majorEastAsia" w:eastAsiaTheme="majorEastAsia" w:cstheme="majorEastAsia"/>
                <w:color w:val="auto"/>
                <w:kern w:val="0"/>
                <w:sz w:val="24"/>
                <w:highlight w:val="none"/>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10</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投标文件递交</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截止时间：</w:t>
            </w:r>
            <w:r>
              <w:rPr>
                <w:rFonts w:hint="eastAsia" w:asciiTheme="majorEastAsia" w:hAnsiTheme="majorEastAsia" w:eastAsiaTheme="majorEastAsia" w:cstheme="majorEastAsia"/>
                <w:color w:val="auto"/>
                <w:sz w:val="24"/>
                <w:highlight w:val="none"/>
              </w:rPr>
              <w:t>2022年</w:t>
            </w:r>
            <w:r>
              <w:rPr>
                <w:rFonts w:hint="eastAsia" w:asciiTheme="majorEastAsia" w:hAnsiTheme="majorEastAsia" w:eastAsiaTheme="majorEastAsia" w:cstheme="majorEastAsia"/>
                <w:color w:val="auto"/>
                <w:sz w:val="24"/>
                <w:highlight w:val="none"/>
                <w:lang w:val="en-US" w:eastAsia="zh-CN"/>
              </w:rPr>
              <w:t>8</w:t>
            </w:r>
            <w:r>
              <w:rPr>
                <w:rFonts w:hint="eastAsia" w:asciiTheme="majorEastAsia" w:hAnsiTheme="majorEastAsia" w:eastAsiaTheme="majorEastAsia" w:cstheme="majorEastAsia"/>
                <w:color w:val="auto"/>
                <w:sz w:val="24"/>
                <w:highlight w:val="none"/>
              </w:rPr>
              <w:t>月</w:t>
            </w:r>
            <w:r>
              <w:rPr>
                <w:rFonts w:hint="eastAsia" w:asciiTheme="majorEastAsia" w:hAnsiTheme="majorEastAsia" w:eastAsiaTheme="majorEastAsia" w:cstheme="majorEastAsia"/>
                <w:color w:val="auto"/>
                <w:sz w:val="24"/>
                <w:highlight w:val="none"/>
                <w:lang w:val="en-US" w:eastAsia="zh-CN"/>
              </w:rPr>
              <w:t>30</w:t>
            </w:r>
            <w:r>
              <w:rPr>
                <w:rFonts w:hint="eastAsia" w:asciiTheme="majorEastAsia" w:hAnsiTheme="majorEastAsia" w:eastAsiaTheme="majorEastAsia" w:cstheme="majorEastAsia"/>
                <w:color w:val="auto"/>
                <w:sz w:val="24"/>
                <w:highlight w:val="none"/>
              </w:rPr>
              <w:t>日09时</w:t>
            </w:r>
            <w:r>
              <w:rPr>
                <w:rFonts w:hint="eastAsia" w:asciiTheme="majorEastAsia" w:hAnsiTheme="majorEastAsia" w:eastAsiaTheme="majorEastAsia" w:cstheme="majorEastAsia"/>
                <w:color w:val="auto"/>
                <w:sz w:val="24"/>
                <w:highlight w:val="none"/>
                <w:lang w:val="en-US" w:eastAsia="zh-CN"/>
              </w:rPr>
              <w:t>3</w:t>
            </w:r>
            <w:r>
              <w:rPr>
                <w:rFonts w:hint="eastAsia" w:asciiTheme="majorEastAsia" w:hAnsiTheme="majorEastAsia" w:eastAsiaTheme="majorEastAsia" w:cstheme="majorEastAsia"/>
                <w:color w:val="auto"/>
                <w:sz w:val="24"/>
                <w:highlight w:val="none"/>
              </w:rPr>
              <w:t>0分（北京时间）</w:t>
            </w:r>
          </w:p>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递交地点：详见公告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11</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开标时间及地点</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时间</w:t>
            </w:r>
            <w:r>
              <w:rPr>
                <w:rFonts w:hint="eastAsia" w:asciiTheme="majorEastAsia" w:hAnsiTheme="majorEastAsia" w:eastAsiaTheme="majorEastAsia" w:cstheme="majorEastAsia"/>
                <w:color w:val="auto"/>
                <w:sz w:val="24"/>
                <w:highlight w:val="none"/>
              </w:rPr>
              <w:t>：2022年8月30日09时30分</w:t>
            </w:r>
            <w:r>
              <w:rPr>
                <w:rFonts w:hint="eastAsia" w:asciiTheme="majorEastAsia" w:hAnsiTheme="majorEastAsia" w:eastAsiaTheme="majorEastAsia" w:cstheme="majorEastAsia"/>
                <w:color w:val="auto"/>
                <w:sz w:val="24"/>
                <w:highlight w:val="none"/>
              </w:rPr>
              <w:t xml:space="preserve">（北京时间）         </w:t>
            </w:r>
          </w:p>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地点：详见公告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12</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投标保证金</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13</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履约保证金</w:t>
            </w:r>
          </w:p>
        </w:tc>
        <w:tc>
          <w:tcPr>
            <w:tcW w:w="6209" w:type="dxa"/>
            <w:tcBorders>
              <w:top w:val="single" w:color="auto" w:sz="4" w:space="0"/>
              <w:left w:val="single" w:color="auto" w:sz="4" w:space="0"/>
              <w:bottom w:val="single" w:color="auto" w:sz="4" w:space="0"/>
              <w:right w:val="single" w:color="auto" w:sz="4" w:space="0"/>
            </w:tcBorders>
            <w:vAlign w:val="center"/>
          </w:tcPr>
          <w:p>
            <w:pPr>
              <w:pStyle w:val="15"/>
              <w:rPr>
                <w:rFonts w:ascii="宋体" w:hAnsi="宋体" w:cs="宋体"/>
                <w:color w:val="auto"/>
                <w:sz w:val="24"/>
                <w:highlight w:val="none"/>
              </w:rPr>
            </w:pPr>
            <w:r>
              <w:rPr>
                <w:rFonts w:hint="eastAsia" w:asciiTheme="majorEastAsia" w:hAnsiTheme="majorEastAsia" w:eastAsiaTheme="majorEastAsia" w:cstheme="majorEastAsia"/>
                <w:color w:val="auto"/>
                <w:sz w:val="24"/>
                <w:highlight w:val="none"/>
              </w:rPr>
              <w:t>履约保证金为合同金额的1%，签订合同后 3 个工作日内向采购人提交（履约保证金可采用支票、汇票、保函、担保等形式），验收合格后5个工作日无息退还。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14</w:t>
            </w:r>
          </w:p>
        </w:tc>
        <w:tc>
          <w:tcPr>
            <w:tcW w:w="22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color w:val="auto"/>
                <w:sz w:val="24"/>
                <w:highlight w:val="none"/>
                <w:lang w:val="zh-CN"/>
              </w:rPr>
            </w:pPr>
            <w:r>
              <w:rPr>
                <w:rFonts w:hint="eastAsia" w:asciiTheme="majorEastAsia" w:hAnsiTheme="majorEastAsia" w:eastAsiaTheme="majorEastAsia" w:cstheme="majorEastAsia"/>
                <w:color w:val="auto"/>
                <w:sz w:val="24"/>
                <w:highlight w:val="none"/>
                <w:lang w:val="zh-CN"/>
              </w:rPr>
              <w:t>实质性条款</w:t>
            </w:r>
          </w:p>
        </w:tc>
        <w:tc>
          <w:tcPr>
            <w:tcW w:w="62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Theme="majorEastAsia" w:hAnsiTheme="majorEastAsia" w:eastAsiaTheme="majorEastAsia" w:cstheme="majorEastAsia"/>
                <w:color w:val="auto"/>
                <w:kern w:val="0"/>
                <w:sz w:val="24"/>
                <w:highlight w:val="none"/>
                <w:lang w:val="zh-CN"/>
              </w:rPr>
            </w:pPr>
            <w:r>
              <w:rPr>
                <w:rFonts w:hint="eastAsia" w:asciiTheme="majorEastAsia" w:hAnsiTheme="majorEastAsia" w:eastAsiaTheme="majorEastAsia" w:cstheme="majorEastAsia"/>
                <w:color w:val="auto"/>
                <w:kern w:val="0"/>
                <w:sz w:val="24"/>
                <w:highlight w:val="none"/>
                <w:lang w:val="zh-CN"/>
              </w:rPr>
              <w:t>带“</w:t>
            </w:r>
            <w:r>
              <w:rPr>
                <w:rFonts w:hint="eastAsia" w:asciiTheme="majorEastAsia" w:hAnsiTheme="majorEastAsia" w:eastAsiaTheme="majorEastAsia" w:cstheme="majorEastAsia"/>
                <w:bCs/>
                <w:color w:val="auto"/>
                <w:sz w:val="24"/>
                <w:highlight w:val="none"/>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1</w:t>
            </w:r>
            <w:r>
              <w:rPr>
                <w:rFonts w:asciiTheme="majorEastAsia" w:hAnsiTheme="majorEastAsia" w:eastAsiaTheme="majorEastAsia" w:cstheme="majorEastAsia"/>
                <w:color w:val="auto"/>
                <w:sz w:val="24"/>
                <w:highlight w:val="none"/>
              </w:rPr>
              <w:t>5</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中小企业适用行业</w:t>
            </w:r>
          </w:p>
        </w:tc>
        <w:tc>
          <w:tcPr>
            <w:tcW w:w="620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根据《关于印发中小企业划型标准规定的通知》（公信联企业﹝2</w:t>
            </w:r>
            <w:r>
              <w:rPr>
                <w:rFonts w:asciiTheme="majorEastAsia" w:hAnsiTheme="majorEastAsia" w:eastAsiaTheme="majorEastAsia" w:cstheme="majorEastAsia"/>
                <w:color w:val="auto"/>
                <w:sz w:val="24"/>
                <w:highlight w:val="none"/>
              </w:rPr>
              <w:t>011</w:t>
            </w:r>
            <w:r>
              <w:rPr>
                <w:rFonts w:hint="eastAsia" w:asciiTheme="majorEastAsia" w:hAnsiTheme="majorEastAsia" w:eastAsiaTheme="majorEastAsia" w:cstheme="majorEastAsia"/>
                <w:color w:val="auto"/>
                <w:sz w:val="24"/>
                <w:highlight w:val="none"/>
              </w:rPr>
              <w:t>﹞3</w:t>
            </w:r>
            <w:r>
              <w:rPr>
                <w:rFonts w:asciiTheme="majorEastAsia" w:hAnsiTheme="majorEastAsia" w:eastAsiaTheme="majorEastAsia" w:cstheme="majorEastAsia"/>
                <w:color w:val="auto"/>
                <w:sz w:val="24"/>
                <w:highlight w:val="none"/>
              </w:rPr>
              <w:t>00</w:t>
            </w:r>
            <w:r>
              <w:rPr>
                <w:rFonts w:hint="eastAsia" w:asciiTheme="majorEastAsia" w:hAnsiTheme="majorEastAsia" w:eastAsiaTheme="majorEastAsia" w:cstheme="majorEastAsia"/>
                <w:color w:val="auto"/>
                <w:sz w:val="24"/>
                <w:highlight w:val="none"/>
              </w:rPr>
              <w:t>号），本项目属于交通运输业。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16</w:t>
            </w:r>
          </w:p>
        </w:tc>
        <w:tc>
          <w:tcPr>
            <w:tcW w:w="22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解释权</w:t>
            </w:r>
          </w:p>
        </w:tc>
        <w:tc>
          <w:tcPr>
            <w:tcW w:w="62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本招标文件解释权属于采购人和</w:t>
            </w:r>
            <w:r>
              <w:rPr>
                <w:rFonts w:hint="eastAsia" w:cs="Arial" w:asciiTheme="minorEastAsia" w:hAnsiTheme="minorEastAsia" w:eastAsiaTheme="minorEastAsia"/>
                <w:color w:val="auto"/>
                <w:sz w:val="24"/>
                <w:highlight w:val="none"/>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asciiTheme="majorEastAsia" w:hAnsiTheme="majorEastAsia" w:eastAsiaTheme="majorEastAsia" w:cstheme="majorEastAsia"/>
                <w:color w:val="auto"/>
                <w:sz w:val="24"/>
                <w:highlight w:val="none"/>
              </w:rPr>
              <w:t>17</w:t>
            </w:r>
          </w:p>
        </w:tc>
        <w:tc>
          <w:tcPr>
            <w:tcW w:w="22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招标代理费</w:t>
            </w:r>
          </w:p>
        </w:tc>
        <w:tc>
          <w:tcPr>
            <w:tcW w:w="62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以中标价为基数，按计价格〔2002〕1980号文件、发改办价格〔2003〕857号、发改价格〔2011〕534号收费标准的75%计取，不足6000元的，按6000元计取。由中标人在领取中标通知书时一次性支付给招标代理机构。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8</w:t>
            </w:r>
          </w:p>
        </w:tc>
        <w:tc>
          <w:tcPr>
            <w:tcW w:w="22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其他</w:t>
            </w:r>
            <w:r>
              <w:rPr>
                <w:rFonts w:ascii="宋体" w:hAnsi="宋体" w:cs="宋体"/>
                <w:color w:val="auto"/>
                <w:sz w:val="24"/>
                <w:highlight w:val="none"/>
              </w:rPr>
              <w:t>事项</w:t>
            </w:r>
          </w:p>
        </w:tc>
        <w:tc>
          <w:tcPr>
            <w:tcW w:w="620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r>
              <w:rPr>
                <w:rFonts w:hint="eastAsia" w:ascii="宋体" w:hAnsi="宋体" w:cs="宋体"/>
                <w:color w:val="auto"/>
                <w:sz w:val="24"/>
                <w:highlight w:val="none"/>
              </w:rPr>
              <w:t>中标供应商如有融资需求，可使用以下银行的政采贷服务。</w:t>
            </w:r>
          </w:p>
          <w:tbl>
            <w:tblPr>
              <w:tblStyle w:val="36"/>
              <w:tblW w:w="5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227"/>
              <w:gridCol w:w="1090"/>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贷款年利率</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联系人</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中国工商银行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3.8%起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王霖</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88588246  13857654562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中国农业银行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3.8%起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龚盛</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中国建设银行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3.8%起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梅晶晶</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88525339</w:t>
                  </w:r>
                </w:p>
                <w:p>
                  <w:pPr>
                    <w:jc w:val="center"/>
                    <w:rPr>
                      <w:rFonts w:ascii="Calibri" w:hAnsi="Calibri"/>
                      <w:color w:val="auto"/>
                      <w:szCs w:val="21"/>
                      <w:highlight w:val="none"/>
                    </w:rPr>
                  </w:pPr>
                  <w:r>
                    <w:rPr>
                      <w:rFonts w:hint="eastAsia" w:ascii="Calibri" w:hAnsi="Calibri"/>
                      <w:color w:val="auto"/>
                      <w:szCs w:val="21"/>
                      <w:highlight w:val="none"/>
                    </w:rPr>
                    <w:t>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中国银行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3.75%起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任茜</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浦发银行台州分行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4.05%起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王渊</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浦发银行椒江分行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4.05%起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孙瑞华</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交通银行台州分行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3.75%起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周翔宇</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招商银行台州分行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4.32%起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王海玲</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浙商银行台州分行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5.01%起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章涉漪</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81880185</w:t>
                  </w:r>
                </w:p>
                <w:p>
                  <w:pPr>
                    <w:jc w:val="center"/>
                    <w:rPr>
                      <w:rFonts w:ascii="Calibri" w:hAnsi="Calibri"/>
                      <w:color w:val="auto"/>
                      <w:szCs w:val="21"/>
                      <w:highlight w:val="none"/>
                    </w:rPr>
                  </w:pPr>
                  <w:r>
                    <w:rPr>
                      <w:rFonts w:hint="eastAsia" w:ascii="Calibri" w:hAnsi="Calibri"/>
                      <w:color w:val="auto"/>
                      <w:szCs w:val="21"/>
                      <w:highlight w:val="none"/>
                    </w:rPr>
                    <w:t>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中信银行台州分行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4.15%起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陈金园</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华夏银行台州分行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邱明达</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81871518</w:t>
                  </w:r>
                </w:p>
                <w:p>
                  <w:pPr>
                    <w:jc w:val="center"/>
                    <w:rPr>
                      <w:rFonts w:ascii="Calibri" w:hAnsi="Calibri"/>
                      <w:color w:val="auto"/>
                      <w:szCs w:val="21"/>
                      <w:highlight w:val="none"/>
                    </w:rPr>
                  </w:pPr>
                  <w:r>
                    <w:rPr>
                      <w:rFonts w:hint="eastAsia" w:ascii="Calibri" w:hAnsi="Calibri"/>
                      <w:color w:val="auto"/>
                      <w:szCs w:val="21"/>
                      <w:highlight w:val="none"/>
                    </w:rPr>
                    <w:t>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泰隆银行开发区支行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5.6%起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梁宛莉</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民泰银行椒江支行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5.8%起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陈慧珠</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绍兴银行台州分行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5.1%起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郭庭斌</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温州银行台州分行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4.55%起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王晓波</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平安银行台州分行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6.53%起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李俊丽</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宁波银行台州分行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4.35%起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戴莉丽</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金华银行台州分行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4.05%起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金雪婷</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81886670</w:t>
                  </w:r>
                </w:p>
                <w:p>
                  <w:pPr>
                    <w:jc w:val="center"/>
                    <w:rPr>
                      <w:rFonts w:ascii="Calibri" w:hAnsi="Calibri"/>
                      <w:color w:val="auto"/>
                      <w:szCs w:val="21"/>
                      <w:highlight w:val="none"/>
                    </w:rPr>
                  </w:pPr>
                  <w:r>
                    <w:rPr>
                      <w:rFonts w:hint="eastAsia" w:ascii="Calibri" w:hAnsi="Calibri"/>
                      <w:color w:val="auto"/>
                      <w:szCs w:val="21"/>
                      <w:highlight w:val="none"/>
                    </w:rPr>
                    <w:t>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台州银行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5.6%起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洪婷</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vAlign w:val="center"/>
                </w:tcPr>
                <w:p>
                  <w:pPr>
                    <w:jc w:val="center"/>
                    <w:rPr>
                      <w:rFonts w:ascii="Calibri" w:hAnsi="Calibri"/>
                      <w:color w:val="auto"/>
                      <w:szCs w:val="21"/>
                      <w:highlight w:val="none"/>
                    </w:rPr>
                  </w:pPr>
                  <w:r>
                    <w:rPr>
                      <w:rFonts w:hint="eastAsia" w:ascii="Calibri" w:hAnsi="Calibri"/>
                      <w:color w:val="auto"/>
                      <w:szCs w:val="21"/>
                      <w:highlight w:val="none"/>
                    </w:rPr>
                    <w:t>邮储银行台州分行</w:t>
                  </w:r>
                </w:p>
              </w:tc>
              <w:tc>
                <w:tcPr>
                  <w:tcW w:w="1227" w:type="dxa"/>
                  <w:vAlign w:val="center"/>
                </w:tcPr>
                <w:p>
                  <w:pPr>
                    <w:jc w:val="center"/>
                    <w:rPr>
                      <w:rFonts w:ascii="Calibri" w:hAnsi="Calibri"/>
                      <w:color w:val="auto"/>
                      <w:szCs w:val="21"/>
                      <w:highlight w:val="none"/>
                    </w:rPr>
                  </w:pPr>
                  <w:r>
                    <w:rPr>
                      <w:rFonts w:hint="eastAsia" w:ascii="Calibri" w:hAnsi="Calibri"/>
                      <w:color w:val="auto"/>
                      <w:szCs w:val="21"/>
                      <w:highlight w:val="none"/>
                    </w:rPr>
                    <w:t>3.85%起</w:t>
                  </w:r>
                </w:p>
              </w:tc>
              <w:tc>
                <w:tcPr>
                  <w:tcW w:w="1090" w:type="dxa"/>
                  <w:vAlign w:val="center"/>
                </w:tcPr>
                <w:p>
                  <w:pPr>
                    <w:jc w:val="center"/>
                    <w:rPr>
                      <w:rFonts w:ascii="Calibri" w:hAnsi="Calibri"/>
                      <w:color w:val="auto"/>
                      <w:szCs w:val="21"/>
                      <w:highlight w:val="none"/>
                    </w:rPr>
                  </w:pPr>
                  <w:r>
                    <w:rPr>
                      <w:rFonts w:hint="eastAsia" w:ascii="Calibri" w:hAnsi="Calibri"/>
                      <w:color w:val="auto"/>
                      <w:szCs w:val="21"/>
                      <w:highlight w:val="none"/>
                    </w:rPr>
                    <w:t>董庆</w:t>
                  </w:r>
                </w:p>
              </w:tc>
              <w:tc>
                <w:tcPr>
                  <w:tcW w:w="1499" w:type="dxa"/>
                  <w:vAlign w:val="center"/>
                </w:tcPr>
                <w:p>
                  <w:pPr>
                    <w:jc w:val="center"/>
                    <w:rPr>
                      <w:rFonts w:ascii="Calibri" w:hAnsi="Calibri"/>
                      <w:color w:val="auto"/>
                      <w:szCs w:val="21"/>
                      <w:highlight w:val="none"/>
                    </w:rPr>
                  </w:pPr>
                  <w:r>
                    <w:rPr>
                      <w:rFonts w:hint="eastAsia" w:ascii="Calibri" w:hAnsi="Calibri"/>
                      <w:color w:val="auto"/>
                      <w:szCs w:val="21"/>
                      <w:highlight w:val="none"/>
                    </w:rPr>
                    <w:t>81888982</w:t>
                  </w:r>
                </w:p>
                <w:p>
                  <w:pPr>
                    <w:jc w:val="center"/>
                    <w:rPr>
                      <w:rFonts w:ascii="Calibri" w:hAnsi="Calibri"/>
                      <w:color w:val="auto"/>
                      <w:szCs w:val="21"/>
                      <w:highlight w:val="none"/>
                    </w:rPr>
                  </w:pPr>
                  <w:r>
                    <w:rPr>
                      <w:rFonts w:hint="eastAsia" w:ascii="Calibri" w:hAnsi="Calibri"/>
                      <w:color w:val="auto"/>
                      <w:szCs w:val="21"/>
                      <w:highlight w:val="none"/>
                    </w:rPr>
                    <w:t>18957683735</w:t>
                  </w:r>
                </w:p>
              </w:tc>
            </w:tr>
          </w:tbl>
          <w:p>
            <w:pPr>
              <w:rPr>
                <w:color w:val="auto"/>
                <w:sz w:val="32"/>
                <w:szCs w:val="32"/>
                <w:highlight w:val="none"/>
              </w:rPr>
            </w:pPr>
            <w:r>
              <w:rPr>
                <w:rFonts w:hint="eastAsia" w:ascii="宋体" w:hAnsi="宋体" w:cs="宋体"/>
                <w:color w:val="auto"/>
                <w:sz w:val="24"/>
                <w:highlight w:val="none"/>
              </w:rPr>
              <w:t>中标供应商如有合同履约保函需求，可使用以下联系方式：</w:t>
            </w:r>
          </w:p>
          <w:tbl>
            <w:tblPr>
              <w:tblStyle w:val="3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15"/>
              <w:gridCol w:w="1500"/>
              <w:gridCol w:w="867"/>
              <w:gridCol w:w="11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7" w:hRule="atLeast"/>
              </w:trPr>
              <w:tc>
                <w:tcPr>
                  <w:tcW w:w="2415" w:type="dxa"/>
                  <w:vAlign w:val="center"/>
                </w:tcPr>
                <w:p>
                  <w:pPr>
                    <w:jc w:val="center"/>
                    <w:rPr>
                      <w:rFonts w:ascii="Calibri" w:hAnsi="Calibri"/>
                      <w:color w:val="auto"/>
                      <w:szCs w:val="21"/>
                      <w:highlight w:val="none"/>
                    </w:rPr>
                  </w:pPr>
                  <w:r>
                    <w:rPr>
                      <w:rFonts w:hint="eastAsia" w:ascii="Calibri" w:hAnsi="Calibri"/>
                      <w:color w:val="auto"/>
                      <w:szCs w:val="21"/>
                      <w:highlight w:val="none"/>
                    </w:rPr>
                    <w:t>保险公司名称</w:t>
                  </w:r>
                </w:p>
              </w:tc>
              <w:tc>
                <w:tcPr>
                  <w:tcW w:w="1500" w:type="dxa"/>
                  <w:vAlign w:val="center"/>
                </w:tcPr>
                <w:p>
                  <w:pPr>
                    <w:jc w:val="center"/>
                    <w:rPr>
                      <w:rFonts w:ascii="Calibri" w:hAnsi="Calibri"/>
                      <w:color w:val="auto"/>
                      <w:szCs w:val="21"/>
                      <w:highlight w:val="none"/>
                    </w:rPr>
                  </w:pPr>
                  <w:r>
                    <w:rPr>
                      <w:rFonts w:hint="eastAsia" w:ascii="Calibri" w:hAnsi="Calibri"/>
                      <w:color w:val="auto"/>
                      <w:szCs w:val="21"/>
                      <w:highlight w:val="none"/>
                    </w:rPr>
                    <w:t>保费率</w:t>
                  </w:r>
                </w:p>
              </w:tc>
              <w:tc>
                <w:tcPr>
                  <w:tcW w:w="867" w:type="dxa"/>
                  <w:vAlign w:val="center"/>
                </w:tcPr>
                <w:p>
                  <w:pPr>
                    <w:jc w:val="center"/>
                    <w:rPr>
                      <w:rFonts w:ascii="Calibri" w:hAnsi="Calibri"/>
                      <w:color w:val="auto"/>
                      <w:szCs w:val="21"/>
                      <w:highlight w:val="none"/>
                    </w:rPr>
                  </w:pPr>
                  <w:r>
                    <w:rPr>
                      <w:rFonts w:hint="eastAsia" w:ascii="Calibri" w:hAnsi="Calibri"/>
                      <w:color w:val="auto"/>
                      <w:szCs w:val="21"/>
                      <w:highlight w:val="none"/>
                    </w:rPr>
                    <w:t>联系人</w:t>
                  </w:r>
                </w:p>
              </w:tc>
              <w:tc>
                <w:tcPr>
                  <w:tcW w:w="1117" w:type="dxa"/>
                  <w:vAlign w:val="center"/>
                </w:tcPr>
                <w:p>
                  <w:pPr>
                    <w:jc w:val="center"/>
                    <w:rPr>
                      <w:rFonts w:ascii="Calibri" w:hAnsi="Calibri"/>
                      <w:color w:val="auto"/>
                      <w:szCs w:val="21"/>
                      <w:highlight w:val="none"/>
                    </w:rPr>
                  </w:pPr>
                  <w:r>
                    <w:rPr>
                      <w:rFonts w:hint="eastAsia" w:ascii="Calibri" w:hAnsi="Calibri"/>
                      <w:color w:val="auto"/>
                      <w:szCs w:val="21"/>
                      <w:highlight w:val="none"/>
                    </w:rPr>
                    <w:t>联系电话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3" w:hRule="atLeast"/>
              </w:trPr>
              <w:tc>
                <w:tcPr>
                  <w:tcW w:w="2415" w:type="dxa"/>
                </w:tcPr>
                <w:p>
                  <w:pPr>
                    <w:rPr>
                      <w:rFonts w:ascii="Calibri" w:hAnsi="Calibri"/>
                      <w:color w:val="auto"/>
                      <w:szCs w:val="21"/>
                      <w:highlight w:val="none"/>
                    </w:rPr>
                  </w:pPr>
                  <w:r>
                    <w:rPr>
                      <w:rFonts w:hint="eastAsia" w:ascii="Calibri" w:hAnsi="Calibri"/>
                      <w:color w:val="auto"/>
                      <w:szCs w:val="21"/>
                      <w:highlight w:val="none"/>
                    </w:rPr>
                    <w:t>中国人寿财产保险股份有限公司台州中心支公司</w:t>
                  </w:r>
                </w:p>
              </w:tc>
              <w:tc>
                <w:tcPr>
                  <w:tcW w:w="1500" w:type="dxa"/>
                </w:tcPr>
                <w:p>
                  <w:pPr>
                    <w:rPr>
                      <w:rFonts w:ascii="Calibri" w:hAnsi="Calibri"/>
                      <w:color w:val="auto"/>
                      <w:szCs w:val="21"/>
                      <w:highlight w:val="none"/>
                    </w:rPr>
                  </w:pPr>
                  <w:r>
                    <w:rPr>
                      <w:rFonts w:hint="eastAsia" w:ascii="Calibri" w:hAnsi="Calibri"/>
                      <w:color w:val="auto"/>
                      <w:szCs w:val="21"/>
                      <w:highlight w:val="none"/>
                    </w:rPr>
                    <w:t>年费率1%，最低保费500元</w:t>
                  </w:r>
                </w:p>
              </w:tc>
              <w:tc>
                <w:tcPr>
                  <w:tcW w:w="867" w:type="dxa"/>
                </w:tcPr>
                <w:p>
                  <w:pPr>
                    <w:rPr>
                      <w:rFonts w:ascii="Calibri" w:hAnsi="Calibri"/>
                      <w:color w:val="auto"/>
                      <w:szCs w:val="21"/>
                      <w:highlight w:val="none"/>
                    </w:rPr>
                  </w:pPr>
                  <w:r>
                    <w:rPr>
                      <w:rFonts w:hint="eastAsia" w:ascii="Calibri" w:hAnsi="Calibri"/>
                      <w:color w:val="auto"/>
                      <w:szCs w:val="21"/>
                      <w:highlight w:val="none"/>
                    </w:rPr>
                    <w:t>徐凌</w:t>
                  </w:r>
                </w:p>
              </w:tc>
              <w:tc>
                <w:tcPr>
                  <w:tcW w:w="1117" w:type="dxa"/>
                </w:tcPr>
                <w:p>
                  <w:pPr>
                    <w:rPr>
                      <w:rFonts w:ascii="Calibri" w:hAnsi="Calibri"/>
                      <w:color w:val="auto"/>
                      <w:szCs w:val="21"/>
                      <w:highlight w:val="none"/>
                    </w:rPr>
                  </w:pPr>
                  <w:r>
                    <w:rPr>
                      <w:rFonts w:ascii="Calibri" w:hAnsi="Calibri"/>
                      <w:color w:val="auto"/>
                      <w:szCs w:val="21"/>
                      <w:highlight w:val="none"/>
                    </w:rPr>
                    <w:t>13905168070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3" w:hRule="atLeast"/>
              </w:trPr>
              <w:tc>
                <w:tcPr>
                  <w:tcW w:w="2415" w:type="dxa"/>
                </w:tcPr>
                <w:p>
                  <w:pPr>
                    <w:rPr>
                      <w:rFonts w:ascii="Calibri" w:hAnsi="Calibri"/>
                      <w:color w:val="auto"/>
                      <w:szCs w:val="21"/>
                      <w:highlight w:val="none"/>
                    </w:rPr>
                  </w:pPr>
                  <w:r>
                    <w:rPr>
                      <w:rFonts w:hint="eastAsia" w:ascii="Calibri" w:hAnsi="Calibri"/>
                      <w:color w:val="auto"/>
                      <w:szCs w:val="21"/>
                      <w:highlight w:val="none"/>
                    </w:rPr>
                    <w:t>永诚财产保险股份有限公司台州分公司</w:t>
                  </w:r>
                </w:p>
              </w:tc>
              <w:tc>
                <w:tcPr>
                  <w:tcW w:w="1500" w:type="dxa"/>
                </w:tcPr>
                <w:p>
                  <w:pPr>
                    <w:rPr>
                      <w:rFonts w:ascii="Calibri" w:hAnsi="Calibri"/>
                      <w:color w:val="auto"/>
                      <w:szCs w:val="21"/>
                      <w:highlight w:val="none"/>
                    </w:rPr>
                  </w:pPr>
                  <w:r>
                    <w:rPr>
                      <w:rFonts w:hint="eastAsia" w:ascii="Calibri" w:hAnsi="Calibri"/>
                      <w:color w:val="auto"/>
                      <w:szCs w:val="21"/>
                      <w:highlight w:val="none"/>
                    </w:rPr>
                    <w:t>年费率1%，最低保费1000元</w:t>
                  </w:r>
                </w:p>
              </w:tc>
              <w:tc>
                <w:tcPr>
                  <w:tcW w:w="867" w:type="dxa"/>
                </w:tcPr>
                <w:p>
                  <w:pPr>
                    <w:rPr>
                      <w:rFonts w:ascii="Calibri" w:hAnsi="Calibri"/>
                      <w:color w:val="auto"/>
                      <w:szCs w:val="21"/>
                      <w:highlight w:val="none"/>
                    </w:rPr>
                  </w:pPr>
                  <w:r>
                    <w:rPr>
                      <w:rFonts w:hint="eastAsia" w:ascii="Calibri" w:hAnsi="Calibri"/>
                      <w:color w:val="auto"/>
                      <w:szCs w:val="21"/>
                      <w:highlight w:val="none"/>
                    </w:rPr>
                    <w:t>尹刚强</w:t>
                  </w:r>
                </w:p>
              </w:tc>
              <w:tc>
                <w:tcPr>
                  <w:tcW w:w="1117" w:type="dxa"/>
                </w:tcPr>
                <w:p>
                  <w:pPr>
                    <w:rPr>
                      <w:rFonts w:ascii="Calibri" w:hAnsi="Calibri"/>
                      <w:color w:val="auto"/>
                      <w:szCs w:val="21"/>
                      <w:highlight w:val="none"/>
                    </w:rPr>
                  </w:pPr>
                  <w:r>
                    <w:rPr>
                      <w:rFonts w:ascii="Calibri" w:hAnsi="Calibri"/>
                      <w:color w:val="auto"/>
                      <w:szCs w:val="21"/>
                      <w:highlight w:val="none"/>
                    </w:rPr>
                    <w:t>13750668184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9" w:hRule="atLeast"/>
              </w:trPr>
              <w:tc>
                <w:tcPr>
                  <w:tcW w:w="2415" w:type="dxa"/>
                </w:tcPr>
                <w:p>
                  <w:pPr>
                    <w:rPr>
                      <w:rFonts w:ascii="Calibri" w:hAnsi="Calibri"/>
                      <w:color w:val="auto"/>
                      <w:szCs w:val="21"/>
                      <w:highlight w:val="none"/>
                    </w:rPr>
                  </w:pPr>
                  <w:r>
                    <w:rPr>
                      <w:rFonts w:hint="eastAsia" w:ascii="Calibri" w:hAnsi="Calibri"/>
                      <w:color w:val="auto"/>
                      <w:szCs w:val="21"/>
                      <w:highlight w:val="none"/>
                    </w:rPr>
                    <w:t>华泰财产保险有限公司台州中心支公司</w:t>
                  </w:r>
                </w:p>
              </w:tc>
              <w:tc>
                <w:tcPr>
                  <w:tcW w:w="1500" w:type="dxa"/>
                </w:tcPr>
                <w:p>
                  <w:pPr>
                    <w:rPr>
                      <w:rFonts w:ascii="Calibri" w:hAnsi="Calibri"/>
                      <w:color w:val="auto"/>
                      <w:szCs w:val="21"/>
                      <w:highlight w:val="none"/>
                    </w:rPr>
                  </w:pPr>
                  <w:r>
                    <w:rPr>
                      <w:rFonts w:hint="eastAsia" w:ascii="Calibri" w:hAnsi="Calibri"/>
                      <w:color w:val="auto"/>
                      <w:szCs w:val="21"/>
                      <w:highlight w:val="none"/>
                    </w:rPr>
                    <w:t>年费率0.5%，最低保费1000元</w:t>
                  </w:r>
                </w:p>
              </w:tc>
              <w:tc>
                <w:tcPr>
                  <w:tcW w:w="867" w:type="dxa"/>
                </w:tcPr>
                <w:p>
                  <w:pPr>
                    <w:rPr>
                      <w:rFonts w:ascii="Calibri" w:hAnsi="Calibri"/>
                      <w:color w:val="auto"/>
                      <w:szCs w:val="21"/>
                      <w:highlight w:val="none"/>
                    </w:rPr>
                  </w:pPr>
                  <w:r>
                    <w:rPr>
                      <w:rFonts w:hint="eastAsia" w:ascii="Calibri" w:hAnsi="Calibri"/>
                      <w:color w:val="auto"/>
                      <w:szCs w:val="21"/>
                      <w:highlight w:val="none"/>
                    </w:rPr>
                    <w:t>王灵芳</w:t>
                  </w:r>
                </w:p>
              </w:tc>
              <w:tc>
                <w:tcPr>
                  <w:tcW w:w="1117" w:type="dxa"/>
                </w:tcPr>
                <w:p>
                  <w:pPr>
                    <w:rPr>
                      <w:rFonts w:ascii="Calibri" w:hAnsi="Calibri"/>
                      <w:color w:val="auto"/>
                      <w:szCs w:val="21"/>
                      <w:highlight w:val="none"/>
                    </w:rPr>
                  </w:pPr>
                  <w:r>
                    <w:rPr>
                      <w:rFonts w:ascii="Calibri" w:hAnsi="Calibri"/>
                      <w:color w:val="auto"/>
                      <w:szCs w:val="21"/>
                      <w:highlight w:val="none"/>
                    </w:rPr>
                    <w:t>88869818 13586123199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9" w:hRule="atLeast"/>
              </w:trPr>
              <w:tc>
                <w:tcPr>
                  <w:tcW w:w="2415" w:type="dxa"/>
                </w:tcPr>
                <w:p>
                  <w:pPr>
                    <w:rPr>
                      <w:rFonts w:ascii="Calibri" w:hAnsi="Calibri"/>
                      <w:color w:val="auto"/>
                      <w:szCs w:val="21"/>
                      <w:highlight w:val="none"/>
                    </w:rPr>
                  </w:pPr>
                  <w:r>
                    <w:rPr>
                      <w:rFonts w:hint="eastAsia" w:ascii="Calibri" w:hAnsi="Calibri"/>
                      <w:color w:val="auto"/>
                      <w:szCs w:val="21"/>
                      <w:highlight w:val="none"/>
                    </w:rPr>
                    <w:t>中国大地财产保险股份有限公司台州中心支公司</w:t>
                  </w:r>
                </w:p>
              </w:tc>
              <w:tc>
                <w:tcPr>
                  <w:tcW w:w="1500" w:type="dxa"/>
                </w:tcPr>
                <w:p>
                  <w:pPr>
                    <w:rPr>
                      <w:rFonts w:ascii="Calibri" w:hAnsi="Calibri"/>
                      <w:color w:val="auto"/>
                      <w:szCs w:val="21"/>
                      <w:highlight w:val="none"/>
                    </w:rPr>
                  </w:pPr>
                  <w:r>
                    <w:rPr>
                      <w:rFonts w:hint="eastAsia" w:ascii="Calibri" w:hAnsi="Calibri"/>
                      <w:color w:val="auto"/>
                      <w:szCs w:val="21"/>
                      <w:highlight w:val="none"/>
                    </w:rPr>
                    <w:t>年费率1.5%，最低保费1000元</w:t>
                  </w:r>
                </w:p>
              </w:tc>
              <w:tc>
                <w:tcPr>
                  <w:tcW w:w="867" w:type="dxa"/>
                </w:tcPr>
                <w:p>
                  <w:pPr>
                    <w:rPr>
                      <w:rFonts w:ascii="Calibri" w:hAnsi="Calibri"/>
                      <w:color w:val="auto"/>
                      <w:szCs w:val="21"/>
                      <w:highlight w:val="none"/>
                    </w:rPr>
                  </w:pPr>
                  <w:r>
                    <w:rPr>
                      <w:rFonts w:hint="eastAsia" w:ascii="Calibri" w:hAnsi="Calibri"/>
                      <w:color w:val="auto"/>
                      <w:szCs w:val="21"/>
                      <w:highlight w:val="none"/>
                    </w:rPr>
                    <w:t>徐小明</w:t>
                  </w:r>
                </w:p>
              </w:tc>
              <w:tc>
                <w:tcPr>
                  <w:tcW w:w="1117" w:type="dxa"/>
                </w:tcPr>
                <w:p>
                  <w:pPr>
                    <w:rPr>
                      <w:rFonts w:ascii="Calibri" w:hAnsi="Calibri"/>
                      <w:color w:val="auto"/>
                      <w:szCs w:val="21"/>
                      <w:highlight w:val="none"/>
                    </w:rPr>
                  </w:pPr>
                  <w:r>
                    <w:rPr>
                      <w:rFonts w:ascii="Calibri" w:hAnsi="Calibri"/>
                      <w:color w:val="auto"/>
                      <w:szCs w:val="21"/>
                      <w:highlight w:val="none"/>
                    </w:rPr>
                    <w:t>88552788      13968603112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3" w:hRule="atLeast"/>
              </w:trPr>
              <w:tc>
                <w:tcPr>
                  <w:tcW w:w="2415" w:type="dxa"/>
                </w:tcPr>
                <w:p>
                  <w:pPr>
                    <w:rPr>
                      <w:rFonts w:ascii="Calibri" w:hAnsi="Calibri"/>
                      <w:color w:val="auto"/>
                      <w:szCs w:val="21"/>
                      <w:highlight w:val="none"/>
                    </w:rPr>
                  </w:pPr>
                  <w:r>
                    <w:rPr>
                      <w:rFonts w:hint="eastAsia" w:ascii="Calibri" w:hAnsi="Calibri"/>
                      <w:color w:val="auto"/>
                      <w:szCs w:val="21"/>
                      <w:highlight w:val="none"/>
                    </w:rPr>
                    <w:t>阳光保险台州中心支公司</w:t>
                  </w:r>
                </w:p>
              </w:tc>
              <w:tc>
                <w:tcPr>
                  <w:tcW w:w="1500" w:type="dxa"/>
                </w:tcPr>
                <w:p>
                  <w:pPr>
                    <w:rPr>
                      <w:rFonts w:ascii="Calibri" w:hAnsi="Calibri"/>
                      <w:color w:val="auto"/>
                      <w:szCs w:val="21"/>
                      <w:highlight w:val="none"/>
                    </w:rPr>
                  </w:pPr>
                  <w:r>
                    <w:rPr>
                      <w:rFonts w:hint="eastAsia" w:ascii="Calibri" w:hAnsi="Calibri"/>
                      <w:color w:val="auto"/>
                      <w:szCs w:val="21"/>
                      <w:highlight w:val="none"/>
                    </w:rPr>
                    <w:t>年费率1%，最低保费500元</w:t>
                  </w:r>
                </w:p>
              </w:tc>
              <w:tc>
                <w:tcPr>
                  <w:tcW w:w="867" w:type="dxa"/>
                </w:tcPr>
                <w:p>
                  <w:pPr>
                    <w:rPr>
                      <w:rFonts w:ascii="Calibri" w:hAnsi="Calibri"/>
                      <w:color w:val="auto"/>
                      <w:szCs w:val="21"/>
                      <w:highlight w:val="none"/>
                    </w:rPr>
                  </w:pPr>
                  <w:r>
                    <w:rPr>
                      <w:rFonts w:hint="eastAsia" w:ascii="Calibri" w:hAnsi="Calibri"/>
                      <w:color w:val="auto"/>
                      <w:szCs w:val="21"/>
                      <w:highlight w:val="none"/>
                    </w:rPr>
                    <w:t>林高明</w:t>
                  </w:r>
                </w:p>
              </w:tc>
              <w:tc>
                <w:tcPr>
                  <w:tcW w:w="1117" w:type="dxa"/>
                </w:tcPr>
                <w:p>
                  <w:pPr>
                    <w:rPr>
                      <w:rFonts w:ascii="Calibri" w:hAnsi="Calibri"/>
                      <w:color w:val="auto"/>
                      <w:szCs w:val="21"/>
                      <w:highlight w:val="none"/>
                    </w:rPr>
                  </w:pPr>
                  <w:r>
                    <w:rPr>
                      <w:rFonts w:ascii="Calibri" w:hAnsi="Calibri"/>
                      <w:color w:val="auto"/>
                      <w:szCs w:val="21"/>
                      <w:highlight w:val="none"/>
                    </w:rPr>
                    <w:t>15888682693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3" w:hRule="atLeast"/>
              </w:trPr>
              <w:tc>
                <w:tcPr>
                  <w:tcW w:w="2415" w:type="dxa"/>
                </w:tcPr>
                <w:p>
                  <w:pPr>
                    <w:rPr>
                      <w:rFonts w:ascii="Calibri" w:hAnsi="Calibri"/>
                      <w:color w:val="auto"/>
                      <w:szCs w:val="21"/>
                      <w:highlight w:val="none"/>
                    </w:rPr>
                  </w:pPr>
                  <w:r>
                    <w:rPr>
                      <w:rFonts w:hint="eastAsia" w:ascii="Calibri" w:hAnsi="Calibri"/>
                      <w:color w:val="auto"/>
                      <w:szCs w:val="21"/>
                      <w:highlight w:val="none"/>
                    </w:rPr>
                    <w:t>中华联合财产保险股份有限公司台州中心支公司</w:t>
                  </w:r>
                </w:p>
              </w:tc>
              <w:tc>
                <w:tcPr>
                  <w:tcW w:w="1500" w:type="dxa"/>
                </w:tcPr>
                <w:p>
                  <w:pPr>
                    <w:rPr>
                      <w:rFonts w:ascii="Calibri" w:hAnsi="Calibri"/>
                      <w:color w:val="auto"/>
                      <w:szCs w:val="21"/>
                      <w:highlight w:val="none"/>
                    </w:rPr>
                  </w:pPr>
                  <w:r>
                    <w:rPr>
                      <w:rFonts w:hint="eastAsia" w:ascii="Calibri" w:hAnsi="Calibri"/>
                      <w:color w:val="auto"/>
                      <w:szCs w:val="21"/>
                      <w:highlight w:val="none"/>
                    </w:rPr>
                    <w:t>年费率2%，最低保费500元</w:t>
                  </w:r>
                </w:p>
              </w:tc>
              <w:tc>
                <w:tcPr>
                  <w:tcW w:w="867" w:type="dxa"/>
                </w:tcPr>
                <w:p>
                  <w:pPr>
                    <w:rPr>
                      <w:rFonts w:ascii="Calibri" w:hAnsi="Calibri"/>
                      <w:color w:val="auto"/>
                      <w:szCs w:val="21"/>
                      <w:highlight w:val="none"/>
                    </w:rPr>
                  </w:pPr>
                  <w:r>
                    <w:rPr>
                      <w:rFonts w:hint="eastAsia" w:ascii="Calibri" w:hAnsi="Calibri"/>
                      <w:color w:val="auto"/>
                      <w:szCs w:val="21"/>
                      <w:highlight w:val="none"/>
                    </w:rPr>
                    <w:t>王仙高</w:t>
                  </w:r>
                </w:p>
              </w:tc>
              <w:tc>
                <w:tcPr>
                  <w:tcW w:w="1117" w:type="dxa"/>
                </w:tcPr>
                <w:p>
                  <w:pPr>
                    <w:rPr>
                      <w:rFonts w:ascii="Calibri" w:hAnsi="Calibri"/>
                      <w:color w:val="auto"/>
                      <w:szCs w:val="21"/>
                      <w:highlight w:val="none"/>
                    </w:rPr>
                  </w:pPr>
                  <w:r>
                    <w:rPr>
                      <w:rFonts w:ascii="Calibri" w:hAnsi="Calibri"/>
                      <w:color w:val="auto"/>
                      <w:szCs w:val="21"/>
                      <w:highlight w:val="none"/>
                    </w:rPr>
                    <w:t>13858600221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9" w:hRule="atLeast"/>
              </w:trPr>
              <w:tc>
                <w:tcPr>
                  <w:tcW w:w="2415" w:type="dxa"/>
                </w:tcPr>
                <w:p>
                  <w:pPr>
                    <w:rPr>
                      <w:rFonts w:ascii="Calibri" w:hAnsi="Calibri"/>
                      <w:color w:val="auto"/>
                      <w:szCs w:val="21"/>
                      <w:highlight w:val="none"/>
                    </w:rPr>
                  </w:pPr>
                  <w:r>
                    <w:rPr>
                      <w:rFonts w:hint="eastAsia" w:ascii="Calibri" w:hAnsi="Calibri"/>
                      <w:color w:val="auto"/>
                      <w:szCs w:val="21"/>
                      <w:highlight w:val="none"/>
                    </w:rPr>
                    <w:t>中国人民财产保险股份有限公司台州中心支公司</w:t>
                  </w:r>
                </w:p>
              </w:tc>
              <w:tc>
                <w:tcPr>
                  <w:tcW w:w="1500" w:type="dxa"/>
                </w:tcPr>
                <w:p>
                  <w:pPr>
                    <w:rPr>
                      <w:rFonts w:ascii="Calibri" w:hAnsi="Calibri"/>
                      <w:color w:val="auto"/>
                      <w:szCs w:val="21"/>
                      <w:highlight w:val="none"/>
                    </w:rPr>
                  </w:pPr>
                  <w:r>
                    <w:rPr>
                      <w:rFonts w:hint="eastAsia" w:ascii="Calibri" w:hAnsi="Calibri"/>
                      <w:color w:val="auto"/>
                      <w:szCs w:val="21"/>
                      <w:highlight w:val="none"/>
                    </w:rPr>
                    <w:t>年费率0.3%，最低保费1000元</w:t>
                  </w:r>
                </w:p>
              </w:tc>
              <w:tc>
                <w:tcPr>
                  <w:tcW w:w="867" w:type="dxa"/>
                </w:tcPr>
                <w:p>
                  <w:pPr>
                    <w:rPr>
                      <w:rFonts w:ascii="Calibri" w:hAnsi="Calibri"/>
                      <w:color w:val="auto"/>
                      <w:szCs w:val="21"/>
                      <w:highlight w:val="none"/>
                    </w:rPr>
                  </w:pPr>
                  <w:r>
                    <w:rPr>
                      <w:rFonts w:hint="eastAsia" w:ascii="Calibri" w:hAnsi="Calibri"/>
                      <w:color w:val="auto"/>
                      <w:szCs w:val="21"/>
                      <w:highlight w:val="none"/>
                    </w:rPr>
                    <w:t>王仙春</w:t>
                  </w:r>
                </w:p>
              </w:tc>
              <w:tc>
                <w:tcPr>
                  <w:tcW w:w="1117" w:type="dxa"/>
                </w:tcPr>
                <w:p>
                  <w:pPr>
                    <w:rPr>
                      <w:rFonts w:ascii="Calibri" w:hAnsi="Calibri"/>
                      <w:color w:val="auto"/>
                      <w:szCs w:val="21"/>
                      <w:highlight w:val="none"/>
                    </w:rPr>
                  </w:pPr>
                  <w:r>
                    <w:rPr>
                      <w:rFonts w:ascii="Calibri" w:hAnsi="Calibri"/>
                      <w:color w:val="auto"/>
                      <w:szCs w:val="21"/>
                      <w:highlight w:val="none"/>
                    </w:rPr>
                    <w:t>13515769179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3" w:hRule="atLeast"/>
              </w:trPr>
              <w:tc>
                <w:tcPr>
                  <w:tcW w:w="2415" w:type="dxa"/>
                </w:tcPr>
                <w:p>
                  <w:pPr>
                    <w:jc w:val="left"/>
                    <w:rPr>
                      <w:rFonts w:ascii="Calibri" w:hAnsi="Calibri"/>
                      <w:color w:val="auto"/>
                      <w:szCs w:val="21"/>
                      <w:highlight w:val="none"/>
                    </w:rPr>
                  </w:pPr>
                  <w:r>
                    <w:rPr>
                      <w:rFonts w:hint="eastAsia" w:ascii="Calibri" w:hAnsi="Calibri"/>
                      <w:color w:val="auto"/>
                      <w:szCs w:val="21"/>
                      <w:highlight w:val="none"/>
                    </w:rPr>
                    <w:t>永安财产保险股份有限公司台州中心支公司</w:t>
                  </w:r>
                </w:p>
              </w:tc>
              <w:tc>
                <w:tcPr>
                  <w:tcW w:w="1500" w:type="dxa"/>
                </w:tcPr>
                <w:p>
                  <w:pPr>
                    <w:jc w:val="left"/>
                    <w:rPr>
                      <w:rFonts w:ascii="Calibri" w:hAnsi="Calibri"/>
                      <w:color w:val="auto"/>
                      <w:szCs w:val="21"/>
                      <w:highlight w:val="none"/>
                    </w:rPr>
                  </w:pPr>
                  <w:r>
                    <w:rPr>
                      <w:rFonts w:hint="eastAsia" w:ascii="Calibri" w:hAnsi="Calibri"/>
                      <w:color w:val="auto"/>
                      <w:szCs w:val="21"/>
                      <w:highlight w:val="none"/>
                    </w:rPr>
                    <w:t>年费率0.3%，最低保费1000</w:t>
                  </w:r>
                </w:p>
              </w:tc>
              <w:tc>
                <w:tcPr>
                  <w:tcW w:w="867" w:type="dxa"/>
                </w:tcPr>
                <w:p>
                  <w:pPr>
                    <w:jc w:val="left"/>
                    <w:rPr>
                      <w:rFonts w:ascii="Calibri" w:hAnsi="Calibri"/>
                      <w:color w:val="auto"/>
                      <w:szCs w:val="21"/>
                      <w:highlight w:val="none"/>
                    </w:rPr>
                  </w:pPr>
                  <w:r>
                    <w:rPr>
                      <w:rFonts w:hint="eastAsia" w:ascii="Calibri" w:hAnsi="Calibri"/>
                      <w:color w:val="auto"/>
                      <w:szCs w:val="21"/>
                      <w:highlight w:val="none"/>
                    </w:rPr>
                    <w:t>王春宇</w:t>
                  </w:r>
                </w:p>
              </w:tc>
              <w:tc>
                <w:tcPr>
                  <w:tcW w:w="1117" w:type="dxa"/>
                </w:tcPr>
                <w:p>
                  <w:pPr>
                    <w:jc w:val="left"/>
                    <w:rPr>
                      <w:rFonts w:ascii="Calibri" w:hAnsi="Calibri"/>
                      <w:color w:val="auto"/>
                      <w:szCs w:val="21"/>
                      <w:highlight w:val="none"/>
                    </w:rPr>
                  </w:pPr>
                  <w:r>
                    <w:rPr>
                      <w:rFonts w:ascii="Calibri" w:hAnsi="Calibri"/>
                      <w:color w:val="auto"/>
                      <w:szCs w:val="21"/>
                      <w:highlight w:val="none"/>
                    </w:rPr>
                    <w:t>13676675331</w:t>
                  </w:r>
                </w:p>
              </w:tc>
            </w:tr>
          </w:tbl>
          <w:p>
            <w:pPr>
              <w:jc w:val="center"/>
              <w:rPr>
                <w:color w:val="auto"/>
                <w:sz w:val="32"/>
                <w:szCs w:val="32"/>
                <w:highlight w:val="none"/>
              </w:rPr>
            </w:pPr>
          </w:p>
          <w:p>
            <w:pPr>
              <w:rPr>
                <w:color w:val="auto"/>
                <w:sz w:val="32"/>
                <w:szCs w:val="32"/>
                <w:highlight w:val="none"/>
              </w:rPr>
            </w:pPr>
            <w:r>
              <w:rPr>
                <w:rFonts w:hint="eastAsia" w:ascii="宋体" w:hAnsi="宋体" w:cs="宋体"/>
                <w:color w:val="auto"/>
                <w:sz w:val="24"/>
                <w:highlight w:val="none"/>
              </w:rPr>
              <w:t>中标供应商如有预付款保函需求，可使用以下联系方式：</w:t>
            </w:r>
          </w:p>
          <w:tbl>
            <w:tblPr>
              <w:tblStyle w:val="3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04"/>
              <w:gridCol w:w="1671"/>
              <w:gridCol w:w="856"/>
              <w:gridCol w:w="10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60" w:hRule="atLeast"/>
              </w:trPr>
              <w:tc>
                <w:tcPr>
                  <w:tcW w:w="2404" w:type="dxa"/>
                  <w:vAlign w:val="center"/>
                </w:tcPr>
                <w:p>
                  <w:pPr>
                    <w:jc w:val="center"/>
                    <w:rPr>
                      <w:rFonts w:ascii="Calibri" w:hAnsi="Calibri"/>
                      <w:color w:val="auto"/>
                      <w:sz w:val="24"/>
                      <w:highlight w:val="none"/>
                    </w:rPr>
                  </w:pPr>
                  <w:r>
                    <w:rPr>
                      <w:rFonts w:hint="eastAsia" w:ascii="Calibri" w:hAnsi="Calibri"/>
                      <w:color w:val="auto"/>
                      <w:sz w:val="24"/>
                      <w:highlight w:val="none"/>
                    </w:rPr>
                    <w:t>保险公司名称</w:t>
                  </w:r>
                </w:p>
              </w:tc>
              <w:tc>
                <w:tcPr>
                  <w:tcW w:w="1671" w:type="dxa"/>
                  <w:vAlign w:val="center"/>
                </w:tcPr>
                <w:p>
                  <w:pPr>
                    <w:jc w:val="center"/>
                    <w:rPr>
                      <w:rFonts w:ascii="Calibri" w:hAnsi="Calibri"/>
                      <w:color w:val="auto"/>
                      <w:highlight w:val="none"/>
                    </w:rPr>
                  </w:pPr>
                  <w:r>
                    <w:rPr>
                      <w:rFonts w:hint="eastAsia" w:ascii="Calibri" w:hAnsi="Calibri"/>
                      <w:color w:val="auto"/>
                      <w:highlight w:val="none"/>
                    </w:rPr>
                    <w:t>保费率</w:t>
                  </w:r>
                </w:p>
              </w:tc>
              <w:tc>
                <w:tcPr>
                  <w:tcW w:w="856" w:type="dxa"/>
                  <w:vAlign w:val="center"/>
                </w:tcPr>
                <w:p>
                  <w:pPr>
                    <w:jc w:val="center"/>
                    <w:rPr>
                      <w:rFonts w:ascii="Calibri" w:hAnsi="Calibri"/>
                      <w:color w:val="auto"/>
                      <w:highlight w:val="none"/>
                    </w:rPr>
                  </w:pPr>
                  <w:r>
                    <w:rPr>
                      <w:rFonts w:hint="eastAsia" w:ascii="Calibri" w:hAnsi="Calibri"/>
                      <w:color w:val="auto"/>
                      <w:highlight w:val="none"/>
                    </w:rPr>
                    <w:t>联系人</w:t>
                  </w:r>
                </w:p>
              </w:tc>
              <w:tc>
                <w:tcPr>
                  <w:tcW w:w="1026" w:type="dxa"/>
                  <w:vAlign w:val="center"/>
                </w:tcPr>
                <w:p>
                  <w:pPr>
                    <w:jc w:val="center"/>
                    <w:rPr>
                      <w:rFonts w:ascii="Calibri" w:hAnsi="Calibri"/>
                      <w:color w:val="auto"/>
                      <w:highlight w:val="none"/>
                    </w:rPr>
                  </w:pPr>
                  <w:r>
                    <w:rPr>
                      <w:rFonts w:hint="eastAsia" w:ascii="Calibri" w:hAnsi="Calibri"/>
                      <w:color w:val="auto"/>
                      <w:highlight w:val="none"/>
                    </w:rPr>
                    <w:t>联系电话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404" w:type="dxa"/>
                </w:tcPr>
                <w:p>
                  <w:pPr>
                    <w:rPr>
                      <w:rFonts w:ascii="Calibri" w:hAnsi="Calibri"/>
                      <w:color w:val="auto"/>
                      <w:highlight w:val="none"/>
                    </w:rPr>
                  </w:pPr>
                  <w:r>
                    <w:rPr>
                      <w:rFonts w:hint="eastAsia" w:ascii="Calibri" w:hAnsi="Calibri"/>
                      <w:color w:val="auto"/>
                      <w:highlight w:val="none"/>
                    </w:rPr>
                    <w:t>中国人寿财产保险股份有限公司台州中心支公司</w:t>
                  </w:r>
                </w:p>
              </w:tc>
              <w:tc>
                <w:tcPr>
                  <w:tcW w:w="1671" w:type="dxa"/>
                </w:tcPr>
                <w:p>
                  <w:pPr>
                    <w:rPr>
                      <w:rFonts w:ascii="Calibri" w:hAnsi="Calibri"/>
                      <w:color w:val="auto"/>
                      <w:highlight w:val="none"/>
                    </w:rPr>
                  </w:pPr>
                  <w:r>
                    <w:rPr>
                      <w:rFonts w:hint="eastAsia" w:ascii="Calibri" w:hAnsi="Calibri"/>
                      <w:color w:val="auto"/>
                      <w:highlight w:val="none"/>
                    </w:rPr>
                    <w:t>年费率3%，最低保费500元</w:t>
                  </w:r>
                </w:p>
              </w:tc>
              <w:tc>
                <w:tcPr>
                  <w:tcW w:w="856" w:type="dxa"/>
                </w:tcPr>
                <w:p>
                  <w:pPr>
                    <w:rPr>
                      <w:rFonts w:ascii="Calibri" w:hAnsi="Calibri"/>
                      <w:color w:val="auto"/>
                      <w:highlight w:val="none"/>
                    </w:rPr>
                  </w:pPr>
                  <w:r>
                    <w:rPr>
                      <w:rFonts w:hint="eastAsia" w:ascii="Calibri" w:hAnsi="Calibri"/>
                      <w:color w:val="auto"/>
                      <w:highlight w:val="none"/>
                    </w:rPr>
                    <w:t>徐凌</w:t>
                  </w:r>
                </w:p>
              </w:tc>
              <w:tc>
                <w:tcPr>
                  <w:tcW w:w="1026" w:type="dxa"/>
                </w:tcPr>
                <w:p>
                  <w:pPr>
                    <w:rPr>
                      <w:rFonts w:ascii="Calibri" w:hAnsi="Calibri"/>
                      <w:color w:val="auto"/>
                      <w:highlight w:val="none"/>
                    </w:rPr>
                  </w:pPr>
                  <w:r>
                    <w:rPr>
                      <w:rFonts w:ascii="Calibri" w:hAnsi="Calibri"/>
                      <w:color w:val="auto"/>
                      <w:highlight w:val="none"/>
                    </w:rPr>
                    <w:t>13905168070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624" w:hRule="atLeast"/>
              </w:trPr>
              <w:tc>
                <w:tcPr>
                  <w:tcW w:w="2404" w:type="dxa"/>
                </w:tcPr>
                <w:p>
                  <w:pPr>
                    <w:rPr>
                      <w:rFonts w:ascii="Calibri" w:hAnsi="Calibri"/>
                      <w:color w:val="auto"/>
                      <w:highlight w:val="none"/>
                    </w:rPr>
                  </w:pPr>
                  <w:r>
                    <w:rPr>
                      <w:rFonts w:hint="eastAsia" w:ascii="Calibri" w:hAnsi="Calibri"/>
                      <w:color w:val="auto"/>
                      <w:highlight w:val="none"/>
                    </w:rPr>
                    <w:t>阳光保险台州中心支公司</w:t>
                  </w:r>
                </w:p>
              </w:tc>
              <w:tc>
                <w:tcPr>
                  <w:tcW w:w="1671" w:type="dxa"/>
                </w:tcPr>
                <w:p>
                  <w:pPr>
                    <w:rPr>
                      <w:rFonts w:ascii="Calibri" w:hAnsi="Calibri"/>
                      <w:color w:val="auto"/>
                      <w:highlight w:val="none"/>
                    </w:rPr>
                  </w:pPr>
                  <w:r>
                    <w:rPr>
                      <w:rFonts w:hint="eastAsia" w:ascii="Calibri" w:hAnsi="Calibri"/>
                      <w:color w:val="auto"/>
                      <w:highlight w:val="none"/>
                    </w:rPr>
                    <w:t>年费率1%，最低保费500元</w:t>
                  </w:r>
                </w:p>
              </w:tc>
              <w:tc>
                <w:tcPr>
                  <w:tcW w:w="856" w:type="dxa"/>
                </w:tcPr>
                <w:p>
                  <w:pPr>
                    <w:rPr>
                      <w:rFonts w:ascii="Calibri" w:hAnsi="Calibri"/>
                      <w:color w:val="auto"/>
                      <w:highlight w:val="none"/>
                    </w:rPr>
                  </w:pPr>
                  <w:r>
                    <w:rPr>
                      <w:rFonts w:hint="eastAsia" w:ascii="Calibri" w:hAnsi="Calibri"/>
                      <w:color w:val="auto"/>
                      <w:highlight w:val="none"/>
                    </w:rPr>
                    <w:t>林高明</w:t>
                  </w:r>
                </w:p>
              </w:tc>
              <w:tc>
                <w:tcPr>
                  <w:tcW w:w="1026" w:type="dxa"/>
                </w:tcPr>
                <w:p>
                  <w:pPr>
                    <w:rPr>
                      <w:rFonts w:ascii="Calibri" w:hAnsi="Calibri"/>
                      <w:color w:val="auto"/>
                      <w:highlight w:val="none"/>
                    </w:rPr>
                  </w:pPr>
                  <w:r>
                    <w:rPr>
                      <w:rFonts w:ascii="Calibri" w:hAnsi="Calibri"/>
                      <w:color w:val="auto"/>
                      <w:highlight w:val="none"/>
                    </w:rPr>
                    <w:t>15888682693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3" w:hRule="atLeast"/>
              </w:trPr>
              <w:tc>
                <w:tcPr>
                  <w:tcW w:w="2404" w:type="dxa"/>
                </w:tcPr>
                <w:p>
                  <w:pPr>
                    <w:rPr>
                      <w:rFonts w:ascii="Calibri" w:hAnsi="Calibri"/>
                      <w:color w:val="auto"/>
                      <w:highlight w:val="none"/>
                    </w:rPr>
                  </w:pPr>
                  <w:r>
                    <w:rPr>
                      <w:rFonts w:hint="eastAsia" w:ascii="Calibri" w:hAnsi="Calibri"/>
                      <w:color w:val="auto"/>
                      <w:highlight w:val="none"/>
                    </w:rPr>
                    <w:t>天安财产保险股份有限公司台州中心支公司</w:t>
                  </w:r>
                </w:p>
              </w:tc>
              <w:tc>
                <w:tcPr>
                  <w:tcW w:w="1671" w:type="dxa"/>
                </w:tcPr>
                <w:p>
                  <w:pPr>
                    <w:rPr>
                      <w:rFonts w:ascii="Calibri" w:hAnsi="Calibri"/>
                      <w:color w:val="auto"/>
                      <w:highlight w:val="none"/>
                    </w:rPr>
                  </w:pPr>
                  <w:r>
                    <w:rPr>
                      <w:rFonts w:hint="eastAsia" w:ascii="Calibri" w:hAnsi="Calibri"/>
                      <w:color w:val="auto"/>
                      <w:highlight w:val="none"/>
                    </w:rPr>
                    <w:t>年费率1%-2%，最低保费500元</w:t>
                  </w:r>
                </w:p>
              </w:tc>
              <w:tc>
                <w:tcPr>
                  <w:tcW w:w="856" w:type="dxa"/>
                </w:tcPr>
                <w:p>
                  <w:pPr>
                    <w:rPr>
                      <w:rFonts w:ascii="Calibri" w:hAnsi="Calibri"/>
                      <w:color w:val="auto"/>
                      <w:highlight w:val="none"/>
                    </w:rPr>
                  </w:pPr>
                  <w:r>
                    <w:rPr>
                      <w:rFonts w:hint="eastAsia" w:ascii="Calibri" w:hAnsi="Calibri"/>
                      <w:color w:val="auto"/>
                      <w:highlight w:val="none"/>
                    </w:rPr>
                    <w:t>罗赛</w:t>
                  </w:r>
                </w:p>
              </w:tc>
              <w:tc>
                <w:tcPr>
                  <w:tcW w:w="1026" w:type="dxa"/>
                </w:tcPr>
                <w:p>
                  <w:pPr>
                    <w:rPr>
                      <w:rFonts w:ascii="Calibri" w:hAnsi="Calibri"/>
                      <w:color w:val="auto"/>
                      <w:highlight w:val="none"/>
                    </w:rPr>
                  </w:pPr>
                  <w:r>
                    <w:rPr>
                      <w:rFonts w:hint="eastAsia" w:ascii="Calibri" w:hAnsi="Calibri"/>
                      <w:color w:val="auto"/>
                      <w:highlight w:val="none"/>
                    </w:rPr>
                    <w:t>13736605643</w:t>
                  </w:r>
                </w:p>
              </w:tc>
            </w:tr>
          </w:tbl>
          <w:p>
            <w:pPr>
              <w:rPr>
                <w:color w:val="auto"/>
                <w:highlight w:val="none"/>
              </w:rPr>
            </w:pPr>
          </w:p>
          <w:p>
            <w:pPr>
              <w:autoSpaceDE w:val="0"/>
              <w:autoSpaceDN w:val="0"/>
              <w:adjustRightInd w:val="0"/>
              <w:spacing w:line="360" w:lineRule="auto"/>
              <w:rPr>
                <w:rFonts w:ascii="宋体" w:hAnsi="宋体" w:cs="宋体"/>
                <w:color w:val="auto"/>
                <w:sz w:val="24"/>
                <w:highlight w:val="none"/>
              </w:rPr>
            </w:pPr>
          </w:p>
        </w:tc>
      </w:tr>
    </w:tbl>
    <w:p>
      <w:pPr>
        <w:pStyle w:val="22"/>
        <w:snapToGrid w:val="0"/>
        <w:spacing w:before="120" w:after="120"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 、总  则</w:t>
      </w:r>
    </w:p>
    <w:p>
      <w:pPr>
        <w:snapToGrid w:val="0"/>
        <w:spacing w:line="360" w:lineRule="auto"/>
        <w:ind w:firstLine="472" w:firstLineChars="196"/>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 xml:space="preserve"> 适用范围</w:t>
      </w:r>
    </w:p>
    <w:p>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本招标文件适用于</w:t>
      </w:r>
      <w:r>
        <w:rPr>
          <w:rFonts w:hint="eastAsia" w:asciiTheme="minorEastAsia" w:hAnsiTheme="minorEastAsia" w:eastAsiaTheme="minorEastAsia"/>
          <w:bCs/>
          <w:color w:val="auto"/>
          <w:sz w:val="24"/>
          <w:highlight w:val="none"/>
        </w:rPr>
        <w:t>本次</w:t>
      </w:r>
      <w:r>
        <w:rPr>
          <w:rFonts w:hint="eastAsia" w:asciiTheme="minorEastAsia" w:hAnsiTheme="minorEastAsia" w:eastAsiaTheme="minorEastAsia"/>
          <w:color w:val="auto"/>
          <w:sz w:val="24"/>
          <w:highlight w:val="none"/>
        </w:rPr>
        <w:t>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（二）定义</w:t>
      </w:r>
    </w:p>
    <w:p>
      <w:pPr>
        <w:pStyle w:val="5"/>
        <w:keepNext w:val="0"/>
        <w:keepLines w:val="0"/>
        <w:tabs>
          <w:tab w:val="left" w:pos="0"/>
          <w:tab w:val="left" w:pos="851"/>
        </w:tabs>
        <w:autoSpaceDE w:val="0"/>
        <w:autoSpaceDN w:val="0"/>
        <w:adjustRightInd w:val="0"/>
        <w:snapToGrid w:val="0"/>
        <w:spacing w:before="0" w:after="0" w:line="360" w:lineRule="auto"/>
        <w:ind w:firstLine="566" w:firstLineChars="236"/>
        <w:jc w:val="left"/>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color w:val="auto"/>
          <w:sz w:val="24"/>
          <w:szCs w:val="24"/>
          <w:highlight w:val="none"/>
        </w:rPr>
        <w:t>1、</w:t>
      </w:r>
      <w:r>
        <w:rPr>
          <w:rFonts w:hint="eastAsia" w:ascii="宋体" w:hAnsi="宋体"/>
          <w:b w:val="0"/>
          <w:bCs w:val="0"/>
          <w:color w:val="auto"/>
          <w:sz w:val="24"/>
          <w:szCs w:val="24"/>
          <w:highlight w:val="none"/>
          <w:lang w:val="zh-CN"/>
        </w:rPr>
        <w:t>“采购组织机构”指采购人委托组织招标的采购代理机构。</w:t>
      </w:r>
    </w:p>
    <w:p>
      <w:pPr>
        <w:snapToGrid w:val="0"/>
        <w:spacing w:line="360" w:lineRule="auto"/>
        <w:ind w:firstLine="566" w:firstLineChars="236"/>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2、采购人：是指委托采购代理机构采购本次项目的国家机关、事业单位和团体组织。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投标人</w:t>
      </w:r>
      <w:r>
        <w:rPr>
          <w:rFonts w:hint="eastAsia" w:asciiTheme="minorEastAsia" w:hAnsiTheme="minorEastAsia" w:eastAsiaTheme="minorEastAsia"/>
          <w:color w:val="auto"/>
          <w:sz w:val="24"/>
          <w:highlight w:val="none"/>
        </w:rPr>
        <w:t>/投标供应商：是</w:t>
      </w:r>
      <w:r>
        <w:rPr>
          <w:rFonts w:asciiTheme="minorEastAsia" w:hAnsiTheme="minorEastAsia" w:eastAsiaTheme="minorEastAsia"/>
          <w:color w:val="auto"/>
          <w:sz w:val="24"/>
          <w:highlight w:val="none"/>
        </w:rPr>
        <w:t>指向</w:t>
      </w:r>
      <w:r>
        <w:rPr>
          <w:rFonts w:hint="eastAsia" w:asciiTheme="minorEastAsia" w:hAnsiTheme="minorEastAsia" w:eastAsiaTheme="minorEastAsia"/>
          <w:color w:val="auto"/>
          <w:sz w:val="24"/>
          <w:highlight w:val="none"/>
        </w:rPr>
        <w:t>采购</w:t>
      </w:r>
      <w:r>
        <w:rPr>
          <w:rFonts w:hint="eastAsia" w:ascii="宋体" w:hAnsi="宋体"/>
          <w:color w:val="auto"/>
          <w:sz w:val="24"/>
          <w:highlight w:val="none"/>
          <w:lang w:val="zh-CN"/>
        </w:rPr>
        <w:t>组织</w:t>
      </w:r>
      <w:r>
        <w:rPr>
          <w:rFonts w:hint="eastAsia" w:asciiTheme="minorEastAsia" w:hAnsiTheme="minorEastAsia" w:eastAsiaTheme="minorEastAsia"/>
          <w:color w:val="auto"/>
          <w:sz w:val="24"/>
          <w:highlight w:val="none"/>
        </w:rPr>
        <w:t>机构</w:t>
      </w:r>
      <w:r>
        <w:rPr>
          <w:rFonts w:asciiTheme="minorEastAsia" w:hAnsiTheme="minorEastAsia" w:eastAsiaTheme="minorEastAsia"/>
          <w:color w:val="auto"/>
          <w:sz w:val="24"/>
          <w:highlight w:val="none"/>
        </w:rPr>
        <w:t>提交投标文件的单位或个人。</w:t>
      </w:r>
    </w:p>
    <w:p>
      <w:pPr>
        <w:snapToGrid w:val="0"/>
        <w:spacing w:line="360" w:lineRule="auto"/>
        <w:ind w:left="424" w:leftChars="202" w:firstLine="143"/>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货物</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服务</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“书面形式”包括信函、传真等。</w:t>
      </w:r>
    </w:p>
    <w:p>
      <w:pPr>
        <w:snapToGrid w:val="0"/>
        <w:spacing w:line="360" w:lineRule="auto"/>
        <w:ind w:firstLine="566" w:firstLineChars="236"/>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“▲”系指实质性要求条款。</w:t>
      </w:r>
    </w:p>
    <w:p>
      <w:pPr>
        <w:snapToGrid w:val="0"/>
        <w:spacing w:before="156" w:beforeLines="50" w:line="360" w:lineRule="auto"/>
        <w:ind w:firstLine="472" w:firstLineChars="196"/>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（三）投标费用</w:t>
      </w:r>
    </w:p>
    <w:p>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不论投标结果如何，投标人均应自行承担所有与投标有关的全部费用（招标文件有相关规定除外）。</w:t>
      </w:r>
    </w:p>
    <w:p>
      <w:pPr>
        <w:pStyle w:val="22"/>
        <w:snapToGrid w:val="0"/>
        <w:spacing w:line="360" w:lineRule="auto"/>
        <w:ind w:left="2" w:leftChars="1" w:firstLine="482" w:firstLineChars="200"/>
        <w:rPr>
          <w:rFonts w:hAnsi="宋体"/>
          <w:b/>
          <w:color w:val="auto"/>
          <w:sz w:val="24"/>
          <w:highlight w:val="none"/>
        </w:rPr>
      </w:pPr>
      <w:r>
        <w:rPr>
          <w:rFonts w:hint="eastAsia" w:hAnsi="宋体"/>
          <w:b/>
          <w:color w:val="auto"/>
          <w:sz w:val="24"/>
          <w:highlight w:val="none"/>
        </w:rPr>
        <w:t>（四）特别说明</w:t>
      </w:r>
    </w:p>
    <w:p>
      <w:pPr>
        <w:pStyle w:val="22"/>
        <w:snapToGrid w:val="0"/>
        <w:spacing w:line="360" w:lineRule="auto"/>
        <w:ind w:left="2" w:leftChars="1"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color w:val="auto"/>
          <w:sz w:val="24"/>
          <w:highlight w:val="none"/>
        </w:rPr>
        <w:t>指</w:t>
      </w:r>
      <w:r>
        <w:rPr>
          <w:rFonts w:asciiTheme="minorEastAsia" w:hAnsiTheme="minorEastAsia" w:eastAsiaTheme="minorEastAsia"/>
          <w:color w:val="auto"/>
          <w:sz w:val="24"/>
          <w:highlight w:val="none"/>
        </w:rPr>
        <w:t>本法人或控股公司正式员工）。</w:t>
      </w:r>
    </w:p>
    <w:p>
      <w:pPr>
        <w:spacing w:line="360" w:lineRule="auto"/>
        <w:ind w:firstLine="480" w:firstLineChars="20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color w:val="auto"/>
          <w:sz w:val="24"/>
          <w:highlight w:val="none"/>
        </w:rPr>
        <w:tab/>
      </w:r>
    </w:p>
    <w:p>
      <w:pPr>
        <w:pStyle w:val="48"/>
        <w:snapToGrid w:val="0"/>
        <w:spacing w:line="360" w:lineRule="auto"/>
        <w:ind w:firstLineChars="0"/>
        <w:rPr>
          <w:rFonts w:asciiTheme="minorEastAsia" w:hAnsiTheme="minorEastAsia" w:eastAsiaTheme="minorEastAsia" w:cstheme="minorBidi"/>
          <w:color w:val="auto"/>
          <w:sz w:val="24"/>
          <w:szCs w:val="24"/>
          <w:highlight w:val="none"/>
        </w:rPr>
      </w:pPr>
      <w:r>
        <w:rPr>
          <w:rFonts w:hint="eastAsia" w:asciiTheme="minorEastAsia" w:hAnsiTheme="minorEastAsia" w:eastAsiaTheme="minorEastAsia" w:cstheme="minorBidi"/>
          <w:color w:val="auto"/>
          <w:sz w:val="24"/>
          <w:szCs w:val="24"/>
          <w:highlight w:val="none"/>
        </w:rPr>
        <w:t>3、</w:t>
      </w:r>
      <w:r>
        <w:rPr>
          <w:rFonts w:asciiTheme="minorEastAsia" w:hAnsiTheme="minorEastAsia" w:eastAsiaTheme="minorEastAsia" w:cstheme="minorBidi"/>
          <w:color w:val="auto"/>
          <w:sz w:val="24"/>
          <w:szCs w:val="24"/>
          <w:highlight w:val="none"/>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color w:val="auto"/>
          <w:sz w:val="24"/>
          <w:szCs w:val="24"/>
          <w:highlight w:val="none"/>
        </w:rPr>
        <w:t>，</w:t>
      </w:r>
      <w:r>
        <w:rPr>
          <w:rFonts w:asciiTheme="minorEastAsia" w:hAnsiTheme="minorEastAsia" w:eastAsiaTheme="minorEastAsia" w:cstheme="minorBidi"/>
          <w:color w:val="auto"/>
          <w:sz w:val="24"/>
          <w:szCs w:val="24"/>
          <w:highlight w:val="none"/>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color w:val="auto"/>
          <w:sz w:val="24"/>
          <w:szCs w:val="24"/>
          <w:highlight w:val="none"/>
        </w:rPr>
        <w:t>。</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4、投标人不得相互串通投标报价，不得妨碍其他投标人的公平竞争，不得损害采购人或其他投标人的合法权益，投标人不得以向采购人、评标委员会成员行贿或者采取其他不正当手段谋取中标。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5、为采购项目提供整体设计、规范编制或者项目管理、监理、检测等服务的供应商，不得再参加该采购项目的其他采购活动。</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6、投标文件格式中的表格式样可以根据项目差别做适当调整,但应当保持表格样式基本形态不变。</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7、单位负责人为同一人或者存在直接控股、管理关系的不同供应商，不得参加同一合同项下的政府采购活动。</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8、除非得到采购人的书面同意，供应商不得将本合同范围的货物全部或部分分包给他人供应</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二、招标文件</w:t>
      </w:r>
    </w:p>
    <w:p>
      <w:pPr>
        <w:autoSpaceDE w:val="0"/>
        <w:autoSpaceDN w:val="0"/>
        <w:adjustRightInd w:val="0"/>
        <w:spacing w:line="360" w:lineRule="auto"/>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w:t>
      </w:r>
      <w:r>
        <w:rPr>
          <w:rFonts w:asciiTheme="minorEastAsia" w:hAnsiTheme="minorEastAsia" w:eastAsiaTheme="minorEastAsia"/>
          <w:color w:val="auto"/>
          <w:kern w:val="0"/>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color w:val="auto"/>
          <w:kern w:val="0"/>
          <w:sz w:val="24"/>
          <w:highlight w:val="none"/>
        </w:rPr>
        <w:t>。</w:t>
      </w:r>
    </w:p>
    <w:p>
      <w:pPr>
        <w:tabs>
          <w:tab w:val="left" w:pos="1418"/>
        </w:tabs>
        <w:autoSpaceDE w:val="0"/>
        <w:autoSpaceDN w:val="0"/>
        <w:adjustRightInd w:val="0"/>
        <w:spacing w:line="360" w:lineRule="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 xml:space="preserve"> 三、投标文件</w:t>
      </w:r>
    </w:p>
    <w:p>
      <w:pPr>
        <w:autoSpaceDE w:val="0"/>
        <w:autoSpaceDN w:val="0"/>
        <w:adjustRightInd w:val="0"/>
        <w:spacing w:line="360" w:lineRule="auto"/>
        <w:ind w:firstLine="482" w:firstLineChars="200"/>
        <w:rPr>
          <w:rFonts w:asciiTheme="minorEastAsia" w:hAnsiTheme="minorEastAsia" w:eastAsiaTheme="minorEastAsia"/>
          <w:b/>
          <w:bCs/>
          <w:color w:val="auto"/>
          <w:kern w:val="0"/>
          <w:sz w:val="24"/>
          <w:highlight w:val="none"/>
        </w:rPr>
      </w:pPr>
      <w:r>
        <w:rPr>
          <w:rFonts w:hint="eastAsia" w:ascii="宋体"/>
          <w:b/>
          <w:color w:val="auto"/>
          <w:sz w:val="24"/>
          <w:highlight w:val="none"/>
          <w:lang w:val="zh-CN"/>
        </w:rPr>
        <w:t>（一）</w:t>
      </w:r>
      <w:r>
        <w:rPr>
          <w:rFonts w:hint="eastAsia" w:asciiTheme="minorEastAsia" w:hAnsiTheme="minorEastAsia" w:eastAsiaTheme="minorEastAsia"/>
          <w:b/>
          <w:bCs/>
          <w:color w:val="auto"/>
          <w:kern w:val="0"/>
          <w:sz w:val="24"/>
          <w:highlight w:val="none"/>
        </w:rPr>
        <w:t>投标文件的组成</w:t>
      </w:r>
    </w:p>
    <w:p>
      <w:pPr>
        <w:snapToGrid w:val="0"/>
        <w:spacing w:line="360" w:lineRule="auto"/>
        <w:ind w:firstLine="480" w:firstLineChars="200"/>
        <w:rPr>
          <w:rFonts w:ascii="仿宋_GB2312" w:hAnsi="仿宋_GB2312" w:eastAsia="仿宋_GB2312" w:cs="仿宋_GB2312"/>
          <w:color w:val="auto"/>
          <w:sz w:val="24"/>
          <w:highlight w:val="none"/>
          <w:lang w:val="zh-CN"/>
        </w:rPr>
      </w:pPr>
      <w:r>
        <w:rPr>
          <w:rFonts w:hint="eastAsia" w:asciiTheme="minorEastAsia" w:hAnsiTheme="minorEastAsia" w:eastAsiaTheme="minorEastAsia"/>
          <w:color w:val="auto"/>
          <w:kern w:val="0"/>
          <w:sz w:val="24"/>
          <w:highlight w:val="none"/>
        </w:rPr>
        <w:t xml:space="preserve">  投标人接到招标文件后，按照采购组织机构的要求提供：资格证明文件、商务与技术文件和报价文件。</w:t>
      </w:r>
    </w:p>
    <w:p>
      <w:pPr>
        <w:snapToGrid w:val="0"/>
        <w:spacing w:line="360" w:lineRule="auto"/>
        <w:ind w:firstLine="482" w:firstLineChars="200"/>
        <w:rPr>
          <w:rFonts w:asciiTheme="minorEastAsia" w:hAnsiTheme="minorEastAsia" w:eastAsiaTheme="minorEastAsia"/>
          <w:color w:val="auto"/>
          <w:kern w:val="0"/>
          <w:sz w:val="24"/>
          <w:highlight w:val="none"/>
        </w:rPr>
      </w:pPr>
      <w:r>
        <w:rPr>
          <w:rFonts w:hint="eastAsia" w:ascii="宋体" w:hAnsi="宋体" w:cs="宋体"/>
          <w:b/>
          <w:color w:val="auto"/>
          <w:sz w:val="24"/>
          <w:highlight w:val="none"/>
        </w:rPr>
        <w:t>▲</w:t>
      </w:r>
      <w:r>
        <w:rPr>
          <w:rFonts w:hint="eastAsia" w:asciiTheme="minorEastAsia" w:hAnsiTheme="minorEastAsia" w:eastAsiaTheme="minorEastAsia"/>
          <w:b/>
          <w:color w:val="auto"/>
          <w:sz w:val="24"/>
          <w:highlight w:val="none"/>
        </w:rPr>
        <w:t>1、资格证明</w:t>
      </w:r>
      <w:r>
        <w:rPr>
          <w:rFonts w:asciiTheme="minorEastAsia" w:hAnsiTheme="minorEastAsia" w:eastAsiaTheme="minorEastAsia"/>
          <w:b/>
          <w:color w:val="auto"/>
          <w:sz w:val="24"/>
          <w:highlight w:val="none"/>
        </w:rPr>
        <w:t>文件</w:t>
      </w:r>
      <w:r>
        <w:rPr>
          <w:rFonts w:hint="eastAsia" w:ascii="宋体" w:hAnsi="宋体"/>
          <w:b/>
          <w:color w:val="auto"/>
          <w:sz w:val="24"/>
          <w:highlight w:val="none"/>
        </w:rPr>
        <w:t>的组成：</w:t>
      </w:r>
    </w:p>
    <w:p>
      <w:pPr>
        <w:widowControl/>
        <w:spacing w:line="360" w:lineRule="auto"/>
        <w:ind w:right="60" w:firstLine="480" w:firstLineChars="200"/>
        <w:jc w:val="left"/>
        <w:outlineLvl w:val="0"/>
        <w:rPr>
          <w:rFonts w:ascii="宋体" w:hAnsi="宋体" w:cs="宋体"/>
          <w:color w:val="auto"/>
          <w:sz w:val="24"/>
          <w:highlight w:val="none"/>
        </w:rPr>
      </w:pPr>
      <w:r>
        <w:rPr>
          <w:rFonts w:hint="eastAsia" w:ascii="宋体" w:hAnsi="宋体"/>
          <w:bCs/>
          <w:color w:val="auto"/>
          <w:sz w:val="24"/>
          <w:highlight w:val="none"/>
        </w:rPr>
        <w:t>（1）</w:t>
      </w:r>
      <w:r>
        <w:rPr>
          <w:rFonts w:hint="eastAsia" w:ascii="宋体" w:hAnsi="宋体" w:cs="宋体"/>
          <w:color w:val="auto"/>
          <w:sz w:val="24"/>
          <w:highlight w:val="none"/>
        </w:rPr>
        <w:t>投标声明书；</w:t>
      </w:r>
    </w:p>
    <w:p>
      <w:pPr>
        <w:widowControl/>
        <w:spacing w:line="360" w:lineRule="auto"/>
        <w:ind w:right="60" w:firstLine="480" w:firstLineChars="200"/>
        <w:jc w:val="left"/>
        <w:outlineLvl w:val="0"/>
        <w:rPr>
          <w:rFonts w:ascii="宋体" w:hAnsi="宋体" w:cs="宋体"/>
          <w:color w:val="auto"/>
          <w:sz w:val="24"/>
          <w:highlight w:val="none"/>
        </w:rPr>
      </w:pPr>
      <w:r>
        <w:rPr>
          <w:rFonts w:hint="eastAsia" w:ascii="宋体" w:hAnsi="宋体"/>
          <w:bCs/>
          <w:color w:val="auto"/>
          <w:sz w:val="24"/>
          <w:highlight w:val="none"/>
        </w:rPr>
        <w:t>（2）</w:t>
      </w:r>
      <w:r>
        <w:rPr>
          <w:rFonts w:hint="eastAsia" w:ascii="宋体" w:hAnsi="宋体" w:cs="宋体"/>
          <w:color w:val="auto"/>
          <w:sz w:val="24"/>
          <w:highlight w:val="none"/>
        </w:rPr>
        <w:t>授权委托书（法定代表人亲自办理投标事宜的，则无需提交)；</w:t>
      </w:r>
    </w:p>
    <w:p>
      <w:pPr>
        <w:widowControl/>
        <w:spacing w:line="360" w:lineRule="auto"/>
        <w:ind w:right="60" w:firstLine="480" w:firstLineChars="200"/>
        <w:jc w:val="left"/>
        <w:outlineLvl w:val="0"/>
        <w:rPr>
          <w:rFonts w:ascii="宋体" w:hAnsi="宋体" w:cs="宋体"/>
          <w:color w:val="auto"/>
          <w:sz w:val="24"/>
          <w:highlight w:val="none"/>
        </w:rPr>
      </w:pPr>
      <w:r>
        <w:rPr>
          <w:rFonts w:hint="eastAsia" w:ascii="宋体" w:hAnsi="宋体"/>
          <w:bCs/>
          <w:color w:val="auto"/>
          <w:sz w:val="24"/>
          <w:highlight w:val="none"/>
        </w:rPr>
        <w:t>（3）</w:t>
      </w:r>
      <w:r>
        <w:rPr>
          <w:rFonts w:hint="eastAsia" w:ascii="宋体" w:hAnsi="宋体" w:cs="宋体"/>
          <w:color w:val="auto"/>
          <w:sz w:val="24"/>
          <w:highlight w:val="none"/>
        </w:rPr>
        <w:t>法人或者其他组织的营业执照等证明文件，自然人的身份证明；</w:t>
      </w:r>
    </w:p>
    <w:p>
      <w:pPr>
        <w:widowControl/>
        <w:spacing w:line="360" w:lineRule="auto"/>
        <w:ind w:right="60" w:firstLine="480" w:firstLineChars="200"/>
        <w:jc w:val="left"/>
        <w:outlineLvl w:val="0"/>
        <w:rPr>
          <w:rFonts w:ascii="宋体" w:hAnsi="宋体"/>
          <w:bCs/>
          <w:color w:val="auto"/>
          <w:sz w:val="24"/>
          <w:highlight w:val="none"/>
        </w:rPr>
      </w:pPr>
      <w:r>
        <w:rPr>
          <w:rFonts w:hint="eastAsia" w:ascii="宋体" w:hAnsi="宋体"/>
          <w:bCs/>
          <w:color w:val="auto"/>
          <w:sz w:val="24"/>
          <w:highlight w:val="none"/>
        </w:rPr>
        <w:t>（4）中小企业声明函；</w:t>
      </w:r>
    </w:p>
    <w:p>
      <w:pPr>
        <w:pStyle w:val="19"/>
        <w:spacing w:line="360" w:lineRule="auto"/>
        <w:ind w:left="0" w:leftChars="0" w:firstLine="480"/>
        <w:rPr>
          <w:rFonts w:ascii="宋体" w:hAnsi="宋体" w:cs="宋体"/>
          <w:color w:val="auto"/>
          <w:sz w:val="24"/>
          <w:highlight w:val="none"/>
        </w:rPr>
      </w:pPr>
      <w:r>
        <w:rPr>
          <w:rFonts w:hint="eastAsia" w:ascii="宋体" w:hAnsi="宋体"/>
          <w:bCs/>
          <w:color w:val="auto"/>
          <w:sz w:val="24"/>
          <w:highlight w:val="none"/>
        </w:rPr>
        <w:t>（5）</w:t>
      </w:r>
      <w:r>
        <w:rPr>
          <w:rFonts w:hint="eastAsia" w:ascii="宋体" w:hAnsi="宋体" w:cs="宋体"/>
          <w:color w:val="auto"/>
          <w:sz w:val="24"/>
          <w:highlight w:val="none"/>
        </w:rPr>
        <w:t>公路交通工程专业承包（交通安全设施分项）二级及以上资质证书。</w:t>
      </w:r>
    </w:p>
    <w:p>
      <w:pPr>
        <w:snapToGrid w:val="0"/>
        <w:spacing w:line="360" w:lineRule="auto"/>
        <w:ind w:firstLine="482" w:firstLineChars="200"/>
        <w:rPr>
          <w:rFonts w:ascii="宋体" w:hAnsi="宋体" w:cs="宋体"/>
          <w:color w:val="auto"/>
          <w:sz w:val="24"/>
          <w:highlight w:val="none"/>
          <w:u w:val="single"/>
        </w:rPr>
      </w:pPr>
      <w:r>
        <w:rPr>
          <w:rFonts w:hint="eastAsia" w:asciiTheme="minorEastAsia" w:hAnsiTheme="minorEastAsia" w:eastAsiaTheme="minorEastAsia"/>
          <w:b/>
          <w:color w:val="auto"/>
          <w:sz w:val="24"/>
          <w:highlight w:val="none"/>
        </w:rPr>
        <w:t>2、</w:t>
      </w:r>
      <w:r>
        <w:rPr>
          <w:rFonts w:hint="eastAsia" w:ascii="宋体" w:hAnsi="宋体"/>
          <w:b/>
          <w:color w:val="auto"/>
          <w:sz w:val="24"/>
          <w:highlight w:val="none"/>
        </w:rPr>
        <w:t>商务与技术文件的组成：</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（1）供应商基本情况；</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（2）商务及技术响应表；</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（3）投标人客观分自评表；</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（4）其余内容根据评标办法自拟；</w:t>
      </w:r>
    </w:p>
    <w:p>
      <w:pPr>
        <w:pStyle w:val="13"/>
        <w:widowControl/>
        <w:adjustRightInd w:val="0"/>
        <w:snapToGrid w:val="0"/>
        <w:spacing w:line="360" w:lineRule="auto"/>
        <w:ind w:left="218" w:leftChars="104" w:firstLine="622" w:firstLineChars="258"/>
        <w:rPr>
          <w:rFonts w:ascii="宋体" w:hAnsi="宋体" w:cs="宋体"/>
          <w:color w:val="auto"/>
          <w:sz w:val="24"/>
          <w:szCs w:val="24"/>
          <w:highlight w:val="none"/>
        </w:rPr>
      </w:pPr>
      <w:r>
        <w:rPr>
          <w:rFonts w:hint="eastAsia" w:ascii="宋体"/>
          <w:b/>
          <w:color w:val="auto"/>
          <w:kern w:val="0"/>
          <w:sz w:val="24"/>
          <w:highlight w:val="none"/>
        </w:rPr>
        <w:t>招标需求中要求提供的相关证明材料及根据评标办法提供的证明材料均需在投标文件中提供扫描件。</w:t>
      </w:r>
    </w:p>
    <w:p>
      <w:pPr>
        <w:autoSpaceDE w:val="0"/>
        <w:autoSpaceDN w:val="0"/>
        <w:adjustRightInd w:val="0"/>
        <w:spacing w:line="360" w:lineRule="auto"/>
        <w:ind w:left="426" w:firstLine="65" w:firstLineChars="27"/>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3、报价文件的组成</w:t>
      </w:r>
    </w:p>
    <w:p>
      <w:pPr>
        <w:autoSpaceDE w:val="0"/>
        <w:autoSpaceDN w:val="0"/>
        <w:adjustRightIn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（1）报价文件由开标一览表以及供应商认为其他需要说明的内容组成。</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（2）此报价为投标人一次性报出唯一的最终价格，包含其它一切所要涉及到的费用，有选择的报价将被拒绝。</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kern w:val="0"/>
          <w:sz w:val="24"/>
          <w:highlight w:val="none"/>
          <w:lang w:val="zh-CN"/>
        </w:rPr>
        <w:t>（</w:t>
      </w:r>
      <w:r>
        <w:rPr>
          <w:rFonts w:hint="eastAsia" w:asciiTheme="minorEastAsia" w:hAnsiTheme="minorEastAsia" w:eastAsiaTheme="minorEastAsia"/>
          <w:color w:val="auto"/>
          <w:kern w:val="0"/>
          <w:sz w:val="24"/>
          <w:highlight w:val="none"/>
        </w:rPr>
        <w:t>3</w:t>
      </w:r>
      <w:r>
        <w:rPr>
          <w:rFonts w:hint="eastAsia" w:asciiTheme="minorEastAsia" w:hAnsiTheme="minorEastAsia" w:eastAsiaTheme="minorEastAsia"/>
          <w:color w:val="auto"/>
          <w:kern w:val="0"/>
          <w:sz w:val="24"/>
          <w:highlight w:val="none"/>
          <w:lang w:val="zh-CN"/>
        </w:rPr>
        <w:t>）</w:t>
      </w:r>
      <w:r>
        <w:rPr>
          <w:rFonts w:hint="eastAsia" w:ascii="宋体" w:hAnsi="宋体" w:cs="宋体"/>
          <w:color w:val="auto"/>
          <w:kern w:val="0"/>
          <w:sz w:val="24"/>
          <w:highlight w:val="none"/>
          <w:lang w:val="zh-CN"/>
        </w:rPr>
        <w:t>投标报价包含实现本项目的所有功能及安全保障工作所需费用，其应包括（但不限于）材料、设备、劳务、人员工资、奖金、各种加班费、食宿与交通、手续审批、安全、管理、质保期内的信号灯故障排查、灯具扶正、拆除、灯具移位，抱箍加固，信号灯网络故障修复（2小时内修复）、更换信号灯保险丝、信号灯线缆故障重新接线（不含更换线缆）等相关费用、保险、利润、税金、政策性文件规定及合同包含的所有风险、责任等所有费用（即整个项目直至履约完成，采购人不再另行支付费用）全部费用已包含在开标一览表的投标总报价中</w:t>
      </w:r>
      <w:r>
        <w:rPr>
          <w:rFonts w:hint="eastAsia" w:ascii="宋体" w:hAnsi="宋体" w:cs="宋体"/>
          <w:color w:val="auto"/>
          <w:sz w:val="24"/>
          <w:highlight w:val="none"/>
        </w:rPr>
        <w:t>。</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w:t>
      </w:r>
      <w:r>
        <w:rPr>
          <w:rFonts w:asciiTheme="minorEastAsia" w:hAnsiTheme="minorEastAsia" w:eastAsiaTheme="minorEastAsia"/>
          <w:color w:val="auto"/>
          <w:kern w:val="0"/>
          <w:sz w:val="24"/>
          <w:highlight w:val="none"/>
        </w:rPr>
        <w:t>4</w:t>
      </w:r>
      <w:r>
        <w:rPr>
          <w:rFonts w:hint="eastAsia" w:asciiTheme="minorEastAsia" w:hAnsiTheme="minorEastAsia" w:eastAsiaTheme="minorEastAsia"/>
          <w:color w:val="auto"/>
          <w:kern w:val="0"/>
          <w:sz w:val="24"/>
          <w:highlight w:val="none"/>
        </w:rPr>
        <w:t>）投标报价单不得涂改和增删，如有错漏必须修改，修改处须由同一签署人签字或盖章。由于字迹模糊或表达不清引起的后果由投标人负责。</w:t>
      </w:r>
    </w:p>
    <w:p>
      <w:pPr>
        <w:autoSpaceDE w:val="0"/>
        <w:autoSpaceDN w:val="0"/>
        <w:adjustRightIn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kern w:val="0"/>
          <w:sz w:val="24"/>
          <w:highlight w:val="none"/>
        </w:rPr>
        <w:t>5</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投标报价应按招标文件中相关附表格式填写。</w:t>
      </w:r>
    </w:p>
    <w:p>
      <w:pPr>
        <w:numPr>
          <w:ilvl w:val="0"/>
          <w:numId w:val="5"/>
        </w:numPr>
        <w:spacing w:line="360" w:lineRule="auto"/>
        <w:rPr>
          <w:rFonts w:asciiTheme="minorEastAsia" w:hAnsiTheme="minorEastAsia" w:eastAsiaTheme="minorEastAsia"/>
          <w:b/>
          <w:bCs/>
          <w:color w:val="auto"/>
          <w:kern w:val="0"/>
          <w:sz w:val="24"/>
          <w:highlight w:val="none"/>
        </w:rPr>
      </w:pPr>
      <w:r>
        <w:rPr>
          <w:rFonts w:hint="eastAsia" w:asciiTheme="minorEastAsia" w:hAnsiTheme="minorEastAsia" w:eastAsiaTheme="minorEastAsia"/>
          <w:b/>
          <w:bCs/>
          <w:color w:val="auto"/>
          <w:kern w:val="0"/>
          <w:sz w:val="24"/>
          <w:highlight w:val="none"/>
        </w:rPr>
        <w:t>投标文件的</w:t>
      </w:r>
      <w:r>
        <w:rPr>
          <w:rFonts w:hint="eastAsia" w:asciiTheme="minorEastAsia" w:hAnsiTheme="minorEastAsia"/>
          <w:b/>
          <w:bCs/>
          <w:color w:val="auto"/>
          <w:kern w:val="0"/>
          <w:sz w:val="24"/>
          <w:highlight w:val="none"/>
        </w:rPr>
        <w:t>制作、封装及</w:t>
      </w:r>
      <w:r>
        <w:rPr>
          <w:rFonts w:hint="eastAsia" w:asciiTheme="minorEastAsia" w:hAnsiTheme="minorEastAsia" w:eastAsiaTheme="minorEastAsia"/>
          <w:b/>
          <w:bCs/>
          <w:color w:val="auto"/>
          <w:kern w:val="0"/>
          <w:sz w:val="24"/>
          <w:highlight w:val="none"/>
        </w:rPr>
        <w:t>递交要求</w:t>
      </w:r>
    </w:p>
    <w:p>
      <w:pPr>
        <w:autoSpaceDE w:val="0"/>
        <w:autoSpaceDN w:val="0"/>
        <w:adjustRightInd w:val="0"/>
        <w:spacing w:line="360" w:lineRule="auto"/>
        <w:ind w:firstLine="480"/>
        <w:rPr>
          <w:rFonts w:asciiTheme="minorEastAsia" w:hAnsiTheme="minorEastAsia" w:eastAsiaTheme="minorEastAsia"/>
          <w:b/>
          <w:bCs/>
          <w:color w:val="auto"/>
          <w:sz w:val="24"/>
          <w:highlight w:val="none"/>
        </w:rPr>
      </w:pPr>
      <w:r>
        <w:rPr>
          <w:rFonts w:hint="eastAsia" w:asciiTheme="minorEastAsia" w:hAnsiTheme="minorEastAsia"/>
          <w:b/>
          <w:bCs/>
          <w:color w:val="auto"/>
          <w:sz w:val="24"/>
          <w:highlight w:val="none"/>
        </w:rPr>
        <w:t>1、投标文件的制作要求</w:t>
      </w:r>
    </w:p>
    <w:p>
      <w:pPr>
        <w:spacing w:line="360" w:lineRule="auto"/>
        <w:ind w:firstLine="480" w:firstLineChars="200"/>
        <w:rPr>
          <w:rFonts w:ascii="宋体" w:hAnsi="宋体" w:cs="Arial"/>
          <w:color w:val="auto"/>
          <w:sz w:val="24"/>
          <w:highlight w:val="none"/>
        </w:rPr>
      </w:pPr>
      <w:r>
        <w:rPr>
          <w:rFonts w:hint="eastAsia" w:asciiTheme="minorEastAsia" w:hAnsiTheme="minorEastAsia"/>
          <w:color w:val="auto"/>
          <w:sz w:val="24"/>
          <w:highlight w:val="none"/>
        </w:rPr>
        <w:t>（</w:t>
      </w:r>
      <w:r>
        <w:rPr>
          <w:rFonts w:asciiTheme="minorEastAsia" w:hAnsiTheme="minorEastAsia"/>
          <w:color w:val="auto"/>
          <w:sz w:val="24"/>
          <w:highlight w:val="none"/>
        </w:rPr>
        <w:t>1）</w:t>
      </w:r>
      <w:r>
        <w:rPr>
          <w:rFonts w:hint="eastAsia" w:ascii="宋体" w:hAnsi="宋体" w:cs="Arial"/>
          <w:color w:val="auto"/>
          <w:sz w:val="24"/>
          <w:highlight w:val="none"/>
        </w:rPr>
        <w:t>本项目通过“政府采购云平台（</w:t>
      </w:r>
      <w:r>
        <w:rPr>
          <w:rFonts w:ascii="宋体" w:hAnsi="宋体" w:cs="Arial"/>
          <w:color w:val="auto"/>
          <w:sz w:val="24"/>
          <w:highlight w:val="none"/>
        </w:rPr>
        <w:t>www.</w:t>
      </w:r>
      <w:r>
        <w:rPr>
          <w:rFonts w:hint="eastAsia" w:ascii="宋体" w:hAnsi="宋体" w:cs="Arial"/>
          <w:color w:val="auto"/>
          <w:sz w:val="24"/>
          <w:highlight w:val="none"/>
        </w:rPr>
        <w:t>zcy</w:t>
      </w:r>
      <w:r>
        <w:rPr>
          <w:rFonts w:ascii="宋体" w:hAnsi="宋体" w:cs="Arial"/>
          <w:color w:val="auto"/>
          <w:sz w:val="24"/>
          <w:highlight w:val="none"/>
        </w:rPr>
        <w:t>gov.cn</w:t>
      </w:r>
      <w:r>
        <w:rPr>
          <w:rFonts w:hint="eastAsia" w:ascii="宋体" w:hAnsi="宋体" w:cs="Arial"/>
          <w:color w:val="auto"/>
          <w:sz w:val="24"/>
          <w:highlight w:val="none"/>
        </w:rPr>
        <w:t>）”实行在线投标响应（电子投标）。供应商应通过“政采云电子交易客户端”，并按照本招标文件和“政府采购云平台”的要求编制并加密投标文件。</w:t>
      </w:r>
    </w:p>
    <w:p>
      <w:pPr>
        <w:spacing w:line="360" w:lineRule="auto"/>
        <w:ind w:firstLine="420" w:firstLineChars="175"/>
        <w:rPr>
          <w:rFonts w:ascii="宋体" w:hAnsi="宋体" w:cs="Arial"/>
          <w:color w:val="auto"/>
          <w:kern w:val="0"/>
          <w:sz w:val="24"/>
          <w:highlight w:val="none"/>
        </w:rPr>
      </w:pPr>
      <w:r>
        <w:rPr>
          <w:rFonts w:hint="eastAsia" w:ascii="宋体" w:hAnsi="宋体" w:cs="Arial"/>
          <w:color w:val="auto"/>
          <w:kern w:val="0"/>
          <w:sz w:val="24"/>
          <w:highlight w:val="none"/>
        </w:rPr>
        <w:t>（2）投标供应商应当按照</w:t>
      </w:r>
      <w:r>
        <w:rPr>
          <w:rFonts w:ascii="宋体" w:hAnsi="宋体" w:cs="Arial"/>
          <w:color w:val="auto"/>
          <w:kern w:val="0"/>
          <w:sz w:val="24"/>
          <w:highlight w:val="none"/>
        </w:rPr>
        <w:t>本</w:t>
      </w:r>
      <w:r>
        <w:rPr>
          <w:rFonts w:hint="eastAsia" w:ascii="宋体" w:hAnsi="宋体" w:cs="Arial"/>
          <w:color w:val="auto"/>
          <w:kern w:val="0"/>
          <w:sz w:val="24"/>
          <w:highlight w:val="none"/>
        </w:rPr>
        <w:t>章节 “投标文件组成”规定的内容及顺序在“政采云电子交易客户端”编制投标文件。其中《资格证明文件》和《商务技术文件》中不得出现本项目投标报价，如因投标人原因提前泄露投标报价，是投标人的责任。</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bCs/>
          <w:color w:val="auto"/>
          <w:sz w:val="24"/>
          <w:highlight w:val="none"/>
        </w:rPr>
        <w:t>（3）本文件《第五部分  应提交的有关格式范例》中有</w:t>
      </w:r>
      <w:r>
        <w:rPr>
          <w:rFonts w:ascii="宋体" w:hAnsi="宋体"/>
          <w:bCs/>
          <w:color w:val="auto"/>
          <w:sz w:val="24"/>
          <w:highlight w:val="none"/>
        </w:rPr>
        <w:t>提供格式的，投标</w:t>
      </w:r>
      <w:r>
        <w:rPr>
          <w:rFonts w:hint="eastAsia" w:ascii="宋体" w:hAnsi="宋体"/>
          <w:bCs/>
          <w:color w:val="auto"/>
          <w:sz w:val="24"/>
          <w:highlight w:val="none"/>
        </w:rPr>
        <w:t>供应商须参</w:t>
      </w:r>
      <w:r>
        <w:rPr>
          <w:rFonts w:ascii="宋体" w:hAnsi="宋体"/>
          <w:bCs/>
          <w:color w:val="auto"/>
          <w:sz w:val="24"/>
          <w:highlight w:val="none"/>
        </w:rPr>
        <w:t>照格式</w:t>
      </w:r>
      <w:r>
        <w:rPr>
          <w:rFonts w:hint="eastAsia" w:ascii="宋体" w:hAnsi="宋体"/>
          <w:bCs/>
          <w:color w:val="auto"/>
          <w:sz w:val="24"/>
          <w:highlight w:val="none"/>
        </w:rPr>
        <w:t>进行编制（格式中要求提供相关证明材料的还需后附相关证明材料），并按格式要求在指定位置根据要求进行电子签章，否则视为未提供；本文件《第五部分  应提交的有关格式范例》</w:t>
      </w:r>
      <w:r>
        <w:rPr>
          <w:rFonts w:ascii="宋体" w:hAnsi="宋体"/>
          <w:bCs/>
          <w:color w:val="auto"/>
          <w:sz w:val="24"/>
          <w:highlight w:val="none"/>
        </w:rPr>
        <w:t>未提供格式的，请各投标单位自行拟定格式</w:t>
      </w:r>
      <w:r>
        <w:rPr>
          <w:rFonts w:hint="eastAsia" w:ascii="宋体" w:hAnsi="宋体"/>
          <w:color w:val="auto"/>
          <w:sz w:val="24"/>
          <w:highlight w:val="none"/>
        </w:rPr>
        <w:t>。</w:t>
      </w:r>
    </w:p>
    <w:p>
      <w:pPr>
        <w:autoSpaceDE w:val="0"/>
        <w:autoSpaceDN w:val="0"/>
        <w:adjustRightInd w:val="0"/>
        <w:spacing w:line="360" w:lineRule="auto"/>
        <w:ind w:firstLine="480" w:firstLineChars="200"/>
        <w:rPr>
          <w:rFonts w:ascii="宋体" w:hAnsi="宋体"/>
          <w:color w:val="auto"/>
          <w:kern w:val="0"/>
          <w:sz w:val="24"/>
          <w:highlight w:val="none"/>
          <w:lang w:val="zh-CN"/>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）供应商应对所提供的全部资料的真实性承担法律责任。</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kern w:val="0"/>
          <w:sz w:val="24"/>
          <w:highlight w:val="none"/>
          <w:lang w:val="zh-CN"/>
        </w:rPr>
        <w:t>（</w:t>
      </w:r>
      <w:r>
        <w:rPr>
          <w:rFonts w:ascii="宋体" w:hAnsi="宋体"/>
          <w:color w:val="auto"/>
          <w:kern w:val="0"/>
          <w:sz w:val="24"/>
          <w:highlight w:val="none"/>
        </w:rPr>
        <w:t>5</w:t>
      </w:r>
      <w:r>
        <w:rPr>
          <w:rFonts w:hint="eastAsia" w:ascii="宋体" w:hAnsi="宋体"/>
          <w:color w:val="auto"/>
          <w:kern w:val="0"/>
          <w:sz w:val="24"/>
          <w:highlight w:val="none"/>
          <w:lang w:val="zh-CN"/>
        </w:rPr>
        <w:t>）</w:t>
      </w:r>
      <w:r>
        <w:rPr>
          <w:rFonts w:hint="eastAsia" w:ascii="宋体" w:hAnsi="宋体"/>
          <w:color w:val="auto"/>
          <w:sz w:val="24"/>
          <w:highlight w:val="none"/>
        </w:rPr>
        <w:t>投标文件</w:t>
      </w:r>
      <w:r>
        <w:rPr>
          <w:rFonts w:ascii="宋体" w:hAnsi="宋体"/>
          <w:color w:val="auto"/>
          <w:sz w:val="24"/>
          <w:highlight w:val="none"/>
        </w:rPr>
        <w:t>以及</w:t>
      </w:r>
      <w:r>
        <w:rPr>
          <w:rFonts w:hint="eastAsia" w:ascii="宋体" w:hAnsi="宋体"/>
          <w:color w:val="auto"/>
          <w:sz w:val="24"/>
          <w:highlight w:val="none"/>
        </w:rPr>
        <w:t>投标供应商</w:t>
      </w:r>
      <w:r>
        <w:rPr>
          <w:rFonts w:ascii="宋体" w:hAnsi="宋体"/>
          <w:color w:val="auto"/>
          <w:sz w:val="24"/>
          <w:highlight w:val="none"/>
        </w:rPr>
        <w:t>与</w:t>
      </w:r>
      <w:r>
        <w:rPr>
          <w:rFonts w:hint="eastAsia" w:ascii="宋体" w:hAnsi="宋体"/>
          <w:color w:val="auto"/>
          <w:sz w:val="24"/>
          <w:highlight w:val="none"/>
        </w:rPr>
        <w:t>采购组织机构</w:t>
      </w:r>
      <w:r>
        <w:rPr>
          <w:rFonts w:ascii="宋体" w:hAnsi="宋体"/>
          <w:color w:val="auto"/>
          <w:sz w:val="24"/>
          <w:highlight w:val="none"/>
        </w:rPr>
        <w:t>就有关</w:t>
      </w:r>
      <w:r>
        <w:rPr>
          <w:rFonts w:hint="eastAsia" w:ascii="宋体" w:hAnsi="宋体"/>
          <w:color w:val="auto"/>
          <w:sz w:val="24"/>
          <w:highlight w:val="none"/>
        </w:rPr>
        <w:t>招投标</w:t>
      </w:r>
      <w:r>
        <w:rPr>
          <w:rFonts w:ascii="宋体" w:hAnsi="宋体"/>
          <w:color w:val="auto"/>
          <w:sz w:val="24"/>
          <w:highlight w:val="none"/>
        </w:rPr>
        <w:t>事宜的所有来往函电，均应以中文汉语书写。除</w:t>
      </w:r>
      <w:r>
        <w:rPr>
          <w:rFonts w:hint="eastAsia" w:ascii="宋体" w:hAnsi="宋体"/>
          <w:color w:val="auto"/>
          <w:sz w:val="24"/>
          <w:highlight w:val="none"/>
        </w:rPr>
        <w:t>签字</w:t>
      </w:r>
      <w:r>
        <w:rPr>
          <w:rFonts w:ascii="宋体" w:hAnsi="宋体"/>
          <w:color w:val="auto"/>
          <w:sz w:val="24"/>
          <w:highlight w:val="none"/>
        </w:rPr>
        <w:t>、盖章、专用名称等特殊情形外，以中文汉语以外的文字表述的</w:t>
      </w:r>
      <w:r>
        <w:rPr>
          <w:rFonts w:hint="eastAsia" w:ascii="宋体" w:hAnsi="宋体"/>
          <w:color w:val="auto"/>
          <w:sz w:val="24"/>
          <w:highlight w:val="none"/>
        </w:rPr>
        <w:t>投标文件</w:t>
      </w:r>
      <w:r>
        <w:rPr>
          <w:rFonts w:ascii="宋体" w:hAnsi="宋体"/>
          <w:color w:val="auto"/>
          <w:sz w:val="24"/>
          <w:highlight w:val="none"/>
        </w:rPr>
        <w:t>视同未提供。</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）投标</w:t>
      </w:r>
      <w:r>
        <w:rPr>
          <w:rFonts w:ascii="宋体" w:hAnsi="宋体"/>
          <w:color w:val="auto"/>
          <w:sz w:val="24"/>
          <w:highlight w:val="none"/>
        </w:rPr>
        <w:t>计量单位，</w:t>
      </w:r>
      <w:r>
        <w:rPr>
          <w:rFonts w:hint="eastAsia" w:ascii="宋体" w:hAnsi="宋体"/>
          <w:bCs/>
          <w:color w:val="auto"/>
          <w:sz w:val="24"/>
          <w:highlight w:val="none"/>
        </w:rPr>
        <w:t>采购文件</w:t>
      </w:r>
      <w:r>
        <w:rPr>
          <w:rFonts w:ascii="宋体" w:hAnsi="宋体"/>
          <w:color w:val="auto"/>
          <w:sz w:val="24"/>
          <w:highlight w:val="none"/>
        </w:rPr>
        <w:t>已有明确规定的，使用</w:t>
      </w:r>
      <w:r>
        <w:rPr>
          <w:rFonts w:hint="eastAsia" w:ascii="宋体" w:hAnsi="宋体"/>
          <w:bCs/>
          <w:color w:val="auto"/>
          <w:sz w:val="24"/>
          <w:highlight w:val="none"/>
        </w:rPr>
        <w:t>采购文件</w:t>
      </w:r>
      <w:r>
        <w:rPr>
          <w:rFonts w:ascii="宋体" w:hAnsi="宋体"/>
          <w:color w:val="auto"/>
          <w:sz w:val="24"/>
          <w:highlight w:val="none"/>
        </w:rPr>
        <w:t>规定的计量单位；</w:t>
      </w:r>
      <w:r>
        <w:rPr>
          <w:rFonts w:hint="eastAsia" w:ascii="宋体" w:hAnsi="宋体"/>
          <w:bCs/>
          <w:color w:val="auto"/>
          <w:sz w:val="24"/>
          <w:highlight w:val="none"/>
        </w:rPr>
        <w:t>采购文件</w:t>
      </w:r>
      <w:r>
        <w:rPr>
          <w:rFonts w:ascii="宋体" w:hAnsi="宋体"/>
          <w:color w:val="auto"/>
          <w:sz w:val="24"/>
          <w:highlight w:val="none"/>
        </w:rPr>
        <w:t>没有规定的，应采用中华人民共和国法定计量单位（货币单位：人民币元），否则视同未响应。</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w:t>
      </w:r>
      <w:r>
        <w:rPr>
          <w:rFonts w:ascii="宋体" w:hAnsi="宋体"/>
          <w:color w:val="auto"/>
          <w:sz w:val="24"/>
          <w:highlight w:val="none"/>
        </w:rPr>
        <w:t>若</w:t>
      </w:r>
      <w:r>
        <w:rPr>
          <w:rFonts w:hint="eastAsia" w:ascii="宋体" w:hAnsi="宋体"/>
          <w:color w:val="auto"/>
          <w:sz w:val="24"/>
          <w:highlight w:val="none"/>
        </w:rPr>
        <w:t>投标供应商</w:t>
      </w:r>
      <w:r>
        <w:rPr>
          <w:rFonts w:ascii="宋体" w:hAnsi="宋体"/>
          <w:color w:val="auto"/>
          <w:sz w:val="24"/>
          <w:highlight w:val="none"/>
        </w:rPr>
        <w:t>不按采购文件的要求提供资格审查材料，其风险由</w:t>
      </w:r>
      <w:r>
        <w:rPr>
          <w:rFonts w:hint="eastAsia" w:ascii="宋体" w:hAnsi="宋体"/>
          <w:color w:val="auto"/>
          <w:sz w:val="24"/>
          <w:highlight w:val="none"/>
        </w:rPr>
        <w:t>投标供应商</w:t>
      </w:r>
      <w:r>
        <w:rPr>
          <w:rFonts w:ascii="宋体" w:hAnsi="宋体"/>
          <w:color w:val="auto"/>
          <w:sz w:val="24"/>
          <w:highlight w:val="none"/>
        </w:rPr>
        <w:t>自行承担。</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color w:val="auto"/>
          <w:kern w:val="0"/>
          <w:sz w:val="24"/>
          <w:highlight w:val="none"/>
        </w:rPr>
        <w:t>（</w:t>
      </w:r>
      <w:r>
        <w:rPr>
          <w:rFonts w:ascii="宋体" w:hAnsi="宋体"/>
          <w:color w:val="auto"/>
          <w:kern w:val="0"/>
          <w:sz w:val="24"/>
          <w:highlight w:val="none"/>
        </w:rPr>
        <w:t>8</w:t>
      </w:r>
      <w:r>
        <w:rPr>
          <w:rFonts w:hint="eastAsia" w:ascii="宋体" w:hAnsi="宋体"/>
          <w:color w:val="auto"/>
          <w:kern w:val="0"/>
          <w:sz w:val="24"/>
          <w:highlight w:val="none"/>
        </w:rPr>
        <w:t>）</w:t>
      </w:r>
      <w:r>
        <w:rPr>
          <w:rFonts w:hint="eastAsia" w:ascii="宋体" w:hAnsi="宋体"/>
          <w:color w:val="auto"/>
          <w:sz w:val="24"/>
          <w:highlight w:val="none"/>
        </w:rPr>
        <w:t>与本次投标无关的内容请不要制作在内，确保投标文件有针对性、简洁明了。</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b/>
          <w:bCs/>
          <w:color w:val="auto"/>
          <w:sz w:val="24"/>
          <w:highlight w:val="none"/>
        </w:rPr>
        <w:t>2、投标文件的签章</w:t>
      </w:r>
    </w:p>
    <w:p>
      <w:pPr>
        <w:spacing w:line="360" w:lineRule="auto"/>
        <w:ind w:firstLine="460" w:firstLineChars="192"/>
        <w:rPr>
          <w:rFonts w:ascii="宋体" w:hAnsi="宋体" w:cs="Arial"/>
          <w:bCs/>
          <w:color w:val="auto"/>
          <w:kern w:val="0"/>
          <w:sz w:val="24"/>
          <w:highlight w:val="none"/>
        </w:rPr>
      </w:pPr>
      <w:r>
        <w:rPr>
          <w:rFonts w:hint="eastAsia" w:ascii="宋体" w:hAnsi="宋体" w:cs="Arial"/>
          <w:bCs/>
          <w:color w:val="auto"/>
          <w:kern w:val="0"/>
          <w:sz w:val="24"/>
          <w:highlight w:val="none"/>
        </w:rPr>
        <w:t>（1）《</w:t>
      </w:r>
      <w:r>
        <w:rPr>
          <w:rFonts w:ascii="宋体" w:hAnsi="宋体" w:cs="Arial"/>
          <w:bCs/>
          <w:color w:val="auto"/>
          <w:kern w:val="0"/>
          <w:sz w:val="24"/>
          <w:highlight w:val="none"/>
        </w:rPr>
        <w:t>投标文件</w:t>
      </w:r>
      <w:r>
        <w:rPr>
          <w:rFonts w:hint="eastAsia" w:ascii="宋体" w:hAnsi="宋体" w:cs="Arial"/>
          <w:bCs/>
          <w:color w:val="auto"/>
          <w:kern w:val="0"/>
          <w:sz w:val="24"/>
          <w:highlight w:val="none"/>
        </w:rPr>
        <w:t>》的签章：</w:t>
      </w:r>
      <w:r>
        <w:rPr>
          <w:rFonts w:hint="eastAsia" w:ascii="宋体" w:hAnsi="宋体"/>
          <w:bCs/>
          <w:color w:val="auto"/>
          <w:sz w:val="24"/>
          <w:highlight w:val="none"/>
        </w:rPr>
        <w:t>见《前附表》；</w:t>
      </w:r>
    </w:p>
    <w:p>
      <w:pPr>
        <w:spacing w:line="360" w:lineRule="auto"/>
        <w:ind w:firstLine="460" w:firstLineChars="192"/>
        <w:rPr>
          <w:rFonts w:ascii="宋体" w:hAnsi="宋体" w:cs="Arial"/>
          <w:bCs/>
          <w:color w:val="auto"/>
          <w:kern w:val="0"/>
          <w:sz w:val="24"/>
          <w:highlight w:val="none"/>
        </w:rPr>
      </w:pPr>
      <w:r>
        <w:rPr>
          <w:rFonts w:hint="eastAsia" w:ascii="宋体" w:hAnsi="宋体" w:cs="Arial"/>
          <w:bCs/>
          <w:color w:val="auto"/>
          <w:kern w:val="0"/>
          <w:sz w:val="24"/>
          <w:highlight w:val="none"/>
        </w:rPr>
        <w:t>（2） 《</w:t>
      </w:r>
      <w:r>
        <w:rPr>
          <w:rFonts w:ascii="宋体" w:hAnsi="宋体" w:cs="Arial"/>
          <w:bCs/>
          <w:color w:val="auto"/>
          <w:kern w:val="0"/>
          <w:sz w:val="24"/>
          <w:highlight w:val="none"/>
        </w:rPr>
        <w:t>投标文件</w:t>
      </w:r>
      <w:r>
        <w:rPr>
          <w:rFonts w:hint="eastAsia" w:ascii="宋体" w:hAnsi="宋体" w:cs="Arial"/>
          <w:bCs/>
          <w:color w:val="auto"/>
          <w:kern w:val="0"/>
          <w:sz w:val="24"/>
          <w:highlight w:val="none"/>
        </w:rPr>
        <w:t>》应由投标供应商法定代表人或其授权代表签字（或签章），并时加盖投标供应商公章。</w:t>
      </w:r>
    </w:p>
    <w:p>
      <w:pPr>
        <w:autoSpaceDE w:val="0"/>
        <w:autoSpaceDN w:val="0"/>
        <w:adjustRightInd w:val="0"/>
        <w:spacing w:line="360" w:lineRule="auto"/>
        <w:ind w:firstLine="480"/>
        <w:rPr>
          <w:rFonts w:ascii="宋体" w:hAnsi="宋体"/>
          <w:color w:val="auto"/>
          <w:kern w:val="0"/>
          <w:sz w:val="24"/>
          <w:highlight w:val="none"/>
          <w:lang w:val="zh-CN"/>
        </w:rPr>
      </w:pPr>
      <w:r>
        <w:rPr>
          <w:rFonts w:hint="eastAsia" w:ascii="宋体" w:hAnsi="宋体" w:cs="Arial"/>
          <w:bCs/>
          <w:color w:val="auto"/>
          <w:kern w:val="0"/>
          <w:sz w:val="24"/>
          <w:highlight w:val="none"/>
        </w:rPr>
        <w:t>（</w:t>
      </w:r>
      <w:r>
        <w:rPr>
          <w:rFonts w:ascii="宋体" w:hAnsi="宋体" w:cs="Arial"/>
          <w:bCs/>
          <w:color w:val="auto"/>
          <w:kern w:val="0"/>
          <w:sz w:val="24"/>
          <w:highlight w:val="none"/>
        </w:rPr>
        <w:t>3</w:t>
      </w:r>
      <w:r>
        <w:rPr>
          <w:rFonts w:hint="eastAsia" w:ascii="宋体" w:hAnsi="宋体" w:cs="Arial"/>
          <w:bCs/>
          <w:color w:val="auto"/>
          <w:kern w:val="0"/>
          <w:sz w:val="24"/>
          <w:highlight w:val="none"/>
        </w:rPr>
        <w:t>）电子签章操作指南详见</w:t>
      </w:r>
      <w:r>
        <w:rPr>
          <w:rFonts w:hint="eastAsia" w:ascii="宋体" w:hAnsi="宋体" w:cs="Arial"/>
          <w:bCs/>
          <w:color w:val="auto"/>
          <w:sz w:val="24"/>
          <w:highlight w:val="none"/>
        </w:rPr>
        <w:t>《供应商项目采购-电子招投标操作指南》。</w:t>
      </w:r>
    </w:p>
    <w:p>
      <w:pPr>
        <w:autoSpaceDE w:val="0"/>
        <w:autoSpaceDN w:val="0"/>
        <w:adjustRightInd w:val="0"/>
        <w:spacing w:line="360" w:lineRule="auto"/>
        <w:ind w:firstLine="480"/>
        <w:rPr>
          <w:rFonts w:ascii="宋体" w:hAnsi="宋体"/>
          <w:b/>
          <w:color w:val="auto"/>
          <w:kern w:val="0"/>
          <w:sz w:val="24"/>
          <w:highlight w:val="none"/>
        </w:rPr>
      </w:pPr>
      <w:r>
        <w:rPr>
          <w:rFonts w:hint="eastAsia" w:ascii="宋体" w:hAnsi="宋体"/>
          <w:b/>
          <w:color w:val="auto"/>
          <w:kern w:val="0"/>
          <w:sz w:val="24"/>
          <w:highlight w:val="none"/>
        </w:rPr>
        <w:t>3、投标文件的形式</w:t>
      </w:r>
    </w:p>
    <w:p>
      <w:pPr>
        <w:spacing w:line="360" w:lineRule="auto"/>
        <w:ind w:firstLine="422" w:firstLineChars="176"/>
        <w:rPr>
          <w:rFonts w:ascii="宋体" w:hAnsi="宋体" w:cs="Arial"/>
          <w:bCs/>
          <w:color w:val="auto"/>
          <w:sz w:val="24"/>
          <w:highlight w:val="none"/>
        </w:rPr>
      </w:pPr>
      <w:r>
        <w:rPr>
          <w:rFonts w:hint="eastAsia" w:ascii="宋体" w:hAnsi="宋体" w:cs="Arial"/>
          <w:bCs/>
          <w:color w:val="auto"/>
          <w:sz w:val="24"/>
          <w:highlight w:val="none"/>
        </w:rPr>
        <w:t>（1）投标文件的形式：</w:t>
      </w:r>
      <w:r>
        <w:rPr>
          <w:rFonts w:hint="eastAsia" w:ascii="宋体" w:hAnsi="宋体"/>
          <w:bCs/>
          <w:color w:val="auto"/>
          <w:sz w:val="24"/>
          <w:highlight w:val="none"/>
        </w:rPr>
        <w:t>见《前附表》；</w:t>
      </w:r>
    </w:p>
    <w:p>
      <w:pPr>
        <w:spacing w:line="360" w:lineRule="auto"/>
        <w:ind w:firstLine="422" w:firstLineChars="176"/>
        <w:rPr>
          <w:rFonts w:ascii="宋体" w:hAnsi="宋体" w:cs="Arial"/>
          <w:bCs/>
          <w:color w:val="auto"/>
          <w:sz w:val="24"/>
          <w:highlight w:val="none"/>
        </w:rPr>
      </w:pPr>
      <w:r>
        <w:rPr>
          <w:rFonts w:hint="eastAsia" w:ascii="宋体" w:hAnsi="宋体" w:cs="Arial"/>
          <w:bCs/>
          <w:color w:val="auto"/>
          <w:sz w:val="24"/>
          <w:highlight w:val="none"/>
        </w:rPr>
        <w:t>（2）“电子加密投标文件”：“电子加密投标文件”是指通过“政采云电子交易客户端”完成投标文件编制后生成并加密的数据电文形式的投标文件。</w:t>
      </w:r>
    </w:p>
    <w:p>
      <w:pPr>
        <w:autoSpaceDE w:val="0"/>
        <w:autoSpaceDN w:val="0"/>
        <w:adjustRightInd w:val="0"/>
        <w:spacing w:line="360" w:lineRule="auto"/>
        <w:ind w:firstLine="480"/>
        <w:rPr>
          <w:rFonts w:ascii="宋体" w:hAnsi="宋体" w:cs="Arial"/>
          <w:bCs/>
          <w:color w:val="auto"/>
          <w:sz w:val="24"/>
          <w:highlight w:val="none"/>
        </w:rPr>
      </w:pPr>
      <w:r>
        <w:rPr>
          <w:rFonts w:hint="eastAsia" w:ascii="宋体" w:hAnsi="宋体" w:cs="Arial"/>
          <w:bCs/>
          <w:color w:val="auto"/>
          <w:sz w:val="24"/>
          <w:highlight w:val="none"/>
        </w:rPr>
        <w:t>（3）“备份投标文件”：“备份投标文件”是指与“电子加密投标文件”同时生成的数据电文形式的电子文件（备份标书），其他方式编制的“备份投标文件”视为无效的“备份投标文件”。</w:t>
      </w:r>
    </w:p>
    <w:p>
      <w:pPr>
        <w:autoSpaceDE w:val="0"/>
        <w:autoSpaceDN w:val="0"/>
        <w:adjustRightInd w:val="0"/>
        <w:spacing w:line="360" w:lineRule="auto"/>
        <w:ind w:firstLine="480"/>
        <w:rPr>
          <w:rFonts w:ascii="宋体" w:hAnsi="宋体"/>
          <w:b/>
          <w:color w:val="auto"/>
          <w:kern w:val="0"/>
          <w:sz w:val="24"/>
          <w:highlight w:val="none"/>
        </w:rPr>
      </w:pPr>
      <w:r>
        <w:rPr>
          <w:rFonts w:hint="eastAsia" w:ascii="宋体" w:hAnsi="宋体"/>
          <w:b/>
          <w:color w:val="auto"/>
          <w:kern w:val="0"/>
          <w:sz w:val="24"/>
          <w:highlight w:val="none"/>
        </w:rPr>
        <w:t>4、投标文件的份数</w:t>
      </w:r>
    </w:p>
    <w:p>
      <w:pPr>
        <w:autoSpaceDE w:val="0"/>
        <w:autoSpaceDN w:val="0"/>
        <w:adjustRightInd w:val="0"/>
        <w:spacing w:line="360" w:lineRule="auto"/>
        <w:ind w:firstLine="480"/>
        <w:rPr>
          <w:rFonts w:ascii="宋体" w:hAnsi="宋体"/>
          <w:bCs/>
          <w:color w:val="auto"/>
          <w:kern w:val="0"/>
          <w:sz w:val="24"/>
          <w:highlight w:val="none"/>
        </w:rPr>
      </w:pPr>
      <w:r>
        <w:rPr>
          <w:rFonts w:hint="eastAsia" w:ascii="宋体" w:hAnsi="宋体"/>
          <w:bCs/>
          <w:color w:val="auto"/>
          <w:kern w:val="0"/>
          <w:sz w:val="24"/>
          <w:highlight w:val="none"/>
        </w:rPr>
        <w:t>（1）投标文件的份数：见《前附表》。</w:t>
      </w:r>
    </w:p>
    <w:p>
      <w:pPr>
        <w:tabs>
          <w:tab w:val="left" w:pos="1898"/>
        </w:tabs>
        <w:autoSpaceDE w:val="0"/>
        <w:autoSpaceDN w:val="0"/>
        <w:adjustRightInd w:val="0"/>
        <w:spacing w:line="360" w:lineRule="auto"/>
        <w:ind w:firstLine="482" w:firstLineChars="200"/>
        <w:rPr>
          <w:rFonts w:ascii="宋体" w:hAnsi="宋体"/>
          <w:b/>
          <w:color w:val="auto"/>
          <w:kern w:val="0"/>
          <w:sz w:val="24"/>
          <w:highlight w:val="none"/>
        </w:rPr>
      </w:pPr>
      <w:r>
        <w:rPr>
          <w:rFonts w:ascii="宋体" w:hAnsi="宋体"/>
          <w:b/>
          <w:color w:val="auto"/>
          <w:kern w:val="0"/>
          <w:sz w:val="24"/>
          <w:highlight w:val="none"/>
        </w:rPr>
        <w:t>5</w:t>
      </w:r>
      <w:r>
        <w:rPr>
          <w:rFonts w:hint="eastAsia" w:ascii="宋体" w:hAnsi="宋体"/>
          <w:b/>
          <w:color w:val="auto"/>
          <w:kern w:val="0"/>
          <w:sz w:val="24"/>
          <w:highlight w:val="none"/>
        </w:rPr>
        <w:t>、投标文件的补充、修改和撤回。</w:t>
      </w:r>
    </w:p>
    <w:p>
      <w:pPr>
        <w:tabs>
          <w:tab w:val="left" w:pos="960"/>
          <w:tab w:val="left" w:pos="1418"/>
        </w:tabs>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宋体" w:hAnsi="宋体"/>
          <w:color w:val="auto"/>
          <w:kern w:val="0"/>
          <w:sz w:val="24"/>
          <w:highlight w:val="none"/>
        </w:rPr>
        <w:t>投标截止时间后，投标供应商不得撤回、修改《投标文件》。</w:t>
      </w:r>
    </w:p>
    <w:p>
      <w:pPr>
        <w:tabs>
          <w:tab w:val="left" w:pos="1898"/>
        </w:tabs>
        <w:autoSpaceDE w:val="0"/>
        <w:autoSpaceDN w:val="0"/>
        <w:adjustRightInd w:val="0"/>
        <w:spacing w:line="360" w:lineRule="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（三）投标文件的有效期</w:t>
      </w:r>
    </w:p>
    <w:p>
      <w:pPr>
        <w:pStyle w:val="12"/>
        <w:tabs>
          <w:tab w:val="left" w:pos="454"/>
          <w:tab w:val="left" w:pos="720"/>
          <w:tab w:val="left" w:pos="1200"/>
        </w:tabs>
        <w:snapToGrid w:val="0"/>
        <w:spacing w:line="360" w:lineRule="auto"/>
        <w:ind w:left="0" w:firstLine="480" w:firstLineChars="200"/>
        <w:rPr>
          <w:rFonts w:ascii="仿宋_GB2312" w:hAnsi="仿宋_GB2312" w:eastAsia="仿宋_GB2312" w:cs="仿宋_GB2312"/>
          <w:color w:val="auto"/>
          <w:sz w:val="24"/>
          <w:highlight w:val="none"/>
          <w:lang w:val="en-GB"/>
        </w:rPr>
      </w:pPr>
      <w:r>
        <w:rPr>
          <w:rFonts w:hint="eastAsia" w:ascii="宋体" w:hAnsi="宋体"/>
          <w:color w:val="auto"/>
          <w:sz w:val="24"/>
          <w:highlight w:val="none"/>
          <w:lang w:val="en-GB"/>
        </w:rPr>
        <w:t>自投标截止日起90天投标文件应保持有效。有效期不足的投标文件将被拒绝。</w:t>
      </w:r>
    </w:p>
    <w:p>
      <w:pPr>
        <w:pStyle w:val="12"/>
        <w:tabs>
          <w:tab w:val="left" w:pos="454"/>
          <w:tab w:val="left" w:pos="720"/>
          <w:tab w:val="left" w:pos="1200"/>
        </w:tabs>
        <w:snapToGrid w:val="0"/>
        <w:spacing w:line="360" w:lineRule="auto"/>
        <w:ind w:left="0" w:firstLine="480" w:firstLineChars="200"/>
        <w:rPr>
          <w:rFonts w:ascii="宋体" w:hAnsi="宋体"/>
          <w:color w:val="auto"/>
          <w:sz w:val="24"/>
          <w:highlight w:val="none"/>
          <w:lang w:val="en-GB"/>
        </w:rPr>
      </w:pPr>
      <w:r>
        <w:rPr>
          <w:rFonts w:hint="eastAsia" w:ascii="宋体" w:hAnsi="宋体"/>
          <w:color w:val="auto"/>
          <w:sz w:val="24"/>
          <w:highlight w:val="none"/>
          <w:lang w:val="en-GB"/>
        </w:rPr>
        <w:t>在特殊情况下，采购人可与投标人协商延长投标文件的有效期，这种要求和答复均以书面形式进行。</w:t>
      </w:r>
    </w:p>
    <w:p>
      <w:pPr>
        <w:pStyle w:val="12"/>
        <w:numPr>
          <w:ilvl w:val="0"/>
          <w:numId w:val="0"/>
        </w:numPr>
        <w:tabs>
          <w:tab w:val="left" w:pos="0"/>
          <w:tab w:val="left" w:pos="720"/>
          <w:tab w:val="left" w:pos="1200"/>
          <w:tab w:val="clear" w:pos="360"/>
        </w:tabs>
        <w:snapToGrid w:val="0"/>
        <w:spacing w:line="360" w:lineRule="auto"/>
        <w:ind w:firstLine="420" w:firstLineChars="175"/>
        <w:rPr>
          <w:rFonts w:asciiTheme="minorEastAsia" w:hAnsiTheme="minorEastAsia" w:eastAsiaTheme="minorEastAsia"/>
          <w:color w:val="auto"/>
          <w:sz w:val="24"/>
          <w:highlight w:val="none"/>
        </w:rPr>
      </w:pPr>
      <w:r>
        <w:rPr>
          <w:rFonts w:hint="eastAsia" w:ascii="宋体" w:hAnsi="宋体"/>
          <w:color w:val="auto"/>
          <w:sz w:val="24"/>
          <w:highlight w:val="none"/>
        </w:rPr>
        <w:t>3.</w:t>
      </w:r>
      <w:r>
        <w:rPr>
          <w:rFonts w:asciiTheme="minorEastAsia" w:hAnsiTheme="minorEastAsia" w:eastAsiaTheme="minorEastAsia"/>
          <w:color w:val="auto"/>
          <w:sz w:val="24"/>
          <w:highlight w:val="none"/>
        </w:rPr>
        <w:t>中标人的投标文件自开标之日起至合同履行完毕均应保持有效。</w:t>
      </w:r>
    </w:p>
    <w:p>
      <w:pPr>
        <w:snapToGrid w:val="0"/>
        <w:spacing w:line="360" w:lineRule="auto"/>
        <w:jc w:val="left"/>
        <w:outlineLvl w:val="0"/>
        <w:rPr>
          <w:rFonts w:ascii="宋体" w:hAnsi="宋体"/>
          <w:b/>
          <w:color w:val="auto"/>
          <w:kern w:val="0"/>
          <w:sz w:val="24"/>
          <w:highlight w:val="none"/>
        </w:rPr>
      </w:pPr>
      <w:r>
        <w:rPr>
          <w:rFonts w:hint="eastAsia" w:ascii="宋体" w:hAnsi="宋体"/>
          <w:b/>
          <w:color w:val="auto"/>
          <w:kern w:val="0"/>
          <w:sz w:val="24"/>
          <w:highlight w:val="none"/>
        </w:rPr>
        <w:t>（四）投标文件的备选方案</w:t>
      </w:r>
    </w:p>
    <w:p>
      <w:pPr>
        <w:tabs>
          <w:tab w:val="left" w:pos="1418"/>
        </w:tabs>
        <w:autoSpaceDE w:val="0"/>
        <w:autoSpaceDN w:val="0"/>
        <w:adjustRightInd w:val="0"/>
        <w:spacing w:line="360" w:lineRule="auto"/>
        <w:ind w:firstLine="480" w:firstLineChars="200"/>
        <w:rPr>
          <w:rFonts w:ascii="宋体" w:hAnsi="宋体"/>
          <w:b/>
          <w:bCs/>
          <w:color w:val="auto"/>
          <w:kern w:val="0"/>
          <w:sz w:val="24"/>
          <w:highlight w:val="none"/>
        </w:rPr>
      </w:pPr>
      <w:r>
        <w:rPr>
          <w:rFonts w:hint="eastAsia" w:ascii="宋体" w:hAnsi="宋体"/>
          <w:color w:val="auto"/>
          <w:kern w:val="0"/>
          <w:sz w:val="24"/>
          <w:highlight w:val="none"/>
        </w:rPr>
        <w:t>1、投标供应商不得递交任何的投标备选（替代）方案，否则其投标文件将作无效标处理。</w:t>
      </w:r>
      <w:r>
        <w:rPr>
          <w:rFonts w:hint="eastAsia" w:ascii="宋体" w:hAnsi="宋体"/>
          <w:b/>
          <w:bCs/>
          <w:color w:val="auto"/>
          <w:kern w:val="0"/>
          <w:sz w:val="24"/>
          <w:highlight w:val="none"/>
        </w:rPr>
        <w:t>与“电子加密投标文件”同时生成的“备份投标文件”不是投标备选（替代）方案。</w:t>
      </w:r>
    </w:p>
    <w:p>
      <w:pPr>
        <w:tabs>
          <w:tab w:val="left" w:pos="1418"/>
        </w:tabs>
        <w:autoSpaceDE w:val="0"/>
        <w:autoSpaceDN w:val="0"/>
        <w:adjustRightInd w:val="0"/>
        <w:spacing w:line="360" w:lineRule="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四、投标保证金</w:t>
      </w:r>
    </w:p>
    <w:p>
      <w:pPr>
        <w:tabs>
          <w:tab w:val="left" w:pos="1418"/>
        </w:tabs>
        <w:autoSpaceDE w:val="0"/>
        <w:autoSpaceDN w:val="0"/>
        <w:adjustRightInd w:val="0"/>
        <w:spacing w:line="360" w:lineRule="auto"/>
        <w:rPr>
          <w:rFonts w:ascii="宋体" w:hAnsi="宋体"/>
          <w:bCs/>
          <w:color w:val="auto"/>
          <w:sz w:val="24"/>
          <w:highlight w:val="none"/>
        </w:rPr>
      </w:pPr>
      <w:r>
        <w:rPr>
          <w:rFonts w:hint="eastAsia" w:asciiTheme="minorEastAsia" w:hAnsiTheme="minorEastAsia" w:eastAsiaTheme="minorEastAsia"/>
          <w:color w:val="auto"/>
          <w:kern w:val="0"/>
          <w:sz w:val="24"/>
          <w:highlight w:val="none"/>
        </w:rPr>
        <w:t>无</w:t>
      </w:r>
    </w:p>
    <w:p>
      <w:pPr>
        <w:snapToGrid w:val="0"/>
        <w:spacing w:line="360" w:lineRule="auto"/>
        <w:jc w:val="left"/>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五、开标</w:t>
      </w:r>
    </w:p>
    <w:p>
      <w:pPr>
        <w:pStyle w:val="5"/>
        <w:spacing w:before="0" w:after="0" w:line="360" w:lineRule="auto"/>
        <w:ind w:left="720" w:hanging="720"/>
        <w:rPr>
          <w:rFonts w:ascii="宋体" w:hAnsi="宋体"/>
          <w:color w:val="auto"/>
          <w:sz w:val="24"/>
          <w:szCs w:val="24"/>
          <w:highlight w:val="none"/>
        </w:rPr>
      </w:pPr>
      <w:r>
        <w:rPr>
          <w:rFonts w:hint="eastAsia" w:ascii="宋体" w:hAnsi="宋体" w:cs="宋体"/>
          <w:color w:val="auto"/>
          <w:sz w:val="24"/>
          <w:szCs w:val="24"/>
          <w:highlight w:val="none"/>
        </w:rPr>
        <w:t>（一）</w:t>
      </w:r>
      <w:r>
        <w:rPr>
          <w:rFonts w:hint="eastAsia" w:ascii="宋体" w:hAnsi="宋体"/>
          <w:color w:val="auto"/>
          <w:sz w:val="24"/>
          <w:szCs w:val="24"/>
          <w:highlight w:val="none"/>
        </w:rPr>
        <w:t>开标</w:t>
      </w:r>
      <w:r>
        <w:rPr>
          <w:rFonts w:hint="eastAsia" w:ascii="宋体" w:hAnsi="宋体" w:cs="宋体"/>
          <w:color w:val="auto"/>
          <w:sz w:val="24"/>
          <w:szCs w:val="24"/>
          <w:highlight w:val="none"/>
        </w:rPr>
        <w:t>形式</w:t>
      </w:r>
    </w:p>
    <w:p>
      <w:pPr>
        <w:spacing w:line="360" w:lineRule="auto"/>
        <w:ind w:firstLine="426" w:firstLineChars="177"/>
        <w:rPr>
          <w:rFonts w:ascii="宋体" w:hAnsi="宋体"/>
          <w:b/>
          <w:color w:val="auto"/>
          <w:sz w:val="24"/>
          <w:highlight w:val="none"/>
        </w:rPr>
      </w:pPr>
      <w:r>
        <w:rPr>
          <w:rFonts w:hint="eastAsia" w:ascii="宋体" w:hAnsi="宋体"/>
          <w:b/>
          <w:color w:val="auto"/>
          <w:sz w:val="24"/>
          <w:highlight w:val="none"/>
        </w:rPr>
        <w:t>1.1 采购组织机构将按照招标文件规定的时间通过“政府采购云平台”组织开标、开启投标文件，所有供应商均应当准时在线参加。</w:t>
      </w:r>
    </w:p>
    <w:p>
      <w:pPr>
        <w:pStyle w:val="5"/>
        <w:spacing w:before="0" w:after="0" w:line="360" w:lineRule="auto"/>
        <w:ind w:left="720" w:hanging="720"/>
        <w:rPr>
          <w:rFonts w:ascii="宋体" w:hAnsi="宋体"/>
          <w:color w:val="auto"/>
          <w:sz w:val="24"/>
          <w:szCs w:val="24"/>
          <w:highlight w:val="none"/>
        </w:rPr>
      </w:pPr>
      <w:r>
        <w:rPr>
          <w:rFonts w:hint="eastAsia" w:ascii="宋体" w:hAnsi="宋体" w:cs="宋体"/>
          <w:color w:val="auto"/>
          <w:sz w:val="24"/>
          <w:szCs w:val="24"/>
          <w:highlight w:val="none"/>
        </w:rPr>
        <w:t>（二）</w:t>
      </w:r>
      <w:r>
        <w:rPr>
          <w:rFonts w:ascii="宋体" w:hAnsi="宋体"/>
          <w:color w:val="auto"/>
          <w:sz w:val="24"/>
          <w:szCs w:val="24"/>
          <w:highlight w:val="none"/>
        </w:rPr>
        <w:t>开标</w:t>
      </w:r>
      <w:r>
        <w:rPr>
          <w:rFonts w:hint="eastAsia" w:ascii="宋体" w:hAnsi="宋体"/>
          <w:color w:val="auto"/>
          <w:sz w:val="24"/>
          <w:szCs w:val="24"/>
          <w:highlight w:val="none"/>
        </w:rPr>
        <w:t>说明</w:t>
      </w:r>
    </w:p>
    <w:p>
      <w:pPr>
        <w:spacing w:line="360" w:lineRule="auto"/>
        <w:ind w:firstLine="422" w:firstLineChars="176"/>
        <w:rPr>
          <w:rFonts w:ascii="宋体" w:hAnsi="宋体" w:cs="Arial"/>
          <w:color w:val="auto"/>
          <w:kern w:val="0"/>
          <w:sz w:val="24"/>
          <w:highlight w:val="none"/>
        </w:rPr>
      </w:pPr>
      <w:r>
        <w:rPr>
          <w:rFonts w:ascii="宋体" w:hAnsi="宋体" w:cs="Arial"/>
          <w:color w:val="auto"/>
          <w:kern w:val="0"/>
          <w:sz w:val="24"/>
          <w:highlight w:val="none"/>
        </w:rPr>
        <w:t>2</w:t>
      </w:r>
      <w:r>
        <w:rPr>
          <w:rFonts w:hint="eastAsia" w:ascii="宋体" w:hAnsi="宋体" w:cs="Arial"/>
          <w:color w:val="auto"/>
          <w:kern w:val="0"/>
          <w:sz w:val="24"/>
          <w:highlight w:val="none"/>
        </w:rPr>
        <w:t>.1开标的准备工作由采购组织机构负责落实；</w:t>
      </w:r>
    </w:p>
    <w:p>
      <w:pPr>
        <w:spacing w:line="360" w:lineRule="auto"/>
        <w:ind w:firstLine="422" w:firstLineChars="176"/>
        <w:rPr>
          <w:rFonts w:ascii="宋体" w:hAnsi="宋体" w:cs="Arial"/>
          <w:color w:val="auto"/>
          <w:kern w:val="0"/>
          <w:sz w:val="24"/>
          <w:highlight w:val="none"/>
        </w:rPr>
      </w:pPr>
      <w:r>
        <w:rPr>
          <w:rFonts w:ascii="宋体" w:hAnsi="宋体" w:cs="Arial"/>
          <w:color w:val="auto"/>
          <w:kern w:val="0"/>
          <w:sz w:val="24"/>
          <w:highlight w:val="none"/>
        </w:rPr>
        <w:t>2</w:t>
      </w:r>
      <w:r>
        <w:rPr>
          <w:rFonts w:hint="eastAsia" w:ascii="宋体" w:hAnsi="宋体" w:cs="Arial"/>
          <w:color w:val="auto"/>
          <w:kern w:val="0"/>
          <w:sz w:val="24"/>
          <w:highlight w:val="none"/>
        </w:rPr>
        <w:t>.2</w:t>
      </w:r>
      <w:r>
        <w:rPr>
          <w:rFonts w:hint="eastAsia" w:ascii="宋体" w:hAnsi="宋体"/>
          <w:b/>
          <w:color w:val="auto"/>
          <w:sz w:val="24"/>
          <w:highlight w:val="none"/>
        </w:rPr>
        <w:t>采购组织机构将按照招标文件规定的时间通过“政府采购云平台”组织开标、开启投标文件，所有供应商均应当准时在线参加。</w:t>
      </w:r>
      <w:r>
        <w:rPr>
          <w:rFonts w:hint="eastAsia" w:ascii="宋体" w:hAnsi="宋体" w:cs="Arial"/>
          <w:b/>
          <w:color w:val="auto"/>
          <w:kern w:val="0"/>
          <w:sz w:val="24"/>
          <w:highlight w:val="none"/>
        </w:rPr>
        <w:t>投标供应商</w:t>
      </w:r>
      <w:r>
        <w:rPr>
          <w:rFonts w:ascii="宋体" w:hAnsi="宋体" w:cs="Arial"/>
          <w:b/>
          <w:color w:val="auto"/>
          <w:kern w:val="0"/>
          <w:sz w:val="24"/>
          <w:highlight w:val="none"/>
        </w:rPr>
        <w:t>如不</w:t>
      </w:r>
      <w:r>
        <w:rPr>
          <w:rFonts w:hint="eastAsia" w:ascii="宋体" w:hAnsi="宋体" w:cs="Arial"/>
          <w:b/>
          <w:color w:val="auto"/>
          <w:kern w:val="0"/>
          <w:sz w:val="24"/>
          <w:highlight w:val="none"/>
        </w:rPr>
        <w:t>参加</w:t>
      </w:r>
      <w:r>
        <w:rPr>
          <w:rFonts w:ascii="宋体" w:hAnsi="宋体" w:cs="Arial"/>
          <w:b/>
          <w:color w:val="auto"/>
          <w:kern w:val="0"/>
          <w:sz w:val="24"/>
          <w:highlight w:val="none"/>
        </w:rPr>
        <w:t>开标大会的，</w:t>
      </w:r>
      <w:r>
        <w:rPr>
          <w:rFonts w:hint="eastAsia" w:ascii="宋体" w:hAnsi="宋体" w:cs="Arial"/>
          <w:b/>
          <w:color w:val="auto"/>
          <w:kern w:val="0"/>
          <w:sz w:val="24"/>
          <w:highlight w:val="none"/>
        </w:rPr>
        <w:t>视同认可开标结果，</w:t>
      </w:r>
      <w:r>
        <w:rPr>
          <w:rFonts w:ascii="宋体" w:hAnsi="宋体" w:cs="Arial"/>
          <w:b/>
          <w:color w:val="auto"/>
          <w:kern w:val="0"/>
          <w:sz w:val="24"/>
          <w:highlight w:val="none"/>
        </w:rPr>
        <w:t>事后不得对采购相关人员、开标过程和开标结果提出异议</w:t>
      </w:r>
      <w:r>
        <w:rPr>
          <w:rFonts w:hint="eastAsia" w:ascii="宋体" w:hAnsi="宋体" w:cs="Arial"/>
          <w:b/>
          <w:color w:val="auto"/>
          <w:kern w:val="0"/>
          <w:sz w:val="24"/>
          <w:highlight w:val="none"/>
        </w:rPr>
        <w:t>，同时投标供应商因未在线参加开标而导致投标文件无法按时解密等一切后果由供应商自己承担。</w:t>
      </w:r>
    </w:p>
    <w:p>
      <w:pPr>
        <w:pStyle w:val="5"/>
        <w:spacing w:before="0" w:after="0" w:line="360" w:lineRule="auto"/>
        <w:ind w:left="720" w:hanging="720"/>
        <w:rPr>
          <w:rFonts w:ascii="宋体" w:hAnsi="宋体"/>
          <w:color w:val="auto"/>
          <w:sz w:val="24"/>
          <w:szCs w:val="24"/>
          <w:highlight w:val="none"/>
        </w:rPr>
      </w:pPr>
      <w:r>
        <w:rPr>
          <w:rFonts w:hint="eastAsia" w:ascii="宋体" w:hAnsi="宋体" w:cs="宋体"/>
          <w:color w:val="auto"/>
          <w:sz w:val="24"/>
          <w:szCs w:val="24"/>
          <w:highlight w:val="none"/>
        </w:rPr>
        <w:t>（三）</w:t>
      </w:r>
      <w:r>
        <w:rPr>
          <w:rFonts w:ascii="宋体" w:hAnsi="宋体"/>
          <w:color w:val="auto"/>
          <w:sz w:val="24"/>
          <w:szCs w:val="24"/>
          <w:highlight w:val="none"/>
        </w:rPr>
        <w:t>开标</w:t>
      </w:r>
      <w:r>
        <w:rPr>
          <w:rFonts w:hint="eastAsia" w:ascii="宋体" w:hAnsi="宋体"/>
          <w:color w:val="auto"/>
          <w:sz w:val="24"/>
          <w:szCs w:val="24"/>
          <w:highlight w:val="none"/>
        </w:rPr>
        <w:t>流程（两阶段）</w:t>
      </w:r>
    </w:p>
    <w:p>
      <w:pPr>
        <w:spacing w:line="360" w:lineRule="auto"/>
        <w:ind w:firstLine="426" w:firstLineChars="177"/>
        <w:jc w:val="left"/>
        <w:rPr>
          <w:rFonts w:ascii="宋体" w:hAnsi="宋体" w:cs="Arial"/>
          <w:b/>
          <w:color w:val="auto"/>
          <w:kern w:val="0"/>
          <w:sz w:val="24"/>
          <w:highlight w:val="none"/>
        </w:rPr>
      </w:pPr>
      <w:r>
        <w:rPr>
          <w:rFonts w:hint="eastAsia" w:ascii="宋体" w:hAnsi="宋体" w:cs="Arial"/>
          <w:b/>
          <w:color w:val="auto"/>
          <w:kern w:val="0"/>
          <w:sz w:val="24"/>
          <w:highlight w:val="none"/>
        </w:rPr>
        <w:t>3.1开标第一阶段</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1</w:t>
      </w:r>
      <w:r>
        <w:rPr>
          <w:rFonts w:hint="eastAsia" w:ascii="宋体" w:hAnsi="宋体" w:cs="Arial"/>
          <w:color w:val="auto"/>
          <w:kern w:val="0"/>
          <w:sz w:val="24"/>
          <w:highlight w:val="none"/>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2</w:t>
      </w:r>
      <w:r>
        <w:rPr>
          <w:rFonts w:hint="eastAsia" w:ascii="宋体" w:hAnsi="宋体" w:cs="Arial"/>
          <w:color w:val="auto"/>
          <w:kern w:val="0"/>
          <w:sz w:val="24"/>
          <w:highlight w:val="none"/>
        </w:rPr>
        <w:t>）投标文件解密结束，通过邮件形式发送各投标人组织签署《政府采购活动现场确认声明书》；</w:t>
      </w:r>
    </w:p>
    <w:p>
      <w:pPr>
        <w:spacing w:line="360" w:lineRule="auto"/>
        <w:ind w:firstLine="424" w:firstLineChars="177"/>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3</w:t>
      </w:r>
      <w:r>
        <w:rPr>
          <w:rFonts w:hint="eastAsia" w:ascii="宋体" w:hAnsi="宋体" w:cs="Arial"/>
          <w:color w:val="auto"/>
          <w:kern w:val="0"/>
          <w:sz w:val="24"/>
          <w:highlight w:val="none"/>
        </w:rPr>
        <w:t>）开启投标文件，</w:t>
      </w:r>
      <w:r>
        <w:rPr>
          <w:rFonts w:hint="eastAsia" w:ascii="宋体" w:hAnsi="宋体" w:cs="Arial"/>
          <w:b/>
          <w:color w:val="auto"/>
          <w:kern w:val="0"/>
          <w:sz w:val="24"/>
          <w:highlight w:val="none"/>
        </w:rPr>
        <w:t>依法对投标供应商的资格进行审查</w:t>
      </w:r>
      <w:r>
        <w:rPr>
          <w:rFonts w:hint="eastAsia" w:ascii="宋体" w:hAnsi="宋体" w:cs="Arial"/>
          <w:color w:val="auto"/>
          <w:kern w:val="0"/>
          <w:sz w:val="24"/>
          <w:highlight w:val="none"/>
        </w:rPr>
        <w:t>；</w:t>
      </w:r>
      <w:r>
        <w:rPr>
          <w:rFonts w:ascii="宋体" w:hAnsi="宋体"/>
          <w:color w:val="auto"/>
          <w:sz w:val="24"/>
          <w:highlight w:val="none"/>
        </w:rPr>
        <w:t>如发现投标</w:t>
      </w:r>
      <w:r>
        <w:rPr>
          <w:rFonts w:hint="eastAsia" w:ascii="宋体" w:hAnsi="宋体"/>
          <w:color w:val="auto"/>
          <w:sz w:val="24"/>
          <w:highlight w:val="none"/>
        </w:rPr>
        <w:t>供应商</w:t>
      </w:r>
      <w:r>
        <w:rPr>
          <w:rFonts w:ascii="宋体" w:hAnsi="宋体"/>
          <w:color w:val="auto"/>
          <w:sz w:val="24"/>
          <w:highlight w:val="none"/>
        </w:rPr>
        <w:t>所提</w:t>
      </w:r>
      <w:r>
        <w:rPr>
          <w:rFonts w:hint="eastAsia" w:ascii="宋体" w:hAnsi="宋体"/>
          <w:color w:val="auto"/>
          <w:sz w:val="24"/>
          <w:highlight w:val="none"/>
        </w:rPr>
        <w:t>交</w:t>
      </w:r>
      <w:r>
        <w:rPr>
          <w:rFonts w:ascii="宋体" w:hAnsi="宋体"/>
          <w:color w:val="auto"/>
          <w:sz w:val="24"/>
          <w:highlight w:val="none"/>
        </w:rPr>
        <w:t>的资格证明材料不合法或</w:t>
      </w:r>
      <w:r>
        <w:rPr>
          <w:rFonts w:hint="eastAsia" w:ascii="宋体" w:hAnsi="宋体"/>
          <w:color w:val="auto"/>
          <w:sz w:val="24"/>
          <w:highlight w:val="none"/>
        </w:rPr>
        <w:t>与事实不符</w:t>
      </w:r>
      <w:r>
        <w:rPr>
          <w:rFonts w:ascii="宋体" w:hAnsi="宋体"/>
          <w:color w:val="auto"/>
          <w:sz w:val="24"/>
          <w:highlight w:val="none"/>
        </w:rPr>
        <w:t>，采购人可取消</w:t>
      </w:r>
      <w:r>
        <w:rPr>
          <w:rFonts w:hint="eastAsia" w:ascii="宋体" w:hAnsi="宋体"/>
          <w:color w:val="auto"/>
          <w:sz w:val="24"/>
          <w:highlight w:val="none"/>
        </w:rPr>
        <w:t>其</w:t>
      </w:r>
      <w:r>
        <w:rPr>
          <w:rFonts w:ascii="宋体" w:hAnsi="宋体"/>
          <w:color w:val="auto"/>
          <w:sz w:val="24"/>
          <w:highlight w:val="none"/>
        </w:rPr>
        <w:t>中标资格并追究投标</w:t>
      </w:r>
      <w:r>
        <w:rPr>
          <w:rFonts w:hint="eastAsia" w:ascii="宋体" w:hAnsi="宋体"/>
          <w:color w:val="auto"/>
          <w:sz w:val="24"/>
          <w:highlight w:val="none"/>
        </w:rPr>
        <w:t>供应商</w:t>
      </w:r>
      <w:r>
        <w:rPr>
          <w:rFonts w:ascii="宋体" w:hAnsi="宋体"/>
          <w:color w:val="auto"/>
          <w:sz w:val="24"/>
          <w:highlight w:val="none"/>
        </w:rPr>
        <w:t>的法律责任。</w:t>
      </w:r>
      <w:r>
        <w:rPr>
          <w:rFonts w:hint="eastAsia" w:ascii="宋体" w:hAnsi="宋体"/>
          <w:b/>
          <w:color w:val="auto"/>
          <w:sz w:val="24"/>
          <w:highlight w:val="none"/>
        </w:rPr>
        <w:t>如投标供应商提交的资格证明材料无法证明其符合招标文件规定的“投标供应商资格要求”的，则其</w:t>
      </w:r>
      <w:r>
        <w:rPr>
          <w:rFonts w:hint="eastAsia" w:ascii="宋体" w:hAnsi="宋体" w:cs="Arial"/>
          <w:b/>
          <w:color w:val="auto"/>
          <w:kern w:val="0"/>
          <w:sz w:val="24"/>
          <w:highlight w:val="none"/>
        </w:rPr>
        <w:t>资格审查不通过，按无效投标处理，并不进行后续评审。</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4</w:t>
      </w:r>
      <w:r>
        <w:rPr>
          <w:rFonts w:hint="eastAsia" w:ascii="宋体" w:hAnsi="宋体" w:cs="Arial"/>
          <w:color w:val="auto"/>
          <w:kern w:val="0"/>
          <w:sz w:val="24"/>
          <w:highlight w:val="none"/>
        </w:rPr>
        <w:t>）资格审查通过的投标供应商，由</w:t>
      </w:r>
      <w:r>
        <w:rPr>
          <w:rFonts w:ascii="宋体" w:hAnsi="宋体" w:cs="Arial"/>
          <w:color w:val="auto"/>
          <w:kern w:val="0"/>
          <w:sz w:val="24"/>
          <w:highlight w:val="none"/>
        </w:rPr>
        <w:t>评标委员会对</w:t>
      </w:r>
      <w:r>
        <w:rPr>
          <w:rFonts w:hint="eastAsia" w:ascii="宋体" w:hAnsi="宋体" w:cs="Arial"/>
          <w:color w:val="auto"/>
          <w:kern w:val="0"/>
          <w:sz w:val="24"/>
          <w:highlight w:val="none"/>
        </w:rPr>
        <w:t>其商务技术文件的符合性审查、商务技术评审；</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5</w:t>
      </w:r>
      <w:r>
        <w:rPr>
          <w:rFonts w:hint="eastAsia" w:ascii="宋体" w:hAnsi="宋体" w:cs="Arial"/>
          <w:color w:val="auto"/>
          <w:kern w:val="0"/>
          <w:sz w:val="24"/>
          <w:highlight w:val="none"/>
        </w:rPr>
        <w:t>）第一阶段开标结束。</w:t>
      </w:r>
    </w:p>
    <w:p>
      <w:pPr>
        <w:spacing w:line="360" w:lineRule="auto"/>
        <w:ind w:firstLine="426" w:firstLineChars="177"/>
        <w:jc w:val="left"/>
        <w:rPr>
          <w:rFonts w:ascii="宋体" w:hAnsi="宋体" w:cs="Arial"/>
          <w:b/>
          <w:color w:val="auto"/>
          <w:kern w:val="0"/>
          <w:sz w:val="24"/>
          <w:highlight w:val="none"/>
        </w:rPr>
      </w:pPr>
      <w:r>
        <w:rPr>
          <w:rFonts w:hint="eastAsia" w:ascii="宋体" w:hAnsi="宋体" w:cs="Arial"/>
          <w:b/>
          <w:color w:val="auto"/>
          <w:kern w:val="0"/>
          <w:sz w:val="24"/>
          <w:highlight w:val="none"/>
        </w:rPr>
        <w:t>3.2开标大会第二阶段</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（1）首先公布符合性审查、商务技术评审无效供应商名称及理由</w:t>
      </w:r>
      <w:r>
        <w:rPr>
          <w:rFonts w:ascii="宋体" w:hAnsi="宋体" w:cs="Arial"/>
          <w:color w:val="auto"/>
          <w:kern w:val="0"/>
          <w:sz w:val="24"/>
          <w:highlight w:val="none"/>
        </w:rPr>
        <w:t>；公布经商务技术评审</w:t>
      </w:r>
      <w:r>
        <w:rPr>
          <w:rFonts w:hint="eastAsia" w:ascii="宋体" w:hAnsi="宋体" w:cs="Arial"/>
          <w:color w:val="auto"/>
          <w:kern w:val="0"/>
          <w:sz w:val="24"/>
          <w:highlight w:val="none"/>
        </w:rPr>
        <w:t>后有效投标</w:t>
      </w:r>
      <w:r>
        <w:rPr>
          <w:rFonts w:ascii="宋体" w:hAnsi="宋体" w:cs="Arial"/>
          <w:color w:val="auto"/>
          <w:kern w:val="0"/>
          <w:sz w:val="24"/>
          <w:highlight w:val="none"/>
        </w:rPr>
        <w:t>供应商</w:t>
      </w:r>
      <w:r>
        <w:rPr>
          <w:rFonts w:hint="eastAsia" w:ascii="宋体" w:hAnsi="宋体" w:cs="Arial"/>
          <w:color w:val="auto"/>
          <w:kern w:val="0"/>
          <w:sz w:val="24"/>
          <w:highlight w:val="none"/>
        </w:rPr>
        <w:t>的</w:t>
      </w:r>
      <w:r>
        <w:rPr>
          <w:rFonts w:ascii="宋体" w:hAnsi="宋体" w:cs="Arial"/>
          <w:color w:val="auto"/>
          <w:kern w:val="0"/>
          <w:sz w:val="24"/>
          <w:highlight w:val="none"/>
        </w:rPr>
        <w:t>名单，同时公布</w:t>
      </w:r>
      <w:r>
        <w:rPr>
          <w:rFonts w:hint="eastAsia" w:ascii="宋体" w:hAnsi="宋体" w:cs="Arial"/>
          <w:color w:val="auto"/>
          <w:kern w:val="0"/>
          <w:sz w:val="24"/>
          <w:highlight w:val="none"/>
        </w:rPr>
        <w:t>其</w:t>
      </w:r>
      <w:r>
        <w:rPr>
          <w:rFonts w:ascii="宋体" w:hAnsi="宋体" w:cs="Arial"/>
          <w:color w:val="auto"/>
          <w:kern w:val="0"/>
          <w:sz w:val="24"/>
          <w:highlight w:val="none"/>
        </w:rPr>
        <w:t>商务技术</w:t>
      </w:r>
      <w:r>
        <w:rPr>
          <w:rFonts w:hint="eastAsia" w:ascii="宋体" w:hAnsi="宋体" w:cs="Arial"/>
          <w:color w:val="auto"/>
          <w:kern w:val="0"/>
          <w:sz w:val="24"/>
          <w:highlight w:val="none"/>
        </w:rPr>
        <w:t>部分</w:t>
      </w:r>
      <w:r>
        <w:rPr>
          <w:rFonts w:ascii="宋体" w:hAnsi="宋体" w:cs="Arial"/>
          <w:color w:val="auto"/>
          <w:kern w:val="0"/>
          <w:sz w:val="24"/>
          <w:highlight w:val="none"/>
        </w:rPr>
        <w:t>得分情况</w:t>
      </w:r>
      <w:r>
        <w:rPr>
          <w:rFonts w:hint="eastAsia" w:ascii="宋体" w:hAnsi="宋体" w:cs="Arial"/>
          <w:color w:val="auto"/>
          <w:kern w:val="0"/>
          <w:sz w:val="24"/>
          <w:highlight w:val="none"/>
        </w:rPr>
        <w:t>。</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（2）开启有效投标供应商的《报价文件》，供应商通过</w:t>
      </w:r>
      <w:r>
        <w:rPr>
          <w:rFonts w:ascii="宋体" w:hAnsi="宋体" w:cs="Arial"/>
          <w:color w:val="auto"/>
          <w:kern w:val="0"/>
          <w:sz w:val="24"/>
          <w:highlight w:val="none"/>
        </w:rPr>
        <w:t>政采云平台</w:t>
      </w:r>
      <w:r>
        <w:rPr>
          <w:rFonts w:hint="eastAsia" w:ascii="宋体" w:hAnsi="宋体" w:cs="Arial"/>
          <w:color w:val="auto"/>
          <w:kern w:val="0"/>
          <w:sz w:val="24"/>
          <w:highlight w:val="none"/>
        </w:rPr>
        <w:t>对</w:t>
      </w:r>
      <w:r>
        <w:rPr>
          <w:rFonts w:ascii="宋体" w:hAnsi="宋体" w:cs="Arial"/>
          <w:color w:val="auto"/>
          <w:kern w:val="0"/>
          <w:sz w:val="24"/>
          <w:highlight w:val="none"/>
        </w:rPr>
        <w:t>报价进行签字确认（不予确认的应说明理由，否则视为无异议）。唱标结束后，由评标委员会对报价的合理性、准确性等进行审查核实</w:t>
      </w:r>
      <w:r>
        <w:rPr>
          <w:rFonts w:hint="eastAsia" w:ascii="宋体" w:hAnsi="宋体" w:cs="Arial"/>
          <w:color w:val="auto"/>
          <w:kern w:val="0"/>
          <w:sz w:val="24"/>
          <w:highlight w:val="none"/>
        </w:rPr>
        <w:t>。</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（3）评审结束后，公布中标（成交）候选供应商名单，及采购人最终确定中标或成交供应商名单的时间和公告方式等。</w:t>
      </w:r>
    </w:p>
    <w:p>
      <w:pPr>
        <w:autoSpaceDE w:val="0"/>
        <w:autoSpaceDN w:val="0"/>
        <w:adjustRightInd w:val="0"/>
        <w:spacing w:line="360" w:lineRule="auto"/>
        <w:rPr>
          <w:rFonts w:asciiTheme="minorEastAsia" w:hAnsiTheme="minorEastAsia" w:eastAsiaTheme="minorEastAsia"/>
          <w:color w:val="auto"/>
          <w:sz w:val="24"/>
          <w:highlight w:val="none"/>
        </w:rPr>
      </w:pPr>
      <w:r>
        <w:rPr>
          <w:rFonts w:hint="eastAsia" w:ascii="宋体" w:hAnsi="宋体" w:cs="Arial"/>
          <w:b/>
          <w:color w:val="auto"/>
          <w:kern w:val="0"/>
          <w:sz w:val="24"/>
          <w:highlight w:val="none"/>
        </w:rPr>
        <w:t>特别说明：如遇“政府采购云平台”电子化开标或评审程序调整的，按调整后程序执行。</w:t>
      </w:r>
    </w:p>
    <w:p>
      <w:pPr>
        <w:pStyle w:val="22"/>
        <w:snapToGrid w:val="0"/>
        <w:spacing w:line="360" w:lineRule="auto"/>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六、评标</w:t>
      </w:r>
    </w:p>
    <w:p>
      <w:pPr>
        <w:pStyle w:val="22"/>
        <w:snapToGrid w:val="0"/>
        <w:spacing w:line="360" w:lineRule="auto"/>
        <w:ind w:left="720" w:leftChars="228" w:hanging="241" w:hangingChars="100"/>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（一）组建评标委员会</w:t>
      </w:r>
    </w:p>
    <w:p>
      <w:pPr>
        <w:pStyle w:val="22"/>
        <w:snapToGrid w:val="0"/>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本项目评标委员会由政府采购评审专家</w:t>
      </w:r>
      <w:r>
        <w:rPr>
          <w:rFonts w:hint="eastAsia" w:asciiTheme="minorEastAsia" w:hAnsiTheme="minorEastAsia" w:eastAsiaTheme="minorEastAsia"/>
          <w:color w:val="auto"/>
          <w:sz w:val="24"/>
          <w:highlight w:val="none"/>
        </w:rPr>
        <w:t>和</w:t>
      </w:r>
      <w:r>
        <w:rPr>
          <w:rFonts w:asciiTheme="minorEastAsia" w:hAnsiTheme="minorEastAsia" w:eastAsiaTheme="minorEastAsia"/>
          <w:color w:val="auto"/>
          <w:sz w:val="24"/>
          <w:highlight w:val="none"/>
        </w:rPr>
        <w:t>采购人</w:t>
      </w:r>
      <w:r>
        <w:rPr>
          <w:rFonts w:hint="eastAsia" w:asciiTheme="minorEastAsia" w:hAnsiTheme="minorEastAsia" w:eastAsiaTheme="minorEastAsia"/>
          <w:color w:val="auto"/>
          <w:sz w:val="24"/>
          <w:highlight w:val="none"/>
        </w:rPr>
        <w:t>评审代表共5人</w:t>
      </w:r>
      <w:r>
        <w:rPr>
          <w:rFonts w:asciiTheme="minorEastAsia" w:hAnsiTheme="minorEastAsia" w:eastAsiaTheme="minorEastAsia"/>
          <w:color w:val="auto"/>
          <w:sz w:val="24"/>
          <w:highlight w:val="none"/>
        </w:rPr>
        <w:t>组成</w:t>
      </w:r>
      <w:r>
        <w:rPr>
          <w:rFonts w:hint="eastAsia" w:asciiTheme="minorEastAsia" w:hAnsiTheme="minorEastAsia" w:eastAsiaTheme="minorEastAsia"/>
          <w:color w:val="auto"/>
          <w:sz w:val="24"/>
          <w:highlight w:val="none"/>
        </w:rPr>
        <w:t>，其中，其中评审专家不少于成员总数的三分之二</w:t>
      </w:r>
      <w:r>
        <w:rPr>
          <w:rFonts w:asciiTheme="minorEastAsia" w:hAnsiTheme="minorEastAsia" w:eastAsiaTheme="minorEastAsia"/>
          <w:color w:val="auto"/>
          <w:sz w:val="24"/>
          <w:highlight w:val="none"/>
        </w:rPr>
        <w:t>。</w:t>
      </w:r>
    </w:p>
    <w:p>
      <w:pPr>
        <w:pStyle w:val="22"/>
        <w:snapToGrid w:val="0"/>
        <w:spacing w:line="360" w:lineRule="auto"/>
        <w:ind w:left="720" w:leftChars="228" w:hanging="241" w:hangingChars="100"/>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二</w:t>
      </w:r>
      <w:r>
        <w:rPr>
          <w:rFonts w:asciiTheme="minorEastAsia" w:hAnsiTheme="minorEastAsia" w:eastAsiaTheme="minorEastAsia"/>
          <w:b/>
          <w:color w:val="auto"/>
          <w:sz w:val="24"/>
          <w:highlight w:val="none"/>
        </w:rPr>
        <w:t>）</w:t>
      </w:r>
      <w:r>
        <w:rPr>
          <w:rFonts w:asciiTheme="minorEastAsia" w:hAnsiTheme="minorEastAsia" w:eastAsiaTheme="minorEastAsia"/>
          <w:b/>
          <w:bCs/>
          <w:color w:val="auto"/>
          <w:sz w:val="24"/>
          <w:highlight w:val="none"/>
        </w:rPr>
        <w:t>评标程序</w:t>
      </w:r>
    </w:p>
    <w:p>
      <w:pPr>
        <w:snapToGrid w:val="0"/>
        <w:spacing w:line="360" w:lineRule="auto"/>
        <w:ind w:firstLine="472" w:firstLineChars="196"/>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1、资格</w:t>
      </w:r>
      <w:r>
        <w:rPr>
          <w:rFonts w:asciiTheme="minorEastAsia" w:hAnsiTheme="minorEastAsia" w:eastAsiaTheme="minorEastAsia"/>
          <w:b/>
          <w:bCs/>
          <w:color w:val="auto"/>
          <w:sz w:val="24"/>
          <w:highlight w:val="none"/>
        </w:rPr>
        <w:t>审查</w:t>
      </w:r>
    </w:p>
    <w:p>
      <w:pPr>
        <w:pStyle w:val="32"/>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公开招标采购项目开标结束后，采购人或者采购组织机构应当依法对投标人的资格进行审查，对审查发现无效的进行必要的询标，结束后公布无效投标的投标人名单、投标无效的原因。</w:t>
      </w:r>
    </w:p>
    <w:p>
      <w:pPr>
        <w:pStyle w:val="32"/>
        <w:spacing w:before="0" w:beforeAutospacing="0" w:after="0" w:afterAutospacing="0" w:line="360" w:lineRule="auto"/>
        <w:ind w:firstLine="472" w:firstLineChars="196"/>
        <w:jc w:val="both"/>
        <w:rPr>
          <w:rFonts w:hint="default" w:asciiTheme="minorEastAsia" w:hAnsiTheme="minorEastAsia" w:eastAsiaTheme="minorEastAsia"/>
          <w:b/>
          <w:bCs/>
          <w:color w:val="auto"/>
          <w:highlight w:val="none"/>
        </w:rPr>
      </w:pPr>
      <w:r>
        <w:rPr>
          <w:rFonts w:asciiTheme="minorEastAsia" w:hAnsiTheme="minorEastAsia" w:eastAsiaTheme="minorEastAsia"/>
          <w:b/>
          <w:bCs/>
          <w:color w:val="auto"/>
          <w:highlight w:val="none"/>
        </w:rPr>
        <w:t>2、符合性审查</w:t>
      </w:r>
    </w:p>
    <w:p>
      <w:pPr>
        <w:pStyle w:val="32"/>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32"/>
        <w:spacing w:before="0" w:beforeAutospacing="0" w:after="0" w:afterAutospacing="0" w:line="360" w:lineRule="auto"/>
        <w:ind w:firstLine="482" w:firstLineChars="200"/>
        <w:jc w:val="both"/>
        <w:rPr>
          <w:rFonts w:hint="default" w:asciiTheme="minorEastAsia" w:hAnsiTheme="minorEastAsia" w:eastAsiaTheme="minorEastAsia"/>
          <w:color w:val="auto"/>
          <w:highlight w:val="none"/>
        </w:rPr>
      </w:pPr>
      <w:r>
        <w:rPr>
          <w:rFonts w:asciiTheme="minorEastAsia" w:hAnsiTheme="minorEastAsia" w:eastAsiaTheme="minorEastAsia"/>
          <w:b/>
          <w:bCs/>
          <w:color w:val="auto"/>
          <w:highlight w:val="none"/>
        </w:rPr>
        <w:t>3、</w:t>
      </w:r>
      <w:r>
        <w:rPr>
          <w:rFonts w:hint="default" w:ascii="Arial" w:hAnsi="Arial" w:cs="Arial"/>
          <w:b/>
          <w:bCs/>
          <w:color w:val="auto"/>
          <w:highlight w:val="none"/>
        </w:rPr>
        <w:t>综合比较与评价</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（1）对于投标文件中含义不明确、同类问题表述不一致或者有明显文字和计算错误的内容，评标委员会应当以书面形式要求投标人作出必要的澄清、说明或者补正。</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（2）评标委员会应当按照招标文件中规定的评标方法和标准，对符合性审查合格的投标文件进行商务和技术评估，综合比较与评价。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（3）评标时，评标委员会各成员应当独立对每个投标人的投标文件进行评价，并汇总每个投标人的得分。</w:t>
      </w:r>
    </w:p>
    <w:p>
      <w:pPr>
        <w:numPr>
          <w:ilvl w:val="255"/>
          <w:numId w:val="0"/>
        </w:numPr>
        <w:snapToGrid w:val="0"/>
        <w:spacing w:line="360" w:lineRule="auto"/>
        <w:ind w:firstLine="482" w:firstLineChars="200"/>
        <w:rPr>
          <w:rFonts w:ascii="Arial" w:hAnsi="Arial" w:cs="Arial"/>
          <w:b/>
          <w:bCs/>
          <w:color w:val="auto"/>
          <w:sz w:val="24"/>
          <w:highlight w:val="none"/>
        </w:rPr>
      </w:pPr>
      <w:r>
        <w:rPr>
          <w:rFonts w:hint="eastAsia" w:ascii="Arial" w:hAnsi="Arial" w:cs="Arial"/>
          <w:b/>
          <w:bCs/>
          <w:color w:val="auto"/>
          <w:sz w:val="24"/>
          <w:highlight w:val="none"/>
        </w:rPr>
        <w:t>4、得分确认及评审报告编写</w:t>
      </w:r>
    </w:p>
    <w:p>
      <w:pPr>
        <w:pStyle w:val="22"/>
        <w:snapToGrid w:val="0"/>
        <w:spacing w:line="360" w:lineRule="auto"/>
        <w:ind w:firstLine="420" w:firstLineChars="17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评标委员会对报价文件进行复核，对于系统计算出的价格分及总得分进行确认；</w:t>
      </w:r>
    </w:p>
    <w:p>
      <w:pPr>
        <w:pStyle w:val="32"/>
        <w:spacing w:before="0" w:beforeAutospacing="0" w:after="0" w:afterAutospacing="0" w:line="360" w:lineRule="auto"/>
        <w:ind w:firstLine="420" w:firstLineChars="175"/>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（2）评标委员会应当按照招标文件中规定的评标方法和标准，对符合性审查合格的投标文件进行商务和技术评估，综合比较与评价。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Arial" w:hAnsi="Arial" w:cs="Arial"/>
          <w:b/>
          <w:bCs/>
          <w:color w:val="auto"/>
          <w:sz w:val="24"/>
          <w:highlight w:val="none"/>
        </w:rPr>
      </w:pP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kern w:val="0"/>
          <w:sz w:val="24"/>
          <w:highlight w:val="none"/>
        </w:rPr>
        <w:t>评标委员会</w:t>
      </w:r>
      <w:r>
        <w:rPr>
          <w:rFonts w:asciiTheme="minorEastAsia" w:hAnsiTheme="minorEastAsia" w:eastAsiaTheme="minorEastAsia"/>
          <w:color w:val="auto"/>
          <w:sz w:val="24"/>
          <w:highlight w:val="none"/>
        </w:rPr>
        <w:t>按评标原则</w:t>
      </w:r>
      <w:r>
        <w:rPr>
          <w:rFonts w:hint="eastAsia" w:asciiTheme="minorEastAsia" w:hAnsiTheme="minorEastAsia" w:eastAsiaTheme="minorEastAsia"/>
          <w:color w:val="auto"/>
          <w:sz w:val="24"/>
          <w:highlight w:val="none"/>
        </w:rPr>
        <w:t>及得分情况编写评审报告。</w:t>
      </w:r>
    </w:p>
    <w:p>
      <w:pPr>
        <w:numPr>
          <w:ilvl w:val="255"/>
          <w:numId w:val="0"/>
        </w:numPr>
        <w:snapToGri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5、评价</w:t>
      </w:r>
    </w:p>
    <w:p>
      <w:pPr>
        <w:snapToGrid w:val="0"/>
        <w:spacing w:line="360" w:lineRule="auto"/>
        <w:ind w:firstLine="480"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color w:val="auto"/>
          <w:sz w:val="24"/>
          <w:highlight w:val="none"/>
        </w:rPr>
        <w:t>采购组织机构对评标委员会评审专家进行评价。</w:t>
      </w:r>
    </w:p>
    <w:p>
      <w:pPr>
        <w:snapToGrid w:val="0"/>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b/>
          <w:color w:val="auto"/>
          <w:sz w:val="24"/>
          <w:highlight w:val="none"/>
        </w:rPr>
        <w:t>（三）澄清问题的形式</w:t>
      </w:r>
    </w:p>
    <w:p>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color w:val="auto"/>
          <w:sz w:val="24"/>
          <w:highlight w:val="none"/>
        </w:rPr>
        <w:t>投标人的澄清、说明或者补正应当采用书面形式，并加盖公章，或者由法定代理人或其授权的代表签字，并不得超出投标文件的范围或者改变投标文件的实质性内容。</w:t>
      </w:r>
    </w:p>
    <w:p>
      <w:pPr>
        <w:pStyle w:val="22"/>
        <w:snapToGrid w:val="0"/>
        <w:spacing w:line="360" w:lineRule="auto"/>
        <w:ind w:left="720" w:leftChars="228" w:hanging="241" w:hangingChars="1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（四）错误修正</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投标文件如果出现计算或表达上的错误，修正错误的原则如下：</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1、投标文件的大写金额和小写金额不一致的，以大写金额为准（大写金额明显错误的除外）；</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2、对不同文字文本投标文件的解释发生异议的，以中文文本为准。</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3、电子投标客户端的开标一览表中填报的报价与报价要求响应文件中的投标函报价不一致的，以投标函为准，修正网上报价。若网上报价无法修正的，以电子投标客户端的开标一览表中的为准，调整投标函报价与报价明细清单，以扫描件形式发送邮件至邮箱：153154789@qq.com；</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4、投标报价清单中的全费用综合单价和合计价不一致的，以全费用综合单价为准，修正合计价；</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5、投标报价清单中的合计价和合计汇总不一致的，以合计价为准，修正合计汇总价；</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6、投标报价汇总表与投标报价清单的合计价格不一致的，以投标报价清单中的合计价格为准，修正投标报价汇总表；</w:t>
      </w:r>
    </w:p>
    <w:p>
      <w:pPr>
        <w:pStyle w:val="32"/>
        <w:spacing w:before="0" w:beforeAutospacing="0" w:after="0" w:afterAutospacing="0" w:line="360" w:lineRule="auto"/>
        <w:ind w:firstLine="360" w:firstLineChars="1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7、投标函的投标报价与投标报价汇总表不一致的，以投标报价汇总表为准，修正投标函的投标报价；</w:t>
      </w:r>
    </w:p>
    <w:p>
      <w:pPr>
        <w:pStyle w:val="32"/>
        <w:spacing w:before="0" w:beforeAutospacing="0" w:after="0" w:afterAutospacing="0" w:line="360" w:lineRule="auto"/>
        <w:ind w:firstLine="360" w:firstLineChars="150"/>
        <w:jc w:val="both"/>
        <w:rPr>
          <w:rStyle w:val="42"/>
          <w:rFonts w:hint="default" w:asciiTheme="minorEastAsia" w:hAnsiTheme="minorEastAsia" w:eastAsiaTheme="minorEastAsia"/>
          <w:color w:val="auto"/>
          <w:highlight w:val="none"/>
          <w:u w:val="none"/>
        </w:rPr>
      </w:pPr>
      <w:r>
        <w:rPr>
          <w:rFonts w:asciiTheme="minorEastAsia" w:hAnsiTheme="minorEastAsia" w:eastAsiaTheme="minorEastAsia"/>
          <w:color w:val="auto"/>
          <w:highlight w:val="none"/>
        </w:rPr>
        <w:t>按上述修正错误的原则及方法调整或修正投标文件的投标报价，投标人同意并签字确认后，以扫描件形式发送至指定邮箱：</w:t>
      </w:r>
      <w:r>
        <w:rPr>
          <w:color w:val="auto"/>
          <w:highlight w:val="none"/>
        </w:rPr>
        <w:fldChar w:fldCharType="begin"/>
      </w:r>
      <w:r>
        <w:rPr>
          <w:color w:val="auto"/>
          <w:highlight w:val="none"/>
        </w:rPr>
        <w:instrText xml:space="preserve"> HYPERLINK "mailto:1530866146@qq.com。调整后的投标报价对投标人具有约束作用。如果投标人不接受修正后的报价，则其投标将作为无效投标处理。" </w:instrText>
      </w:r>
      <w:r>
        <w:rPr>
          <w:color w:val="auto"/>
          <w:highlight w:val="none"/>
        </w:rPr>
        <w:fldChar w:fldCharType="separate"/>
      </w:r>
      <w:r>
        <w:rPr>
          <w:rStyle w:val="42"/>
          <w:rFonts w:asciiTheme="minorEastAsia" w:hAnsiTheme="minorEastAsia" w:eastAsiaTheme="minorEastAsia"/>
          <w:color w:val="auto"/>
          <w:highlight w:val="none"/>
          <w:u w:val="none"/>
        </w:rPr>
        <w:t>153154789@qq.com。调整后的投标报价对投标人具有约束作用。如果投标人不接受修正后的报价，则其投标将作为无效投标处理。</w:t>
      </w:r>
      <w:r>
        <w:rPr>
          <w:rStyle w:val="42"/>
          <w:rFonts w:asciiTheme="minorEastAsia" w:hAnsiTheme="minorEastAsia" w:eastAsiaTheme="minorEastAsia"/>
          <w:color w:val="auto"/>
          <w:highlight w:val="none"/>
          <w:u w:val="none"/>
        </w:rPr>
        <w:fldChar w:fldCharType="end"/>
      </w:r>
    </w:p>
    <w:p>
      <w:pPr>
        <w:pStyle w:val="32"/>
        <w:spacing w:before="0" w:beforeAutospacing="0" w:after="0" w:afterAutospacing="0" w:line="360" w:lineRule="auto"/>
        <w:ind w:firstLine="361" w:firstLineChars="150"/>
        <w:jc w:val="both"/>
        <w:rPr>
          <w:rFonts w:hint="default" w:asciiTheme="minorEastAsia" w:hAnsiTheme="minorEastAsia" w:eastAsiaTheme="minorEastAsia"/>
          <w:b/>
          <w:color w:val="auto"/>
          <w:highlight w:val="none"/>
        </w:rPr>
      </w:pPr>
      <w:r>
        <w:rPr>
          <w:rFonts w:asciiTheme="minorEastAsia" w:hAnsiTheme="minorEastAsia" w:eastAsiaTheme="minorEastAsia"/>
          <w:b/>
          <w:bCs/>
          <w:color w:val="auto"/>
          <w:highlight w:val="none"/>
        </w:rPr>
        <w:t>（五）</w:t>
      </w:r>
      <w:r>
        <w:rPr>
          <w:rFonts w:asciiTheme="minorEastAsia" w:hAnsiTheme="minorEastAsia" w:eastAsiaTheme="minorEastAsia"/>
          <w:b/>
          <w:color w:val="auto"/>
          <w:highlight w:val="none"/>
        </w:rPr>
        <w:t>投标人存在下列情况之一的，投标无效</w:t>
      </w:r>
    </w:p>
    <w:p>
      <w:pPr>
        <w:pStyle w:val="32"/>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b/>
          <w:bCs/>
          <w:color w:val="auto"/>
          <w:highlight w:val="none"/>
        </w:rPr>
      </w:pPr>
      <w:r>
        <w:rPr>
          <w:rFonts w:asciiTheme="minorEastAsia" w:hAnsiTheme="minorEastAsia" w:eastAsiaTheme="minorEastAsia"/>
          <w:color w:val="auto"/>
          <w:highlight w:val="none"/>
        </w:rPr>
        <w:t>1、资格证明文件或商务与技术文件跟报价文件出现混装或在资格证明文件或商务与技术文件中出现投标报价的，或者报价文件中报价的货物跟商务与技术文件中的投标货物出现重大偏差的；</w:t>
      </w:r>
    </w:p>
    <w:p>
      <w:pPr>
        <w:pStyle w:val="32"/>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w:t>
      </w:r>
      <w:r>
        <w:rPr>
          <w:rFonts w:hint="default" w:asciiTheme="minorEastAsia" w:hAnsiTheme="minorEastAsia" w:eastAsiaTheme="minorEastAsia"/>
          <w:color w:val="auto"/>
          <w:highlight w:val="none"/>
        </w:rPr>
        <w:t>2</w:t>
      </w:r>
      <w:r>
        <w:rPr>
          <w:rFonts w:asciiTheme="minorEastAsia" w:hAnsiTheme="minorEastAsia" w:eastAsiaTheme="minorEastAsia"/>
          <w:color w:val="auto"/>
          <w:highlight w:val="none"/>
        </w:rPr>
        <w:t>、不具备招标文件中规定的资格要求的。</w:t>
      </w:r>
      <w:r>
        <w:rPr>
          <w:rFonts w:hint="default" w:asciiTheme="minorEastAsia" w:hAnsiTheme="minorEastAsia" w:eastAsiaTheme="minorEastAsia"/>
          <w:color w:val="auto"/>
          <w:highlight w:val="none"/>
        </w:rPr>
        <w:tab/>
      </w:r>
    </w:p>
    <w:p>
      <w:pPr>
        <w:pStyle w:val="32"/>
        <w:adjustRightInd w:val="0"/>
        <w:snapToGrid w:val="0"/>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xml:space="preserve">　  </w:t>
      </w:r>
      <w:r>
        <w:rPr>
          <w:rFonts w:hint="default" w:asciiTheme="minorEastAsia" w:hAnsiTheme="minorEastAsia" w:eastAsiaTheme="minorEastAsia"/>
          <w:color w:val="auto"/>
          <w:highlight w:val="none"/>
        </w:rPr>
        <w:t>3</w:t>
      </w:r>
      <w:r>
        <w:rPr>
          <w:rFonts w:asciiTheme="minorEastAsia" w:hAnsiTheme="minorEastAsia" w:eastAsiaTheme="minorEastAsia"/>
          <w:color w:val="auto"/>
          <w:highlight w:val="none"/>
        </w:rPr>
        <w:t>、投标文件含有采购人不能接受的附加条件的。</w:t>
      </w:r>
    </w:p>
    <w:p>
      <w:pPr>
        <w:adjustRightInd w:val="0"/>
        <w:snapToGrid w:val="0"/>
        <w:spacing w:line="360" w:lineRule="auto"/>
        <w:ind w:firstLine="470" w:firstLineChars="196"/>
        <w:rPr>
          <w:rFonts w:asciiTheme="minorEastAsia" w:hAnsiTheme="minorEastAsia" w:eastAsiaTheme="minorEastAsia"/>
          <w:bCs/>
          <w:color w:val="auto"/>
          <w:kern w:val="0"/>
          <w:sz w:val="24"/>
          <w:highlight w:val="none"/>
        </w:rPr>
      </w:pPr>
      <w:r>
        <w:rPr>
          <w:rFonts w:asciiTheme="minorEastAsia" w:hAnsiTheme="minorEastAsia" w:eastAsiaTheme="minorEastAsia"/>
          <w:color w:val="auto"/>
          <w:kern w:val="0"/>
          <w:sz w:val="24"/>
          <w:highlight w:val="none"/>
        </w:rPr>
        <w:t>4</w:t>
      </w:r>
      <w:r>
        <w:rPr>
          <w:rFonts w:hint="eastAsia" w:asciiTheme="minorEastAsia" w:hAnsiTheme="minorEastAsia" w:eastAsiaTheme="minorEastAsia"/>
          <w:color w:val="auto"/>
          <w:sz w:val="24"/>
          <w:highlight w:val="none"/>
        </w:rPr>
        <w:t>、投标代表人未能出具身份证明或与法定代表人授权委托人身份不符的；</w:t>
      </w:r>
    </w:p>
    <w:p>
      <w:pPr>
        <w:pStyle w:val="32"/>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5</w:t>
      </w:r>
      <w:r>
        <w:rPr>
          <w:rFonts w:asciiTheme="minorEastAsia" w:hAnsiTheme="minorEastAsia" w:eastAsiaTheme="minorEastAsia"/>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2"/>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6</w:t>
      </w:r>
      <w:r>
        <w:rPr>
          <w:rFonts w:asciiTheme="minorEastAsia" w:hAnsiTheme="minorEastAsia" w:eastAsiaTheme="minorEastAsia"/>
          <w:color w:val="auto"/>
          <w:highlight w:val="none"/>
        </w:rPr>
        <w:t xml:space="preserve">、报价超过招标文件中规定的预算金额/最高限价。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7、投标参数未如实填写，完全复制粘贴招标参数的。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8、投标文件提供虚假材料的。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9</w:t>
      </w:r>
      <w:r>
        <w:rPr>
          <w:rFonts w:asciiTheme="minorEastAsia" w:hAnsiTheme="minorEastAsia" w:eastAsiaTheme="minorEastAsia"/>
          <w:color w:val="auto"/>
          <w:kern w:val="0"/>
          <w:sz w:val="24"/>
          <w:highlight w:val="none"/>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auto"/>
          <w:kern w:val="0"/>
          <w:sz w:val="24"/>
          <w:highlight w:val="none"/>
        </w:rPr>
        <w:t>，并移送采购监管部门</w:t>
      </w:r>
      <w:r>
        <w:rPr>
          <w:rFonts w:asciiTheme="minorEastAsia" w:hAnsiTheme="minorEastAsia" w:eastAsiaTheme="minorEastAsia"/>
          <w:color w:val="auto"/>
          <w:kern w:val="0"/>
          <w:sz w:val="24"/>
          <w:highlight w:val="none"/>
        </w:rPr>
        <w:t>：</w:t>
      </w:r>
    </w:p>
    <w:p>
      <w:pPr>
        <w:pStyle w:val="32"/>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（1）不同投标人的投标文件由同一单位或者个人编制；</w:t>
      </w:r>
    </w:p>
    <w:p>
      <w:pPr>
        <w:pStyle w:val="32"/>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（2）不同投标人委托同一单位或者个人办理投标事宜；</w:t>
      </w:r>
    </w:p>
    <w:p>
      <w:pPr>
        <w:pStyle w:val="32"/>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（3）不同投标人的投标文件载明的项目管理成员或者联系人员为同一人；</w:t>
      </w:r>
    </w:p>
    <w:p>
      <w:pPr>
        <w:pStyle w:val="32"/>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（4）不同投标人的投标文件异常一致或者投标报价呈规律性差异；</w:t>
      </w:r>
    </w:p>
    <w:p>
      <w:pPr>
        <w:pStyle w:val="32"/>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（5）不同投标人的投标文件相互混装；</w:t>
      </w:r>
    </w:p>
    <w:p>
      <w:pPr>
        <w:pStyle w:val="32"/>
        <w:spacing w:before="0" w:beforeAutospacing="0" w:after="0" w:afterAutospacing="0" w:line="360" w:lineRule="auto"/>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10、不符合法律、法规和招标文件中规定的其他实质性要求的（招标文件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中打“▲”内容及被拒绝的条款）。</w:t>
      </w:r>
    </w:p>
    <w:p>
      <w:pPr>
        <w:tabs>
          <w:tab w:val="right" w:pos="8306"/>
        </w:tabs>
        <w:autoSpaceDE w:val="0"/>
        <w:autoSpaceDN w:val="0"/>
        <w:adjustRightInd w:val="0"/>
        <w:spacing w:line="360" w:lineRule="auto"/>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 xml:space="preserve">   11、仅提交“备份投标文件”或电子投标文件未按时完成解密，又未提供备份电子投标文件的。</w:t>
      </w:r>
    </w:p>
    <w:p>
      <w:pPr>
        <w:autoSpaceDE w:val="0"/>
        <w:autoSpaceDN w:val="0"/>
        <w:adjustRightInd w:val="0"/>
        <w:spacing w:line="360" w:lineRule="auto"/>
        <w:ind w:left="480"/>
        <w:rPr>
          <w:rFonts w:asciiTheme="minorEastAsia" w:hAnsiTheme="minorEastAsia" w:eastAsiaTheme="minorEastAsia"/>
          <w:color w:val="auto"/>
          <w:kern w:val="0"/>
          <w:sz w:val="24"/>
          <w:highlight w:val="none"/>
        </w:rPr>
      </w:pPr>
      <w:r>
        <w:rPr>
          <w:rFonts w:hint="eastAsia" w:asciiTheme="minorEastAsia" w:hAnsiTheme="minorEastAsia" w:eastAsiaTheme="minorEastAsia"/>
          <w:b/>
          <w:color w:val="auto"/>
          <w:kern w:val="0"/>
          <w:sz w:val="24"/>
          <w:highlight w:val="none"/>
        </w:rPr>
        <w:t>（六）有下列情况之一的，本次招标作为废标处理</w:t>
      </w:r>
    </w:p>
    <w:p>
      <w:pPr>
        <w:pStyle w:val="32"/>
        <w:spacing w:before="0" w:beforeAutospacing="0" w:after="0" w:afterAutospacing="0" w:line="360" w:lineRule="auto"/>
        <w:ind w:firstLine="600" w:firstLineChars="2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1、出现影响采购公正的违法、违规行为的；</w:t>
      </w:r>
    </w:p>
    <w:p>
      <w:pPr>
        <w:pStyle w:val="32"/>
        <w:spacing w:before="0" w:beforeAutospacing="0" w:after="0" w:afterAutospacing="0" w:line="360" w:lineRule="auto"/>
        <w:ind w:firstLine="600" w:firstLineChars="250"/>
        <w:jc w:val="both"/>
        <w:rPr>
          <w:rFonts w:hint="default" w:asciiTheme="minorEastAsia" w:hAnsiTheme="minorEastAsia" w:eastAsiaTheme="minorEastAsia"/>
          <w:b/>
          <w:bCs/>
          <w:color w:val="auto"/>
          <w:highlight w:val="none"/>
        </w:rPr>
      </w:pPr>
      <w:r>
        <w:rPr>
          <w:rFonts w:asciiTheme="minorEastAsia" w:hAnsiTheme="minorEastAsia" w:eastAsiaTheme="minorEastAsia"/>
          <w:color w:val="auto"/>
          <w:highlight w:val="none"/>
        </w:rPr>
        <w:t xml:space="preserve">2、评标委员会发现招标文件存在歧义、重大缺陷导致评标工作无法进行，或者招标文件内容违反国家有关强制性规定的； </w:t>
      </w:r>
    </w:p>
    <w:p>
      <w:pPr>
        <w:pStyle w:val="32"/>
        <w:spacing w:before="0" w:beforeAutospacing="0" w:after="0" w:afterAutospacing="0" w:line="360" w:lineRule="auto"/>
        <w:ind w:firstLine="600" w:firstLineChars="2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3、因重大变故，采购任务取消的；</w:t>
      </w:r>
    </w:p>
    <w:p>
      <w:pPr>
        <w:pStyle w:val="32"/>
        <w:spacing w:before="0" w:beforeAutospacing="0" w:after="0" w:afterAutospacing="0" w:line="360" w:lineRule="auto"/>
        <w:ind w:firstLine="600" w:firstLineChars="25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4、法律、法规和招标文件规定的其他导致评标结果无效的。</w:t>
      </w:r>
    </w:p>
    <w:p>
      <w:pPr>
        <w:pStyle w:val="32"/>
        <w:spacing w:before="0" w:beforeAutospacing="0" w:after="0" w:afterAutospacing="0" w:line="360" w:lineRule="auto"/>
        <w:ind w:firstLine="600" w:firstLineChars="250"/>
        <w:jc w:val="both"/>
        <w:rPr>
          <w:rFonts w:hint="default" w:asciiTheme="minorEastAsia" w:hAnsiTheme="minorEastAsia" w:eastAsiaTheme="minorEastAsia"/>
          <w:color w:val="auto"/>
          <w:highlight w:val="none"/>
        </w:rPr>
      </w:pPr>
      <w:r>
        <w:rPr>
          <w:color w:val="auto"/>
          <w:highlight w:val="none"/>
        </w:rPr>
        <w:t>5、因电子交易平台故障无法登录、无法正常操作等导致平台无法正常运行，或者无法保证电子交易的公平、公正和安全时，采购组织机构可中止电子交易活动。</w:t>
      </w:r>
    </w:p>
    <w:p>
      <w:pPr>
        <w:pStyle w:val="22"/>
        <w:tabs>
          <w:tab w:val="left" w:pos="630"/>
        </w:tabs>
        <w:snapToGrid w:val="0"/>
        <w:spacing w:line="360" w:lineRule="auto"/>
        <w:ind w:firstLine="472" w:firstLineChars="196"/>
        <w:rPr>
          <w:rFonts w:asciiTheme="minorEastAsia" w:hAnsiTheme="minorEastAsia" w:eastAsiaTheme="minorEastAsia"/>
          <w:b/>
          <w:color w:val="auto"/>
          <w:sz w:val="24"/>
          <w:highlight w:val="none"/>
        </w:rPr>
      </w:pPr>
    </w:p>
    <w:p>
      <w:pPr>
        <w:pStyle w:val="22"/>
        <w:tabs>
          <w:tab w:val="left" w:pos="630"/>
        </w:tabs>
        <w:snapToGrid w:val="0"/>
        <w:spacing w:line="360" w:lineRule="auto"/>
        <w:ind w:firstLine="472" w:firstLineChars="196"/>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七</w:t>
      </w:r>
      <w:r>
        <w:rPr>
          <w:rFonts w:asciiTheme="minorEastAsia" w:hAnsiTheme="minorEastAsia" w:eastAsiaTheme="minorEastAsia"/>
          <w:b/>
          <w:color w:val="auto"/>
          <w:sz w:val="24"/>
          <w:highlight w:val="none"/>
        </w:rPr>
        <w:t>）评标原则和评标办法</w:t>
      </w:r>
    </w:p>
    <w:p>
      <w:pPr>
        <w:pStyle w:val="22"/>
        <w:snapToGrid w:val="0"/>
        <w:spacing w:line="360" w:lineRule="auto"/>
        <w:ind w:firstLine="600" w:firstLineChars="2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2"/>
        <w:snapToGrid w:val="0"/>
        <w:spacing w:line="360" w:lineRule="auto"/>
        <w:ind w:firstLine="600" w:firstLineChars="2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评标办法。具体评标内容及评分标准等详见《第</w:t>
      </w:r>
      <w:r>
        <w:rPr>
          <w:rFonts w:hint="eastAsia" w:asciiTheme="minorEastAsia" w:hAnsiTheme="minorEastAsia" w:eastAsiaTheme="minorEastAsia"/>
          <w:color w:val="auto"/>
          <w:sz w:val="24"/>
          <w:highlight w:val="none"/>
        </w:rPr>
        <w:t>三章</w:t>
      </w:r>
      <w:r>
        <w:rPr>
          <w:rFonts w:asciiTheme="minorEastAsia" w:hAnsiTheme="minorEastAsia" w:eastAsiaTheme="minorEastAsia"/>
          <w:color w:val="auto"/>
          <w:sz w:val="24"/>
          <w:highlight w:val="none"/>
        </w:rPr>
        <w:t>：评标</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法及评分标准》。</w:t>
      </w:r>
    </w:p>
    <w:p>
      <w:pPr>
        <w:pStyle w:val="22"/>
        <w:snapToGrid w:val="0"/>
        <w:spacing w:line="360" w:lineRule="auto"/>
        <w:ind w:firstLine="472" w:firstLineChars="196"/>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八</w:t>
      </w:r>
      <w:r>
        <w:rPr>
          <w:rFonts w:asciiTheme="minorEastAsia" w:hAnsiTheme="minorEastAsia" w:eastAsiaTheme="minorEastAsia"/>
          <w:b/>
          <w:color w:val="auto"/>
          <w:sz w:val="24"/>
          <w:highlight w:val="none"/>
        </w:rPr>
        <w:t>）评标过程的监控</w:t>
      </w:r>
    </w:p>
    <w:p>
      <w:pPr>
        <w:pStyle w:val="32"/>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本项目评标过程实行全程录音、录像监控，政府采购监管部门视情进行现场监督，投标人在评标过程中所进行的试图影响评标结果的不公正活动，可能导致其投标被拒绝。</w:t>
      </w:r>
    </w:p>
    <w:p>
      <w:pPr>
        <w:pStyle w:val="32"/>
        <w:spacing w:before="0" w:beforeAutospacing="0" w:after="0" w:afterAutospacing="0" w:line="360" w:lineRule="auto"/>
        <w:ind w:firstLine="361" w:firstLineChars="150"/>
        <w:jc w:val="both"/>
        <w:rPr>
          <w:rFonts w:hint="default" w:asciiTheme="minorEastAsia" w:hAnsiTheme="minorEastAsia" w:eastAsiaTheme="minorEastAsia"/>
          <w:b/>
          <w:color w:val="auto"/>
          <w:highlight w:val="none"/>
        </w:rPr>
      </w:pPr>
      <w:r>
        <w:rPr>
          <w:rFonts w:asciiTheme="minorEastAsia" w:hAnsiTheme="minorEastAsia" w:eastAsiaTheme="minorEastAsia"/>
          <w:b/>
          <w:color w:val="auto"/>
          <w:highlight w:val="none"/>
        </w:rPr>
        <w:t>七、定标</w:t>
      </w:r>
    </w:p>
    <w:p>
      <w:pPr>
        <w:pStyle w:val="32"/>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w:t>
      </w:r>
      <w:r>
        <w:rPr>
          <w:color w:val="auto"/>
          <w:highlight w:val="none"/>
        </w:rPr>
        <w:t>确定中标供应商。</w:t>
      </w:r>
      <w:r>
        <w:rPr>
          <w:rFonts w:asciiTheme="minorEastAsia" w:hAnsiTheme="minorEastAsia" w:eastAsiaTheme="minorEastAsia"/>
          <w:color w:val="auto"/>
          <w:highlight w:val="none"/>
        </w:rPr>
        <w:t>评标委员会根据采购人的</w:t>
      </w:r>
      <w:r>
        <w:rPr>
          <w:color w:val="auto"/>
          <w:highlight w:val="none"/>
        </w:rPr>
        <w:t>《授权意见确认书》</w:t>
      </w:r>
      <w:r>
        <w:rPr>
          <w:rFonts w:asciiTheme="minorEastAsia" w:hAnsiTheme="minorEastAsia" w:eastAsiaTheme="minorEastAsia"/>
          <w:color w:val="auto"/>
          <w:highlight w:val="none"/>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olor w:val="auto"/>
          <w:kern w:val="0"/>
          <w:sz w:val="24"/>
          <w:highlight w:val="none"/>
        </w:rPr>
      </w:pPr>
      <w:r>
        <w:rPr>
          <w:rFonts w:asciiTheme="minorEastAsia" w:hAnsiTheme="minorEastAsia" w:eastAsiaTheme="minorEastAsia"/>
          <w:color w:val="auto"/>
          <w:sz w:val="24"/>
          <w:highlight w:val="none"/>
        </w:rPr>
        <w:t>2、</w:t>
      </w:r>
      <w:r>
        <w:rPr>
          <w:rFonts w:hint="eastAsia" w:ascii="宋体" w:hAnsi="宋体"/>
          <w:color w:val="auto"/>
          <w:kern w:val="0"/>
          <w:sz w:val="24"/>
          <w:highlight w:val="none"/>
        </w:rPr>
        <w:t>发布</w:t>
      </w:r>
      <w:r>
        <w:rPr>
          <w:color w:val="auto"/>
          <w:sz w:val="24"/>
          <w:highlight w:val="none"/>
        </w:rPr>
        <w:t>中标</w:t>
      </w:r>
      <w:r>
        <w:rPr>
          <w:rFonts w:hint="eastAsia" w:ascii="宋体" w:hAnsi="宋体"/>
          <w:color w:val="auto"/>
          <w:kern w:val="0"/>
          <w:sz w:val="24"/>
          <w:highlight w:val="none"/>
        </w:rPr>
        <w:t>结果公告。采购组织机构应当自中标人</w:t>
      </w:r>
      <w:r>
        <w:rPr>
          <w:rFonts w:ascii="宋体" w:hAnsi="宋体"/>
          <w:color w:val="auto"/>
          <w:kern w:val="0"/>
          <w:sz w:val="24"/>
          <w:highlight w:val="none"/>
        </w:rPr>
        <w:t>确定</w:t>
      </w:r>
      <w:r>
        <w:rPr>
          <w:rFonts w:hint="eastAsia" w:ascii="宋体" w:hAnsi="宋体"/>
          <w:color w:val="auto"/>
          <w:kern w:val="0"/>
          <w:sz w:val="24"/>
          <w:highlight w:val="none"/>
        </w:rPr>
        <w:t>之日起</w:t>
      </w:r>
      <w:r>
        <w:rPr>
          <w:rFonts w:ascii="宋体" w:hAnsi="宋体"/>
          <w:color w:val="auto"/>
          <w:kern w:val="0"/>
          <w:sz w:val="24"/>
          <w:highlight w:val="none"/>
        </w:rPr>
        <w:t>2个工作日内</w:t>
      </w:r>
      <w:r>
        <w:rPr>
          <w:rFonts w:hint="eastAsia" w:ascii="宋体" w:hAnsi="宋体"/>
          <w:color w:val="auto"/>
          <w:kern w:val="0"/>
          <w:sz w:val="24"/>
          <w:highlight w:val="none"/>
        </w:rPr>
        <w:t>，</w:t>
      </w:r>
      <w:r>
        <w:rPr>
          <w:rFonts w:ascii="宋体" w:hAnsi="宋体"/>
          <w:color w:val="auto"/>
          <w:kern w:val="0"/>
          <w:sz w:val="24"/>
          <w:highlight w:val="none"/>
        </w:rPr>
        <w:t>在省级以上财政部门指定的媒体及相关网站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kern w:val="0"/>
          <w:sz w:val="24"/>
          <w:highlight w:val="none"/>
        </w:rPr>
        <w:t>中标结果，招标文件应当随中标结果同时公告。</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3、发出中标通知书。采购组织机构在发布中标结果的同时，向中标人发出中标通知书。</w:t>
      </w:r>
    </w:p>
    <w:p>
      <w:pPr>
        <w:spacing w:line="360" w:lineRule="auto"/>
        <w:ind w:firstLine="482" w:firstLineChars="200"/>
        <w:rPr>
          <w:rFonts w:ascii="宋体" w:hAnsi="宋体"/>
          <w:color w:val="auto"/>
          <w:kern w:val="0"/>
          <w:sz w:val="24"/>
          <w:highlight w:val="none"/>
        </w:rPr>
      </w:pPr>
      <w:r>
        <w:rPr>
          <w:rFonts w:asciiTheme="minorEastAsia" w:hAnsiTheme="minorEastAsia" w:eastAsiaTheme="minorEastAsia"/>
          <w:b/>
          <w:color w:val="auto"/>
          <w:sz w:val="24"/>
          <w:highlight w:val="none"/>
        </w:rPr>
        <w:t>八、</w:t>
      </w:r>
      <w:r>
        <w:rPr>
          <w:rFonts w:hint="eastAsia" w:ascii="宋体" w:hAnsi="宋体"/>
          <w:b/>
          <w:color w:val="auto"/>
          <w:kern w:val="0"/>
          <w:sz w:val="24"/>
          <w:highlight w:val="none"/>
        </w:rPr>
        <w:t>合同签订及公告</w:t>
      </w:r>
    </w:p>
    <w:p>
      <w:pPr>
        <w:spacing w:line="360" w:lineRule="auto"/>
        <w:ind w:firstLine="482" w:firstLineChars="200"/>
        <w:rPr>
          <w:rFonts w:ascii="宋体" w:hAnsi="宋体"/>
          <w:b/>
          <w:color w:val="auto"/>
          <w:kern w:val="0"/>
          <w:sz w:val="24"/>
          <w:highlight w:val="none"/>
        </w:rPr>
      </w:pPr>
      <w:r>
        <w:rPr>
          <w:rFonts w:hint="eastAsia" w:ascii="宋体" w:hAnsi="宋体"/>
          <w:b/>
          <w:color w:val="auto"/>
          <w:sz w:val="24"/>
          <w:highlight w:val="none"/>
        </w:rPr>
        <w:t>（一）签订合同</w:t>
      </w:r>
    </w:p>
    <w:p>
      <w:pPr>
        <w:pStyle w:val="32"/>
        <w:spacing w:before="0" w:beforeAutospacing="0" w:after="0" w:afterAutospacing="0" w:line="360" w:lineRule="auto"/>
        <w:ind w:firstLine="600" w:firstLineChars="250"/>
        <w:jc w:val="both"/>
        <w:rPr>
          <w:rFonts w:hint="default"/>
          <w:color w:val="auto"/>
          <w:highlight w:val="none"/>
        </w:rPr>
      </w:pPr>
      <w:r>
        <w:rPr>
          <w:color w:val="auto"/>
          <w:highlight w:val="none"/>
        </w:rPr>
        <w:t>1、采购人应当自中标通知书发出之日起</w:t>
      </w:r>
      <w:r>
        <w:rPr>
          <w:rFonts w:hint="default"/>
          <w:color w:val="auto"/>
          <w:highlight w:val="none"/>
        </w:rPr>
        <w:t>30</w:t>
      </w:r>
      <w:r>
        <w:rPr>
          <w:color w:val="auto"/>
          <w:highlight w:val="none"/>
        </w:rPr>
        <w:t>日内，按照招标文件和中标人投标文件的规定，与中标人签订书面合同。所签订的合同不得对招标文件确定的事项和中标人投标文件作实质性修改。</w:t>
      </w:r>
    </w:p>
    <w:p>
      <w:pPr>
        <w:pStyle w:val="32"/>
        <w:spacing w:before="0" w:beforeAutospacing="0" w:after="0" w:afterAutospacing="0" w:line="360" w:lineRule="auto"/>
        <w:ind w:firstLine="600" w:firstLineChars="250"/>
        <w:jc w:val="both"/>
        <w:rPr>
          <w:rFonts w:hint="default"/>
          <w:color w:val="auto"/>
          <w:highlight w:val="none"/>
        </w:rPr>
      </w:pPr>
      <w:r>
        <w:rPr>
          <w:color w:val="auto"/>
          <w:highlight w:val="none"/>
        </w:rPr>
        <w:t>2、采购人不得向中标人提出任何不合理的要求作为签订合同的条件。</w:t>
      </w:r>
    </w:p>
    <w:p>
      <w:pPr>
        <w:pStyle w:val="32"/>
        <w:spacing w:before="0" w:beforeAutospacing="0" w:after="0" w:afterAutospacing="0" w:line="360" w:lineRule="auto"/>
        <w:ind w:firstLine="600" w:firstLineChars="250"/>
        <w:jc w:val="both"/>
        <w:rPr>
          <w:rFonts w:hint="default"/>
          <w:color w:val="auto"/>
          <w:highlight w:val="none"/>
        </w:rPr>
      </w:pPr>
      <w:r>
        <w:rPr>
          <w:color w:val="auto"/>
          <w:highlight w:val="none"/>
        </w:rPr>
        <w:t>3、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32"/>
        <w:spacing w:line="360" w:lineRule="auto"/>
        <w:ind w:firstLine="480" w:firstLineChars="200"/>
        <w:rPr>
          <w:rFonts w:hint="default" w:cs="仿宋_GB2312"/>
          <w:color w:val="auto"/>
          <w:highlight w:val="none"/>
        </w:rPr>
      </w:pPr>
      <w:r>
        <w:rPr>
          <w:rFonts w:hint="default"/>
          <w:color w:val="auto"/>
          <w:highlight w:val="none"/>
        </w:rPr>
        <w:t>4</w:t>
      </w:r>
      <w:r>
        <w:rPr>
          <w:color w:val="auto"/>
          <w:highlight w:val="none"/>
        </w:rPr>
        <w:t>、询问或者质疑事项可能影响中标结果的，采购人应当暂停签订合同，已经签订合同的，应当中止履行合同（中标结果的质疑期为中标结果公告期限届满之日起七个工作日）。</w:t>
      </w:r>
    </w:p>
    <w:p>
      <w:pPr>
        <w:pStyle w:val="32"/>
        <w:spacing w:line="360" w:lineRule="auto"/>
        <w:ind w:firstLine="424" w:firstLineChars="176"/>
        <w:rPr>
          <w:rFonts w:hint="default" w:cs="仿宋_GB2312"/>
          <w:b/>
          <w:color w:val="auto"/>
          <w:highlight w:val="none"/>
        </w:rPr>
      </w:pPr>
      <w:r>
        <w:rPr>
          <w:b/>
          <w:color w:val="auto"/>
          <w:highlight w:val="none"/>
        </w:rPr>
        <w:t>（二）合同公告及备案</w:t>
      </w:r>
    </w:p>
    <w:p>
      <w:pPr>
        <w:pStyle w:val="18"/>
        <w:spacing w:line="360" w:lineRule="auto"/>
        <w:ind w:left="0" w:leftChars="0" w:firstLine="480" w:firstLineChars="200"/>
        <w:jc w:val="left"/>
        <w:rPr>
          <w:rFonts w:ascii="宋体" w:hAnsi="宋体"/>
          <w:color w:val="auto"/>
          <w:sz w:val="24"/>
          <w:highlight w:val="none"/>
        </w:rPr>
      </w:pPr>
      <w:r>
        <w:rPr>
          <w:rFonts w:hint="eastAsia" w:ascii="宋体" w:hAnsi="宋体"/>
          <w:color w:val="auto"/>
          <w:sz w:val="24"/>
          <w:highlight w:val="none"/>
        </w:rPr>
        <w:t>1、采购人应当自政府采购合同签订之日起2个工作日内，</w:t>
      </w:r>
      <w:r>
        <w:rPr>
          <w:rFonts w:ascii="宋体" w:hAnsi="宋体"/>
          <w:color w:val="auto"/>
          <w:kern w:val="0"/>
          <w:sz w:val="24"/>
          <w:highlight w:val="none"/>
        </w:rPr>
        <w:t>在省级以上财政部门指定的</w:t>
      </w:r>
      <w:r>
        <w:rPr>
          <w:rFonts w:hint="eastAsia" w:ascii="宋体" w:hAnsi="宋体"/>
          <w:color w:val="auto"/>
          <w:kern w:val="0"/>
          <w:sz w:val="24"/>
          <w:highlight w:val="none"/>
        </w:rPr>
        <w:t>政府采购信息发布</w:t>
      </w:r>
      <w:r>
        <w:rPr>
          <w:rFonts w:ascii="宋体" w:hAnsi="宋体"/>
          <w:color w:val="auto"/>
          <w:kern w:val="0"/>
          <w:sz w:val="24"/>
          <w:highlight w:val="none"/>
        </w:rPr>
        <w:t>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sz w:val="24"/>
          <w:highlight w:val="none"/>
        </w:rPr>
        <w:t>。</w:t>
      </w:r>
    </w:p>
    <w:p>
      <w:pPr>
        <w:pStyle w:val="18"/>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2、采购人应当自政府采购合同签订之日起7个工作日内，将政府采购合同副本报同级人民政府财政部门备案以及采购组织机构存档。</w:t>
      </w:r>
    </w:p>
    <w:p>
      <w:pPr>
        <w:spacing w:line="360" w:lineRule="auto"/>
        <w:rPr>
          <w:rFonts w:asciiTheme="minorEastAsia" w:hAnsiTheme="minorEastAsia" w:eastAsiaTheme="minorEastAsia"/>
          <w:b/>
          <w:color w:val="auto"/>
          <w:sz w:val="28"/>
          <w:szCs w:val="28"/>
          <w:highlight w:val="none"/>
        </w:rPr>
        <w:sectPr>
          <w:pgSz w:w="11906" w:h="16838"/>
          <w:pgMar w:top="1440" w:right="1800" w:bottom="1440" w:left="1800" w:header="851" w:footer="992" w:gutter="0"/>
          <w:pgNumType w:fmt="numberInDash"/>
          <w:cols w:space="425" w:num="1"/>
          <w:docGrid w:type="lines" w:linePitch="312" w:charSpace="0"/>
        </w:sectPr>
      </w:pPr>
    </w:p>
    <w:p>
      <w:pPr>
        <w:numPr>
          <w:ilvl w:val="0"/>
          <w:numId w:val="4"/>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评标办法及评分标准</w:t>
      </w:r>
    </w:p>
    <w:p>
      <w:pPr>
        <w:autoSpaceDE w:val="0"/>
        <w:autoSpaceDN w:val="0"/>
        <w:spacing w:line="360" w:lineRule="auto"/>
        <w:ind w:firstLine="480" w:firstLineChars="200"/>
        <w:rPr>
          <w:rFonts w:asciiTheme="minorEastAsia" w:hAnsiTheme="minorEastAsia" w:eastAsiaTheme="minorEastAsia"/>
          <w:b/>
          <w:i/>
          <w:color w:val="auto"/>
          <w:kern w:val="0"/>
          <w:sz w:val="24"/>
          <w:highlight w:val="none"/>
        </w:rPr>
      </w:pPr>
      <w:r>
        <w:rPr>
          <w:rFonts w:hint="eastAsia" w:asciiTheme="minorEastAsia" w:hAnsiTheme="minorEastAsia" w:eastAsiaTheme="minorEastAsia"/>
          <w:color w:val="auto"/>
          <w:kern w:val="0"/>
          <w:sz w:val="24"/>
          <w:highlight w:val="none"/>
        </w:rPr>
        <w:t>一、采购组织机构将组织评标委员会，对投标人提供的投标文件进行综合评审。</w:t>
      </w:r>
    </w:p>
    <w:p>
      <w:pPr>
        <w:autoSpaceDE w:val="0"/>
        <w:autoSpaceDN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二、本次招标项目的评标方法为综合评分法，总计100分。评标标准按以下</w:t>
      </w:r>
      <w:r>
        <w:rPr>
          <w:rFonts w:asciiTheme="minorEastAsia" w:hAnsiTheme="minorEastAsia" w:eastAsiaTheme="minorEastAsia"/>
          <w:color w:val="auto"/>
          <w:kern w:val="0"/>
          <w:sz w:val="24"/>
          <w:highlight w:val="none"/>
        </w:rPr>
        <w:t>2</w:t>
      </w:r>
      <w:r>
        <w:rPr>
          <w:rFonts w:hint="eastAsia" w:asciiTheme="minorEastAsia" w:hAnsiTheme="minorEastAsia" w:eastAsiaTheme="minorEastAsia"/>
          <w:color w:val="auto"/>
          <w:kern w:val="0"/>
          <w:sz w:val="24"/>
          <w:highlight w:val="none"/>
        </w:rPr>
        <w:t>项内容及分值进行评审。</w:t>
      </w:r>
    </w:p>
    <w:tbl>
      <w:tblPr>
        <w:tblStyle w:val="35"/>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5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388" w:type="dxa"/>
            <w:tcBorders>
              <w:tl2br w:val="single" w:color="auto" w:sz="4" w:space="0"/>
            </w:tcBorders>
          </w:tcPr>
          <w:p>
            <w:pPr>
              <w:autoSpaceDE w:val="0"/>
              <w:autoSpaceDN w:val="0"/>
              <w:adjustRightInd w:val="0"/>
              <w:spacing w:line="360" w:lineRule="auto"/>
              <w:jc w:val="left"/>
              <w:rPr>
                <w:rFonts w:ascii="宋体" w:hAnsi="宋体" w:cs="Arial"/>
                <w:color w:val="auto"/>
                <w:sz w:val="24"/>
                <w:highlight w:val="none"/>
              </w:rPr>
            </w:pPr>
            <w:r>
              <w:rPr>
                <w:rFonts w:hint="eastAsia" w:ascii="宋体" w:hAnsi="宋体" w:cs="Arial"/>
                <w:color w:val="auto"/>
                <w:sz w:val="24"/>
                <w:highlight w:val="none"/>
              </w:rPr>
              <w:t xml:space="preserve">          标段</w:t>
            </w:r>
          </w:p>
          <w:p>
            <w:pPr>
              <w:autoSpaceDE w:val="0"/>
              <w:autoSpaceDN w:val="0"/>
              <w:adjustRightInd w:val="0"/>
              <w:spacing w:line="360" w:lineRule="auto"/>
              <w:jc w:val="left"/>
              <w:rPr>
                <w:rFonts w:ascii="宋体" w:hAnsi="宋体" w:cs="Arial"/>
                <w:color w:val="auto"/>
                <w:sz w:val="24"/>
                <w:highlight w:val="none"/>
              </w:rPr>
            </w:pPr>
            <w:r>
              <w:rPr>
                <w:rFonts w:hint="eastAsia" w:ascii="宋体" w:hAnsi="宋体" w:cs="Arial"/>
                <w:color w:val="auto"/>
                <w:sz w:val="24"/>
                <w:highlight w:val="none"/>
              </w:rPr>
              <w:t>类别</w:t>
            </w:r>
          </w:p>
        </w:tc>
        <w:tc>
          <w:tcPr>
            <w:tcW w:w="5170" w:type="dxa"/>
            <w:vAlign w:val="center"/>
          </w:tcPr>
          <w:p>
            <w:pPr>
              <w:autoSpaceDE w:val="0"/>
              <w:autoSpaceDN w:val="0"/>
              <w:adjustRightInd w:val="0"/>
              <w:spacing w:line="360" w:lineRule="auto"/>
              <w:jc w:val="center"/>
              <w:rPr>
                <w:rFonts w:ascii="宋体" w:hAnsi="宋体" w:cs="Arial"/>
                <w:color w:val="auto"/>
                <w:sz w:val="24"/>
                <w:highlight w:val="none"/>
              </w:rPr>
            </w:pPr>
            <w:r>
              <w:rPr>
                <w:rFonts w:ascii="宋体" w:hAnsi="宋体" w:cs="Arial"/>
                <w:color w:val="auto"/>
                <w:sz w:val="24"/>
                <w:highlight w:val="none"/>
              </w:rPr>
              <w:fldChar w:fldCharType="begin"/>
            </w:r>
            <w:r>
              <w:rPr>
                <w:rFonts w:hint="eastAsia" w:ascii="宋体" w:hAnsi="宋体" w:cs="Arial"/>
                <w:color w:val="auto"/>
                <w:sz w:val="24"/>
                <w:highlight w:val="none"/>
              </w:rPr>
              <w:instrText xml:space="preserve">= 1 \* CHINESENUM3</w:instrText>
            </w:r>
            <w:r>
              <w:rPr>
                <w:rFonts w:ascii="宋体" w:hAnsi="宋体" w:cs="Arial"/>
                <w:color w:val="auto"/>
                <w:sz w:val="24"/>
                <w:highlight w:val="none"/>
              </w:rPr>
              <w:fldChar w:fldCharType="separate"/>
            </w:r>
            <w:r>
              <w:rPr>
                <w:rFonts w:hint="eastAsia" w:ascii="宋体" w:hAnsi="宋体" w:cs="Arial"/>
                <w:color w:val="auto"/>
                <w:sz w:val="24"/>
                <w:highlight w:val="none"/>
              </w:rPr>
              <w:t>一</w:t>
            </w:r>
            <w:r>
              <w:rPr>
                <w:rFonts w:ascii="宋体" w:hAnsi="宋体" w:cs="Arial"/>
                <w:color w:val="auto"/>
                <w:sz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388" w:type="dxa"/>
            <w:vAlign w:val="center"/>
          </w:tcPr>
          <w:p>
            <w:pPr>
              <w:autoSpaceDE w:val="0"/>
              <w:autoSpaceDN w:val="0"/>
              <w:adjustRightInd w:val="0"/>
              <w:spacing w:line="360" w:lineRule="auto"/>
              <w:jc w:val="center"/>
              <w:rPr>
                <w:rFonts w:ascii="宋体" w:hAnsi="宋体" w:cs="Arial"/>
                <w:color w:val="auto"/>
                <w:sz w:val="24"/>
                <w:highlight w:val="none"/>
              </w:rPr>
            </w:pPr>
            <w:r>
              <w:rPr>
                <w:rFonts w:hint="eastAsia" w:ascii="宋体" w:hAnsi="宋体"/>
                <w:color w:val="auto"/>
                <w:kern w:val="0"/>
                <w:sz w:val="24"/>
                <w:highlight w:val="none"/>
              </w:rPr>
              <w:t>商务</w:t>
            </w:r>
            <w:r>
              <w:rPr>
                <w:rFonts w:ascii="宋体" w:hAnsi="宋体"/>
                <w:color w:val="auto"/>
                <w:kern w:val="0"/>
                <w:sz w:val="24"/>
                <w:highlight w:val="none"/>
              </w:rPr>
              <w:t>与技术</w:t>
            </w:r>
          </w:p>
        </w:tc>
        <w:tc>
          <w:tcPr>
            <w:tcW w:w="5170" w:type="dxa"/>
            <w:vAlign w:val="center"/>
          </w:tcPr>
          <w:p>
            <w:pPr>
              <w:autoSpaceDE w:val="0"/>
              <w:autoSpaceDN w:val="0"/>
              <w:adjustRightInd w:val="0"/>
              <w:spacing w:line="360" w:lineRule="auto"/>
              <w:jc w:val="center"/>
              <w:rPr>
                <w:rFonts w:ascii="宋体" w:hAnsi="宋体" w:cs="Arial"/>
                <w:color w:val="auto"/>
                <w:sz w:val="24"/>
                <w:highlight w:val="none"/>
              </w:rPr>
            </w:pPr>
            <w:r>
              <w:rPr>
                <w:rFonts w:hint="eastAsia" w:ascii="宋体" w:hAnsi="宋体" w:cs="Arial"/>
                <w:color w:val="auto"/>
                <w:sz w:val="24"/>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388" w:type="dxa"/>
            <w:vAlign w:val="center"/>
          </w:tcPr>
          <w:p>
            <w:pPr>
              <w:autoSpaceDE w:val="0"/>
              <w:autoSpaceDN w:val="0"/>
              <w:adjustRightInd w:val="0"/>
              <w:spacing w:line="360" w:lineRule="auto"/>
              <w:jc w:val="center"/>
              <w:rPr>
                <w:rFonts w:ascii="宋体" w:hAnsi="宋体" w:cs="Arial"/>
                <w:color w:val="auto"/>
                <w:sz w:val="24"/>
                <w:highlight w:val="none"/>
              </w:rPr>
            </w:pPr>
            <w:r>
              <w:rPr>
                <w:rFonts w:hint="eastAsia" w:ascii="宋体" w:hAnsi="宋体"/>
                <w:color w:val="auto"/>
                <w:kern w:val="0"/>
                <w:sz w:val="24"/>
                <w:highlight w:val="none"/>
              </w:rPr>
              <w:t>价格</w:t>
            </w:r>
          </w:p>
        </w:tc>
        <w:tc>
          <w:tcPr>
            <w:tcW w:w="5170" w:type="dxa"/>
            <w:vAlign w:val="center"/>
          </w:tcPr>
          <w:p>
            <w:pPr>
              <w:autoSpaceDE w:val="0"/>
              <w:autoSpaceDN w:val="0"/>
              <w:adjustRightInd w:val="0"/>
              <w:spacing w:line="360" w:lineRule="auto"/>
              <w:jc w:val="center"/>
              <w:rPr>
                <w:rFonts w:ascii="宋体" w:hAnsi="宋体" w:cs="Arial"/>
                <w:color w:val="auto"/>
                <w:sz w:val="24"/>
                <w:highlight w:val="none"/>
              </w:rPr>
            </w:pPr>
            <w:r>
              <w:rPr>
                <w:rFonts w:hint="eastAsia" w:ascii="宋体" w:hAnsi="宋体" w:cs="Arial"/>
                <w:color w:val="auto"/>
                <w:sz w:val="24"/>
                <w:highlight w:val="none"/>
              </w:rPr>
              <w:t>30</w:t>
            </w:r>
          </w:p>
        </w:tc>
      </w:tr>
    </w:tbl>
    <w:p>
      <w:pPr>
        <w:numPr>
          <w:ilvl w:val="0"/>
          <w:numId w:val="6"/>
        </w:numPr>
        <w:autoSpaceDE w:val="0"/>
        <w:autoSpaceDN w:val="0"/>
        <w:adjustRightInd w:val="0"/>
        <w:spacing w:line="360" w:lineRule="auto"/>
        <w:ind w:right="84" w:firstLine="472"/>
        <w:rPr>
          <w:rFonts w:ascii="宋体"/>
          <w:bCs/>
          <w:color w:val="auto"/>
          <w:sz w:val="24"/>
          <w:highlight w:val="none"/>
          <w:lang w:val="zh-CN"/>
        </w:rPr>
      </w:pPr>
      <w:r>
        <w:rPr>
          <w:rFonts w:hint="eastAsia" w:ascii="宋体"/>
          <w:bCs/>
          <w:color w:val="auto"/>
          <w:sz w:val="24"/>
          <w:highlight w:val="none"/>
          <w:lang w:val="zh-CN"/>
        </w:rPr>
        <w:t>商务与技术文件由评标委员会独立打分。</w:t>
      </w:r>
    </w:p>
    <w:p>
      <w:pPr>
        <w:numPr>
          <w:ilvl w:val="0"/>
          <w:numId w:val="6"/>
        </w:numPr>
        <w:autoSpaceDE w:val="0"/>
        <w:autoSpaceDN w:val="0"/>
        <w:adjustRightInd w:val="0"/>
        <w:spacing w:line="360" w:lineRule="auto"/>
        <w:ind w:right="84" w:firstLine="472"/>
        <w:rPr>
          <w:rFonts w:ascii="宋体"/>
          <w:bCs/>
          <w:color w:val="auto"/>
          <w:sz w:val="24"/>
          <w:highlight w:val="none"/>
          <w:shd w:val="clear" w:color="FFFFFF" w:fill="D9D9D9"/>
          <w:lang w:val="zh-CN"/>
        </w:rPr>
      </w:pPr>
      <w:r>
        <w:rPr>
          <w:rFonts w:hint="eastAsia" w:ascii="宋体"/>
          <w:bCs/>
          <w:color w:val="auto"/>
          <w:sz w:val="24"/>
          <w:highlight w:val="none"/>
          <w:lang w:val="zh-CN"/>
        </w:rPr>
        <w:t>各投标人商务与技术文件</w:t>
      </w:r>
      <w:r>
        <w:rPr>
          <w:rFonts w:hint="eastAsia" w:ascii="宋体"/>
          <w:color w:val="auto"/>
          <w:kern w:val="0"/>
          <w:sz w:val="24"/>
          <w:highlight w:val="none"/>
          <w:lang w:val="zh-CN"/>
        </w:rPr>
        <w:t>得分按照评标委员会成</w:t>
      </w:r>
      <w:r>
        <w:rPr>
          <w:rFonts w:hint="eastAsia" w:ascii="宋体"/>
          <w:bCs/>
          <w:color w:val="auto"/>
          <w:sz w:val="24"/>
          <w:highlight w:val="none"/>
          <w:lang w:val="zh-CN"/>
        </w:rPr>
        <w:t>员的独立评分结果汇总后的算术平均分计算，计算公式为：</w:t>
      </w:r>
    </w:p>
    <w:p>
      <w:pPr>
        <w:autoSpaceDE w:val="0"/>
        <w:autoSpaceDN w:val="0"/>
        <w:adjustRightInd w:val="0"/>
        <w:spacing w:line="360" w:lineRule="auto"/>
        <w:ind w:right="84" w:firstLine="472"/>
        <w:rPr>
          <w:rFonts w:ascii="宋体"/>
          <w:bCs/>
          <w:color w:val="auto"/>
          <w:sz w:val="24"/>
          <w:highlight w:val="none"/>
          <w:shd w:val="clear" w:color="FFFFFF" w:fill="D9D9D9"/>
          <w:lang w:val="zh-CN"/>
        </w:rPr>
      </w:pPr>
      <w:r>
        <w:rPr>
          <w:rFonts w:hint="eastAsia" w:ascii="宋体" w:hAnsi="宋体"/>
          <w:color w:val="auto"/>
          <w:sz w:val="24"/>
          <w:highlight w:val="none"/>
        </w:rPr>
        <w:t>商务与技术文件得分</w:t>
      </w:r>
      <w:r>
        <w:rPr>
          <w:rFonts w:hint="eastAsia" w:ascii="宋体"/>
          <w:bCs/>
          <w:color w:val="auto"/>
          <w:sz w:val="24"/>
          <w:highlight w:val="none"/>
          <w:lang w:val="zh-CN"/>
        </w:rPr>
        <w:t>=评标委员会所有成员评分合计数/评标委员会组成人员数。</w:t>
      </w:r>
    </w:p>
    <w:p>
      <w:pPr>
        <w:autoSpaceDE w:val="0"/>
        <w:autoSpaceDN w:val="0"/>
        <w:adjustRightInd w:val="0"/>
        <w:spacing w:line="360" w:lineRule="auto"/>
        <w:ind w:right="85" w:firstLine="240" w:firstLineChars="100"/>
        <w:rPr>
          <w:rFonts w:ascii="宋体"/>
          <w:color w:val="auto"/>
          <w:sz w:val="24"/>
          <w:highlight w:val="none"/>
          <w:lang w:val="zh-CN"/>
        </w:rPr>
      </w:pPr>
      <w:r>
        <w:rPr>
          <w:rFonts w:hint="eastAsia" w:ascii="宋体"/>
          <w:bCs/>
          <w:color w:val="auto"/>
          <w:sz w:val="24"/>
          <w:highlight w:val="none"/>
          <w:lang w:val="zh-CN"/>
        </w:rPr>
        <w:t>（三）</w:t>
      </w:r>
      <w:r>
        <w:rPr>
          <w:rFonts w:hint="eastAsia" w:ascii="宋体"/>
          <w:color w:val="auto"/>
          <w:sz w:val="24"/>
          <w:highlight w:val="none"/>
          <w:lang w:val="zh-CN"/>
        </w:rPr>
        <w:t>投标报价得分采用低价优先法计算，即满足招标文件要求的最低投标报价为评标基准价，其报价得满分。其他投标人的投标报价得分按下列公式计算：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olor w:val="auto"/>
          <w:sz w:val="24"/>
          <w:highlight w:val="none"/>
          <w:u w:val="single"/>
        </w:rPr>
      </w:pPr>
      <w:r>
        <w:rPr>
          <w:rFonts w:hint="eastAsia"/>
          <w:color w:val="auto"/>
          <w:sz w:val="24"/>
          <w:highlight w:val="none"/>
        </w:rPr>
        <w:t>投标报价得</w:t>
      </w:r>
      <w:r>
        <w:rPr>
          <w:color w:val="auto"/>
          <w:sz w:val="24"/>
          <w:highlight w:val="none"/>
        </w:rPr>
        <w:t>分=(评标基准价／</w:t>
      </w:r>
      <w:r>
        <w:rPr>
          <w:rFonts w:hint="eastAsia" w:ascii="宋体" w:hAnsi="宋体" w:cs="宋体"/>
          <w:color w:val="auto"/>
          <w:sz w:val="24"/>
          <w:highlight w:val="none"/>
        </w:rPr>
        <w:t>投标报价</w:t>
      </w:r>
      <w:r>
        <w:rPr>
          <w:rFonts w:ascii="宋体" w:hAnsi="宋体"/>
          <w:color w:val="auto"/>
          <w:sz w:val="24"/>
          <w:highlight w:val="none"/>
        </w:rPr>
        <w:t>)×</w:t>
      </w:r>
      <w:r>
        <w:rPr>
          <w:rFonts w:hint="eastAsia" w:ascii="宋体" w:hAnsi="宋体"/>
          <w:color w:val="auto"/>
          <w:sz w:val="24"/>
          <w:highlight w:val="none"/>
        </w:rPr>
        <w:t>30%</w:t>
      </w:r>
      <w:r>
        <w:rPr>
          <w:rFonts w:ascii="宋体" w:hAnsi="宋体"/>
          <w:color w:val="auto"/>
          <w:sz w:val="24"/>
          <w:highlight w:val="none"/>
        </w:rPr>
        <w:t>×100</w:t>
      </w:r>
      <w:r>
        <w:rPr>
          <w:rFonts w:hint="eastAsia" w:ascii="宋体" w:hAnsi="宋体"/>
          <w:color w:val="auto"/>
          <w:sz w:val="24"/>
          <w:highlight w:val="none"/>
        </w:rPr>
        <w:t xml:space="preserve"> 。</w:t>
      </w:r>
    </w:p>
    <w:p>
      <w:pPr>
        <w:autoSpaceDE w:val="0"/>
        <w:autoSpaceDN w:val="0"/>
        <w:adjustRightInd w:val="0"/>
        <w:spacing w:line="360" w:lineRule="auto"/>
        <w:ind w:right="85" w:firstLine="240" w:firstLineChars="100"/>
        <w:rPr>
          <w:rFonts w:ascii="宋体"/>
          <w:color w:val="auto"/>
          <w:sz w:val="24"/>
          <w:highlight w:val="none"/>
          <w:lang w:val="zh-CN"/>
        </w:rPr>
      </w:pPr>
      <w:r>
        <w:rPr>
          <w:rFonts w:hint="eastAsia" w:ascii="宋体"/>
          <w:color w:val="auto"/>
          <w:sz w:val="24"/>
          <w:highlight w:val="none"/>
          <w:lang w:val="zh-CN"/>
        </w:rPr>
        <w:t>（四）本项目专门面向中小企业采购，不再执行价格评审优惠的扶持政策。</w:t>
      </w:r>
      <w:r>
        <w:rPr>
          <w:rFonts w:hint="eastAsia" w:ascii="宋体"/>
          <w:color w:val="auto"/>
          <w:sz w:val="24"/>
          <w:highlight w:val="none"/>
        </w:rPr>
        <w:t xml:space="preserve">  </w:t>
      </w:r>
    </w:p>
    <w:p>
      <w:pPr>
        <w:autoSpaceDE w:val="0"/>
        <w:autoSpaceDN w:val="0"/>
        <w:adjustRightInd w:val="0"/>
        <w:spacing w:line="360" w:lineRule="auto"/>
        <w:ind w:left="472" w:right="85"/>
        <w:rPr>
          <w:rFonts w:ascii="宋体"/>
          <w:color w:val="auto"/>
          <w:sz w:val="24"/>
          <w:highlight w:val="none"/>
          <w:lang w:val="zh-CN"/>
        </w:rPr>
      </w:pPr>
      <w:r>
        <w:rPr>
          <w:rFonts w:hint="eastAsia" w:ascii="宋体"/>
          <w:color w:val="auto"/>
          <w:sz w:val="24"/>
          <w:highlight w:val="none"/>
          <w:lang w:val="zh-CN"/>
        </w:rPr>
        <w:t>注：保留2位小数。</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四、如综合得分相同，投标报价低者为先；如综合得分且投标报价相同的，货物类采购项目以技术性能得分较高者为先。</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五、提供相同品牌产品的不同投标人参加同一合同项下投标的，按一家供应商认定：评审后得分最高的同品牌投标人获得中标人推荐资格；评审得分相同的，由评标委员会集体推荐一个投标人作为中标候选人，其他同品牌投标人不作为中标候选人。</w:t>
      </w:r>
    </w:p>
    <w:p>
      <w:pPr>
        <w:spacing w:line="360" w:lineRule="auto"/>
        <w:ind w:firstLine="480" w:firstLineChars="200"/>
        <w:textAlignment w:val="baseline"/>
        <w:rPr>
          <w:rFonts w:ascii="宋体" w:hAnsi="宋体" w:cs="新宋体"/>
          <w:color w:val="auto"/>
          <w:sz w:val="24"/>
          <w:highlight w:val="none"/>
        </w:rPr>
      </w:pPr>
      <w:r>
        <w:rPr>
          <w:rFonts w:hint="eastAsia" w:asciiTheme="minorEastAsia" w:hAnsiTheme="minorEastAsia" w:eastAsiaTheme="minorEastAsia"/>
          <w:color w:val="auto"/>
          <w:kern w:val="0"/>
          <w:sz w:val="24"/>
          <w:highlight w:val="none"/>
        </w:rPr>
        <w:t>六、本次评分具体分值细化条款</w:t>
      </w:r>
      <w:r>
        <w:rPr>
          <w:rFonts w:hint="eastAsia" w:ascii="宋体" w:hAnsi="宋体" w:cs="新宋体"/>
          <w:color w:val="auto"/>
          <w:sz w:val="24"/>
          <w:highlight w:val="none"/>
        </w:rPr>
        <w:t>如下表：</w:t>
      </w:r>
    </w:p>
    <w:tbl>
      <w:tblPr>
        <w:tblStyle w:val="35"/>
        <w:tblW w:w="10034"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087"/>
        <w:gridCol w:w="6971"/>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51" w:type="dxa"/>
            <w:shd w:val="clear" w:color="auto" w:fill="DDDDDD"/>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评分项目</w:t>
            </w:r>
          </w:p>
        </w:tc>
        <w:tc>
          <w:tcPr>
            <w:tcW w:w="8058" w:type="dxa"/>
            <w:gridSpan w:val="2"/>
            <w:shd w:val="clear" w:color="auto" w:fill="DDDDDD"/>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评分细则</w:t>
            </w:r>
          </w:p>
        </w:tc>
        <w:tc>
          <w:tcPr>
            <w:tcW w:w="825" w:type="dxa"/>
            <w:shd w:val="clear" w:color="auto" w:fill="DDDDDD"/>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trPr>
        <w:tc>
          <w:tcPr>
            <w:tcW w:w="1151"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技术性能51分</w:t>
            </w:r>
          </w:p>
        </w:tc>
        <w:tc>
          <w:tcPr>
            <w:tcW w:w="1087" w:type="dxa"/>
            <w:vMerge w:val="restart"/>
            <w:vAlign w:val="center"/>
          </w:tcPr>
          <w:p>
            <w:pPr>
              <w:pStyle w:val="107"/>
              <w:spacing w:line="360" w:lineRule="auto"/>
              <w:jc w:val="center"/>
              <w:rPr>
                <w:rFonts w:hAnsi="宋体"/>
                <w:color w:val="auto"/>
                <w:highlight w:val="none"/>
              </w:rPr>
            </w:pPr>
            <w:r>
              <w:rPr>
                <w:rFonts w:hint="eastAsia" w:hAnsi="宋体"/>
                <w:color w:val="auto"/>
                <w:highlight w:val="none"/>
              </w:rPr>
              <w:t>安装施工组织方案</w:t>
            </w:r>
          </w:p>
          <w:p>
            <w:pPr>
              <w:spacing w:line="360" w:lineRule="auto"/>
              <w:rPr>
                <w:rFonts w:ascii="宋体" w:hAnsi="宋体" w:cs="宋体"/>
                <w:color w:val="auto"/>
                <w:sz w:val="24"/>
                <w:highlight w:val="none"/>
              </w:rPr>
            </w:pPr>
            <w:r>
              <w:rPr>
                <w:rFonts w:hint="eastAsia" w:ascii="宋体" w:hAnsi="宋体" w:cs="宋体"/>
                <w:color w:val="auto"/>
                <w:sz w:val="24"/>
                <w:highlight w:val="none"/>
              </w:rPr>
              <w:t>（包括交通组织方案）</w:t>
            </w:r>
          </w:p>
        </w:tc>
        <w:tc>
          <w:tcPr>
            <w:tcW w:w="6971" w:type="dxa"/>
            <w:vAlign w:val="center"/>
          </w:tcPr>
          <w:p>
            <w:pPr>
              <w:pStyle w:val="48"/>
              <w:widowControl/>
              <w:spacing w:line="360" w:lineRule="auto"/>
              <w:ind w:firstLine="0" w:firstLineChars="0"/>
              <w:jc w:val="left"/>
              <w:rPr>
                <w:rFonts w:ascii="宋体" w:hAnsi="宋体" w:cs="宋体"/>
                <w:color w:val="auto"/>
                <w:sz w:val="24"/>
                <w:szCs w:val="24"/>
                <w:highlight w:val="none"/>
              </w:rPr>
            </w:pPr>
            <w:r>
              <w:rPr>
                <w:rFonts w:hint="eastAsia" w:ascii="宋体" w:hAnsi="宋体" w:cs="宋体"/>
                <w:color w:val="auto"/>
                <w:sz w:val="24"/>
                <w:szCs w:val="24"/>
                <w:highlight w:val="none"/>
              </w:rPr>
              <w:t>施工技术、安全方案：详细阐述项目方案的实现思路及关键技术，以及实施计划的建议和安全保障措施。评委根据投标人提供的施工技术、安全方案打分：</w:t>
            </w:r>
          </w:p>
          <w:p>
            <w:pPr>
              <w:spacing w:line="360" w:lineRule="auto"/>
              <w:rPr>
                <w:rFonts w:ascii="宋体" w:hAnsi="宋体" w:cs="宋体"/>
                <w:color w:val="auto"/>
                <w:sz w:val="24"/>
                <w:highlight w:val="none"/>
              </w:rPr>
            </w:pPr>
            <w:r>
              <w:rPr>
                <w:rFonts w:hint="eastAsia" w:ascii="宋体" w:hAnsi="宋体" w:cs="宋体"/>
                <w:color w:val="auto"/>
                <w:sz w:val="24"/>
                <w:highlight w:val="none"/>
              </w:rPr>
              <w:t>项目情况认识深刻、重点难点分析非常准确透彻,方案措施到位、技术全面先进、详细、准确贴合实际的6.0-4.5分；</w:t>
            </w:r>
          </w:p>
          <w:p>
            <w:pPr>
              <w:spacing w:line="360" w:lineRule="auto"/>
              <w:rPr>
                <w:rFonts w:ascii="宋体" w:hAnsi="宋体" w:cs="宋体"/>
                <w:color w:val="auto"/>
                <w:sz w:val="24"/>
                <w:highlight w:val="none"/>
              </w:rPr>
            </w:pPr>
            <w:r>
              <w:rPr>
                <w:rFonts w:hint="eastAsia" w:ascii="宋体" w:hAnsi="宋体" w:cs="宋体"/>
                <w:color w:val="auto"/>
                <w:sz w:val="24"/>
                <w:highlight w:val="none"/>
              </w:rPr>
              <w:t>项目现状认识一般、重点难点分析基本准确，施工方案作出了详细、准确的阐述，但方案针对项目的实际情况，提供技术比较简单，得4.4-3.0分；</w:t>
            </w:r>
          </w:p>
          <w:p>
            <w:pPr>
              <w:spacing w:line="360" w:lineRule="auto"/>
              <w:rPr>
                <w:rFonts w:ascii="宋体" w:hAnsi="宋体" w:cs="宋体"/>
                <w:color w:val="auto"/>
                <w:sz w:val="24"/>
                <w:highlight w:val="none"/>
              </w:rPr>
            </w:pPr>
            <w:r>
              <w:rPr>
                <w:rFonts w:hint="eastAsia" w:ascii="宋体" w:hAnsi="宋体" w:cs="宋体"/>
                <w:color w:val="auto"/>
                <w:sz w:val="24"/>
                <w:highlight w:val="none"/>
              </w:rPr>
              <w:t>项目现状认识不足，实施方案简单，提供技术和方案不完整的，2.9-1.5分；</w:t>
            </w:r>
          </w:p>
          <w:p>
            <w:pPr>
              <w:pStyle w:val="48"/>
              <w:widowControl/>
              <w:spacing w:line="360" w:lineRule="auto"/>
              <w:ind w:firstLine="0" w:firstLineChars="0"/>
              <w:jc w:val="left"/>
              <w:rPr>
                <w:rFonts w:ascii="宋体" w:hAnsi="宋体" w:cs="宋体"/>
                <w:color w:val="auto"/>
                <w:sz w:val="24"/>
                <w:szCs w:val="24"/>
                <w:highlight w:val="none"/>
              </w:rPr>
            </w:pPr>
            <w:r>
              <w:rPr>
                <w:rFonts w:hint="eastAsia" w:ascii="宋体" w:hAnsi="宋体" w:cs="宋体"/>
                <w:color w:val="auto"/>
                <w:sz w:val="24"/>
                <w:szCs w:val="24"/>
                <w:highlight w:val="none"/>
              </w:rPr>
              <w:t>提供的方案不明确，缺乏具体内容，或未提供相关技术方案 1.4-0分。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Merge w:val="continue"/>
            <w:vAlign w:val="center"/>
          </w:tcPr>
          <w:p>
            <w:pPr>
              <w:spacing w:line="360" w:lineRule="auto"/>
              <w:jc w:val="center"/>
              <w:rPr>
                <w:rFonts w:ascii="宋体" w:hAnsi="宋体" w:cs="宋体"/>
                <w:color w:val="auto"/>
                <w:sz w:val="24"/>
                <w:highlight w:val="none"/>
              </w:rPr>
            </w:pPr>
          </w:p>
        </w:tc>
        <w:tc>
          <w:tcPr>
            <w:tcW w:w="697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设备材料安装、调试方案：项目安装、验收标准等相关设施施工完毕后的测试方案和手段。评委根据投标人提供的设备材料安装、调试方案打分：结合项目实际，内容完善，可操作性强的，得3-2.0分；方案内容较详细，可操作性较强的，得1.9-1分；方案内容欠缺的，得0.9-0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Merge w:val="continue"/>
            <w:vAlign w:val="center"/>
          </w:tcPr>
          <w:p>
            <w:pPr>
              <w:spacing w:line="360" w:lineRule="auto"/>
              <w:jc w:val="center"/>
              <w:rPr>
                <w:rFonts w:ascii="宋体" w:hAnsi="宋体" w:cs="宋体"/>
                <w:color w:val="auto"/>
                <w:sz w:val="24"/>
                <w:highlight w:val="none"/>
              </w:rPr>
            </w:pPr>
          </w:p>
        </w:tc>
        <w:tc>
          <w:tcPr>
            <w:tcW w:w="697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质量保障措施：从杆件、信号灯灯具、机箱的供货、制作、安装，信号灯的维护及备品备件的准备、窨井设置、过街管路铺设、顶管埋设、防雷接地等各个环节采取的各项保障措施打分。保障措施高效有力、技术全面先进的 3-2.0分，措施力度稍欠，技术较普通的 1.9-1分；方案片面，缺乏具体防障措施的 0.9-0分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Merge w:val="continue"/>
            <w:vAlign w:val="center"/>
          </w:tcPr>
          <w:p>
            <w:pPr>
              <w:pStyle w:val="107"/>
              <w:spacing w:line="360" w:lineRule="auto"/>
              <w:rPr>
                <w:rFonts w:hAnsi="宋体"/>
                <w:color w:val="auto"/>
                <w:highlight w:val="none"/>
              </w:rPr>
            </w:pPr>
          </w:p>
        </w:tc>
        <w:tc>
          <w:tcPr>
            <w:tcW w:w="697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文明规范施工：针对信号灯F杆基础开挖、现场渣土清理、浇筑、杆件安装、过程中整体工艺流程及相关安全防护的要求制定方案。</w:t>
            </w:r>
          </w:p>
          <w:p>
            <w:pPr>
              <w:spacing w:line="360" w:lineRule="auto"/>
              <w:rPr>
                <w:rFonts w:ascii="宋体" w:hAnsi="宋体" w:cs="宋体"/>
                <w:color w:val="auto"/>
                <w:sz w:val="24"/>
                <w:highlight w:val="none"/>
              </w:rPr>
            </w:pPr>
            <w:r>
              <w:rPr>
                <w:rFonts w:hint="eastAsia" w:ascii="宋体" w:hAnsi="宋体" w:cs="宋体"/>
                <w:color w:val="auto"/>
                <w:sz w:val="24"/>
                <w:highlight w:val="none"/>
              </w:rPr>
              <w:t>评委根据各个环节采取的各项措施来进行评价。</w:t>
            </w:r>
          </w:p>
          <w:p>
            <w:pPr>
              <w:spacing w:line="360" w:lineRule="auto"/>
              <w:rPr>
                <w:rFonts w:ascii="宋体" w:hAnsi="宋体" w:cs="宋体"/>
                <w:color w:val="auto"/>
                <w:sz w:val="24"/>
                <w:highlight w:val="none"/>
              </w:rPr>
            </w:pPr>
            <w:r>
              <w:rPr>
                <w:rFonts w:hint="eastAsia" w:ascii="宋体" w:hAnsi="宋体" w:cs="宋体"/>
                <w:color w:val="auto"/>
                <w:sz w:val="24"/>
                <w:highlight w:val="none"/>
              </w:rPr>
              <w:t>施工方案完整清晰，贴合项目实际，可操作性强的，得4-2.5分；施工方案较完整，可操作性较强的，得2.4-1.0分；施工方案内容不足的得0.9-0分。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151" w:type="dxa"/>
            <w:vMerge w:val="continue"/>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1087" w:type="dxa"/>
            <w:vMerge w:val="continue"/>
            <w:vAlign w:val="center"/>
          </w:tcPr>
          <w:p>
            <w:pPr>
              <w:pStyle w:val="107"/>
              <w:spacing w:line="360" w:lineRule="auto"/>
              <w:rPr>
                <w:rFonts w:hAnsi="宋体"/>
                <w:color w:val="auto"/>
                <w:highlight w:val="none"/>
              </w:rPr>
            </w:pPr>
          </w:p>
        </w:tc>
        <w:tc>
          <w:tcPr>
            <w:tcW w:w="697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施工期间交通组织：</w:t>
            </w:r>
          </w:p>
          <w:p>
            <w:pPr>
              <w:spacing w:line="360" w:lineRule="auto"/>
              <w:rPr>
                <w:rFonts w:ascii="宋体" w:hAnsi="宋体" w:cs="宋体"/>
                <w:color w:val="auto"/>
                <w:sz w:val="24"/>
                <w:highlight w:val="none"/>
              </w:rPr>
            </w:pPr>
            <w:r>
              <w:rPr>
                <w:rFonts w:hint="eastAsia" w:ascii="宋体" w:hAnsi="宋体" w:cs="宋体"/>
                <w:color w:val="auto"/>
                <w:sz w:val="24"/>
                <w:highlight w:val="none"/>
              </w:rPr>
              <w:t>1、组织机构、工作时间进度表、工作程序和步骤、管理和协调方法等。评委根据投标人提供的方案，进行打分。服务方案明确，流程规范性强的，得2-1.3分；方案内容较详细，流程规范较强的，得1.2-0.7分；方案内容不足的，得0.6-0分。</w:t>
            </w:r>
          </w:p>
          <w:p>
            <w:pPr>
              <w:spacing w:line="360" w:lineRule="auto"/>
              <w:rPr>
                <w:rFonts w:ascii="宋体" w:hAnsi="宋体" w:cs="宋体"/>
                <w:color w:val="auto"/>
                <w:sz w:val="24"/>
                <w:highlight w:val="none"/>
              </w:rPr>
            </w:pPr>
            <w:r>
              <w:rPr>
                <w:rFonts w:hint="eastAsia" w:ascii="宋体" w:hAnsi="宋体" w:cs="宋体"/>
                <w:color w:val="auto"/>
                <w:sz w:val="24"/>
                <w:highlight w:val="none"/>
              </w:rPr>
              <w:t>2、施工人员的培训、着装、各种道路条件下（含夜间、车流量人流量密集等情况）的施工期间临时交通安全设施的设置及安全管理的相关制度等。方案明确合理，措施制度性强的，得2-1.3分；方案较详细，措施制度较强的，得1.2-0.7分；方案内容不足的，得0.6-0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Merge w:val="continue"/>
            <w:vAlign w:val="center"/>
          </w:tcPr>
          <w:p>
            <w:pPr>
              <w:pStyle w:val="107"/>
              <w:spacing w:line="360" w:lineRule="auto"/>
              <w:rPr>
                <w:rFonts w:hAnsi="宋体"/>
                <w:color w:val="auto"/>
                <w:highlight w:val="none"/>
              </w:rPr>
            </w:pPr>
          </w:p>
        </w:tc>
        <w:tc>
          <w:tcPr>
            <w:tcW w:w="697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根据工程施工需要，投标人提前制作基础开挖施工现场安全设施设置进行模拟演练，并提供相关资料和照片，作为日后考核依据。评委根据投标人提供的方案进行打分，</w:t>
            </w:r>
          </w:p>
          <w:p>
            <w:pPr>
              <w:spacing w:line="360" w:lineRule="auto"/>
              <w:rPr>
                <w:rFonts w:ascii="宋体" w:hAnsi="宋体" w:cs="宋体"/>
                <w:color w:val="auto"/>
                <w:sz w:val="24"/>
                <w:highlight w:val="none"/>
              </w:rPr>
            </w:pPr>
            <w:r>
              <w:rPr>
                <w:rFonts w:hint="eastAsia" w:ascii="宋体" w:hAnsi="宋体" w:cs="宋体"/>
                <w:color w:val="auto"/>
                <w:sz w:val="24"/>
                <w:highlight w:val="none"/>
              </w:rPr>
              <w:t>方案措施到位、技术全面先进的对具体的实施方案作出了详细、准确的阐述，且项目方案贴合实际的，措施到位，提供完整的资料和照片的得4-3.0分，</w:t>
            </w:r>
          </w:p>
          <w:p>
            <w:pPr>
              <w:spacing w:line="360" w:lineRule="auto"/>
              <w:rPr>
                <w:rFonts w:ascii="宋体" w:hAnsi="宋体" w:cs="宋体"/>
                <w:color w:val="auto"/>
                <w:sz w:val="24"/>
                <w:highlight w:val="none"/>
              </w:rPr>
            </w:pPr>
            <w:r>
              <w:rPr>
                <w:rFonts w:hint="eastAsia" w:ascii="宋体" w:hAnsi="宋体" w:cs="宋体"/>
                <w:color w:val="auto"/>
                <w:sz w:val="24"/>
                <w:highlight w:val="none"/>
              </w:rPr>
              <w:t>对具体的实施方案作出了详细、准确的阐述，但方案针对项目的实际情况，提供的资料和照片比较简单，得2.9-2分；</w:t>
            </w:r>
          </w:p>
          <w:p>
            <w:pPr>
              <w:spacing w:line="360" w:lineRule="auto"/>
              <w:rPr>
                <w:rFonts w:ascii="宋体" w:hAnsi="宋体" w:cs="宋体"/>
                <w:color w:val="auto"/>
                <w:sz w:val="24"/>
                <w:highlight w:val="none"/>
              </w:rPr>
            </w:pPr>
            <w:r>
              <w:rPr>
                <w:rFonts w:hint="eastAsia" w:ascii="宋体" w:hAnsi="宋体" w:cs="宋体"/>
                <w:color w:val="auto"/>
                <w:sz w:val="24"/>
                <w:highlight w:val="none"/>
              </w:rPr>
              <w:t>方案只包含了招标需求中的部分内容演练，实施方案简单，针对实际情况提供资料和照片片面不完整的，1.9-1分，</w:t>
            </w:r>
          </w:p>
          <w:p>
            <w:pPr>
              <w:spacing w:line="360" w:lineRule="auto"/>
              <w:rPr>
                <w:rFonts w:ascii="宋体" w:hAnsi="宋体" w:cs="宋体"/>
                <w:color w:val="auto"/>
                <w:sz w:val="24"/>
                <w:highlight w:val="none"/>
              </w:rPr>
            </w:pPr>
            <w:r>
              <w:rPr>
                <w:rFonts w:hint="eastAsia" w:ascii="宋体" w:hAnsi="宋体" w:cs="宋体"/>
                <w:color w:val="auto"/>
                <w:sz w:val="24"/>
                <w:highlight w:val="none"/>
              </w:rPr>
              <w:t>提供的方案不明确，缺乏具体内容，未提供资料和照片的 0.9-0分。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Align w:val="center"/>
          </w:tcPr>
          <w:p>
            <w:pPr>
              <w:pStyle w:val="107"/>
              <w:spacing w:line="360" w:lineRule="auto"/>
              <w:rPr>
                <w:rFonts w:hAnsi="宋体"/>
                <w:color w:val="auto"/>
                <w:highlight w:val="none"/>
              </w:rPr>
            </w:pPr>
            <w:r>
              <w:rPr>
                <w:rFonts w:hint="eastAsia" w:hAnsi="宋体"/>
                <w:color w:val="auto"/>
                <w:highlight w:val="none"/>
              </w:rPr>
              <w:t>施工现场车辆方案</w:t>
            </w:r>
          </w:p>
        </w:tc>
        <w:tc>
          <w:tcPr>
            <w:tcW w:w="6971" w:type="dxa"/>
            <w:vAlign w:val="center"/>
          </w:tcPr>
          <w:p>
            <w:pPr>
              <w:spacing w:line="360" w:lineRule="auto"/>
              <w:rPr>
                <w:rFonts w:ascii="宋体" w:hAnsi="宋体" w:cs="宋体"/>
                <w:bCs/>
                <w:color w:val="auto"/>
                <w:sz w:val="24"/>
                <w:highlight w:val="none"/>
              </w:rPr>
            </w:pPr>
            <w:r>
              <w:rPr>
                <w:rFonts w:hint="eastAsia" w:ascii="宋体" w:hAnsi="宋体" w:cs="宋体"/>
                <w:color w:val="auto"/>
                <w:sz w:val="24"/>
                <w:highlight w:val="none"/>
              </w:rPr>
              <w:t>现场施工车辆：</w:t>
            </w:r>
            <w:r>
              <w:rPr>
                <w:rFonts w:hint="eastAsia" w:ascii="宋体" w:hAnsi="宋体" w:cs="宋体"/>
                <w:bCs/>
                <w:color w:val="auto"/>
                <w:sz w:val="24"/>
                <w:highlight w:val="none"/>
              </w:rPr>
              <w:t>包括吊车、登高车、货车及其它工程作业车辆等。</w:t>
            </w:r>
          </w:p>
          <w:p>
            <w:pPr>
              <w:spacing w:line="360" w:lineRule="auto"/>
              <w:rPr>
                <w:rFonts w:ascii="宋体" w:hAnsi="宋体" w:cs="宋体"/>
                <w:color w:val="auto"/>
                <w:sz w:val="24"/>
                <w:highlight w:val="none"/>
              </w:rPr>
            </w:pPr>
            <w:r>
              <w:rPr>
                <w:rFonts w:hint="eastAsia" w:ascii="宋体" w:hAnsi="宋体" w:cs="宋体"/>
                <w:bCs/>
                <w:color w:val="auto"/>
                <w:sz w:val="24"/>
                <w:highlight w:val="none"/>
              </w:rPr>
              <w:t>1、提供货车及其它工程作业车辆（不含吊车、登高车）3辆的得1分，4</w:t>
            </w:r>
            <w:r>
              <w:rPr>
                <w:rFonts w:hint="eastAsia" w:ascii="宋体" w:hAnsi="宋体" w:cs="宋体"/>
                <w:color w:val="auto"/>
                <w:sz w:val="24"/>
                <w:highlight w:val="none"/>
              </w:rPr>
              <w:t>辆</w:t>
            </w:r>
            <w:r>
              <w:rPr>
                <w:rFonts w:hint="eastAsia" w:ascii="宋体" w:hAnsi="宋体" w:cs="宋体"/>
                <w:bCs/>
                <w:color w:val="auto"/>
                <w:sz w:val="24"/>
                <w:highlight w:val="none"/>
              </w:rPr>
              <w:t>及以上得2分。</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2、提供的登高车1辆得1分，</w:t>
            </w:r>
            <w:r>
              <w:rPr>
                <w:rFonts w:ascii="宋体" w:hAnsi="宋体" w:cs="宋体"/>
                <w:bCs/>
                <w:color w:val="auto"/>
                <w:sz w:val="24"/>
                <w:highlight w:val="none"/>
              </w:rPr>
              <w:t>2</w:t>
            </w:r>
            <w:r>
              <w:rPr>
                <w:rFonts w:hint="eastAsia" w:ascii="宋体" w:hAnsi="宋体" w:cs="宋体"/>
                <w:bCs/>
                <w:color w:val="auto"/>
                <w:sz w:val="24"/>
                <w:highlight w:val="none"/>
              </w:rPr>
              <w:t>辆及以上得2分。</w:t>
            </w:r>
          </w:p>
          <w:p>
            <w:pPr>
              <w:spacing w:line="360" w:lineRule="auto"/>
              <w:rPr>
                <w:rFonts w:ascii="宋体" w:hAnsi="宋体" w:cs="宋体"/>
                <w:color w:val="auto"/>
                <w:sz w:val="24"/>
                <w:highlight w:val="none"/>
              </w:rPr>
            </w:pPr>
            <w:r>
              <w:rPr>
                <w:rFonts w:hint="eastAsia" w:ascii="宋体" w:hAnsi="宋体" w:cs="宋体"/>
                <w:bCs/>
                <w:color w:val="auto"/>
                <w:sz w:val="24"/>
                <w:highlight w:val="none"/>
              </w:rPr>
              <w:t>3、提供吊车（含货车吊车一体的）的得1分，不提供不得分。</w:t>
            </w:r>
          </w:p>
          <w:p>
            <w:pPr>
              <w:spacing w:line="360" w:lineRule="auto"/>
              <w:rPr>
                <w:rFonts w:ascii="宋体" w:hAnsi="宋体" w:cs="宋体"/>
                <w:bCs/>
                <w:color w:val="auto"/>
                <w:sz w:val="24"/>
                <w:highlight w:val="none"/>
              </w:rPr>
            </w:pPr>
            <w:r>
              <w:rPr>
                <w:rFonts w:hint="eastAsia" w:ascii="宋体" w:hAnsi="宋体" w:cs="宋体"/>
                <w:color w:val="auto"/>
                <w:sz w:val="24"/>
                <w:highlight w:val="none"/>
              </w:rPr>
              <w:t>如是租赁的，需提供租赁合同。租赁期限需超过本项目期限。</w:t>
            </w:r>
          </w:p>
          <w:p>
            <w:pPr>
              <w:spacing w:line="360" w:lineRule="auto"/>
              <w:rPr>
                <w:rFonts w:ascii="宋体" w:hAnsi="宋体" w:cs="宋体"/>
                <w:b/>
                <w:color w:val="auto"/>
                <w:sz w:val="24"/>
                <w:highlight w:val="none"/>
              </w:rPr>
            </w:pPr>
            <w:r>
              <w:rPr>
                <w:rFonts w:hint="eastAsia" w:ascii="宋体" w:hAnsi="宋体" w:cs="宋体"/>
                <w:b/>
                <w:bCs/>
                <w:color w:val="auto"/>
                <w:sz w:val="24"/>
                <w:highlight w:val="none"/>
              </w:rPr>
              <w:t>需提供有效的车辆行驶证扫描件</w:t>
            </w:r>
            <w:r>
              <w:rPr>
                <w:rFonts w:hint="eastAsia" w:ascii="宋体" w:hAnsi="宋体" w:cs="宋体"/>
                <w:b/>
                <w:color w:val="auto"/>
                <w:sz w:val="24"/>
                <w:highlight w:val="none"/>
              </w:rPr>
              <w:t>。</w:t>
            </w:r>
            <w:r>
              <w:rPr>
                <w:rFonts w:hint="eastAsia" w:ascii="宋体" w:hAnsi="宋体" w:cs="宋体"/>
                <w:bCs/>
                <w:color w:val="auto"/>
                <w:sz w:val="24"/>
                <w:highlight w:val="none"/>
              </w:rPr>
              <w:t>作业车辆必须符合台州市相关交通管理要求,以上车辆必须为本项目服务，不得他用。</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项目实施人员</w:t>
            </w:r>
          </w:p>
        </w:tc>
        <w:tc>
          <w:tcPr>
            <w:tcW w:w="6971"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根据投标人针对本项目配备的团队成员（项目负责人、其它管理维护人员）的职称情况、资历情况等进行打分。</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1.投标人项目负责人具有注册一级建造师（市政公用或公路工程）资格得4分，具有注册二级建造师（市政公用或公路工程）资格得2分，最高得</w:t>
            </w:r>
            <w:r>
              <w:rPr>
                <w:rFonts w:ascii="宋体" w:hAnsi="宋体" w:cs="宋体"/>
                <w:color w:val="auto"/>
                <w:sz w:val="24"/>
                <w:highlight w:val="none"/>
              </w:rPr>
              <w:t>4</w:t>
            </w:r>
            <w:r>
              <w:rPr>
                <w:rFonts w:hint="eastAsia" w:ascii="宋体" w:hAnsi="宋体" w:cs="宋体"/>
                <w:color w:val="auto"/>
                <w:sz w:val="24"/>
                <w:highlight w:val="none"/>
              </w:rPr>
              <w:t>分（需提供注册证书扫描件，不提供不得分）</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2.项目组其他人员（除项目负责人外）具有人社部门颁发的高级工程师职称的每人得</w:t>
            </w:r>
            <w:r>
              <w:rPr>
                <w:rFonts w:ascii="宋体" w:hAnsi="宋体" w:cs="宋体"/>
                <w:color w:val="auto"/>
                <w:sz w:val="24"/>
                <w:highlight w:val="none"/>
              </w:rPr>
              <w:t>2</w:t>
            </w:r>
            <w:r>
              <w:rPr>
                <w:rFonts w:hint="eastAsia" w:ascii="宋体" w:hAnsi="宋体" w:cs="宋体"/>
                <w:color w:val="auto"/>
                <w:sz w:val="24"/>
                <w:highlight w:val="none"/>
              </w:rPr>
              <w:t>分，具有工程师职称的每人得</w:t>
            </w:r>
            <w:r>
              <w:rPr>
                <w:rFonts w:ascii="宋体" w:hAnsi="宋体" w:cs="宋体"/>
                <w:color w:val="auto"/>
                <w:sz w:val="24"/>
                <w:highlight w:val="none"/>
              </w:rPr>
              <w:t>1</w:t>
            </w:r>
            <w:r>
              <w:rPr>
                <w:rFonts w:hint="eastAsia" w:ascii="宋体" w:hAnsi="宋体" w:cs="宋体"/>
                <w:color w:val="auto"/>
                <w:sz w:val="24"/>
                <w:highlight w:val="none"/>
              </w:rPr>
              <w:t>分，具有助理工程师职称的每人得0.5分，本项最高得</w:t>
            </w:r>
            <w:r>
              <w:rPr>
                <w:rFonts w:ascii="宋体" w:hAnsi="宋体" w:cs="宋体"/>
                <w:color w:val="auto"/>
                <w:sz w:val="24"/>
                <w:highlight w:val="none"/>
              </w:rPr>
              <w:t>5</w:t>
            </w:r>
            <w:r>
              <w:rPr>
                <w:rFonts w:hint="eastAsia" w:ascii="宋体" w:hAnsi="宋体" w:cs="宋体"/>
                <w:color w:val="auto"/>
                <w:sz w:val="24"/>
                <w:highlight w:val="none"/>
              </w:rPr>
              <w:t>分（需提供职称证书扫描件，不提供不得分）</w:t>
            </w:r>
          </w:p>
          <w:p>
            <w:pPr>
              <w:spacing w:line="360" w:lineRule="auto"/>
              <w:rPr>
                <w:rFonts w:ascii="宋体" w:hAnsi="宋体" w:cs="宋体"/>
                <w:color w:val="auto"/>
                <w:sz w:val="24"/>
                <w:highlight w:val="none"/>
              </w:rPr>
            </w:pPr>
            <w:r>
              <w:rPr>
                <w:rFonts w:hint="eastAsia" w:ascii="宋体" w:hAnsi="宋体" w:cs="宋体"/>
                <w:b/>
                <w:bCs/>
                <w:color w:val="auto"/>
                <w:sz w:val="24"/>
                <w:highlight w:val="none"/>
              </w:rPr>
              <w:t>注：以上人员除相应证书外，还需提供</w:t>
            </w:r>
            <w:r>
              <w:rPr>
                <w:rFonts w:hint="eastAsia" w:ascii="宋体" w:hAnsi="宋体" w:cs="宋体"/>
                <w:color w:val="auto"/>
                <w:sz w:val="24"/>
                <w:highlight w:val="none"/>
              </w:rPr>
              <w:t>投标截止日之前近六个月的代缴个税税单或参加社会保险的《投保单》或《社会保险参保人员证明》等人员在本单位服务的外部证明。本项</w:t>
            </w:r>
            <w:r>
              <w:rPr>
                <w:rFonts w:hint="eastAsia" w:ascii="宋体" w:hAnsi="宋体" w:cs="宋体"/>
                <w:b/>
                <w:bCs/>
                <w:color w:val="auto"/>
                <w:sz w:val="24"/>
                <w:highlight w:val="none"/>
              </w:rPr>
              <w:t xml:space="preserve">不重复计分，同一位人员有多本证书的，只计一本。 </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样品</w:t>
            </w:r>
          </w:p>
        </w:tc>
        <w:tc>
          <w:tcPr>
            <w:tcW w:w="6971" w:type="dxa"/>
            <w:vAlign w:val="center"/>
          </w:tcPr>
          <w:p>
            <w:pPr>
              <w:tabs>
                <w:tab w:val="left" w:pos="180"/>
                <w:tab w:val="left" w:pos="360"/>
                <w:tab w:val="left" w:pos="540"/>
                <w:tab w:val="left" w:pos="8280"/>
              </w:tabs>
              <w:autoSpaceDE w:val="0"/>
              <w:autoSpaceDN w:val="0"/>
              <w:adjustRightInd w:val="0"/>
              <w:spacing w:line="360" w:lineRule="auto"/>
              <w:ind w:right="23"/>
              <w:jc w:val="left"/>
              <w:rPr>
                <w:rFonts w:ascii="宋体" w:hAnsi="宋体" w:cs="宋体"/>
                <w:color w:val="auto"/>
                <w:sz w:val="24"/>
                <w:highlight w:val="none"/>
              </w:rPr>
            </w:pPr>
            <w:r>
              <w:rPr>
                <w:rFonts w:hint="eastAsia" w:ascii="宋体" w:hAnsi="宋体" w:cs="宋体"/>
                <w:color w:val="auto"/>
                <w:sz w:val="24"/>
                <w:highlight w:val="none"/>
              </w:rPr>
              <w:t>评标委员会根据投标人所提供样品</w:t>
            </w:r>
            <w:r>
              <w:rPr>
                <w:rFonts w:hint="eastAsia" w:ascii="宋体" w:hAnsi="宋体" w:cs="宋体"/>
                <w:b/>
                <w:color w:val="auto"/>
                <w:kern w:val="0"/>
                <w:sz w:val="24"/>
                <w:highlight w:val="none"/>
              </w:rPr>
              <w:t>的材质、质量情况</w:t>
            </w:r>
            <w:r>
              <w:rPr>
                <w:rFonts w:hint="eastAsia" w:ascii="宋体" w:hAnsi="宋体" w:cs="宋体"/>
                <w:color w:val="auto"/>
                <w:sz w:val="24"/>
                <w:highlight w:val="none"/>
              </w:rPr>
              <w:t>进行打分：</w:t>
            </w:r>
          </w:p>
          <w:p>
            <w:pPr>
              <w:numPr>
                <w:ilvl w:val="0"/>
                <w:numId w:val="7"/>
              </w:numPr>
              <w:tabs>
                <w:tab w:val="left" w:pos="180"/>
                <w:tab w:val="left" w:pos="360"/>
                <w:tab w:val="left" w:pos="540"/>
                <w:tab w:val="left" w:pos="8280"/>
              </w:tabs>
              <w:autoSpaceDE w:val="0"/>
              <w:autoSpaceDN w:val="0"/>
              <w:adjustRightInd w:val="0"/>
              <w:spacing w:line="360" w:lineRule="auto"/>
              <w:ind w:right="23"/>
              <w:jc w:val="left"/>
              <w:rPr>
                <w:color w:val="auto"/>
                <w:highlight w:val="none"/>
              </w:rPr>
            </w:pPr>
            <w:r>
              <w:rPr>
                <w:rFonts w:hint="eastAsia" w:ascii="宋体" w:hAnsi="宋体" w:cs="宋体"/>
                <w:color w:val="auto"/>
                <w:sz w:val="24"/>
                <w:highlight w:val="none"/>
              </w:rPr>
              <w:t>根据满屏灯或箭头灯主灯一组（黄灯有9秒倒计时）制作情况（外观，灯珠、烤漆、钢管厚度等）打分。样品制作优良、烤漆牢固，外观良好，钢管厚实且无缺陷的得3-2.1分；样品制作稍欠、外观良好，钢管较厚实且无明显缺陷的得2-1.1分；样品质量差、布局不合理，外观一般，钢管基本符合要求且无明显缺陷的得1-0.5分；</w:t>
            </w:r>
          </w:p>
          <w:p>
            <w:pPr>
              <w:numPr>
                <w:ilvl w:val="0"/>
                <w:numId w:val="7"/>
              </w:numPr>
              <w:tabs>
                <w:tab w:val="left" w:pos="180"/>
                <w:tab w:val="left" w:pos="360"/>
                <w:tab w:val="left" w:pos="540"/>
                <w:tab w:val="left" w:pos="8280"/>
              </w:tabs>
              <w:autoSpaceDE w:val="0"/>
              <w:autoSpaceDN w:val="0"/>
              <w:adjustRightInd w:val="0"/>
              <w:spacing w:line="360" w:lineRule="auto"/>
              <w:ind w:right="23"/>
              <w:jc w:val="left"/>
              <w:rPr>
                <w:rFonts w:ascii="宋体" w:hAnsi="宋体" w:cs="宋体"/>
                <w:color w:val="auto"/>
                <w:sz w:val="24"/>
                <w:highlight w:val="none"/>
              </w:rPr>
            </w:pPr>
            <w:r>
              <w:rPr>
                <w:rFonts w:hint="eastAsia" w:ascii="宋体" w:hAnsi="宋体" w:cs="宋体"/>
                <w:color w:val="auto"/>
                <w:sz w:val="24"/>
                <w:highlight w:val="none"/>
              </w:rPr>
              <w:t>根据人行横道信号灯一组制作情况（外观，灯珠、烤漆、钢管厚度等）打分。样品制作优良、烤漆牢固、外观良好、钢管厚实且无缺陷的得3-2.1分；样品制作稍欠、烤漆较牢固、外观良好、钢管较厚实且无明显缺陷的得2-1.1分；样品质量差、烤漆基本牢固、外观一般、钢管基本符合要求且无明显缺陷的得1-0.5分；</w:t>
            </w:r>
          </w:p>
          <w:p>
            <w:pPr>
              <w:numPr>
                <w:ilvl w:val="0"/>
                <w:numId w:val="7"/>
              </w:numPr>
              <w:tabs>
                <w:tab w:val="left" w:pos="180"/>
                <w:tab w:val="left" w:pos="360"/>
                <w:tab w:val="left" w:pos="540"/>
                <w:tab w:val="left" w:pos="8280"/>
              </w:tabs>
              <w:autoSpaceDE w:val="0"/>
              <w:autoSpaceDN w:val="0"/>
              <w:adjustRightInd w:val="0"/>
              <w:spacing w:line="360" w:lineRule="auto"/>
              <w:ind w:right="23"/>
              <w:jc w:val="left"/>
              <w:rPr>
                <w:color w:val="auto"/>
                <w:highlight w:val="none"/>
              </w:rPr>
            </w:pPr>
            <w:r>
              <w:rPr>
                <w:rFonts w:hint="eastAsia" w:ascii="宋体" w:hAnsi="宋体" w:cs="宋体"/>
                <w:color w:val="auto"/>
                <w:sz w:val="24"/>
                <w:highlight w:val="none"/>
              </w:rPr>
              <w:t>1.5平方*4芯信号电源线(单股硬线)1米。根据材质、质量等酌情打0-1分。</w:t>
            </w:r>
          </w:p>
          <w:p>
            <w:pPr>
              <w:tabs>
                <w:tab w:val="left" w:pos="180"/>
                <w:tab w:val="left" w:pos="360"/>
                <w:tab w:val="left" w:pos="540"/>
                <w:tab w:val="left" w:pos="8280"/>
              </w:tabs>
              <w:autoSpaceDE w:val="0"/>
              <w:autoSpaceDN w:val="0"/>
              <w:adjustRightInd w:val="0"/>
              <w:spacing w:line="360" w:lineRule="auto"/>
              <w:ind w:right="23"/>
              <w:jc w:val="left"/>
              <w:rPr>
                <w:rFonts w:ascii="宋体" w:hAnsi="宋体" w:cs="宋体"/>
                <w:color w:val="auto"/>
                <w:sz w:val="24"/>
                <w:highlight w:val="none"/>
              </w:rPr>
            </w:pPr>
            <w:r>
              <w:rPr>
                <w:rFonts w:hint="eastAsia" w:ascii="宋体" w:hAnsi="宋体" w:cs="宋体"/>
                <w:color w:val="auto"/>
                <w:sz w:val="24"/>
                <w:highlight w:val="none"/>
              </w:rPr>
              <w:t>4、分离式LED车道指示标志一块（直行车道），尺寸120CM*190CM 。</w:t>
            </w:r>
          </w:p>
          <w:p>
            <w:pPr>
              <w:tabs>
                <w:tab w:val="left" w:pos="180"/>
                <w:tab w:val="left" w:pos="360"/>
                <w:tab w:val="left" w:pos="540"/>
                <w:tab w:val="left" w:pos="8280"/>
              </w:tabs>
              <w:autoSpaceDE w:val="0"/>
              <w:autoSpaceDN w:val="0"/>
              <w:adjustRightInd w:val="0"/>
              <w:spacing w:line="360" w:lineRule="auto"/>
              <w:ind w:right="23"/>
              <w:jc w:val="left"/>
              <w:rPr>
                <w:rFonts w:ascii="宋体" w:hAnsi="宋体" w:cs="宋体"/>
                <w:color w:val="auto"/>
                <w:sz w:val="24"/>
                <w:highlight w:val="none"/>
              </w:rPr>
            </w:pPr>
            <w:r>
              <w:rPr>
                <w:rFonts w:hint="eastAsia" w:ascii="宋体" w:hAnsi="宋体" w:cs="宋体"/>
                <w:color w:val="auto"/>
                <w:sz w:val="24"/>
                <w:highlight w:val="none"/>
              </w:rPr>
              <w:t>a、根据标志牌制作情况（灯珠、颜色、字体大小、布局等）打分：样品质量优秀、布局合理，清晰，外观良好，且无缺陷的得4-2.1分；样品质量稍欠、布局一般，外观良好，且无明显缺陷的得2-1.1分；样品质量差、布局不合理，外观一般，且无明显缺陷的得1-0.5分；</w:t>
            </w:r>
          </w:p>
          <w:p>
            <w:pPr>
              <w:tabs>
                <w:tab w:val="left" w:pos="180"/>
                <w:tab w:val="left" w:pos="360"/>
                <w:tab w:val="left" w:pos="540"/>
                <w:tab w:val="left" w:pos="8280"/>
              </w:tabs>
              <w:autoSpaceDE w:val="0"/>
              <w:autoSpaceDN w:val="0"/>
              <w:adjustRightInd w:val="0"/>
              <w:spacing w:line="360" w:lineRule="auto"/>
              <w:ind w:right="23"/>
              <w:jc w:val="left"/>
              <w:rPr>
                <w:rFonts w:ascii="宋体" w:hAnsi="宋体" w:cs="宋体"/>
                <w:color w:val="auto"/>
                <w:sz w:val="24"/>
                <w:highlight w:val="none"/>
              </w:rPr>
            </w:pPr>
            <w:r>
              <w:rPr>
                <w:rFonts w:hint="eastAsia" w:ascii="宋体" w:hAnsi="宋体" w:cs="宋体"/>
                <w:color w:val="auto"/>
                <w:sz w:val="24"/>
                <w:highlight w:val="none"/>
              </w:rPr>
              <w:t>b、根据反光膜的质量、质保期等打分。反光效果好，质保期长的得2-1.1分；反光效果一般，质保期比较长的得1-0.6分；反光效果差，质保期短的得0.5-0分。</w:t>
            </w:r>
          </w:p>
          <w:p>
            <w:pPr>
              <w:spacing w:line="360" w:lineRule="auto"/>
              <w:rPr>
                <w:rFonts w:ascii="宋体" w:hAnsi="宋体" w:cs="宋体"/>
                <w:color w:val="auto"/>
                <w:sz w:val="24"/>
                <w:highlight w:val="none"/>
              </w:rPr>
            </w:pPr>
            <w:r>
              <w:rPr>
                <w:rFonts w:hint="eastAsia" w:ascii="宋体" w:hAnsi="宋体" w:cs="宋体"/>
                <w:b/>
                <w:color w:val="auto"/>
                <w:sz w:val="24"/>
                <w:highlight w:val="none"/>
              </w:rPr>
              <w:t>（要求：以上样品均须提供检测报告扫描件，不提供不得分</w:t>
            </w:r>
            <w:r>
              <w:rPr>
                <w:rFonts w:hint="eastAsia" w:ascii="宋体" w:hAnsi="宋体" w:cs="宋体"/>
                <w:b/>
                <w:bCs/>
                <w:color w:val="auto"/>
                <w:sz w:val="24"/>
                <w:highlight w:val="none"/>
              </w:rPr>
              <w:t>。</w:t>
            </w:r>
            <w:r>
              <w:rPr>
                <w:rFonts w:hint="eastAsia" w:ascii="宋体" w:hAnsi="宋体" w:cs="宋体"/>
                <w:b/>
                <w:color w:val="auto"/>
                <w:sz w:val="24"/>
                <w:highlight w:val="none"/>
              </w:rPr>
              <w:t>提供的样品在评标时不能出现投标人的相关信息；随样品</w:t>
            </w:r>
            <w:r>
              <w:rPr>
                <w:rFonts w:hint="eastAsia" w:ascii="宋体" w:hAnsi="宋体" w:cs="宋体"/>
                <w:b/>
                <w:bCs/>
                <w:color w:val="auto"/>
                <w:kern w:val="0"/>
                <w:sz w:val="24"/>
                <w:highlight w:val="none"/>
              </w:rPr>
              <w:t>注明样品清单、材质、型号、品牌等信息。</w:t>
            </w:r>
            <w:r>
              <w:rPr>
                <w:rFonts w:hint="eastAsia" w:ascii="宋体" w:hAnsi="宋体" w:cs="宋体"/>
                <w:b/>
                <w:color w:val="auto"/>
                <w:sz w:val="24"/>
                <w:highlight w:val="none"/>
              </w:rPr>
              <w:t>）</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exact"/>
        </w:trPr>
        <w:tc>
          <w:tcPr>
            <w:tcW w:w="1151"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实力信誉及业绩</w:t>
            </w:r>
          </w:p>
          <w:p>
            <w:pPr>
              <w:spacing w:line="360" w:lineRule="auto"/>
              <w:rPr>
                <w:rFonts w:ascii="宋体" w:hAnsi="宋体" w:cs="宋体"/>
                <w:color w:val="auto"/>
                <w:sz w:val="24"/>
                <w:highlight w:val="none"/>
              </w:rPr>
            </w:pPr>
            <w:r>
              <w:rPr>
                <w:rFonts w:hint="eastAsia" w:ascii="宋体" w:hAnsi="宋体" w:cs="宋体"/>
                <w:color w:val="auto"/>
                <w:sz w:val="24"/>
                <w:highlight w:val="none"/>
              </w:rPr>
              <w:t>6分</w:t>
            </w:r>
          </w:p>
        </w:tc>
        <w:tc>
          <w:tcPr>
            <w:tcW w:w="108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投标人实力</w:t>
            </w:r>
          </w:p>
        </w:tc>
        <w:tc>
          <w:tcPr>
            <w:tcW w:w="697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投标供应商或产品制造商具备ISO9001质量管理体系认证、ISO14001环境管理体系认证，ISO45001职业健康管理体系认证证书的，每项得1分，最高得到3分。</w:t>
            </w:r>
          </w:p>
          <w:p>
            <w:pPr>
              <w:spacing w:line="360" w:lineRule="auto"/>
              <w:rPr>
                <w:rFonts w:ascii="宋体" w:hAnsi="宋体" w:cs="宋体"/>
                <w:color w:val="auto"/>
                <w:sz w:val="24"/>
                <w:highlight w:val="none"/>
              </w:rPr>
            </w:pPr>
            <w:r>
              <w:rPr>
                <w:rFonts w:hint="eastAsia" w:ascii="宋体" w:hAnsi="宋体" w:cs="宋体"/>
                <w:color w:val="auto"/>
                <w:sz w:val="24"/>
                <w:highlight w:val="none"/>
              </w:rPr>
              <w:t>(需提供证书扫描件，不提供不得分)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1151" w:type="dxa"/>
            <w:vMerge w:val="continue"/>
            <w:vAlign w:val="center"/>
          </w:tcPr>
          <w:p>
            <w:pPr>
              <w:spacing w:line="360" w:lineRule="auto"/>
              <w:rPr>
                <w:rFonts w:ascii="宋体" w:hAnsi="宋体" w:cs="宋体"/>
                <w:color w:val="auto"/>
                <w:sz w:val="24"/>
                <w:highlight w:val="none"/>
              </w:rPr>
            </w:pPr>
          </w:p>
        </w:tc>
        <w:tc>
          <w:tcPr>
            <w:tcW w:w="108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项目经验</w:t>
            </w:r>
          </w:p>
        </w:tc>
        <w:tc>
          <w:tcPr>
            <w:tcW w:w="697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提供2019年7月1日至今（以合同签订之日起算）实施过的公路或城市道路上的类似项目实施案例（信号灯）,每提供1个有效业绩得1分，最高3分。(投标时需同时提供合同及中标通知书原件扫描件，不提供或提供不完整不得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151"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售后服务11分</w:t>
            </w:r>
          </w:p>
        </w:tc>
        <w:tc>
          <w:tcPr>
            <w:tcW w:w="8058" w:type="dxa"/>
            <w:gridSpan w:val="2"/>
            <w:vAlign w:val="center"/>
          </w:tcPr>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综合质保期、响应速度、服务内容、技术培训计划、供货时间等方面分档打分：</w:t>
            </w:r>
          </w:p>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（1）项目售后措施明确、实施切合本项目实际，保障得力，人力充分，响应高效，预案合理、明确，及时及可行并优于项目要求的得5-4.1分；</w:t>
            </w:r>
          </w:p>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（2）项目售后措施比较明确、实施基本符合本项目实际，售后过程中各个节点安排基本详细、明确，可行满足要求的得4-3.1分；</w:t>
            </w:r>
          </w:p>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（3）项目售后措施比较简单、实施符合本项目实际、售后保障比较得力，人力比较充分，响应比较高效，预案比较合理的得3-2.1分</w:t>
            </w:r>
          </w:p>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（4）项目售后措施不够明确、售后保障一般，人力一般，响应一般，预案一般得2-1.1分。</w:t>
            </w:r>
          </w:p>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）内容不全，措施欠缺，保障低下的，得1.0-0分。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151" w:type="dxa"/>
            <w:vMerge w:val="continue"/>
            <w:vAlign w:val="center"/>
          </w:tcPr>
          <w:p>
            <w:pPr>
              <w:spacing w:line="360" w:lineRule="auto"/>
              <w:rPr>
                <w:rFonts w:ascii="宋体" w:hAnsi="宋体" w:cs="宋体"/>
                <w:color w:val="auto"/>
                <w:sz w:val="24"/>
                <w:highlight w:val="none"/>
              </w:rPr>
            </w:pPr>
          </w:p>
        </w:tc>
        <w:tc>
          <w:tcPr>
            <w:tcW w:w="8058"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kern w:val="0"/>
                <w:sz w:val="24"/>
                <w:highlight w:val="none"/>
              </w:rPr>
              <w:t>根据投标人提供针对本项目维护期间的运行维护计划、故障修复方案等情况进行打分，</w:t>
            </w:r>
            <w:r>
              <w:rPr>
                <w:rFonts w:hint="eastAsia" w:ascii="宋体" w:hAnsi="宋体" w:cs="宋体"/>
                <w:color w:val="auto"/>
                <w:sz w:val="24"/>
                <w:highlight w:val="none"/>
              </w:rPr>
              <w:t>方案合理，内容全面详实，结合项目实际，配备安排合理，得3-2.0分；方案内容一般，配备安排合理性一般，得1.9-1分；方案内容较差，配备安排合理性较差的，得0.9-0分。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51" w:type="dxa"/>
            <w:vMerge w:val="continue"/>
            <w:vAlign w:val="center"/>
          </w:tcPr>
          <w:p>
            <w:pPr>
              <w:spacing w:line="360" w:lineRule="auto"/>
              <w:rPr>
                <w:rFonts w:ascii="宋体" w:hAnsi="宋体" w:cs="宋体"/>
                <w:color w:val="auto"/>
                <w:sz w:val="24"/>
                <w:highlight w:val="none"/>
              </w:rPr>
            </w:pPr>
          </w:p>
        </w:tc>
        <w:tc>
          <w:tcPr>
            <w:tcW w:w="8058"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kern w:val="0"/>
                <w:sz w:val="24"/>
                <w:highlight w:val="none"/>
              </w:rPr>
              <w:t>评委根据</w:t>
            </w:r>
            <w:r>
              <w:rPr>
                <w:rFonts w:hint="eastAsia" w:ascii="宋体" w:hAnsi="宋体" w:cs="宋体"/>
                <w:color w:val="auto"/>
                <w:sz w:val="24"/>
                <w:highlight w:val="none"/>
              </w:rPr>
              <w:t>本地化服务能力</w:t>
            </w:r>
            <w:r>
              <w:rPr>
                <w:rFonts w:hint="eastAsia" w:ascii="宋体" w:hAnsi="宋体" w:cs="宋体"/>
                <w:color w:val="auto"/>
                <w:kern w:val="0"/>
                <w:sz w:val="24"/>
                <w:highlight w:val="none"/>
              </w:rPr>
              <w:t>进行打分。方案科学合理、内容完整、详细、切实可行，得3分；方案比较科学合理、内容比较完整、详细、可行，得2分；方案基本科学合理、内容基本完整、可行得1分；方案不完整或无响应得0分。</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5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政策分</w:t>
            </w:r>
          </w:p>
          <w:p>
            <w:pPr>
              <w:spacing w:line="360" w:lineRule="auto"/>
              <w:rPr>
                <w:rFonts w:ascii="宋体" w:hAnsi="宋体" w:cs="宋体"/>
                <w:color w:val="auto"/>
                <w:sz w:val="24"/>
                <w:highlight w:val="none"/>
              </w:rPr>
            </w:pPr>
            <w:r>
              <w:rPr>
                <w:rFonts w:hint="eastAsia" w:ascii="宋体" w:hAnsi="宋体" w:cs="宋体"/>
                <w:color w:val="auto"/>
                <w:sz w:val="24"/>
                <w:highlight w:val="none"/>
              </w:rPr>
              <w:t>2分</w:t>
            </w:r>
          </w:p>
        </w:tc>
        <w:tc>
          <w:tcPr>
            <w:tcW w:w="8058" w:type="dxa"/>
            <w:gridSpan w:val="2"/>
            <w:vAlign w:val="center"/>
          </w:tcPr>
          <w:p>
            <w:pPr>
              <w:adjustRightInd w:val="0"/>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rPr>
              <w:t>投标人或投标产品（或核心产品或服务）符合《政府采购货物和服务招标投标管理办法》第五条规定，属于“节约能源、保护环境、扶持不发达地区和少数民族地区等”等政府采购政策落实对象的，提供相关证明材料和政策依据，每符合一项得1分，最高可得2分；未提供相关证明材料的不得分。（提供相关证明材料和政策依据）。</w:t>
            </w:r>
          </w:p>
        </w:tc>
        <w:tc>
          <w:tcPr>
            <w:tcW w:w="825" w:type="dxa"/>
            <w:vAlign w:val="center"/>
          </w:tcPr>
          <w:p>
            <w:pPr>
              <w:adjustRightInd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5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价格30分</w:t>
            </w:r>
          </w:p>
        </w:tc>
        <w:tc>
          <w:tcPr>
            <w:tcW w:w="8058"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取投标合格供应商的投标最终报价最低价为基准价。基准价为30分。投标报价得分＝（评标基准价/最终投标报价）×30 %×100（小数点后保留2位小数）。</w:t>
            </w:r>
          </w:p>
        </w:tc>
        <w:tc>
          <w:tcPr>
            <w:tcW w:w="82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30</w:t>
            </w:r>
          </w:p>
        </w:tc>
      </w:tr>
    </w:tbl>
    <w:p>
      <w:pPr>
        <w:pStyle w:val="15"/>
        <w:spacing w:line="360" w:lineRule="auto"/>
        <w:rPr>
          <w:rFonts w:ascii="宋体" w:hAnsi="宋体" w:cs="宋体"/>
          <w:b/>
          <w:bCs/>
          <w:color w:val="auto"/>
          <w:sz w:val="24"/>
          <w:highlight w:val="none"/>
        </w:rPr>
      </w:pPr>
      <w:r>
        <w:rPr>
          <w:rFonts w:hint="eastAsia" w:ascii="宋体" w:hAnsi="宋体" w:cs="宋体"/>
          <w:b/>
          <w:bCs/>
          <w:color w:val="auto"/>
          <w:sz w:val="24"/>
          <w:highlight w:val="none"/>
        </w:rPr>
        <w:t>注：</w:t>
      </w:r>
    </w:p>
    <w:p>
      <w:pPr>
        <w:pStyle w:val="15"/>
        <w:spacing w:line="360" w:lineRule="auto"/>
        <w:rPr>
          <w:rFonts w:ascii="宋体" w:hAnsi="宋体" w:cs="宋体"/>
          <w:b/>
          <w:bCs/>
          <w:color w:val="auto"/>
          <w:sz w:val="24"/>
          <w:highlight w:val="none"/>
        </w:rPr>
      </w:pPr>
      <w:r>
        <w:rPr>
          <w:rFonts w:hint="eastAsia" w:ascii="宋体" w:hAnsi="宋体" w:cs="宋体"/>
          <w:b/>
          <w:bCs/>
          <w:color w:val="auto"/>
          <w:sz w:val="24"/>
          <w:highlight w:val="none"/>
        </w:rPr>
        <w:t>1、样品包装，</w:t>
      </w:r>
      <w:r>
        <w:rPr>
          <w:rFonts w:hint="eastAsia" w:ascii="宋体" w:hAnsi="宋体" w:cs="宋体"/>
          <w:b/>
          <w:bCs/>
          <w:color w:val="auto"/>
          <w:sz w:val="24"/>
          <w:highlight w:val="none"/>
        </w:rPr>
        <w:t>无密封要求，</w:t>
      </w:r>
      <w:r>
        <w:rPr>
          <w:rFonts w:hint="eastAsia" w:ascii="宋体" w:hAnsi="宋体" w:cs="宋体"/>
          <w:b/>
          <w:bCs/>
          <w:color w:val="auto"/>
          <w:sz w:val="24"/>
          <w:highlight w:val="none"/>
        </w:rPr>
        <w:t>外包装上需写明项目名称、采购编号、及投标公司全称。评标时，对提交样品的供应商，由采购人随机编号，专家评审小组按编号评分。涉及检测报告、照片等佐证材料的样品，采用先打分后核实的方式；</w:t>
      </w:r>
    </w:p>
    <w:p>
      <w:p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2、样品的</w:t>
      </w:r>
      <w:r>
        <w:rPr>
          <w:rFonts w:hint="eastAsia" w:ascii="宋体" w:hAnsi="宋体" w:cs="宋体"/>
          <w:b/>
          <w:bCs/>
          <w:color w:val="auto"/>
          <w:sz w:val="24"/>
          <w:highlight w:val="none"/>
          <w:lang w:val="zh-CN"/>
        </w:rPr>
        <w:t>技术规范要求同本项目供货要求，见招标文件第四章公开招标需求，随样品注明</w:t>
      </w:r>
      <w:r>
        <w:rPr>
          <w:rFonts w:hint="eastAsia" w:ascii="宋体" w:hAnsi="宋体" w:cs="宋体"/>
          <w:b/>
          <w:bCs/>
          <w:color w:val="auto"/>
          <w:sz w:val="24"/>
          <w:highlight w:val="none"/>
        </w:rPr>
        <w:t>样品清单、材质、型号、品牌等信息。</w:t>
      </w:r>
    </w:p>
    <w:p>
      <w:pPr>
        <w:snapToGrid w:val="0"/>
        <w:spacing w:line="360" w:lineRule="auto"/>
        <w:rPr>
          <w:rFonts w:asciiTheme="minorEastAsia" w:hAnsiTheme="minorEastAsia"/>
          <w:color w:val="auto"/>
          <w:sz w:val="24"/>
          <w:highlight w:val="none"/>
        </w:rPr>
      </w:pPr>
      <w:r>
        <w:rPr>
          <w:rFonts w:ascii="宋体" w:hAnsi="宋体" w:cs="宋体"/>
          <w:b/>
          <w:bCs/>
          <w:color w:val="auto"/>
          <w:sz w:val="24"/>
          <w:highlight w:val="none"/>
        </w:rPr>
        <w:t>3</w:t>
      </w:r>
      <w:r>
        <w:rPr>
          <w:rFonts w:hint="eastAsia" w:ascii="宋体" w:hAnsi="宋体" w:cs="宋体"/>
          <w:b/>
          <w:bCs/>
          <w:color w:val="auto"/>
          <w:sz w:val="24"/>
          <w:highlight w:val="none"/>
        </w:rPr>
        <w:t>、</w:t>
      </w:r>
      <w:r>
        <w:rPr>
          <w:rFonts w:hint="eastAsia" w:ascii="宋体" w:hAnsi="宋体" w:cs="宋体"/>
          <w:b/>
          <w:bCs/>
          <w:color w:val="auto"/>
          <w:sz w:val="24"/>
          <w:highlight w:val="none"/>
          <w:lang w:val="zh-CN"/>
        </w:rPr>
        <w:t>▲</w:t>
      </w:r>
      <w:r>
        <w:rPr>
          <w:rFonts w:hint="eastAsia" w:ascii="宋体" w:hAnsi="宋体" w:cs="宋体"/>
          <w:b/>
          <w:bCs/>
          <w:color w:val="auto"/>
          <w:sz w:val="24"/>
          <w:highlight w:val="none"/>
        </w:rPr>
        <w:t>样品不得体现或影射投标人的信息，否则按无效标处理；</w:t>
      </w:r>
    </w:p>
    <w:p>
      <w:pPr>
        <w:spacing w:line="360" w:lineRule="auto"/>
        <w:rPr>
          <w:rFonts w:asciiTheme="minorEastAsia" w:hAnsiTheme="minorEastAsia" w:eastAsiaTheme="minorEastAsia"/>
          <w:b/>
          <w:color w:val="auto"/>
          <w:sz w:val="24"/>
          <w:highlight w:val="none"/>
        </w:rPr>
        <w:sectPr>
          <w:pgSz w:w="11906" w:h="16838"/>
          <w:pgMar w:top="1440" w:right="1800" w:bottom="1440" w:left="1800" w:header="851" w:footer="992" w:gutter="0"/>
          <w:pgNumType w:fmt="numberInDash"/>
          <w:cols w:space="425" w:num="1"/>
          <w:docGrid w:type="lines" w:linePitch="312" w:charSpace="0"/>
        </w:sectPr>
      </w:pPr>
    </w:p>
    <w:p>
      <w:pPr>
        <w:rPr>
          <w:color w:val="auto"/>
          <w:sz w:val="24"/>
          <w:highlight w:val="none"/>
        </w:rPr>
      </w:pPr>
    </w:p>
    <w:p>
      <w:pPr>
        <w:numPr>
          <w:ilvl w:val="0"/>
          <w:numId w:val="4"/>
        </w:numPr>
        <w:spacing w:line="360" w:lineRule="auto"/>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公开招标需求</w:t>
      </w:r>
    </w:p>
    <w:p>
      <w:pPr>
        <w:pStyle w:val="48"/>
        <w:numPr>
          <w:ilvl w:val="0"/>
          <w:numId w:val="8"/>
        </w:numPr>
        <w:spacing w:line="360" w:lineRule="auto"/>
        <w:ind w:firstLineChars="0"/>
        <w:rPr>
          <w:rFonts w:asciiTheme="majorEastAsia" w:hAnsiTheme="majorEastAsia" w:eastAsiaTheme="majorEastAsia" w:cstheme="minorBidi"/>
          <w:b/>
          <w:bCs/>
          <w:color w:val="auto"/>
          <w:kern w:val="0"/>
          <w:sz w:val="30"/>
          <w:szCs w:val="30"/>
          <w:highlight w:val="none"/>
        </w:rPr>
      </w:pPr>
      <w:r>
        <w:rPr>
          <w:rFonts w:hint="eastAsia" w:asciiTheme="majorEastAsia" w:hAnsiTheme="majorEastAsia" w:eastAsiaTheme="majorEastAsia" w:cstheme="minorBidi"/>
          <w:b/>
          <w:bCs/>
          <w:color w:val="auto"/>
          <w:kern w:val="0"/>
          <w:sz w:val="30"/>
          <w:szCs w:val="30"/>
          <w:highlight w:val="none"/>
        </w:rPr>
        <w:t>采购项目一览表</w:t>
      </w:r>
    </w:p>
    <w:p>
      <w:pPr>
        <w:tabs>
          <w:tab w:val="left" w:pos="8280"/>
        </w:tabs>
        <w:autoSpaceDE w:val="0"/>
        <w:autoSpaceDN w:val="0"/>
        <w:adjustRightInd w:val="0"/>
        <w:spacing w:line="360" w:lineRule="auto"/>
        <w:ind w:right="25" w:firstLine="280"/>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本次招标共</w:t>
      </w:r>
      <w:r>
        <w:rPr>
          <w:rFonts w:asciiTheme="majorEastAsia" w:hAnsiTheme="majorEastAsia" w:eastAsiaTheme="majorEastAsia"/>
          <w:color w:val="auto"/>
          <w:sz w:val="24"/>
          <w:highlight w:val="none"/>
          <w:u w:val="single"/>
        </w:rPr>
        <w:t>1</w:t>
      </w:r>
      <w:r>
        <w:rPr>
          <w:rFonts w:hint="eastAsia" w:asciiTheme="majorEastAsia" w:hAnsiTheme="majorEastAsia" w:eastAsiaTheme="majorEastAsia"/>
          <w:color w:val="auto"/>
          <w:sz w:val="24"/>
          <w:highlight w:val="none"/>
        </w:rPr>
        <w:t>个标段，具体内容如下表：</w:t>
      </w:r>
    </w:p>
    <w:tbl>
      <w:tblPr>
        <w:tblStyle w:val="35"/>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6"/>
        <w:gridCol w:w="831"/>
        <w:gridCol w:w="784"/>
        <w:gridCol w:w="854"/>
        <w:gridCol w:w="1177"/>
        <w:gridCol w:w="1100"/>
        <w:gridCol w:w="1661"/>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72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序号</w:t>
            </w:r>
          </w:p>
        </w:tc>
        <w:tc>
          <w:tcPr>
            <w:tcW w:w="1436" w:type="dxa"/>
            <w:vAlign w:val="center"/>
          </w:tcPr>
          <w:p>
            <w:pPr>
              <w:tabs>
                <w:tab w:val="left" w:pos="8280"/>
              </w:tabs>
              <w:autoSpaceDE w:val="0"/>
              <w:autoSpaceDN w:val="0"/>
              <w:adjustRightInd w:val="0"/>
              <w:spacing w:line="360" w:lineRule="auto"/>
              <w:ind w:right="25" w:firstLine="120" w:firstLineChars="50"/>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标项内容</w:t>
            </w:r>
          </w:p>
        </w:tc>
        <w:tc>
          <w:tcPr>
            <w:tcW w:w="831"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宋体" w:hAnsi="宋体" w:cs="宋体"/>
                <w:b/>
                <w:color w:val="auto"/>
                <w:kern w:val="0"/>
                <w:sz w:val="24"/>
                <w:highlight w:val="none"/>
              </w:rPr>
              <w:t>简要技术要求</w:t>
            </w:r>
          </w:p>
        </w:tc>
        <w:tc>
          <w:tcPr>
            <w:tcW w:w="78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数量</w:t>
            </w:r>
          </w:p>
        </w:tc>
        <w:tc>
          <w:tcPr>
            <w:tcW w:w="85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单位</w:t>
            </w:r>
          </w:p>
        </w:tc>
        <w:tc>
          <w:tcPr>
            <w:tcW w:w="1177"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预算</w:t>
            </w:r>
          </w:p>
          <w:p>
            <w:pPr>
              <w:tabs>
                <w:tab w:val="left" w:pos="8280"/>
              </w:tabs>
              <w:autoSpaceDE w:val="0"/>
              <w:autoSpaceDN w:val="0"/>
              <w:adjustRightInd w:val="0"/>
              <w:spacing w:line="360" w:lineRule="auto"/>
              <w:ind w:right="25"/>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（万元）</w:t>
            </w:r>
          </w:p>
        </w:tc>
        <w:tc>
          <w:tcPr>
            <w:tcW w:w="1100" w:type="dxa"/>
            <w:vAlign w:val="center"/>
          </w:tcPr>
          <w:p>
            <w:pPr>
              <w:tabs>
                <w:tab w:val="left" w:pos="8280"/>
              </w:tabs>
              <w:autoSpaceDE w:val="0"/>
              <w:autoSpaceDN w:val="0"/>
              <w:adjustRightInd w:val="0"/>
              <w:spacing w:line="360" w:lineRule="auto"/>
              <w:ind w:right="25" w:firstLine="240"/>
              <w:rPr>
                <w:rFonts w:asciiTheme="minorEastAsia" w:hAnsiTheme="minorEastAsia"/>
                <w:b/>
                <w:color w:val="auto"/>
                <w:sz w:val="24"/>
                <w:highlight w:val="none"/>
              </w:rPr>
            </w:pPr>
            <w:r>
              <w:rPr>
                <w:rFonts w:hint="eastAsia" w:ascii="宋体" w:hAnsi="宋体" w:cs="宋体"/>
                <w:b/>
                <w:color w:val="auto"/>
                <w:sz w:val="24"/>
                <w:highlight w:val="none"/>
              </w:rPr>
              <w:t xml:space="preserve">上限结算率     </w:t>
            </w:r>
          </w:p>
        </w:tc>
        <w:tc>
          <w:tcPr>
            <w:tcW w:w="1661" w:type="dxa"/>
            <w:vAlign w:val="center"/>
          </w:tcPr>
          <w:p>
            <w:pPr>
              <w:tabs>
                <w:tab w:val="left" w:pos="8280"/>
              </w:tabs>
              <w:autoSpaceDE w:val="0"/>
              <w:autoSpaceDN w:val="0"/>
              <w:adjustRightInd w:val="0"/>
              <w:spacing w:line="360" w:lineRule="auto"/>
              <w:ind w:right="25" w:firstLine="240"/>
              <w:jc w:val="center"/>
              <w:rPr>
                <w:rFonts w:ascii="宋体" w:hAnsi="宋体" w:cs="宋体"/>
                <w:b/>
                <w:color w:val="auto"/>
                <w:sz w:val="24"/>
                <w:highlight w:val="none"/>
              </w:rPr>
            </w:pPr>
            <w:r>
              <w:rPr>
                <w:rFonts w:hint="eastAsia" w:ascii="宋体" w:hAnsi="宋体" w:cs="宋体"/>
                <w:b/>
                <w:color w:val="auto"/>
                <w:sz w:val="24"/>
                <w:highlight w:val="none"/>
              </w:rPr>
              <w:t>交货期     （交付期）</w:t>
            </w:r>
          </w:p>
        </w:tc>
        <w:tc>
          <w:tcPr>
            <w:tcW w:w="1096"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维护地点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72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1436"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2022年台州市区新增信号灯及配套设施建设项目</w:t>
            </w:r>
          </w:p>
        </w:tc>
        <w:tc>
          <w:tcPr>
            <w:tcW w:w="831"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详见技术需求</w:t>
            </w:r>
          </w:p>
        </w:tc>
        <w:tc>
          <w:tcPr>
            <w:tcW w:w="78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854"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w:t>
            </w:r>
          </w:p>
        </w:tc>
        <w:tc>
          <w:tcPr>
            <w:tcW w:w="1177" w:type="dxa"/>
            <w:vAlign w:val="center"/>
          </w:tcPr>
          <w:p>
            <w:pPr>
              <w:tabs>
                <w:tab w:val="left" w:pos="8280"/>
              </w:tabs>
              <w:autoSpaceDE w:val="0"/>
              <w:autoSpaceDN w:val="0"/>
              <w:adjustRightInd w:val="0"/>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650</w:t>
            </w:r>
          </w:p>
        </w:tc>
        <w:tc>
          <w:tcPr>
            <w:tcW w:w="110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100%</w:t>
            </w:r>
          </w:p>
        </w:tc>
        <w:tc>
          <w:tcPr>
            <w:tcW w:w="1661" w:type="dxa"/>
            <w:vAlign w:val="center"/>
          </w:tcPr>
          <w:p>
            <w:pPr>
              <w:tabs>
                <w:tab w:val="left" w:pos="8280"/>
              </w:tabs>
              <w:autoSpaceDE w:val="0"/>
              <w:autoSpaceDN w:val="0"/>
              <w:adjustRightInd w:val="0"/>
              <w:spacing w:line="360" w:lineRule="auto"/>
              <w:ind w:right="25"/>
              <w:jc w:val="center"/>
              <w:rPr>
                <w:rFonts w:ascii="宋体" w:hAnsi="宋体" w:cs="宋体"/>
                <w:color w:val="auto"/>
                <w:szCs w:val="21"/>
                <w:highlight w:val="none"/>
              </w:rPr>
            </w:pPr>
            <w:r>
              <w:rPr>
                <w:rFonts w:hint="eastAsia" w:asciiTheme="minorEastAsia" w:hAnsiTheme="minorEastAsia" w:eastAsiaTheme="minorEastAsia"/>
                <w:color w:val="auto"/>
                <w:sz w:val="24"/>
                <w:highlight w:val="none"/>
              </w:rPr>
              <w:t>合同签订后150日内完成终验,要求合同签订后120日内初验通过，要求经试运行30日后终验通过。</w:t>
            </w:r>
          </w:p>
        </w:tc>
        <w:tc>
          <w:tcPr>
            <w:tcW w:w="1096"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台州市公安局交通警察局指定地点</w:t>
            </w:r>
          </w:p>
        </w:tc>
      </w:tr>
    </w:tbl>
    <w:p>
      <w:pPr>
        <w:pStyle w:val="17"/>
        <w:rPr>
          <w:color w:val="auto"/>
          <w:highlight w:val="none"/>
        </w:rPr>
      </w:pPr>
    </w:p>
    <w:p>
      <w:pPr>
        <w:pStyle w:val="48"/>
        <w:numPr>
          <w:ilvl w:val="0"/>
          <w:numId w:val="8"/>
        </w:numPr>
        <w:spacing w:line="360" w:lineRule="auto"/>
        <w:ind w:firstLineChars="0"/>
        <w:rPr>
          <w:rFonts w:asciiTheme="majorEastAsia" w:hAnsiTheme="majorEastAsia" w:eastAsiaTheme="majorEastAsia" w:cstheme="minorBidi"/>
          <w:b/>
          <w:bCs/>
          <w:color w:val="auto"/>
          <w:kern w:val="0"/>
          <w:sz w:val="30"/>
          <w:szCs w:val="30"/>
          <w:highlight w:val="none"/>
        </w:rPr>
      </w:pPr>
      <w:bookmarkStart w:id="0" w:name="_Hlk66271521"/>
      <w:r>
        <w:rPr>
          <w:rFonts w:hint="eastAsia" w:asciiTheme="majorEastAsia" w:hAnsiTheme="majorEastAsia" w:eastAsiaTheme="majorEastAsia" w:cstheme="minorBidi"/>
          <w:b/>
          <w:bCs/>
          <w:color w:val="auto"/>
          <w:kern w:val="0"/>
          <w:sz w:val="30"/>
          <w:szCs w:val="30"/>
          <w:highlight w:val="none"/>
        </w:rPr>
        <w:t>采购内容及要求</w:t>
      </w:r>
    </w:p>
    <w:p>
      <w:pPr>
        <w:numPr>
          <w:ilvl w:val="0"/>
          <w:numId w:val="9"/>
        </w:num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采购清单</w:t>
      </w:r>
    </w:p>
    <w:p>
      <w:pPr>
        <w:tabs>
          <w:tab w:val="left" w:pos="8280"/>
        </w:tabs>
        <w:autoSpaceDE w:val="0"/>
        <w:autoSpaceDN w:val="0"/>
        <w:adjustRightInd w:val="0"/>
        <w:spacing w:line="360" w:lineRule="auto"/>
        <w:ind w:right="25" w:firstLine="235" w:firstLineChars="98"/>
        <w:rPr>
          <w:rFonts w:ascii="宋体" w:hAnsi="宋体" w:cs="宋体"/>
          <w:bCs/>
          <w:color w:val="auto"/>
          <w:sz w:val="24"/>
          <w:highlight w:val="none"/>
        </w:rPr>
      </w:pPr>
      <w:r>
        <w:rPr>
          <w:rFonts w:hint="eastAsia" w:ascii="宋体" w:hAnsi="宋体" w:cs="宋体"/>
          <w:bCs/>
          <w:color w:val="auto"/>
          <w:sz w:val="24"/>
          <w:highlight w:val="none"/>
        </w:rPr>
        <w:t>注：采购范围为信号灯、标志、标线、杆件、管线等，及其全部附件、辅材、备品备件、专用工具等整套设备及其安装、调试、相关技术和售后服务等。</w:t>
      </w:r>
    </w:p>
    <w:p>
      <w:pPr>
        <w:tabs>
          <w:tab w:val="left" w:pos="8280"/>
        </w:tabs>
        <w:autoSpaceDE w:val="0"/>
        <w:autoSpaceDN w:val="0"/>
        <w:adjustRightInd w:val="0"/>
        <w:spacing w:line="360" w:lineRule="auto"/>
        <w:ind w:right="25" w:firstLine="715" w:firstLineChars="298"/>
        <w:rPr>
          <w:color w:val="auto"/>
          <w:highlight w:val="none"/>
        </w:rPr>
      </w:pPr>
      <w:r>
        <w:rPr>
          <w:rFonts w:hint="eastAsia" w:ascii="宋体" w:hAnsi="宋体" w:cs="宋体"/>
          <w:bCs/>
          <w:color w:val="auto"/>
          <w:sz w:val="24"/>
          <w:highlight w:val="none"/>
        </w:rPr>
        <w:t>采购清单中的数量均为预估数量，履约时以实际发生采购量（采购人、监理审核后的采购量）结算，</w:t>
      </w:r>
      <w:bookmarkStart w:id="1" w:name="_Hlk107216940"/>
      <w:r>
        <w:rPr>
          <w:rFonts w:hint="eastAsia" w:ascii="宋体" w:hAnsi="宋体" w:cs="宋体"/>
          <w:bCs/>
          <w:color w:val="auto"/>
          <w:sz w:val="24"/>
          <w:highlight w:val="none"/>
        </w:rPr>
        <w:t>结算金额不超过本项目预算</w:t>
      </w:r>
      <w:bookmarkEnd w:id="1"/>
      <w:r>
        <w:rPr>
          <w:rFonts w:hint="eastAsia" w:ascii="宋体" w:hAnsi="宋体" w:cs="宋体"/>
          <w:bCs/>
          <w:color w:val="auto"/>
          <w:sz w:val="24"/>
          <w:highlight w:val="none"/>
        </w:rPr>
        <w:t>。</w:t>
      </w:r>
    </w:p>
    <w:tbl>
      <w:tblPr>
        <w:tblStyle w:val="35"/>
        <w:tblpPr w:leftFromText="180" w:rightFromText="180" w:vertAnchor="text" w:horzAnchor="page" w:tblpX="1145" w:tblpY="436"/>
        <w:tblOverlap w:val="never"/>
        <w:tblW w:w="10020" w:type="dxa"/>
        <w:tblInd w:w="0" w:type="dxa"/>
        <w:tblLayout w:type="autofit"/>
        <w:tblCellMar>
          <w:top w:w="0" w:type="dxa"/>
          <w:left w:w="108" w:type="dxa"/>
          <w:bottom w:w="0" w:type="dxa"/>
          <w:right w:w="108" w:type="dxa"/>
        </w:tblCellMar>
      </w:tblPr>
      <w:tblGrid>
        <w:gridCol w:w="591"/>
        <w:gridCol w:w="1266"/>
        <w:gridCol w:w="745"/>
        <w:gridCol w:w="2106"/>
        <w:gridCol w:w="903"/>
        <w:gridCol w:w="782"/>
        <w:gridCol w:w="1176"/>
        <w:gridCol w:w="1289"/>
        <w:gridCol w:w="1162"/>
      </w:tblGrid>
      <w:tr>
        <w:tblPrEx>
          <w:tblCellMar>
            <w:top w:w="0" w:type="dxa"/>
            <w:left w:w="108" w:type="dxa"/>
            <w:bottom w:w="0" w:type="dxa"/>
            <w:right w:w="108" w:type="dxa"/>
          </w:tblCellMar>
        </w:tblPrEx>
        <w:trPr>
          <w:trHeight w:val="300" w:hRule="atLeast"/>
        </w:trPr>
        <w:tc>
          <w:tcPr>
            <w:tcW w:w="10020" w:type="dxa"/>
            <w:gridSpan w:val="9"/>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一、标线类</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上限单价元）</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备注</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热熔反光型标线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按国标、热熔反光型</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34.00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27200.00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详见技术参数，含部分的彩色标线,</w:t>
            </w:r>
          </w:p>
        </w:tc>
      </w:tr>
      <w:tr>
        <w:tblPrEx>
          <w:tblCellMar>
            <w:top w:w="0" w:type="dxa"/>
            <w:left w:w="108" w:type="dxa"/>
            <w:bottom w:w="0" w:type="dxa"/>
            <w:right w:w="108" w:type="dxa"/>
          </w:tblCellMar>
        </w:tblPrEx>
        <w:trPr>
          <w:trHeight w:val="15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热熔突起型标线（震荡标线）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热熔型厚度≥6mm,长划70mm空110mm,宽150mm线划3颗;宽200mm线划4颗</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304</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98.00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29792.00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水磨除线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水除线</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10001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500050.00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水除线</w:t>
            </w: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合计</w:t>
            </w:r>
          </w:p>
        </w:tc>
        <w:tc>
          <w:tcPr>
            <w:tcW w:w="1266" w:type="dxa"/>
            <w:tcBorders>
              <w:top w:val="nil"/>
              <w:left w:val="nil"/>
              <w:bottom w:val="single" w:color="000000" w:sz="8" w:space="0"/>
              <w:right w:val="single" w:color="000000" w:sz="8" w:space="0"/>
            </w:tcBorders>
            <w:shd w:val="clear" w:color="auto" w:fill="auto"/>
            <w:vAlign w:val="center"/>
          </w:tcPr>
          <w:p>
            <w:pPr>
              <w:jc w:val="left"/>
              <w:rPr>
                <w:rFonts w:ascii="宋体" w:hAnsi="宋体" w:cs="宋体"/>
                <w:color w:val="auto"/>
                <w:sz w:val="18"/>
                <w:szCs w:val="18"/>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557042.00 </w:t>
            </w:r>
          </w:p>
        </w:tc>
        <w:tc>
          <w:tcPr>
            <w:tcW w:w="1162" w:type="dxa"/>
            <w:tcBorders>
              <w:top w:val="nil"/>
              <w:left w:val="nil"/>
              <w:bottom w:val="single" w:color="000000" w:sz="8" w:space="0"/>
              <w:right w:val="single" w:color="000000" w:sz="8" w:space="0"/>
            </w:tcBorders>
            <w:shd w:val="clear" w:color="auto" w:fill="auto"/>
            <w:vAlign w:val="center"/>
          </w:tcPr>
          <w:p>
            <w:pPr>
              <w:jc w:val="left"/>
              <w:rPr>
                <w:rFonts w:ascii="宋体" w:hAnsi="宋体" w:cs="宋体"/>
                <w:color w:val="auto"/>
                <w:sz w:val="18"/>
                <w:szCs w:val="18"/>
                <w:highlight w:val="none"/>
              </w:rPr>
            </w:pPr>
          </w:p>
        </w:tc>
      </w:tr>
      <w:tr>
        <w:tblPrEx>
          <w:tblCellMar>
            <w:top w:w="0" w:type="dxa"/>
            <w:left w:w="108" w:type="dxa"/>
            <w:bottom w:w="0" w:type="dxa"/>
            <w:right w:w="108" w:type="dxa"/>
          </w:tblCellMar>
        </w:tblPrEx>
        <w:trPr>
          <w:trHeight w:val="315"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二、标志牌</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上限单价（元）</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备注</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V类反光膜标志牌1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3.0mm厚度铝合金</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325000.00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含配件等反光膜与2015年以来交警管理项目（新）改建道路的一致</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V类反光膜标志牌2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2.0mm厚度铝合金</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610.00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61000.00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含配件等反光膜与2015年以来交警管理项目（新）改建道路的一致</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III类反光膜</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按国标III类反光膜</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401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40100.00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警示桩、杆件等贴膜</w:t>
            </w: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圆形标志1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Φ50*2.0mm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201.06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1005.30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V类反光膜</w:t>
            </w: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圆形标志2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Φ80*2.0mm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330.00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18150.00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V类反光膜</w:t>
            </w: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圆形标志3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Φ100*2.0mm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520.00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13000.00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V类反光膜</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三角形</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边长90*2.0 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1250.00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V类反光膜</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八角形标志</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对角线长度80*2.0 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451.45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4514.50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V类反光膜</w:t>
            </w:r>
          </w:p>
        </w:tc>
      </w:tr>
      <w:tr>
        <w:tblPrEx>
          <w:tblCellMar>
            <w:top w:w="0" w:type="dxa"/>
            <w:left w:w="108" w:type="dxa"/>
            <w:bottom w:w="0" w:type="dxa"/>
            <w:right w:w="108" w:type="dxa"/>
          </w:tblCellMar>
        </w:tblPrEx>
        <w:trPr>
          <w:trHeight w:val="11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太阳能靠右行驶</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太阳能靠右行驶灯款式中的靠右行驶标志为圆形。</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2800.63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5601.26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含配件</w:t>
            </w: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26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469621.06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300"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三、标志杆</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上限单价（元）</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备注</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信号灯F杆1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镀锌 ≥6.8M竖杆；立杆壁厚≥8mm，立柱上口直径285mm，下口直径350mm；5m≤横杆＜8M,壁厚≥5mm；臂远口直径110mm，近口直径315mm；能抗14级以上台风；杆件贴反光材料；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10000.00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300000.00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8"/>
                <w:rFonts w:hint="default"/>
                <w:color w:val="auto"/>
                <w:sz w:val="18"/>
                <w:szCs w:val="18"/>
                <w:highlight w:val="none"/>
                <w:lang w:bidi="ar"/>
              </w:rPr>
              <w:t xml:space="preserve"> 不含基础</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信号灯F杆2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镀锌 ≥6.8M竖杆；立杆壁厚≥8m，立柱上口直径285mm，下口直径350mm；；8m≤横杆＜10M,壁厚≥6mm；臂远口直径110mm，近口直径315mm；能抗14级以上台风；杆件贴反光材料；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11000.00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198000.00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不含基础</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信号灯F杆3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镀锌 ≥6.8M竖杆；立杆壁厚≥10mm；立柱上口直径285mm，下口直径350mm；10M≤横杆＜13M,,壁厚≥8mm；臂远口直径110mm，近口直径315mm；能抗14级以上台风；杆件贴反光材料；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13400.00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120600.00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不含基础</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信号灯F杆4</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镀锌 ≥6.8M竖杆；立杆壁厚≥10mm；立柱上口直径285mm，下口直径350mm；横杆≥13M,壁厚≥8mm；臂远口直径110mm，近口直径315mm；能抗14级以上台风；杆件贴反光材料；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14500.00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87000.00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不含基础</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273 F杆1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杆Φ273*10*8300臂Φ152*8臂长≥10米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15000.00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270000.00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双悬臂</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273 F杆2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杆Φ273*10*8300臂Φ152*6臂长＜10米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14000.00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126000.00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双悬臂</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219 F杆1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杆Φ219*10*8000臂Φ140*8臂长≥8米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11000.00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99000.00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双悬臂</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219 F杆2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杆Φ219*10*8000臂Φ140*8臂长＜8米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9500.00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85500.00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双悬臂</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辅助灯灯杆</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Φ140*4.5*4500mm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57600.00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非机动车（人行灯）灯杆1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8"/>
                <w:rFonts w:hint="default"/>
                <w:color w:val="auto"/>
                <w:sz w:val="18"/>
                <w:szCs w:val="18"/>
                <w:highlight w:val="none"/>
                <w:lang w:bidi="ar"/>
              </w:rPr>
              <w:t xml:space="preserve"> Φ110*4*4500mm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560.00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40320.00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非机动车（人行灯）灯杆2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8"/>
                <w:rFonts w:hint="default"/>
                <w:color w:val="auto"/>
                <w:sz w:val="18"/>
                <w:szCs w:val="18"/>
                <w:highlight w:val="none"/>
                <w:lang w:bidi="ar"/>
              </w:rPr>
              <w:t xml:space="preserve"> Φ110*4*3500mm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480.74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34613.28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8"/>
                <w:rFonts w:hint="default"/>
                <w:color w:val="auto"/>
                <w:sz w:val="18"/>
                <w:szCs w:val="18"/>
                <w:highlight w:val="none"/>
                <w:lang w:bidi="ar"/>
              </w:rPr>
              <w:t xml:space="preserve">辅助灯杆基础  </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1000*1000*1200mm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1100.00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79200.00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含挖土方、运土、预埋件、清理现场</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非机动车（人行灯）灯杆基础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800*800*1000mm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670.00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48240.00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含挖土方、运土、预埋件、清理现场</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信号灯F杆基础 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1500*1500*2000mm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3800.00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57000.00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含挖土方、混凝土预埋、钢筋笼、运土、清理现场，C25砼或C30砼</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信号灯F杆基础 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1800*1800*2400mm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6500.00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312000.00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含挖土方、混凝土预埋、钢筋笼、运土、清理现场，C25砼或C30砼</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机箱基础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（800 mm *800 mm *600mm）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22500.00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含预埋件　</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杆件1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Φ89×4×4500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343.35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27468.00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直埋式</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杆件2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Φ89×4×4000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315.67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25253.60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直埋式</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杆件3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Φ89×4×3500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285.99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28599.00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直埋式</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基础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C25砼</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m³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510000.00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含挖土方、运土、基础笼、清理现场等</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警示桩</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Φ114×1200，埋深300mm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207</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110.00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22770.00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含配件及安装，不含反光膜</w:t>
            </w:r>
          </w:p>
        </w:tc>
      </w:tr>
      <w:tr>
        <w:tblPrEx>
          <w:tblCellMar>
            <w:top w:w="0" w:type="dxa"/>
            <w:left w:w="108" w:type="dxa"/>
            <w:bottom w:w="0" w:type="dxa"/>
            <w:right w:w="108" w:type="dxa"/>
          </w:tblCellMar>
        </w:tblPrEx>
        <w:trPr>
          <w:trHeight w:val="2141"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信号机整机</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（投标人自行填写）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31000.00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620000.00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有效接入台州市公安局交通警察局指定的信号智能控制系统。需提供业主单位接入证明或承诺中标后15日内按&lt;台州市交通信号智能控制通信协议（V1.01）协议&gt;完成接入工作。按《台州市交通信号智能控制通信协议（V1.01）协议接入的信号机平台的不收任何费用。</w:t>
            </w: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26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3171663.88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300"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四、交通信号灯</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上限单价（元）</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备注</w:t>
            </w: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机动车信号灯1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Φ400mm圆灯整组带数显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2890.00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289000.00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机动车信号灯2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Φ400mm箭头整组带数显,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2750.00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82500.00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7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机动车信号灯3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Φ400mm掉头信号灯整组带数显,铝压铸，遮阳罩铝型材，不锈钢螺丝，外表烤漆型不易掉色，竖装，支架用镀锌钢管，厚度3mm以上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2750.00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8250.00 </w:t>
            </w:r>
          </w:p>
        </w:tc>
        <w:tc>
          <w:tcPr>
            <w:tcW w:w="1162" w:type="dxa"/>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机动车信号灯4</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Φ300mm圆灯整组,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1950.00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39000.00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机动车信号灯5</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Φ300mm箭头整组,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1800.00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36000.00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7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非机动车灯</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Φ300mm 红、黄、绿分屏显示，绿灯动态，整组；铝压铸；不锈钢螺丝，外表烤漆型不易掉色，竖装；支架用镀锌钢管，厚度3mm以上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2100.00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210000.00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31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人行横道信号灯</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Φ300mm 红黄绿整组；红、绿分屏显示，绿人动态，分八步走；铝压铸；不锈钢螺丝，外表烤漆型不易掉色，竖装，支架用镀锌钢管，厚度3mm以上；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1900.00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190000.00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50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合计</w:t>
            </w:r>
          </w:p>
        </w:tc>
        <w:tc>
          <w:tcPr>
            <w:tcW w:w="126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854750.00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300"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五、交通管线及窨井</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上限单价（元）</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备注</w:t>
            </w:r>
          </w:p>
        </w:tc>
      </w:tr>
      <w:tr>
        <w:tblPrEx>
          <w:tblCellMar>
            <w:top w:w="0" w:type="dxa"/>
            <w:left w:w="108" w:type="dxa"/>
            <w:bottom w:w="0" w:type="dxa"/>
            <w:right w:w="108" w:type="dxa"/>
          </w:tblCellMar>
        </w:tblPrEx>
        <w:trPr>
          <w:trHeight w:val="93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PE≥Φ75牵引（顶管） 厚度≥4mm（1根）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一次顶进1根(含PE管)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53</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5300.00 </w:t>
            </w:r>
          </w:p>
        </w:tc>
        <w:tc>
          <w:tcPr>
            <w:tcW w:w="1162"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多根管合并一次顶进，工程量按单根管长度计算</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PE≥Φ75牵引（顶管） 厚度≥4mm（2根）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一次顶进2根(含PE管)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60000.00 </w:t>
            </w: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PE≥Φ75牵引（顶管） 厚度≥4mm（3根）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一次顶进3根(含PE管)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125.00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7500.00 </w:t>
            </w: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PE≥Φ75牵引（顶管） 厚度≥4mm（4根）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一次顶进4根(含PE管)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130.00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65000.00 </w:t>
            </w: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PE≥Φ110牵引（顶管） 厚度≥6mm（1根）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一次顶进1根(含PE管)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155.00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7905.00 </w:t>
            </w: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PE≥Φ110牵引（顶管） 厚度≥6mm（2根）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一次顶进2根(含PE管)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490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170.00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83300.00 </w:t>
            </w: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PE≥Φ110牵引（顶管） 厚度≥6mm（3根）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一次顶进3根(含PE管)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190.00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9880.00 </w:t>
            </w: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PE≥Φ110牵引（顶管） 厚度≥6mm（4根）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一次顶进4根(含PE管)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88000.00 </w:t>
            </w: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PE≥Φ75铺设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PE≥Φ75铺设 厚度≥4mm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36.09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28908.09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PE≥Φ110铺设  厚度≥5mm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PE≥Φ110铺设  厚度≥5mm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61.52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61520.00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渡锌钢管Φ75铺设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Φ75</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71.79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57432.00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渡锌钢管Φ89铺设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渡锌钢管Φ89铺设 厚度≥4mm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71.00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17750.00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渡锌钢管Φ110铺设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渡锌钢管Φ110铺设 厚度≥4mm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32000.00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沥青混凝土路面管线开挖及修复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含路面拆除修复及沟槽开挖回填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260.00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104000.00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水泥混凝土路面管线开挖及修复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含路面拆除修复及沟槽开挖回填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120000.00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人行道路面管线开挖及修复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含路面拆除修复及沟槽开挖回填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210.00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84000.00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绿化带管线开挖及修复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含绿化苗木起挖、种回及沟槽开挖回填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63.00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18900.00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11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1.5平方*4芯信号电源线(单股硬线)    国标（铜芯）</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1.5平方*4芯信号电源线(单股硬线)    国标（铜芯</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15000.00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4平方*3芯信号电源线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4平方*3芯信号电源线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20.94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1067.94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6平方*3芯信号电源线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6平方*3芯信号电源线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26.84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1342.00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10平方*3芯信号电源线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10平方*3芯信号电源线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40.14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20070.00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16平方*3芯信号电源线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16平方*3芯信号电源线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58.59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5859.00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25平方*4芯信号电源线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Style w:val="109"/>
                <w:rFonts w:hint="default"/>
                <w:color w:val="auto"/>
                <w:sz w:val="18"/>
                <w:szCs w:val="18"/>
                <w:highlight w:val="none"/>
                <w:lang w:bidi="ar"/>
              </w:rPr>
              <w:t>25平方*4芯信号电源线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109.58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5588.58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35平方*4芯铝线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35平方*4芯铝线</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152.69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7634.50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18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网线（室外使用双护套超五类网线，单根线径0.5mm;)含水晶头</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网线（室外使用双护套超五类网线，单根线径0.5mm;)含水晶头（投标时须提供品牌）</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4.35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2175.00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含网线头制作与接线</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电表箱（含电表）</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按国标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3250.00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电表空箱</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按国标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450.00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2250.00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接地角铁50*50*2500（含接地到机箱线）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50*50*2500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72.00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1296.00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水泥钢纤维窨井1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400mm*400mm*500mm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337.39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33739.00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含施工、国标井盖</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水泥钢纤维窨井2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钢纤维；600 mm *600 mm *500mm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424.59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21229.50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含施工、国标井盖</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水泥钢纤维窨井3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钢纤维；1000mm*600mm*500mm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457.29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2286.45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含施工、国标井盖</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铭牌</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铭牌内容为"台州交警",塑料,要求至少使用10年;用于线缆端头处</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24</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240.00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1396"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LED情报板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7500.00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225000.00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含安装、施工、标牌、扎带、胶布、调试、三年维护费用等</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情报板控制卡</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30000.00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抱杆机箱</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15000.00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网络交换机</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4口千兆光纤收发器工业导轨式发送机光口：1个千兆光口距离20公里，FC口单模单纤；电口：1个千兆网口3个百兆电口；安装方式：工业导轨式；</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18000.00 </w:t>
            </w: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分离式LED车道指示标志（直行车道）</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技术参数及参考图样如下</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4500.00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135000.00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含安装、施工、调试、三年维护费用等</w:t>
            </w: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LED分离式可变车道功能指示牌（一）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技术参数及参考图样如下</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4300.00 </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21500.00 </w:t>
            </w: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含安装、施工、调试、三年维护费用等</w:t>
            </w: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39</w:t>
            </w:r>
          </w:p>
        </w:tc>
        <w:tc>
          <w:tcPr>
            <w:tcW w:w="1266"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LED分离式可变车道功能指示牌（二）</w:t>
            </w:r>
          </w:p>
        </w:tc>
        <w:tc>
          <w:tcPr>
            <w:tcW w:w="745"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是</w:t>
            </w:r>
          </w:p>
        </w:tc>
        <w:tc>
          <w:tcPr>
            <w:tcW w:w="2106"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技术参数及参考图样如下</w:t>
            </w:r>
          </w:p>
        </w:tc>
        <w:tc>
          <w:tcPr>
            <w:tcW w:w="903"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套</w:t>
            </w:r>
          </w:p>
        </w:tc>
        <w:tc>
          <w:tcPr>
            <w:tcW w:w="782"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176"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5600.00 </w:t>
            </w:r>
          </w:p>
        </w:tc>
        <w:tc>
          <w:tcPr>
            <w:tcW w:w="1289"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28000.00 </w:t>
            </w:r>
          </w:p>
        </w:tc>
        <w:tc>
          <w:tcPr>
            <w:tcW w:w="1162"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含安装、施工、调试、三年维护费用等</w:t>
            </w:r>
          </w:p>
        </w:tc>
      </w:tr>
      <w:tr>
        <w:tblPrEx>
          <w:tblCellMar>
            <w:top w:w="0" w:type="dxa"/>
            <w:left w:w="108" w:type="dxa"/>
            <w:bottom w:w="0" w:type="dxa"/>
            <w:right w:w="108" w:type="dxa"/>
          </w:tblCellMar>
        </w:tblPrEx>
        <w:trPr>
          <w:trHeight w:val="270" w:hRule="atLeast"/>
        </w:trPr>
        <w:tc>
          <w:tcPr>
            <w:tcW w:w="591" w:type="dxa"/>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合计</w:t>
            </w:r>
          </w:p>
        </w:tc>
        <w:tc>
          <w:tcPr>
            <w:tcW w:w="1266"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45"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2106"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903"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782"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176"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 w:val="18"/>
                <w:szCs w:val="18"/>
                <w:highlight w:val="none"/>
              </w:rPr>
            </w:pPr>
          </w:p>
        </w:tc>
        <w:tc>
          <w:tcPr>
            <w:tcW w:w="1289" w:type="dxa"/>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1446923.06 </w:t>
            </w:r>
          </w:p>
        </w:tc>
        <w:tc>
          <w:tcPr>
            <w:tcW w:w="116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auto"/>
                <w:sz w:val="18"/>
                <w:szCs w:val="18"/>
                <w:highlight w:val="none"/>
              </w:rPr>
            </w:pPr>
          </w:p>
        </w:tc>
      </w:tr>
    </w:tbl>
    <w:p>
      <w:pPr>
        <w:pStyle w:val="13"/>
        <w:ind w:firstLine="0"/>
        <w:rPr>
          <w:b/>
          <w:bCs/>
          <w:color w:val="auto"/>
          <w:sz w:val="24"/>
          <w:highlight w:val="none"/>
        </w:rPr>
      </w:pPr>
    </w:p>
    <w:p>
      <w:pPr>
        <w:pStyle w:val="13"/>
        <w:ind w:firstLine="0"/>
        <w:rPr>
          <w:rFonts w:asciiTheme="minorEastAsia" w:hAnsiTheme="minorEastAsia" w:eastAsiaTheme="minorEastAsia" w:cstheme="majorBidi"/>
          <w:color w:val="auto"/>
          <w:sz w:val="24"/>
          <w:szCs w:val="28"/>
          <w:highlight w:val="none"/>
        </w:rPr>
      </w:pPr>
      <w:r>
        <w:rPr>
          <w:rFonts w:hint="eastAsia"/>
          <w:b/>
          <w:bCs/>
          <w:color w:val="auto"/>
          <w:sz w:val="24"/>
          <w:highlight w:val="none"/>
        </w:rPr>
        <w:t>分离式LED车道指示标志（直行车道）</w:t>
      </w:r>
    </w:p>
    <w:tbl>
      <w:tblPr>
        <w:tblStyle w:val="36"/>
        <w:tblpPr w:leftFromText="180" w:rightFromText="180" w:vertAnchor="text" w:horzAnchor="page" w:tblpX="5121" w:tblpY="4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5" w:hRule="atLeast"/>
        </w:trPr>
        <w:tc>
          <w:tcPr>
            <w:tcW w:w="5888" w:type="dxa"/>
          </w:tcPr>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技术参数： </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整屏尺寸1200mm*1900mm</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材质 :</w:t>
            </w:r>
            <w:r>
              <w:rPr>
                <w:rFonts w:hint="eastAsia" w:ascii="宋体" w:hAnsi="宋体" w:cs="宋体"/>
                <w:color w:val="auto"/>
                <w:kern w:val="0"/>
                <w:szCs w:val="21"/>
                <w:highlight w:val="none"/>
                <w:lang w:bidi="ar"/>
              </w:rPr>
              <w:t>铝板+V类反光膜</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车道图案:白LED点阵排列直行或左转或右转1个图案，底色为反光膜</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文字图案:白LED定制，文字高度240-300mm</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亮度: &gt;8000 mcd</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可视距离:&gt;450米,角度&gt;30°</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防护等:IP53参考标准:GB 5768.2-20094.</w:t>
            </w:r>
          </w:p>
          <w:p>
            <w:pPr>
              <w:rPr>
                <w:rFonts w:ascii="Calibri" w:hAnsi="Calibri"/>
                <w:color w:val="auto"/>
                <w:highlight w:val="none"/>
              </w:rPr>
            </w:pPr>
            <w:r>
              <w:rPr>
                <w:rFonts w:hint="eastAsia" w:ascii="宋体" w:hAnsi="宋体" w:cs="宋体"/>
                <w:color w:val="auto"/>
                <w:kern w:val="0"/>
                <w:szCs w:val="21"/>
                <w:highlight w:val="none"/>
                <w:lang w:bidi="ar"/>
              </w:rPr>
              <w:t>工作电压：DC24V±25%</w:t>
            </w:r>
          </w:p>
        </w:tc>
      </w:tr>
    </w:tbl>
    <w:p>
      <w:pPr>
        <w:rPr>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drawing>
          <wp:inline distT="0" distB="0" distL="114300" distR="114300">
            <wp:extent cx="1843405" cy="2622550"/>
            <wp:effectExtent l="0" t="0" r="4445" b="6350"/>
            <wp:docPr id="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1"/>
                    </pic:cNvPicPr>
                  </pic:nvPicPr>
                  <pic:blipFill>
                    <a:blip r:embed="rId10"/>
                    <a:stretch>
                      <a:fillRect/>
                    </a:stretch>
                  </pic:blipFill>
                  <pic:spPr>
                    <a:xfrm>
                      <a:off x="0" y="0"/>
                      <a:ext cx="1843405" cy="2622550"/>
                    </a:xfrm>
                    <a:prstGeom prst="rect">
                      <a:avLst/>
                    </a:prstGeom>
                    <a:noFill/>
                    <a:ln>
                      <a:noFill/>
                    </a:ln>
                  </pic:spPr>
                </pic:pic>
              </a:graphicData>
            </a:graphic>
          </wp:inline>
        </w:drawing>
      </w:r>
    </w:p>
    <w:p>
      <w:pPr>
        <w:pStyle w:val="13"/>
        <w:ind w:firstLine="0"/>
        <w:rPr>
          <w:rStyle w:val="110"/>
          <w:rFonts w:asciiTheme="minorEastAsia" w:hAnsiTheme="minorEastAsia" w:eastAsiaTheme="minorEastAsia"/>
          <w:color w:val="auto"/>
          <w:sz w:val="24"/>
          <w:highlight w:val="none"/>
        </w:rPr>
      </w:pPr>
      <w:r>
        <w:rPr>
          <w:rStyle w:val="110"/>
          <w:rFonts w:hint="eastAsia" w:asciiTheme="minorEastAsia" w:hAnsiTheme="minorEastAsia" w:eastAsiaTheme="minorEastAsia"/>
          <w:color w:val="auto"/>
          <w:sz w:val="24"/>
          <w:highlight w:val="none"/>
        </w:rPr>
        <w:t>LED分离式可变车道功能指示牌（一）</w:t>
      </w:r>
    </w:p>
    <w:tbl>
      <w:tblPr>
        <w:tblStyle w:val="36"/>
        <w:tblpPr w:leftFromText="180" w:rightFromText="180" w:vertAnchor="text" w:horzAnchor="page" w:tblpX="5576" w:tblpY="3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77" w:type="dxa"/>
          </w:tcPr>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技术参数：</w:t>
            </w:r>
          </w:p>
          <w:p>
            <w:pPr>
              <w:numPr>
                <w:ilvl w:val="0"/>
                <w:numId w:val="10"/>
              </w:num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整屏尺寸1200mm*1900mm</w:t>
            </w:r>
          </w:p>
          <w:p>
            <w:pPr>
              <w:numPr>
                <w:ilvl w:val="0"/>
                <w:numId w:val="10"/>
              </w:num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材质 :</w:t>
            </w:r>
            <w:r>
              <w:rPr>
                <w:rFonts w:hint="eastAsia" w:ascii="宋体" w:hAnsi="宋体" w:cs="宋体"/>
                <w:color w:val="auto"/>
                <w:kern w:val="0"/>
                <w:szCs w:val="21"/>
                <w:highlight w:val="none"/>
                <w:lang w:bidi="ar"/>
              </w:rPr>
              <w:t>铝板+V类反光膜</w:t>
            </w:r>
          </w:p>
          <w:p>
            <w:pPr>
              <w:numPr>
                <w:ilvl w:val="0"/>
                <w:numId w:val="10"/>
              </w:num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车道图案:白LED点阵排列直行+左转/右转2个图案，底色为反光膜</w:t>
            </w:r>
          </w:p>
          <w:p>
            <w:pPr>
              <w:numPr>
                <w:ilvl w:val="0"/>
                <w:numId w:val="10"/>
              </w:num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亮度: &gt;8000 mcd</w:t>
            </w:r>
          </w:p>
          <w:p>
            <w:pPr>
              <w:numPr>
                <w:ilvl w:val="0"/>
                <w:numId w:val="10"/>
              </w:num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可视距离:&gt;450米,角度&gt;30°</w:t>
            </w:r>
          </w:p>
          <w:p>
            <w:pPr>
              <w:numPr>
                <w:ilvl w:val="0"/>
                <w:numId w:val="10"/>
              </w:numPr>
              <w:rPr>
                <w:rFonts w:ascii="Calibri" w:hAnsi="Calibri"/>
                <w:color w:val="auto"/>
                <w:highlight w:val="none"/>
              </w:rPr>
            </w:pPr>
            <w:r>
              <w:rPr>
                <w:rFonts w:hint="eastAsia" w:ascii="宋体" w:hAnsi="宋体" w:cs="宋体"/>
                <w:color w:val="auto"/>
                <w:kern w:val="0"/>
                <w:szCs w:val="21"/>
                <w:highlight w:val="none"/>
                <w:lang w:bidi="ar"/>
              </w:rPr>
              <w:t>防护等:IP53参考标准:GB 5768.2-20094</w:t>
            </w:r>
          </w:p>
          <w:p>
            <w:pPr>
              <w:numPr>
                <w:ilvl w:val="0"/>
                <w:numId w:val="10"/>
              </w:numPr>
              <w:rPr>
                <w:rFonts w:ascii="Calibri" w:hAnsi="Calibri"/>
                <w:color w:val="auto"/>
                <w:highlight w:val="none"/>
              </w:rPr>
            </w:pPr>
            <w:r>
              <w:rPr>
                <w:rFonts w:hint="eastAsia" w:ascii="宋体" w:hAnsi="宋体" w:cs="宋体"/>
                <w:color w:val="auto"/>
                <w:kern w:val="0"/>
                <w:szCs w:val="21"/>
                <w:highlight w:val="none"/>
                <w:lang w:bidi="ar"/>
              </w:rPr>
              <w:t>工作电压：DC24V±25%</w:t>
            </w:r>
          </w:p>
        </w:tc>
      </w:tr>
    </w:tbl>
    <w:p>
      <w:pPr>
        <w:pStyle w:val="25"/>
        <w:rPr>
          <w:color w:val="auto"/>
          <w:highlight w:val="none"/>
        </w:rPr>
      </w:pPr>
      <w:r>
        <w:rPr>
          <w:rFonts w:hint="eastAsia"/>
          <w:color w:val="auto"/>
          <w:highlight w:val="none"/>
        </w:rPr>
        <w:t xml:space="preserve">  </w:t>
      </w:r>
      <w:r>
        <w:rPr>
          <w:color w:val="auto"/>
          <w:highlight w:val="none"/>
        </w:rPr>
        <w:drawing>
          <wp:inline distT="0" distB="0" distL="114300" distR="114300">
            <wp:extent cx="1692910" cy="2329815"/>
            <wp:effectExtent l="0" t="0" r="2540" b="13335"/>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pic:cNvPicPr>
                  </pic:nvPicPr>
                  <pic:blipFill>
                    <a:blip r:embed="rId11"/>
                    <a:stretch>
                      <a:fillRect/>
                    </a:stretch>
                  </pic:blipFill>
                  <pic:spPr>
                    <a:xfrm>
                      <a:off x="0" y="0"/>
                      <a:ext cx="1692910" cy="2329815"/>
                    </a:xfrm>
                    <a:prstGeom prst="rect">
                      <a:avLst/>
                    </a:prstGeom>
                    <a:noFill/>
                    <a:ln>
                      <a:noFill/>
                    </a:ln>
                  </pic:spPr>
                </pic:pic>
              </a:graphicData>
            </a:graphic>
          </wp:inline>
        </w:drawing>
      </w:r>
    </w:p>
    <w:p>
      <w:pPr>
        <w:pStyle w:val="25"/>
        <w:rPr>
          <w:color w:val="auto"/>
          <w:highlight w:val="none"/>
        </w:rPr>
      </w:pPr>
    </w:p>
    <w:p>
      <w:pPr>
        <w:pStyle w:val="13"/>
        <w:ind w:firstLine="0"/>
        <w:rPr>
          <w:rStyle w:val="110"/>
          <w:rFonts w:asciiTheme="minorEastAsia" w:hAnsiTheme="minorEastAsia" w:eastAsiaTheme="minorEastAsia"/>
          <w:color w:val="auto"/>
          <w:sz w:val="24"/>
          <w:highlight w:val="none"/>
        </w:rPr>
      </w:pPr>
      <w:r>
        <w:rPr>
          <w:rStyle w:val="110"/>
          <w:rFonts w:hint="eastAsia" w:asciiTheme="minorEastAsia" w:hAnsiTheme="minorEastAsia" w:eastAsiaTheme="minorEastAsia"/>
          <w:color w:val="auto"/>
          <w:sz w:val="24"/>
          <w:highlight w:val="none"/>
        </w:rPr>
        <w:t>LED分离式可变车道功能指示牌（二）</w:t>
      </w:r>
    </w:p>
    <w:p>
      <w:pPr>
        <w:pStyle w:val="25"/>
        <w:tabs>
          <w:tab w:val="center" w:pos="4150"/>
          <w:tab w:val="clear" w:pos="4153"/>
          <w:tab w:val="clear" w:pos="8306"/>
        </w:tabs>
        <w:rPr>
          <w:color w:val="auto"/>
          <w:highlight w:val="none"/>
        </w:rPr>
      </w:pPr>
      <w:r>
        <w:rPr>
          <w:rFonts w:hint="eastAsia"/>
          <w:color w:val="auto"/>
          <w:highlight w:val="none"/>
        </w:rPr>
        <w:t xml:space="preserve"> </w:t>
      </w:r>
      <w:r>
        <w:rPr>
          <w:color w:val="auto"/>
          <w:highlight w:val="none"/>
        </w:rPr>
        <w:drawing>
          <wp:inline distT="0" distB="0" distL="114300" distR="114300">
            <wp:extent cx="1990725" cy="2758440"/>
            <wp:effectExtent l="0" t="0" r="0" b="63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12"/>
                    <a:stretch>
                      <a:fillRect/>
                    </a:stretch>
                  </pic:blipFill>
                  <pic:spPr>
                    <a:xfrm>
                      <a:off x="0" y="0"/>
                      <a:ext cx="1990725" cy="2758440"/>
                    </a:xfrm>
                    <a:prstGeom prst="rect">
                      <a:avLst/>
                    </a:prstGeom>
                    <a:noFill/>
                    <a:ln>
                      <a:noFill/>
                    </a:ln>
                  </pic:spPr>
                </pic:pic>
              </a:graphicData>
            </a:graphic>
          </wp:inline>
        </w:drawing>
      </w:r>
    </w:p>
    <w:tbl>
      <w:tblPr>
        <w:tblStyle w:val="36"/>
        <w:tblpPr w:leftFromText="180" w:rightFromText="180" w:vertAnchor="text" w:horzAnchor="page" w:tblpX="1960" w:tblpY="202"/>
        <w:tblW w:w="87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4" w:hRule="atLeast"/>
        </w:trPr>
        <w:tc>
          <w:tcPr>
            <w:tcW w:w="8798" w:type="dxa"/>
          </w:tcPr>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屏体技术参数：</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1、LED 文字显示显示区域：384mm*1092mm</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2、像素间距：纵向 16mm 横向 9.1mm</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 、总像素：24*120</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4、发光颜色：超亮白色（Ø5 直插）</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 、字体高度：38.4cm</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 、屏体字数：汉字 5 个（超出滚动）</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 、亮度≥8000cd/㎡</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 字体粗体</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 、显示方式静止、左移、上移</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10、箭头指示显示区域：700mm*1000mm</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 象素间距：P25</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12、 发光颜色：超亮白色（Ø5 直插）</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 箭头类别：直行+左转/右转（2 个状态）</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14、 亮度≥8000cd/㎡</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15、外型尺寸 1900mm*1200mm*60mm</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16、工作电压 DC24V</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17、LED 使用寿命≥10 万小时</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18、整屏功率 ≤100W</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19、控制方式 网络+线控</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20、外框：铝框</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21、材质 :铝板+V类反光膜</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22、功能特点:可通过网络直接与屏连接，修改文字内容</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23、重量:约 35KG</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功能描述：</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1、文字显示内容可以通过网络更新，并与箭头状态同步显</w:t>
            </w:r>
          </w:p>
          <w:p>
            <w:pP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示相应的文字。</w:t>
            </w:r>
          </w:p>
          <w:p>
            <w:pPr>
              <w:rPr>
                <w:rFonts w:ascii="Calibri" w:hAnsi="Calibri"/>
                <w:color w:val="auto"/>
                <w:highlight w:val="none"/>
              </w:rPr>
            </w:pPr>
            <w:r>
              <w:rPr>
                <w:rFonts w:hint="eastAsia" w:ascii="宋体" w:hAnsi="宋体" w:cs="宋体"/>
                <w:color w:val="auto"/>
                <w:kern w:val="0"/>
                <w:szCs w:val="21"/>
                <w:highlight w:val="none"/>
                <w:lang w:bidi="ar"/>
              </w:rPr>
              <w:t>2、导向箭头显示与车道控制器同步。</w:t>
            </w:r>
          </w:p>
        </w:tc>
      </w:tr>
    </w:tbl>
    <w:p>
      <w:pPr>
        <w:pStyle w:val="25"/>
        <w:rPr>
          <w:rFonts w:ascii="宋体" w:hAnsi="宋体" w:cs="宋体"/>
          <w:color w:val="auto"/>
          <w:kern w:val="0"/>
          <w:sz w:val="24"/>
          <w:highlight w:val="none"/>
        </w:rPr>
      </w:pPr>
    </w:p>
    <w:p>
      <w:pPr>
        <w:numPr>
          <w:ilvl w:val="0"/>
          <w:numId w:val="9"/>
        </w:num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技术标准和要求</w:t>
      </w:r>
    </w:p>
    <w:p>
      <w:pPr>
        <w:pStyle w:val="44"/>
        <w:rPr>
          <w:color w:val="auto"/>
          <w:highlight w:val="none"/>
        </w:rPr>
      </w:pPr>
    </w:p>
    <w:p>
      <w:pPr>
        <w:pStyle w:val="13"/>
        <w:spacing w:line="360" w:lineRule="auto"/>
        <w:ind w:firstLine="0"/>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2.1维护要求</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2.1.1 </w:t>
      </w:r>
      <w:r>
        <w:rPr>
          <w:rFonts w:hint="eastAsia" w:ascii="宋体" w:hAnsi="宋体" w:cs="宋体"/>
          <w:bCs/>
          <w:color w:val="auto"/>
          <w:sz w:val="24"/>
          <w:highlight w:val="none"/>
        </w:rPr>
        <w:t>采购范围为信号灯、标志、标线、杆件、管线等，及其全部附件、辅材、备品备件、专用工具等整套设备</w:t>
      </w:r>
      <w:r>
        <w:rPr>
          <w:rFonts w:hint="eastAsia" w:ascii="宋体" w:hAnsi="宋体" w:cs="宋体"/>
          <w:bCs/>
          <w:color w:val="auto"/>
          <w:sz w:val="24"/>
          <w:highlight w:val="none"/>
        </w:rPr>
        <w:t>及其安装、调试、相关技术</w:t>
      </w:r>
      <w:r>
        <w:rPr>
          <w:rFonts w:hint="eastAsia" w:ascii="宋体" w:hAnsi="宋体" w:cs="宋体"/>
          <w:bCs/>
          <w:color w:val="auto"/>
          <w:sz w:val="24"/>
          <w:highlight w:val="none"/>
        </w:rPr>
        <w:t>和售后服务等</w:t>
      </w:r>
      <w:r>
        <w:rPr>
          <w:rFonts w:hint="eastAsia" w:ascii="宋体" w:hAnsi="宋体" w:cs="宋体"/>
          <w:color w:val="auto"/>
          <w:kern w:val="0"/>
          <w:sz w:val="24"/>
          <w:szCs w:val="24"/>
          <w:highlight w:val="none"/>
        </w:rPr>
        <w:t>。</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2.1.2 本次招标将从资格审查、认可、制造、供货、运输、安装、备品配件、验收、售后服务、维修技术力量、培训等各个方面，对投标方进行全方位的综合考核。</w:t>
      </w:r>
    </w:p>
    <w:p>
      <w:pPr>
        <w:pStyle w:val="13"/>
        <w:spacing w:line="360" w:lineRule="auto"/>
        <w:ind w:firstLine="0"/>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2.2 具体技术规格及要求</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2.2.1 本项目采用的主要技术规范如下</w:t>
      </w:r>
      <w:r>
        <w:rPr>
          <w:rFonts w:hint="eastAsia" w:ascii="宋体" w:hAnsi="宋体" w:cs="宋体"/>
          <w:color w:val="auto"/>
          <w:kern w:val="0"/>
          <w:sz w:val="24"/>
          <w:szCs w:val="24"/>
          <w:highlight w:val="none"/>
        </w:rPr>
        <w:t>（如有新发行的规范标准，按最新发行的规范标准执行）</w:t>
      </w:r>
      <w:r>
        <w:rPr>
          <w:rFonts w:hint="eastAsia" w:ascii="宋体" w:hAnsi="宋体" w:cs="宋体"/>
          <w:color w:val="auto"/>
          <w:kern w:val="0"/>
          <w:sz w:val="24"/>
          <w:szCs w:val="24"/>
          <w:highlight w:val="none"/>
        </w:rPr>
        <w:t>：</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（1）《道路交通标志和标线》（GB5768-2017）</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（2）《公路交通标志板》(JT/T279-2016)</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（3）《道路交通反光膜》(GB/T 18833－2012)</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（4）《交通建设工程工程量清单计价规范第1部分 公路工程(DB33T628.1-2007)</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（5）《道路交通标志板及支撑件》（GB/T 23827-2021）</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（6）《公安交通管理外场设备基础施工通用要求》（GA/T 652-2017）</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（7）《城市道路交叉口设计规程》(CJJ152-2010)</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（8）《城市道路工程设计规范》(CJJ37-2012)</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（9）《城市道路机动车道宽度设计规范》(DB331057-2008)</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（10）《道路交通标线质量要求和检测方法》</w:t>
      </w:r>
      <w:r>
        <w:rPr>
          <w:rFonts w:hint="eastAsia" w:ascii="宋体" w:hAnsi="宋体" w:cs="宋体"/>
          <w:color w:val="auto"/>
          <w:kern w:val="0"/>
          <w:sz w:val="24"/>
          <w:szCs w:val="24"/>
          <w:highlight w:val="none"/>
        </w:rPr>
        <w:t>(GB/T 16311-2009)</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（11）《浙江省城市道路交通标志和标线设置规范》(DB33/T818-2010)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（12） JTJ001—2003《公路工程技术标准》行业标准。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（13） GB14887—2011《道路交通警示灯》国家标准。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（14）GB7000.1—2016《灯具一般安全要求与试验》国家标准。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（15） GB/T8417《灯光信号颜色》国家标准。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（16） GB/T2423《电工电子产品环境试验》国家标准。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（17） JT/T751-2009《翻板式可变标志》。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（18）DBJ08-39-1994《道路交通管理设施设置技术规范》。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（19）GB50009-2001《建筑结构荷载规范》等相关规范</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（20）《道路交通信号灯设置与安装规范》（GB14886-2016）</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（21）GB14887—2011《道路交通信号灯》国家标准。</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（22）《城市道路交通标志和标线设置规范》（GB51038-2015)</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（23）台州市交通信号智能控制通信协议（V1.01）协议</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(24)</w:t>
      </w:r>
      <w:r>
        <w:rPr>
          <w:rFonts w:hint="eastAsia" w:ascii="宋体" w:hAnsi="宋体" w:cs="宋体"/>
          <w:b/>
          <w:bCs/>
          <w:color w:val="auto"/>
          <w:kern w:val="0"/>
          <w:sz w:val="24"/>
          <w:szCs w:val="24"/>
          <w:highlight w:val="none"/>
        </w:rPr>
        <w:t>按现行的国家、省、市施工验收规范、质量评定标准及有关规定。合同工期内的标准、规范，招标文件中的技术要求等。如有新发行的规范标准，按最新发行的规范标准执行。</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2.2.2 道路交通标志技术规格及要求</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2.2.2.1 道路交通标志，应当按图纸及《道路交通标志和标线》（GB 5768-2017）、《城市道路交通标志和标线设置规范》（GB51038-2015)和《道路交通标志板及支撑件》（GB/T 23827-2021）及本技术规范规定执行。 </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道路交通标志的反光膜，按《道路交通反光膜》(GB/T 18833－2012)、图纸和本技术规范规定执行。</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2.2.2 材料要求：</w:t>
      </w:r>
      <w:r>
        <w:rPr>
          <w:rFonts w:hint="eastAsia" w:ascii="宋体" w:hAnsi="宋体" w:cs="宋体"/>
          <w:color w:val="auto"/>
          <w:kern w:val="0"/>
          <w:sz w:val="24"/>
          <w:szCs w:val="24"/>
          <w:highlight w:val="none"/>
          <w:lang w:val="zh-CN"/>
        </w:rPr>
        <w:t>中标人所用主要原材料均需提供质保单或产品质量合格证或权威机构的产品质量报告。</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1）标志立柱和横梁：选用无缝钢管制作，无缝钢管的外径、厚度、弯曲度应符合GB/T8162的要求，顶部应加盖柱帽。立柱的预埋件应进行防腐处理，混泥土强度等级为C25。支撑件应表面光洁，颜色均匀一致，不应有破损、变形、锈蚀、漏镀等缺陷。钢制立柱、横梁、法兰盘及各种连接件，可采用热浸镀锌。立柱、横梁、法兰盘的镀锌量为600g/m2，紧固件为350g/m2。</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标志底板：采用牌号为3004或3104的铝合金板材，制作标志底板及滑槽的挤压成型铝合金型材，应满足GB/T6892的规定，同时应具有轻质、高强、耐蚀、耐磨、刚度大等特点。对于标志板厚度，应满足招标清单上的规格要求， 警告标志、禁令标志按照招标需要规格设置，指路标志、指示标志等清单上没明确的，其厚度要求≥2.0mm。</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（3）高强螺栓，高强连接螺栓（包括相应螺母、垫圈）应采用40B式45号钢，并符合GB/T 1231-2006的规定。地脚螺栓（包括相应螺母、垫圈）应采用普通碳素钢机构钢（A3）;</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（4）钢筋采用热扎结构等级圆钢筋，I级3号钢（位于桥梁式挡土上的的标志基础钢筋采用II级）并符合现行《公路钢筋混凝土及预应力混凝土设计规范》规定；</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（5）反光膜的逆反射性能应符合GB/T18833—2012的规定。</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V类</w:t>
      </w:r>
      <w:r>
        <w:rPr>
          <w:rFonts w:hint="eastAsia" w:ascii="宋体" w:hAnsi="宋体" w:cs="宋体"/>
          <w:color w:val="auto"/>
          <w:kern w:val="0"/>
          <w:sz w:val="24"/>
          <w:szCs w:val="24"/>
          <w:highlight w:val="none"/>
        </w:rPr>
        <w:t>标志反光膜</w:t>
      </w:r>
      <w:r>
        <w:rPr>
          <w:rFonts w:hint="eastAsia" w:ascii="宋体" w:hAnsi="宋体" w:cs="宋体"/>
          <w:color w:val="auto"/>
          <w:kern w:val="0"/>
          <w:sz w:val="24"/>
          <w:szCs w:val="24"/>
          <w:highlight w:val="none"/>
          <w:lang w:val="zh-CN"/>
        </w:rPr>
        <w:t>要求并同时满足以下条件,</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对于涉及的警告类标志均采用荧光黄；其中“注意行人标志”和“注意学校标志”、“注意儿童标志”均全部采用荧光黄绿反光膜。</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（1）采用全棱镜结构，不含金属镀层；</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w:t>
      </w:r>
      <w:r>
        <w:rPr>
          <w:rFonts w:hint="eastAsia" w:ascii="宋体" w:hAnsi="宋体" w:cs="宋体"/>
          <w:color w:val="auto"/>
          <w:kern w:val="0"/>
          <w:sz w:val="24"/>
          <w:szCs w:val="24"/>
          <w:highlight w:val="none"/>
        </w:rPr>
        <w:t>反光膜必须具备连续五年及以上的由具有专项资质并有CNAS授权的部级检测机构出具的检测报告，检测包括光度性能、色度性能、附着性能等十一项技术指标并符合《道路交通反光膜》GB/T18833-2012中V类的技术要求；</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（3）投标人须提供反光膜的国家交通安全设施质量监督检验中心出具加速老化1800小时的耐候性检测报告；</w:t>
      </w:r>
      <w:r>
        <w:rPr>
          <w:rFonts w:hint="eastAsia" w:ascii="宋体" w:hAnsi="宋体" w:cs="宋体"/>
          <w:color w:val="auto"/>
          <w:kern w:val="0"/>
          <w:sz w:val="24"/>
          <w:szCs w:val="24"/>
          <w:highlight w:val="none"/>
        </w:rPr>
        <w:t>同时应提供国内或国外实际三年户外老化测试的检测报告；</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（4）提供反光膜制造商出具的产品说明书、授权证书和质保合同说明书；</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（5）本项目需采用同一品牌反光膜，包括不同颜色的反光膜都应使用同一品牌。</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rPr>
        <w:t>为确保产品质量稳定性，应提供该反光膜八年或以上国内实际工程应用案例</w:t>
      </w:r>
      <w:r>
        <w:rPr>
          <w:rFonts w:hint="eastAsia" w:ascii="宋体" w:hAnsi="宋体" w:cs="宋体"/>
          <w:color w:val="auto"/>
          <w:kern w:val="0"/>
          <w:sz w:val="24"/>
          <w:szCs w:val="24"/>
          <w:highlight w:val="none"/>
          <w:lang w:val="zh-CN"/>
        </w:rPr>
        <w:t>；</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 xml:space="preserve"> （7</w:t>
      </w:r>
      <w:r>
        <w:rPr>
          <w:rFonts w:hint="eastAsia" w:ascii="宋体" w:hAnsi="宋体" w:cs="宋体"/>
          <w:color w:val="auto"/>
          <w:kern w:val="0"/>
          <w:sz w:val="24"/>
          <w:szCs w:val="24"/>
          <w:highlight w:val="none"/>
          <w:lang w:val="zh-CN"/>
        </w:rPr>
        <w:t>）反光膜应满足下表的技术要求：</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drawing>
          <wp:inline distT="0" distB="0" distL="114300" distR="114300">
            <wp:extent cx="5268595" cy="2491740"/>
            <wp:effectExtent l="0" t="0" r="8255" b="3810"/>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13"/>
                    <a:srcRect l="10170" t="51816" r="57619" b="21106"/>
                    <a:stretch>
                      <a:fillRect/>
                    </a:stretch>
                  </pic:blipFill>
                  <pic:spPr>
                    <a:xfrm>
                      <a:off x="0" y="0"/>
                      <a:ext cx="5268595" cy="2491740"/>
                    </a:xfrm>
                    <a:prstGeom prst="rect">
                      <a:avLst/>
                    </a:prstGeom>
                    <a:noFill/>
                    <a:ln>
                      <a:noFill/>
                    </a:ln>
                  </pic:spPr>
                </pic:pic>
              </a:graphicData>
            </a:graphic>
          </wp:inline>
        </w:drawing>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IV类标志反光膜要求并同时满足以下条件： </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（1）采用微棱镜结构，不含金属镀层</w:t>
      </w:r>
      <w:r>
        <w:rPr>
          <w:rFonts w:hint="eastAsia" w:ascii="宋体" w:hAnsi="宋体" w:cs="宋体"/>
          <w:color w:val="auto"/>
          <w:kern w:val="0"/>
          <w:sz w:val="24"/>
          <w:szCs w:val="24"/>
          <w:highlight w:val="none"/>
        </w:rPr>
        <w:t>,表面具有明暗条纹</w:t>
      </w:r>
      <w:r>
        <w:rPr>
          <w:rFonts w:hint="eastAsia" w:ascii="宋体" w:hAnsi="宋体" w:cs="宋体"/>
          <w:color w:val="auto"/>
          <w:kern w:val="0"/>
          <w:sz w:val="24"/>
          <w:szCs w:val="24"/>
          <w:highlight w:val="none"/>
          <w:lang w:val="zh-CN"/>
        </w:rPr>
        <w:t>；</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w:t>
      </w:r>
      <w:r>
        <w:rPr>
          <w:rFonts w:hint="eastAsia" w:ascii="宋体" w:hAnsi="宋体" w:cs="宋体"/>
          <w:color w:val="auto"/>
          <w:kern w:val="0"/>
          <w:sz w:val="24"/>
          <w:szCs w:val="24"/>
          <w:highlight w:val="none"/>
        </w:rPr>
        <w:t>反光膜必须具备连续五年以上的由具有专项资质并有CNAS授权的部级检测机构出具的检测报告，检测包括光度性能、色度性能、附着性能等十一项技术指标并符合《道路交通反光膜》GB/T18833-2012中IV类的技术要求；</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（3）投标人须提供反光膜的国家交通安全设施质量监督检验中心出具加速老化1800小时的耐候性检测报告；</w:t>
      </w:r>
      <w:r>
        <w:rPr>
          <w:rFonts w:hint="eastAsia" w:ascii="宋体" w:hAnsi="宋体" w:cs="宋体"/>
          <w:color w:val="auto"/>
          <w:kern w:val="0"/>
          <w:sz w:val="24"/>
          <w:szCs w:val="24"/>
          <w:highlight w:val="none"/>
        </w:rPr>
        <w:t>同时应提供国内或国外实际三年户外老化测试的检测报告；</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（4）提供反光膜制造商出具的产品说明书、授权证书和质保合同说明书；</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（5）本项目需采用同一品牌反光膜，包括不同颜色的反光膜都应使用同一品牌。</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rPr>
        <w:t>为确保产品质量稳定性，应提供该反光膜五年或以上国内实际工程应用案例</w:t>
      </w:r>
      <w:r>
        <w:rPr>
          <w:rFonts w:hint="eastAsia" w:ascii="宋体" w:hAnsi="宋体" w:cs="宋体"/>
          <w:color w:val="auto"/>
          <w:kern w:val="0"/>
          <w:sz w:val="24"/>
          <w:szCs w:val="24"/>
          <w:highlight w:val="none"/>
          <w:lang w:val="zh-CN"/>
        </w:rPr>
        <w:t>；</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rPr>
        <w:t>7</w:t>
      </w:r>
      <w:r>
        <w:rPr>
          <w:rFonts w:hint="eastAsia" w:ascii="宋体" w:hAnsi="宋体" w:cs="宋体"/>
          <w:color w:val="auto"/>
          <w:kern w:val="0"/>
          <w:sz w:val="24"/>
          <w:szCs w:val="24"/>
          <w:highlight w:val="none"/>
          <w:lang w:val="zh-CN"/>
        </w:rPr>
        <w:t>）反光膜应满足下表的技术要求：</w:t>
      </w:r>
    </w:p>
    <w:p>
      <w:pPr>
        <w:pStyle w:val="13"/>
        <w:spacing w:line="360" w:lineRule="auto"/>
        <w:ind w:firstLine="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drawing>
          <wp:inline distT="0" distB="0" distL="114300" distR="114300">
            <wp:extent cx="4672965" cy="2294890"/>
            <wp:effectExtent l="0" t="0" r="13335" b="10160"/>
            <wp:docPr id="10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2"/>
                    <pic:cNvPicPr>
                      <a:picLocks noChangeAspect="1"/>
                    </pic:cNvPicPr>
                  </pic:nvPicPr>
                  <pic:blipFill>
                    <a:blip r:embed="rId14"/>
                    <a:srcRect l="9288" t="43454" r="57638" b="27679"/>
                    <a:stretch>
                      <a:fillRect/>
                    </a:stretch>
                  </pic:blipFill>
                  <pic:spPr>
                    <a:xfrm>
                      <a:off x="0" y="0"/>
                      <a:ext cx="4672965" cy="2294890"/>
                    </a:xfrm>
                    <a:prstGeom prst="rect">
                      <a:avLst/>
                    </a:prstGeom>
                    <a:noFill/>
                    <a:ln>
                      <a:noFill/>
                    </a:ln>
                  </pic:spPr>
                </pic:pic>
              </a:graphicData>
            </a:graphic>
          </wp:inline>
        </w:drawing>
      </w:r>
    </w:p>
    <w:p>
      <w:pPr>
        <w:pStyle w:val="13"/>
        <w:spacing w:line="360" w:lineRule="auto"/>
        <w:ind w:firstLine="0"/>
        <w:rPr>
          <w:rFonts w:ascii="宋体" w:hAnsi="宋体" w:cs="宋体"/>
          <w:color w:val="auto"/>
          <w:kern w:val="0"/>
          <w:sz w:val="24"/>
          <w:szCs w:val="24"/>
          <w:highlight w:val="none"/>
          <w:lang w:val="zh-CN"/>
        </w:rPr>
      </w:pP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验收环节反光膜厂家需提供质保书和长期保用合同，并且这些质保文件应能在反光膜制造商的官方网站上得到查证与对应，质量保修期内因反光膜质量问题导致褪色、脱胶、起皱、发霉等不良现象反光膜制造商应予以更换，在质量保修期（十年）内至少保持70％的初始反光亮度。</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2.2.2.3 标志牌制作：</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1）交通标志的形状图案、颜色、尺寸应严格按照GB5768-2009《道路交通标志和标线》标准，《城市道路交通标志和标线设置规范》（GB51038-2015)或设计图的规定执行。标志汉字、阿拉伯数字必须采用交通专用字体；版面内容需经交通管理部门认可方可实施。</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（2）标志板面不应存在裂纹、起皱、边缘剥离、明显的气泡、划痕以及各种损伤，也不应存在颜色不均匀、逆反射性能不均匀等缺陷。</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（3）标志板应平整，表面无明显凹痕或变形，板面不平度不应大于7mm/m.</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4）大型标志使用铝合金板材最大尺寸，最多不超过2块铝合金板拼接，以减少接缝，保持版面的平整度；面膜应尽可能减少拼接，标志版面最短边长度或直径小于1.2m时，反光膜不得有拼接缝。标志版面最短边长度或直径大于1.2m时，应使用反光膜产品的最大宽度进行搭接，接缝以搭接为主，且应以上搭下，重叠部分不应少于5MM。距标志板边缘50mm之内，不得有拼接。标志版面应无裂缝、撕破或其它表面缺陷。</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2.2.2.4 标志设置</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(1)在满足规定的前置距离的情况下，不允许损坏道路结构和妨碍交通安全。</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(2)应满足视认要求，避免照明设施、监控设施、电杆、行道树、绿化及路上构造物等对标志板面的遮挡。</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(3)标志杆位置须经交通管理部门确认后方可实施。</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路侧式标志应尽量减少标志板面对驾驶员的眩光。路侧标志应尽可能与道路中线垂直或成一定角度。其中，禁令和指示标志为0°～45°；指路和警告标志为0°～10°；门架、悬臂、车行道上方附着式标志的板面应垂直于道路行车方向，并且板面宜倾斜0°～15°。</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(5)标志立柱应保持垂直，其倾斜度不应大于立柱高度的0.5％，且不允许向车行道一侧倾斜。</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(6)一个支撑结构上最多不应超过两种标志。标志板在一个支撑结构上并设时，应按禁令、指示、警告的顺序，先上后下，先左后右地排列。</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标志安装在立柱式或悬臂式杆件立柱上时，安装高度宜控制在200cm以上。柱式标志内边缘不应侵入道路建筑限界，一般距车行道或人行道的外侧边缘或土路肩不小于25cm。标志安装于悬臂上时，标志下缘离地面的高度应大于该道路规定的净空高度，本项目安装高度控制在500cm以上。对于附着式标志同样应当符合上述要求。</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 2.2.5 基础埋设</w:t>
      </w:r>
    </w:p>
    <w:p>
      <w:pPr>
        <w:pStyle w:val="13"/>
        <w:spacing w:line="360" w:lineRule="auto"/>
        <w:ind w:firstLine="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施工前必须先开挖样洞，在确保其他管线安全运行的前提下，方可施工标志基础。基础一般采用现浇制作。基础顶面应预埋钢制底座法兰盘及地脚螺栓。在浇筑混凝土时，应注意使底座法兰盘与基础对中，并将其嵌进基础（其上表面与基础齐平），同时保持其顶面水平；设在人行道上的基础的顶面标高应与人行道或绿化带标高一致，基础周围的填土应夯实，表面应平整。基底法兰的边线应与侧石线（或车道边线）平行，地脚下部为标准弯钩，地脚螺栓宜事先进行热浸镀锌处理，预埋时其方向应与底座法兰盘保持垂直。施工时如果遇到平曲线路段，应注意调整预埋法兰盘的方向，使其纵向中心线与行车方向保持一致。标志安装时基础需经养护达到设计强度后，方可安装标志立柱。立柱通过法兰盘与基础连接。在拧紧螺栓前应调整好方向和垂直度。立柱安装好后，即可通过抱箍或不锈钢万能夹把标志固定在立柱上。标志板安装后应进行板面平整度调整和安装角度的调整。标杆安装完后（除立杆外露外，其余均应恢复原来铺装）,清理余土。</w:t>
      </w:r>
    </w:p>
    <w:p>
      <w:pPr>
        <w:jc w:val="center"/>
        <w:rPr>
          <w:rFonts w:ascii="仿宋" w:hAnsi="仿宋" w:eastAsia="仿宋" w:cs="仿宋"/>
          <w:color w:val="auto"/>
          <w:highlight w:val="none"/>
        </w:rPr>
      </w:pPr>
      <w:r>
        <w:rPr>
          <w:rFonts w:hint="eastAsia" w:ascii="宋体" w:hAnsi="宋体" w:cs="宋体"/>
          <w:color w:val="auto"/>
          <w:kern w:val="0"/>
          <w:sz w:val="24"/>
          <w:highlight w:val="none"/>
        </w:rPr>
        <w:t>部分杆件基础大样图</w:t>
      </w:r>
      <w:r>
        <w:rPr>
          <w:rFonts w:hint="eastAsia" w:ascii="仿宋" w:hAnsi="仿宋" w:eastAsia="仿宋" w:cs="仿宋"/>
          <w:color w:val="auto"/>
          <w:highlight w:val="none"/>
        </w:rPr>
        <w:drawing>
          <wp:inline distT="0" distB="0" distL="114300" distR="114300">
            <wp:extent cx="5739765" cy="3660140"/>
            <wp:effectExtent l="0" t="0" r="13335" b="1651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5"/>
                    <a:srcRect l="16003" t="15663" r="11452" b="10331"/>
                    <a:stretch>
                      <a:fillRect/>
                    </a:stretch>
                  </pic:blipFill>
                  <pic:spPr>
                    <a:xfrm>
                      <a:off x="0" y="0"/>
                      <a:ext cx="5739765" cy="366014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596255" cy="3604260"/>
            <wp:effectExtent l="0" t="0" r="4445" b="1524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6"/>
                    <a:srcRect l="16433" t="12762" r="11839" b="13324"/>
                    <a:stretch>
                      <a:fillRect/>
                    </a:stretch>
                  </pic:blipFill>
                  <pic:spPr>
                    <a:xfrm>
                      <a:off x="0" y="0"/>
                      <a:ext cx="5596255" cy="360426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339080" cy="3632835"/>
            <wp:effectExtent l="0" t="0" r="13970" b="571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7"/>
                    <a:srcRect l="17063" t="13072" r="11731" b="9414"/>
                    <a:stretch>
                      <a:fillRect/>
                    </a:stretch>
                  </pic:blipFill>
                  <pic:spPr>
                    <a:xfrm>
                      <a:off x="0" y="0"/>
                      <a:ext cx="5339080" cy="3632835"/>
                    </a:xfrm>
                    <a:prstGeom prst="rect">
                      <a:avLst/>
                    </a:prstGeom>
                    <a:noFill/>
                    <a:ln>
                      <a:noFill/>
                    </a:ln>
                  </pic:spPr>
                </pic:pic>
              </a:graphicData>
            </a:graphic>
          </wp:inline>
        </w:drawing>
      </w:r>
    </w:p>
    <w:p>
      <w:pPr>
        <w:jc w:val="center"/>
        <w:rPr>
          <w:rFonts w:ascii="仿宋" w:hAnsi="仿宋" w:eastAsia="仿宋" w:cs="仿宋"/>
          <w:color w:val="auto"/>
          <w:highlight w:val="none"/>
        </w:rPr>
      </w:pPr>
    </w:p>
    <w:p>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325杆件大样图</w:t>
      </w:r>
    </w:p>
    <w:p>
      <w:pPr>
        <w:spacing w:line="360" w:lineRule="auto"/>
        <w:jc w:val="center"/>
        <w:rPr>
          <w:rFonts w:ascii="宋体" w:hAnsi="宋体" w:cs="宋体"/>
          <w:color w:val="auto"/>
          <w:sz w:val="24"/>
          <w:highlight w:val="none"/>
        </w:rPr>
      </w:pPr>
    </w:p>
    <w:p>
      <w:pPr>
        <w:autoSpaceDE w:val="0"/>
        <w:autoSpaceDN w:val="0"/>
        <w:adjustRightInd w:val="0"/>
        <w:spacing w:line="360" w:lineRule="auto"/>
        <w:jc w:val="left"/>
        <w:rPr>
          <w:rFonts w:ascii="宋体" w:hAnsi="宋体" w:cs="宋体"/>
          <w:color w:val="auto"/>
          <w:kern w:val="0"/>
          <w:sz w:val="24"/>
          <w:highlight w:val="none"/>
        </w:rPr>
      </w:pP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2.2.3 道路交通标线技术规格及要求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1）道路标线颜色、形状、图案等应符合设计要求《道路交通标志和标线》（GB 5768-2017）、《城市道路交通标志和标线设置规范》（GB51038-2015)和《浙江省城市道路交通标志和标线设置规范》(DB33/T818-2010)的规定。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2）交通标线的技术要求</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（1）制作道路标线涂料应满足GA/T298-2001的要求；</w:t>
      </w:r>
      <w:r>
        <w:rPr>
          <w:rFonts w:hint="eastAsia" w:ascii="宋体" w:hAnsi="宋体" w:cs="宋体"/>
          <w:color w:val="auto"/>
          <w:sz w:val="24"/>
          <w:highlight w:val="none"/>
          <w:lang w:val="zh-CN"/>
        </w:rPr>
        <w:t>标线分为常温型、</w:t>
      </w:r>
      <w:r>
        <w:rPr>
          <w:rFonts w:hint="eastAsia" w:ascii="宋体" w:hAnsi="宋体" w:cs="宋体"/>
          <w:color w:val="auto"/>
          <w:sz w:val="24"/>
          <w:highlight w:val="none"/>
        </w:rPr>
        <w:t>反光热熔</w:t>
      </w:r>
      <w:r>
        <w:rPr>
          <w:rFonts w:hint="eastAsia" w:ascii="宋体" w:hAnsi="宋体" w:cs="宋体"/>
          <w:color w:val="auto"/>
          <w:sz w:val="24"/>
          <w:highlight w:val="none"/>
          <w:lang w:val="zh-CN"/>
        </w:rPr>
        <w:t>型、热熔突起型、水性反光型、双组份反光型涂料、双组份突起型反光涂料、彩色防滑路面标线。</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（2）涂膜外观：涂膜冷疑后应无皱纹、斑点、起泡、裂纹、脱落及表面无发粘现象，涂膜的颜色和外观与标准板差别不大；</w:t>
      </w:r>
    </w:p>
    <w:p>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（3）各类标线的详细技术参数：</w:t>
      </w:r>
    </w:p>
    <w:p>
      <w:pPr>
        <w:autoSpaceDE w:val="0"/>
        <w:autoSpaceDN w:val="0"/>
        <w:adjustRightInd w:val="0"/>
        <w:snapToGrid w:val="0"/>
        <w:spacing w:line="360" w:lineRule="auto"/>
        <w:rPr>
          <w:rFonts w:ascii="宋体" w:hAnsi="宋体" w:cs="宋体"/>
          <w:b/>
          <w:color w:val="auto"/>
          <w:sz w:val="24"/>
          <w:highlight w:val="none"/>
          <w:lang w:val="zh-CN" w:bidi="ar"/>
        </w:rPr>
      </w:pPr>
      <w:r>
        <w:rPr>
          <w:rFonts w:hint="eastAsia" w:ascii="宋体" w:hAnsi="宋体" w:cs="宋体"/>
          <w:b/>
          <w:color w:val="auto"/>
          <w:sz w:val="24"/>
          <w:highlight w:val="none"/>
          <w:lang w:val="zh-CN" w:bidi="ar"/>
        </w:rPr>
        <w:t>反光热熔标线</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①密度（g/cm3）:1.8~2.3</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②软化点(℃):90~125</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③选用热熔型反光涂料，内含反光微珠必须≥20%，施划时面洒反光微珠</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④初始施划时逆反射系数：白色≥150，黄色≥100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⑤不粘胎干燥时间≤3min，开放交通干燥时间≤6min</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⑥抗压强度（MPa）:≥12</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⑦耐磨性（mg）:200 转/1000g 后减重≤80（JM—100 橡胶砂轮）</w:t>
      </w:r>
    </w:p>
    <w:p>
      <w:pPr>
        <w:autoSpaceDE w:val="0"/>
        <w:autoSpaceDN w:val="0"/>
        <w:adjustRightInd w:val="0"/>
        <w:snapToGrid w:val="0"/>
        <w:spacing w:line="360" w:lineRule="auto"/>
        <w:rPr>
          <w:rFonts w:ascii="宋体" w:hAnsi="宋体" w:cs="宋体"/>
          <w:b/>
          <w:color w:val="auto"/>
          <w:sz w:val="24"/>
          <w:highlight w:val="none"/>
          <w:lang w:val="zh-CN" w:bidi="ar"/>
        </w:rPr>
      </w:pPr>
      <w:r>
        <w:rPr>
          <w:rFonts w:hint="eastAsia" w:ascii="宋体" w:hAnsi="宋体" w:cs="宋体"/>
          <w:b/>
          <w:color w:val="auto"/>
          <w:sz w:val="24"/>
          <w:highlight w:val="none"/>
          <w:lang w:val="zh-CN" w:bidi="ar"/>
        </w:rPr>
        <w:t>反光水性标线</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①粘度（KU 值）:80～120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②密度（g/cm3）:≥1.6</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③选用环保型水性标线涂料</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④施划时面撒反光微珠</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⑤初始施划时逆反射系数：白色≥200，黄色≥150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⑥标线厚度≥0.7mm</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⑦不粘胎干燥时间≤10min，开放交通干燥时间≤20min</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⑧耐磨性（mg）:200 转/1000g 后减重≤40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⑨固体含量（%）:≥75</w:t>
      </w:r>
    </w:p>
    <w:p>
      <w:pPr>
        <w:autoSpaceDE w:val="0"/>
        <w:autoSpaceDN w:val="0"/>
        <w:adjustRightInd w:val="0"/>
        <w:snapToGrid w:val="0"/>
        <w:spacing w:line="360" w:lineRule="auto"/>
        <w:rPr>
          <w:rFonts w:ascii="宋体" w:hAnsi="宋体" w:cs="宋体"/>
          <w:b/>
          <w:color w:val="auto"/>
          <w:sz w:val="24"/>
          <w:highlight w:val="none"/>
          <w:lang w:val="zh-CN" w:bidi="ar"/>
        </w:rPr>
      </w:pPr>
      <w:r>
        <w:rPr>
          <w:rFonts w:hint="eastAsia" w:ascii="宋体" w:hAnsi="宋体" w:cs="宋体"/>
          <w:b/>
          <w:color w:val="auto"/>
          <w:sz w:val="24"/>
          <w:highlight w:val="none"/>
          <w:lang w:val="zh-CN" w:bidi="ar"/>
        </w:rPr>
        <w:t>双组份反光型涂料</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①密度（g/cm3）:1.5~2.0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②选用</w:t>
      </w:r>
      <w:r>
        <w:rPr>
          <w:rFonts w:hint="eastAsia" w:ascii="宋体" w:hAnsi="宋体" w:cs="宋体"/>
          <w:color w:val="auto"/>
          <w:sz w:val="24"/>
          <w:highlight w:val="none"/>
          <w:lang w:val="zh-CN"/>
        </w:rPr>
        <w:t>双组份</w:t>
      </w:r>
      <w:r>
        <w:rPr>
          <w:rFonts w:hint="eastAsia" w:ascii="宋体" w:hAnsi="宋体" w:cs="宋体"/>
          <w:color w:val="auto"/>
          <w:sz w:val="24"/>
          <w:highlight w:val="none"/>
        </w:rPr>
        <w:t>反光涂料，内含反光微珠必须≥20%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③初始施划时逆反射系数：白色≥350，黄色≥200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④不粘胎干燥时间≤35min</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⑤耐磨性（mg）:200 转/1000g 后减重≤30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⑥标线厚度≥0.5mm</w:t>
      </w:r>
    </w:p>
    <w:p>
      <w:pPr>
        <w:autoSpaceDE w:val="0"/>
        <w:autoSpaceDN w:val="0"/>
        <w:adjustRightInd w:val="0"/>
        <w:snapToGrid w:val="0"/>
        <w:spacing w:line="360" w:lineRule="auto"/>
        <w:rPr>
          <w:rFonts w:ascii="宋体" w:hAnsi="宋体" w:cs="宋体"/>
          <w:b/>
          <w:color w:val="auto"/>
          <w:sz w:val="24"/>
          <w:highlight w:val="none"/>
          <w:lang w:val="zh-CN" w:bidi="ar"/>
        </w:rPr>
      </w:pPr>
      <w:r>
        <w:rPr>
          <w:rFonts w:hint="eastAsia" w:ascii="宋体" w:hAnsi="宋体" w:cs="宋体"/>
          <w:b/>
          <w:color w:val="auto"/>
          <w:sz w:val="24"/>
          <w:highlight w:val="none"/>
          <w:lang w:val="zh-CN" w:bidi="ar"/>
        </w:rPr>
        <w:t>双组份突起型反光涂料</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①密度（g/cm3）:1.5~2.0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②选用</w:t>
      </w:r>
      <w:r>
        <w:rPr>
          <w:rFonts w:hint="eastAsia" w:ascii="宋体" w:hAnsi="宋体" w:cs="宋体"/>
          <w:color w:val="auto"/>
          <w:sz w:val="24"/>
          <w:highlight w:val="none"/>
          <w:lang w:val="zh-CN"/>
        </w:rPr>
        <w:t>双组份突起型</w:t>
      </w:r>
      <w:r>
        <w:rPr>
          <w:rFonts w:hint="eastAsia" w:ascii="宋体" w:hAnsi="宋体" w:cs="宋体"/>
          <w:color w:val="auto"/>
          <w:sz w:val="24"/>
          <w:highlight w:val="none"/>
        </w:rPr>
        <w:t>反光涂料，内含反光微珠必须≥20%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③初始施划时逆反射系数：白色≥350，黄色≥200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④不粘胎干燥时间≤35min</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⑤耐磨性（mg）:200 转/1000g 后减重≤30</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⑥标线厚度≥5mm</w:t>
      </w:r>
    </w:p>
    <w:p>
      <w:pPr>
        <w:autoSpaceDE w:val="0"/>
        <w:autoSpaceDN w:val="0"/>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lang w:bidi="ar"/>
        </w:rPr>
        <w:t>热熔雨夜标线的技术要求</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1、热熔雨夜标线应符合GB/T 16311-2009&lt;&lt;道路交通标线质量要求和检测方法&gt;&gt;关于热熔标线的相关技术要求。</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（1）</w:t>
      </w:r>
      <w:r>
        <w:rPr>
          <w:rFonts w:hint="eastAsia" w:ascii="宋体" w:hAnsi="宋体" w:cs="宋体"/>
          <w:snapToGrid w:val="0"/>
          <w:color w:val="auto"/>
          <w:sz w:val="24"/>
          <w:highlight w:val="none"/>
          <w:lang w:bidi="ar"/>
        </w:rPr>
        <w:t xml:space="preserve"> </w:t>
      </w:r>
      <w:r>
        <w:rPr>
          <w:rFonts w:hint="eastAsia" w:ascii="宋体" w:hAnsi="宋体" w:cs="宋体"/>
          <w:color w:val="auto"/>
          <w:sz w:val="24"/>
          <w:highlight w:val="none"/>
          <w:lang w:bidi="ar"/>
        </w:rPr>
        <w:t>热熔雨夜标线，白色反光标线的逆反射色应为白色，黄色反光标线的逆反射色应为黄色，测试方法应符合JT/T690的相关说明。</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（2）光学逆反射性能</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a. 新划白色标线的初始逆反射亮度系数应满足，干燥状态下的平均值不低于500 mcd·m-2·lx-1,潮湿状态下的平均值不低于350mcd·m-2·lx-1。新划黄色标线的初始逆反射亮度系数应满足，干燥状态下的平均值不低于350 mcd·m-2·lx-1,潮湿状态下的平均值不低于150 mcd·m-2·lx-1。</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干燥状态的测试方法参考ASTM E1710，潮湿状态的测试方法参考ASTM E2177，测试仪器以Delta公司的LTL-X设备为准。</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b. 正常使用期间，雨夜反光标线应满足夜间可视的要求。</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三个月后，干燥状态下白色边线亮度系数平均值不低于300 mcd·m-2·lx-1，潮湿状态下白色边线亮度系数的平均值不低于150 mcd·m-2·lx-1。</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三个月后，干燥状态下黄色边线亮度系数平均值不低于200 mcd·m-2·lx-1，潮湿状态下黄色边线亮度系数的平均值不低于100 mcd·m-2·lx-1。</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干燥状态的测试方法参考ASTM E1710，潮湿状态的测试方法参考ASTM E2177，测试仪器以Delta公司的LTL-X设备为准。</w:t>
      </w:r>
    </w:p>
    <w:p>
      <w:pPr>
        <w:numPr>
          <w:ilvl w:val="0"/>
          <w:numId w:val="11"/>
        </w:numPr>
        <w:autoSpaceDE w:val="0"/>
        <w:autoSpaceDN w:val="0"/>
        <w:adjustRightInd w:val="0"/>
        <w:snapToGrid w:val="0"/>
        <w:spacing w:line="360" w:lineRule="auto"/>
        <w:rPr>
          <w:rFonts w:ascii="宋体" w:hAnsi="宋体" w:cs="宋体"/>
          <w:color w:val="auto"/>
          <w:sz w:val="24"/>
          <w:highlight w:val="none"/>
          <w:lang w:bidi="ar"/>
        </w:rPr>
      </w:pPr>
      <w:r>
        <w:rPr>
          <w:rFonts w:hint="eastAsia" w:ascii="宋体" w:hAnsi="宋体" w:cs="宋体"/>
          <w:color w:val="auto"/>
          <w:sz w:val="24"/>
          <w:highlight w:val="none"/>
          <w:lang w:bidi="ar"/>
        </w:rPr>
        <w:t>在热熔标线施划表面撒播白色或黄色雨夜反光珠和玻璃珠，雨夜珠撒播量不低于260g/m2，玻璃珠撒播量不低于600g/m2。雨夜珠应为全天候高亮雨夜珠，外观为不规则形状，表层为微晶陶瓷珠涂层结构。</w:t>
      </w:r>
    </w:p>
    <w:p>
      <w:pPr>
        <w:pStyle w:val="13"/>
        <w:spacing w:line="360" w:lineRule="auto"/>
        <w:ind w:firstLine="0"/>
        <w:rPr>
          <w:rFonts w:ascii="宋体" w:hAnsi="宋体" w:cs="宋体"/>
          <w:color w:val="auto"/>
          <w:sz w:val="24"/>
          <w:szCs w:val="24"/>
          <w:highlight w:val="none"/>
        </w:rPr>
      </w:pPr>
      <w:r>
        <w:rPr>
          <w:rFonts w:hint="eastAsia" w:ascii="宋体" w:hAnsi="宋体" w:cs="宋体"/>
          <w:b/>
          <w:color w:val="auto"/>
          <w:sz w:val="24"/>
          <w:szCs w:val="24"/>
          <w:highlight w:val="none"/>
          <w:lang w:bidi="ar"/>
        </w:rPr>
        <w:t>雨夜标线涂料的技术要求：</w:t>
      </w:r>
    </w:p>
    <w:p>
      <w:pPr>
        <w:autoSpaceDE w:val="0"/>
        <w:autoSpaceDN w:val="0"/>
        <w:adjustRightInd w:val="0"/>
        <w:snapToGrid w:val="0"/>
        <w:spacing w:line="360" w:lineRule="auto"/>
        <w:rPr>
          <w:rFonts w:ascii="宋体" w:hAnsi="宋体" w:cs="宋体"/>
          <w:color w:val="auto"/>
          <w:sz w:val="24"/>
          <w:highlight w:val="none"/>
          <w:lang w:bidi="ar"/>
        </w:rPr>
      </w:pPr>
      <w:r>
        <w:rPr>
          <w:rFonts w:hint="eastAsia" w:ascii="宋体" w:hAnsi="宋体" w:cs="宋体"/>
          <w:color w:val="auto"/>
          <w:sz w:val="24"/>
          <w:highlight w:val="none"/>
          <w:lang w:bidi="ar"/>
        </w:rPr>
        <w:t>热熔涂料基本组成应满足JT280-2004的要求</w:t>
      </w:r>
    </w:p>
    <w:tbl>
      <w:tblPr>
        <w:tblStyle w:val="35"/>
        <w:tblW w:w="7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0"/>
        <w:gridCol w:w="3085"/>
        <w:gridCol w:w="18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序号</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项目</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技术要求</w:t>
            </w:r>
          </w:p>
        </w:tc>
        <w:tc>
          <w:tcPr>
            <w:tcW w:w="162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密度，g/cm3</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2.0-2.6</w:t>
            </w:r>
          </w:p>
        </w:tc>
        <w:tc>
          <w:tcPr>
            <w:tcW w:w="1620" w:type="dxa"/>
            <w:vMerge w:val="restart"/>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JTT 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2</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软化点，℃，不低于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105</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3</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不粘胎干燥时间，min，不高于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 3</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4</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色度性能（白色、黄色）</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 </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     色品坐标</w:t>
            </w:r>
          </w:p>
        </w:tc>
        <w:tc>
          <w:tcPr>
            <w:tcW w:w="1800" w:type="dxa"/>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满足JT/T 280-2004</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      亮度因数</w:t>
            </w:r>
          </w:p>
        </w:tc>
        <w:tc>
          <w:tcPr>
            <w:tcW w:w="1800"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spacing w:line="360" w:lineRule="auto"/>
              <w:rPr>
                <w:rFonts w:ascii="宋体" w:hAnsi="宋体" w:cs="宋体"/>
                <w:color w:val="auto"/>
                <w:sz w:val="24"/>
                <w:highlight w:val="none"/>
              </w:rPr>
            </w:pP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5</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抗压强度，Mpa，不低于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15</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6</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耐磨性，mg，不高于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70</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7</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玻璃珠含量，%，不低于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25</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8</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流动度，S</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35±5</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9</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耐水性</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通过</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10</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耐碱性</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通过</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11</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低温开裂性</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通过</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12</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加热稳定性</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通过</w:t>
            </w:r>
          </w:p>
        </w:tc>
        <w:tc>
          <w:tcPr>
            <w:tcW w:w="1620" w:type="dxa"/>
            <w:vMerge w:val="continue"/>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13</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表面邵氏硬度，D，不低于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70</w:t>
            </w:r>
          </w:p>
        </w:tc>
        <w:tc>
          <w:tcPr>
            <w:tcW w:w="162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邵氏硬度计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14</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落球冲击强度，N.m，不低于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0.75</w:t>
            </w:r>
          </w:p>
        </w:tc>
        <w:tc>
          <w:tcPr>
            <w:tcW w:w="162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冲击强度仪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15</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总有机物含量，wt%，不低于</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19</w:t>
            </w:r>
          </w:p>
        </w:tc>
        <w:tc>
          <w:tcPr>
            <w:tcW w:w="162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高温烧结法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16</w:t>
            </w:r>
          </w:p>
        </w:tc>
        <w:tc>
          <w:tcPr>
            <w:tcW w:w="3085"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Elements粘结性能</w:t>
            </w:r>
          </w:p>
        </w:tc>
        <w:tc>
          <w:tcPr>
            <w:tcW w:w="180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通过</w:t>
            </w:r>
          </w:p>
        </w:tc>
        <w:tc>
          <w:tcPr>
            <w:tcW w:w="1620" w:type="dxa"/>
            <w:tcBorders>
              <w:top w:val="single" w:color="auto" w:sz="4" w:space="0"/>
              <w:left w:val="single" w:color="auto" w:sz="4" w:space="0"/>
              <w:bottom w:val="single" w:color="auto" w:sz="4" w:space="0"/>
              <w:right w:val="single" w:color="auto" w:sz="4" w:space="0"/>
            </w:tcBorders>
            <w:shd w:val="clear" w:color="auto" w:fill="auto"/>
            <w:noWrap/>
            <w:tcMar>
              <w:left w:w="108" w:type="dxa"/>
              <w:right w:w="108" w:type="dxa"/>
            </w:tcMar>
            <w:vAlign w:val="bottom"/>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bidi="ar"/>
              </w:rPr>
              <w:t>内部</w:t>
            </w:r>
          </w:p>
        </w:tc>
      </w:tr>
    </w:tbl>
    <w:p>
      <w:pPr>
        <w:autoSpaceDE w:val="0"/>
        <w:autoSpaceDN w:val="0"/>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lang w:bidi="ar"/>
        </w:rPr>
        <w:t>热熔涂料配方性能指标</w:t>
      </w:r>
    </w:p>
    <w:p>
      <w:pPr>
        <w:pStyle w:val="13"/>
        <w:spacing w:line="360" w:lineRule="auto"/>
        <w:jc w:val="center"/>
        <w:rPr>
          <w:rFonts w:ascii="宋体" w:hAnsi="宋体" w:cs="宋体"/>
          <w:color w:val="auto"/>
          <w:sz w:val="24"/>
          <w:szCs w:val="24"/>
          <w:highlight w:val="none"/>
        </w:rPr>
      </w:pPr>
    </w:p>
    <w:p>
      <w:pPr>
        <w:autoSpaceDE w:val="0"/>
        <w:autoSpaceDN w:val="0"/>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lang w:bidi="ar"/>
        </w:rPr>
        <w:t>面撒玻璃珠的技术指标</w:t>
      </w:r>
    </w:p>
    <w:p>
      <w:pPr>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bidi="ar"/>
        </w:rPr>
        <w:t>玻璃珠应满足GB/T 24722-2009的标准，玻璃珠应为无色透明的球体结构，成圆率不低于80%，玻璃珠表面应没有坑槽或划痕，折射率不低于1.5。平均粒径在0.8-1.2 mm。</w:t>
      </w:r>
    </w:p>
    <w:p>
      <w:pPr>
        <w:spacing w:line="360" w:lineRule="auto"/>
        <w:rPr>
          <w:rFonts w:ascii="宋体" w:hAnsi="宋体" w:cs="宋体"/>
          <w:color w:val="auto"/>
          <w:sz w:val="24"/>
          <w:highlight w:val="none"/>
        </w:rPr>
      </w:pPr>
      <w:r>
        <w:rPr>
          <w:rFonts w:hint="eastAsia" w:ascii="宋体" w:hAnsi="宋体" w:cs="宋体"/>
          <w:b/>
          <w:color w:val="auto"/>
          <w:kern w:val="0"/>
          <w:sz w:val="24"/>
          <w:highlight w:val="none"/>
        </w:rPr>
        <w:t>标线带</w:t>
      </w:r>
    </w:p>
    <w:p>
      <w:pPr>
        <w:spacing w:line="360" w:lineRule="auto"/>
        <w:rPr>
          <w:rFonts w:ascii="宋体" w:hAnsi="宋体" w:cs="宋体"/>
          <w:color w:val="auto"/>
          <w:sz w:val="24"/>
          <w:highlight w:val="none"/>
        </w:rPr>
      </w:pPr>
      <w:r>
        <w:rPr>
          <w:rFonts w:hint="eastAsia" w:ascii="宋体" w:hAnsi="宋体" w:cs="宋体"/>
          <w:color w:val="auto"/>
          <w:kern w:val="0"/>
          <w:sz w:val="24"/>
          <w:highlight w:val="none"/>
        </w:rPr>
        <w:t>①</w:t>
      </w:r>
      <w:r>
        <w:rPr>
          <w:rFonts w:hint="eastAsia" w:ascii="宋体" w:hAnsi="宋体" w:cs="宋体"/>
          <w:color w:val="auto"/>
          <w:sz w:val="24"/>
          <w:highlight w:val="none"/>
          <w:lang w:bidi="ar"/>
        </w:rPr>
        <w:t xml:space="preserve">标线带为含有反光元素的预成型柔性聚合物材料，表面为规则凸起结构，有不小于 0.8mm 的突起菱形花纹，自带压敏胶，除本说明中指定的性能参数之外，其它指标应满足《道路预成型标线带》（GB/T24717）中 I 级反光长效 II 型标线带的要求，并具备干燥和潮湿条件下逆反射性能，。标线带应柔韧、清洁，边缘清晰，无裂纹。 </w:t>
      </w:r>
    </w:p>
    <w:p>
      <w:pPr>
        <w:spacing w:line="360" w:lineRule="auto"/>
        <w:rPr>
          <w:rFonts w:ascii="宋体" w:hAnsi="宋体" w:cs="宋体"/>
          <w:color w:val="auto"/>
          <w:sz w:val="24"/>
          <w:highlight w:val="none"/>
        </w:rPr>
      </w:pPr>
      <w:r>
        <w:rPr>
          <w:rFonts w:hint="eastAsia" w:ascii="宋体" w:hAnsi="宋体" w:cs="宋体"/>
          <w:color w:val="auto"/>
          <w:kern w:val="0"/>
          <w:sz w:val="24"/>
          <w:highlight w:val="none"/>
        </w:rPr>
        <w:t>②</w:t>
      </w:r>
      <w:r>
        <w:rPr>
          <w:rFonts w:hint="eastAsia" w:ascii="宋体" w:hAnsi="宋体" w:cs="宋体"/>
          <w:color w:val="auto"/>
          <w:sz w:val="24"/>
          <w:highlight w:val="none"/>
          <w:lang w:bidi="ar"/>
        </w:rPr>
        <w:t xml:space="preserve">标线带的初始逆反射系数（mcd/m2 /lux）应不低于如下数值： </w:t>
      </w:r>
    </w:p>
    <w:tbl>
      <w:tblPr>
        <w:tblStyle w:val="35"/>
        <w:tblW w:w="7100" w:type="dxa"/>
        <w:tblInd w:w="93" w:type="dxa"/>
        <w:tblLayout w:type="fixed"/>
        <w:tblCellMar>
          <w:top w:w="0" w:type="dxa"/>
          <w:left w:w="0" w:type="dxa"/>
          <w:bottom w:w="0" w:type="dxa"/>
          <w:right w:w="0" w:type="dxa"/>
        </w:tblCellMar>
      </w:tblPr>
      <w:tblGrid>
        <w:gridCol w:w="2130"/>
        <w:gridCol w:w="1080"/>
        <w:gridCol w:w="1273"/>
        <w:gridCol w:w="1334"/>
        <w:gridCol w:w="1283"/>
      </w:tblGrid>
      <w:tr>
        <w:trPr>
          <w:trHeight w:val="477" w:hRule="atLeast"/>
        </w:trPr>
        <w:tc>
          <w:tcPr>
            <w:tcW w:w="21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 xml:space="preserve">颜色   </w:t>
            </w:r>
          </w:p>
        </w:tc>
        <w:tc>
          <w:tcPr>
            <w:tcW w:w="2353" w:type="dxa"/>
            <w:gridSpan w:val="2"/>
            <w:tcBorders>
              <w:top w:val="single" w:color="auto" w:sz="4" w:space="0"/>
              <w:left w:val="nil"/>
              <w:bottom w:val="single" w:color="auto" w:sz="4" w:space="0"/>
              <w:right w:val="single" w:color="000000"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白色</w:t>
            </w:r>
          </w:p>
        </w:tc>
        <w:tc>
          <w:tcPr>
            <w:tcW w:w="2617" w:type="dxa"/>
            <w:gridSpan w:val="2"/>
            <w:tcBorders>
              <w:top w:val="single" w:color="auto" w:sz="4" w:space="0"/>
              <w:left w:val="nil"/>
              <w:bottom w:val="single" w:color="auto" w:sz="4" w:space="0"/>
              <w:right w:val="single" w:color="000000"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黄色</w:t>
            </w:r>
          </w:p>
        </w:tc>
      </w:tr>
      <w:tr>
        <w:tblPrEx>
          <w:tblCellMar>
            <w:top w:w="0" w:type="dxa"/>
            <w:left w:w="0" w:type="dxa"/>
            <w:bottom w:w="0" w:type="dxa"/>
            <w:right w:w="0" w:type="dxa"/>
          </w:tblCellMar>
        </w:tblPrEx>
        <w:trPr>
          <w:trHeight w:val="477" w:hRule="atLeast"/>
        </w:trPr>
        <w:tc>
          <w:tcPr>
            <w:tcW w:w="2130"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 xml:space="preserve">测试条件  </w:t>
            </w:r>
          </w:p>
        </w:tc>
        <w:tc>
          <w:tcPr>
            <w:tcW w:w="10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干燥</w:t>
            </w:r>
          </w:p>
        </w:tc>
        <w:tc>
          <w:tcPr>
            <w:tcW w:w="12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潮湿</w:t>
            </w:r>
          </w:p>
        </w:tc>
        <w:tc>
          <w:tcPr>
            <w:tcW w:w="13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干燥</w:t>
            </w:r>
          </w:p>
        </w:tc>
        <w:tc>
          <w:tcPr>
            <w:tcW w:w="128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潮湿</w:t>
            </w:r>
          </w:p>
        </w:tc>
      </w:tr>
      <w:tr>
        <w:trPr>
          <w:trHeight w:val="477" w:hRule="atLeast"/>
        </w:trPr>
        <w:tc>
          <w:tcPr>
            <w:tcW w:w="2130"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 xml:space="preserve">逆反射系数（不低于）   </w:t>
            </w:r>
          </w:p>
        </w:tc>
        <w:tc>
          <w:tcPr>
            <w:tcW w:w="10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500</w:t>
            </w:r>
          </w:p>
        </w:tc>
        <w:tc>
          <w:tcPr>
            <w:tcW w:w="12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250</w:t>
            </w:r>
          </w:p>
        </w:tc>
        <w:tc>
          <w:tcPr>
            <w:tcW w:w="133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300</w:t>
            </w:r>
          </w:p>
        </w:tc>
        <w:tc>
          <w:tcPr>
            <w:tcW w:w="128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200</w:t>
            </w:r>
          </w:p>
        </w:tc>
      </w:tr>
    </w:tbl>
    <w:p>
      <w:pPr>
        <w:spacing w:line="360" w:lineRule="auto"/>
        <w:rPr>
          <w:rFonts w:ascii="宋体" w:hAnsi="宋体" w:cs="宋体"/>
          <w:color w:val="auto"/>
          <w:sz w:val="24"/>
          <w:highlight w:val="none"/>
        </w:rPr>
      </w:pPr>
      <w:r>
        <w:rPr>
          <w:rFonts w:hint="eastAsia" w:ascii="宋体" w:hAnsi="宋体" w:cs="宋体"/>
          <w:color w:val="auto"/>
          <w:sz w:val="24"/>
          <w:highlight w:val="none"/>
          <w:lang w:bidi="ar"/>
        </w:rPr>
        <w:t xml:space="preserve"> </w:t>
      </w:r>
    </w:p>
    <w:p>
      <w:pPr>
        <w:spacing w:line="360" w:lineRule="auto"/>
        <w:rPr>
          <w:rFonts w:ascii="宋体" w:hAnsi="宋体" w:cs="宋体"/>
          <w:color w:val="auto"/>
          <w:sz w:val="24"/>
          <w:highlight w:val="none"/>
        </w:rPr>
      </w:pPr>
      <w:r>
        <w:rPr>
          <w:rFonts w:hint="eastAsia" w:ascii="宋体" w:hAnsi="宋体" w:cs="宋体"/>
          <w:color w:val="auto"/>
          <w:kern w:val="0"/>
          <w:sz w:val="24"/>
          <w:highlight w:val="none"/>
        </w:rPr>
        <w:t>③</w:t>
      </w:r>
      <w:r>
        <w:rPr>
          <w:rFonts w:hint="eastAsia" w:ascii="宋体" w:hAnsi="宋体" w:cs="宋体"/>
          <w:color w:val="auto"/>
          <w:sz w:val="24"/>
          <w:highlight w:val="none"/>
          <w:lang w:bidi="ar"/>
        </w:rPr>
        <w:t xml:space="preserve"> 标线带的色品坐标（昼间色） </w:t>
      </w:r>
    </w:p>
    <w:tbl>
      <w:tblPr>
        <w:tblStyle w:val="35"/>
        <w:tblW w:w="5824" w:type="dxa"/>
        <w:tblInd w:w="93" w:type="dxa"/>
        <w:tblLayout w:type="fixed"/>
        <w:tblCellMar>
          <w:top w:w="0" w:type="dxa"/>
          <w:left w:w="0" w:type="dxa"/>
          <w:bottom w:w="0" w:type="dxa"/>
          <w:right w:w="0" w:type="dxa"/>
        </w:tblCellMar>
      </w:tblPr>
      <w:tblGrid>
        <w:gridCol w:w="510"/>
        <w:gridCol w:w="240"/>
        <w:gridCol w:w="907"/>
        <w:gridCol w:w="850"/>
        <w:gridCol w:w="717"/>
        <w:gridCol w:w="783"/>
        <w:gridCol w:w="1817"/>
      </w:tblGrid>
      <w:tr>
        <w:tblPrEx>
          <w:tblCellMar>
            <w:top w:w="0" w:type="dxa"/>
            <w:left w:w="0" w:type="dxa"/>
            <w:bottom w:w="0" w:type="dxa"/>
            <w:right w:w="0" w:type="dxa"/>
          </w:tblCellMar>
        </w:tblPrEx>
        <w:trPr>
          <w:trHeight w:val="402" w:hRule="atLeast"/>
        </w:trPr>
        <w:tc>
          <w:tcPr>
            <w:tcW w:w="5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颜色</w:t>
            </w:r>
          </w:p>
        </w:tc>
        <w:tc>
          <w:tcPr>
            <w:tcW w:w="3497" w:type="dxa"/>
            <w:gridSpan w:val="5"/>
            <w:tcBorders>
              <w:top w:val="single" w:color="auto" w:sz="4" w:space="0"/>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色品坐标</w:t>
            </w:r>
          </w:p>
        </w:tc>
        <w:tc>
          <w:tcPr>
            <w:tcW w:w="1817"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  亮度因子 </w:t>
            </w:r>
          </w:p>
        </w:tc>
      </w:tr>
      <w:tr>
        <w:tblPrEx>
          <w:tblCellMar>
            <w:top w:w="0" w:type="dxa"/>
            <w:left w:w="0" w:type="dxa"/>
            <w:bottom w:w="0" w:type="dxa"/>
            <w:right w:w="0" w:type="dxa"/>
          </w:tblCellMar>
        </w:tblPrEx>
        <w:trPr>
          <w:trHeight w:val="402" w:hRule="atLeast"/>
        </w:trPr>
        <w:tc>
          <w:tcPr>
            <w:tcW w:w="510" w:type="dxa"/>
            <w:vMerge w:val="restart"/>
            <w:tcBorders>
              <w:top w:val="nil"/>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白色 </w:t>
            </w:r>
          </w:p>
        </w:tc>
        <w:tc>
          <w:tcPr>
            <w:tcW w:w="24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x </w:t>
            </w:r>
          </w:p>
        </w:tc>
        <w:tc>
          <w:tcPr>
            <w:tcW w:w="9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0.35</w:t>
            </w:r>
          </w:p>
        </w:tc>
        <w:tc>
          <w:tcPr>
            <w:tcW w:w="85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0.3</w:t>
            </w:r>
          </w:p>
        </w:tc>
        <w:tc>
          <w:tcPr>
            <w:tcW w:w="71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0.29</w:t>
            </w:r>
          </w:p>
        </w:tc>
        <w:tc>
          <w:tcPr>
            <w:tcW w:w="78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0.34</w:t>
            </w:r>
          </w:p>
        </w:tc>
        <w:tc>
          <w:tcPr>
            <w:tcW w:w="1817" w:type="dxa"/>
            <w:vMerge w:val="restart"/>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Y≥0.35 </w:t>
            </w:r>
          </w:p>
        </w:tc>
      </w:tr>
      <w:tr>
        <w:tblPrEx>
          <w:tblCellMar>
            <w:top w:w="0" w:type="dxa"/>
            <w:left w:w="0" w:type="dxa"/>
            <w:bottom w:w="0" w:type="dxa"/>
            <w:right w:w="0" w:type="dxa"/>
          </w:tblCellMar>
        </w:tblPrEx>
        <w:trPr>
          <w:trHeight w:val="402" w:hRule="atLeast"/>
        </w:trPr>
        <w:tc>
          <w:tcPr>
            <w:tcW w:w="510" w:type="dxa"/>
            <w:vMerge w:val="continue"/>
            <w:tcBorders>
              <w:top w:val="nil"/>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p>
        </w:tc>
        <w:tc>
          <w:tcPr>
            <w:tcW w:w="24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y </w:t>
            </w:r>
          </w:p>
        </w:tc>
        <w:tc>
          <w:tcPr>
            <w:tcW w:w="9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0.36</w:t>
            </w:r>
          </w:p>
        </w:tc>
        <w:tc>
          <w:tcPr>
            <w:tcW w:w="85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0.31</w:t>
            </w:r>
          </w:p>
        </w:tc>
        <w:tc>
          <w:tcPr>
            <w:tcW w:w="71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0.32</w:t>
            </w:r>
          </w:p>
        </w:tc>
        <w:tc>
          <w:tcPr>
            <w:tcW w:w="78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0.37</w:t>
            </w:r>
          </w:p>
        </w:tc>
        <w:tc>
          <w:tcPr>
            <w:tcW w:w="1817" w:type="dxa"/>
            <w:vMerge w:val="continue"/>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p>
        </w:tc>
      </w:tr>
      <w:tr>
        <w:tblPrEx>
          <w:tblCellMar>
            <w:top w:w="0" w:type="dxa"/>
            <w:left w:w="0" w:type="dxa"/>
            <w:bottom w:w="0" w:type="dxa"/>
            <w:right w:w="0" w:type="dxa"/>
          </w:tblCellMar>
        </w:tblPrEx>
        <w:trPr>
          <w:trHeight w:val="402" w:hRule="atLeast"/>
        </w:trPr>
        <w:tc>
          <w:tcPr>
            <w:tcW w:w="510" w:type="dxa"/>
            <w:vMerge w:val="restart"/>
            <w:tcBorders>
              <w:top w:val="nil"/>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黄色</w:t>
            </w:r>
          </w:p>
        </w:tc>
        <w:tc>
          <w:tcPr>
            <w:tcW w:w="24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x  </w:t>
            </w:r>
          </w:p>
        </w:tc>
        <w:tc>
          <w:tcPr>
            <w:tcW w:w="9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0.545</w:t>
            </w:r>
          </w:p>
        </w:tc>
        <w:tc>
          <w:tcPr>
            <w:tcW w:w="85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0.487</w:t>
            </w:r>
          </w:p>
        </w:tc>
        <w:tc>
          <w:tcPr>
            <w:tcW w:w="71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0.427</w:t>
            </w:r>
          </w:p>
        </w:tc>
        <w:tc>
          <w:tcPr>
            <w:tcW w:w="78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0.465</w:t>
            </w:r>
          </w:p>
        </w:tc>
        <w:tc>
          <w:tcPr>
            <w:tcW w:w="1817" w:type="dxa"/>
            <w:vMerge w:val="restart"/>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Y≥0.27 </w:t>
            </w:r>
          </w:p>
        </w:tc>
      </w:tr>
      <w:tr>
        <w:tblPrEx>
          <w:tblCellMar>
            <w:top w:w="0" w:type="dxa"/>
            <w:left w:w="0" w:type="dxa"/>
            <w:bottom w:w="0" w:type="dxa"/>
            <w:right w:w="0" w:type="dxa"/>
          </w:tblCellMar>
        </w:tblPrEx>
        <w:trPr>
          <w:trHeight w:val="402" w:hRule="atLeast"/>
        </w:trPr>
        <w:tc>
          <w:tcPr>
            <w:tcW w:w="510" w:type="dxa"/>
            <w:vMerge w:val="continue"/>
            <w:tcBorders>
              <w:top w:val="nil"/>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p>
        </w:tc>
        <w:tc>
          <w:tcPr>
            <w:tcW w:w="24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y </w:t>
            </w:r>
          </w:p>
        </w:tc>
        <w:tc>
          <w:tcPr>
            <w:tcW w:w="9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0.454</w:t>
            </w:r>
          </w:p>
        </w:tc>
        <w:tc>
          <w:tcPr>
            <w:tcW w:w="85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0.423</w:t>
            </w:r>
          </w:p>
        </w:tc>
        <w:tc>
          <w:tcPr>
            <w:tcW w:w="71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0.483</w:t>
            </w:r>
          </w:p>
        </w:tc>
        <w:tc>
          <w:tcPr>
            <w:tcW w:w="78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line="360" w:lineRule="auto"/>
              <w:jc w:val="righ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0.534</w:t>
            </w:r>
          </w:p>
        </w:tc>
        <w:tc>
          <w:tcPr>
            <w:tcW w:w="1817" w:type="dxa"/>
            <w:vMerge w:val="continue"/>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r>
        <w:rPr>
          <w:rFonts w:hint="eastAsia" w:ascii="宋体" w:hAnsi="宋体" w:cs="宋体"/>
          <w:color w:val="auto"/>
          <w:kern w:val="0"/>
          <w:sz w:val="24"/>
          <w:highlight w:val="none"/>
        </w:rPr>
        <w:t>④</w:t>
      </w:r>
      <w:r>
        <w:rPr>
          <w:rFonts w:hint="eastAsia" w:ascii="宋体" w:hAnsi="宋体" w:cs="宋体"/>
          <w:color w:val="auto"/>
          <w:sz w:val="24"/>
          <w:highlight w:val="none"/>
          <w:lang w:bidi="ar"/>
        </w:rPr>
        <w:t xml:space="preserve">标线带初始抗滑指数不低于 55 BPN，满足 GB/T 24717-2009 中 B 级抗滑长效标线带的技术要求。 </w:t>
      </w:r>
    </w:p>
    <w:p>
      <w:pPr>
        <w:spacing w:line="360" w:lineRule="auto"/>
        <w:rPr>
          <w:rFonts w:ascii="宋体" w:hAnsi="宋体" w:cs="宋体"/>
          <w:color w:val="auto"/>
          <w:sz w:val="24"/>
          <w:highlight w:val="none"/>
        </w:rPr>
      </w:pPr>
      <w:r>
        <w:rPr>
          <w:rFonts w:hint="eastAsia" w:ascii="宋体" w:hAnsi="宋体" w:cs="宋体"/>
          <w:color w:val="auto"/>
          <w:kern w:val="0"/>
          <w:sz w:val="24"/>
          <w:highlight w:val="none"/>
        </w:rPr>
        <w:t>⑤</w:t>
      </w:r>
      <w:r>
        <w:rPr>
          <w:rFonts w:hint="eastAsia" w:ascii="宋体" w:hAnsi="宋体" w:cs="宋体"/>
          <w:color w:val="auto"/>
          <w:sz w:val="24"/>
          <w:highlight w:val="none"/>
          <w:lang w:bidi="ar"/>
        </w:rPr>
        <w:t xml:space="preserve">标线带正常使用期间的白色干燥逆反射系数不低于 100 mcd/m2 /lux，黄色干燥逆反射系数不低于 50 mcd/m2 /lux。 </w:t>
      </w:r>
    </w:p>
    <w:p>
      <w:pPr>
        <w:spacing w:line="360" w:lineRule="auto"/>
        <w:rPr>
          <w:rFonts w:ascii="宋体" w:hAnsi="宋体" w:cs="宋体"/>
          <w:color w:val="auto"/>
          <w:sz w:val="24"/>
          <w:highlight w:val="none"/>
        </w:rPr>
      </w:pPr>
      <w:r>
        <w:rPr>
          <w:rFonts w:hint="eastAsia" w:ascii="宋体" w:hAnsi="宋体" w:cs="宋体"/>
          <w:color w:val="auto"/>
          <w:kern w:val="0"/>
          <w:sz w:val="24"/>
          <w:highlight w:val="none"/>
        </w:rPr>
        <w:t>⑥</w:t>
      </w:r>
      <w:r>
        <w:rPr>
          <w:rFonts w:hint="eastAsia" w:ascii="宋体" w:hAnsi="宋体" w:cs="宋体"/>
          <w:color w:val="auto"/>
          <w:sz w:val="24"/>
          <w:highlight w:val="none"/>
          <w:lang w:bidi="ar"/>
        </w:rPr>
        <w:t xml:space="preserve"> 标线带施工时应使用标线带厂家配套的底涂剂，并按推荐的施工流程进行施工。 </w:t>
      </w:r>
    </w:p>
    <w:p>
      <w:pPr>
        <w:autoSpaceDE w:val="0"/>
        <w:autoSpaceDN w:val="0"/>
        <w:snapToGrid w:val="0"/>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 xml:space="preserve">   （4）对需要铲除的旧线，要做到铲除后不会引起驾驶员的误解和投诉。</w:t>
      </w:r>
    </w:p>
    <w:p>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kern w:val="0"/>
          <w:sz w:val="24"/>
          <w:highlight w:val="none"/>
        </w:rPr>
        <w:t>交叉路口驶入段的导向车道内应有导向箭头标明各车道的行驶方向。距路口最近的第一组导向箭头在距停止线2m处设置，第二组在导向车道的起始位置设置，箭头起始端部与导向车道线起始端部平齐，第三组作为预告箭头，在距第二组箭头前30m～50m间隔设置，预告箭头指示方向应与前方导向车道允许行驶方向保持一致。道路设计速度≤40km/h，导向箭头设置2组；道路设计速度40~100km/h，导向箭头设置3组。</w:t>
      </w:r>
    </w:p>
    <w:p>
      <w:pPr>
        <w:spacing w:line="360" w:lineRule="auto"/>
        <w:ind w:firstLine="420"/>
        <w:rPr>
          <w:rFonts w:ascii="宋体" w:hAnsi="宋体" w:cs="宋体"/>
          <w:color w:val="auto"/>
          <w:kern w:val="0"/>
          <w:sz w:val="24"/>
          <w:highlight w:val="none"/>
        </w:rPr>
      </w:pPr>
      <w:r>
        <w:rPr>
          <w:rFonts w:hint="eastAsia" w:ascii="宋体" w:hAnsi="宋体" w:cs="宋体"/>
          <w:color w:val="auto"/>
          <w:sz w:val="24"/>
          <w:highlight w:val="none"/>
        </w:rPr>
        <w:t>（6）</w:t>
      </w:r>
      <w:r>
        <w:rPr>
          <w:rFonts w:hint="eastAsia" w:ascii="宋体" w:hAnsi="宋体" w:cs="宋体"/>
          <w:color w:val="auto"/>
          <w:kern w:val="0"/>
          <w:sz w:val="24"/>
          <w:highlight w:val="none"/>
        </w:rPr>
        <w:t>标线施工注意：(a)交通标线的划法应符合国家和地方的有关规定，做到整齐、清晰、醒目,色泽与漆膜厚薄均匀；划漆线条流畅，线性规则。(b)交通标线材料应具有良好的耐磨性、防滑性和辨认性，并按照规范采用符合要求的涂料。(c)交通标线施工前要清洗地面，除净灰尘和泥土，然后按设计要求放样漆划。标线或底漆施划后，应放置锥形交通路标，待标线干燥后才能撤走。(d)交通标线施工禁止在雨天和潮湿冰冻的路面上进行。热熔型涂料施工时气温不低于10℃。(e)标线涂层厚度为1.8mm；突起型标线涂层突起部分的高度为3~7mm，基线的厚度为1.8mm。(f)撒布在标线涂层上的玻璃珠应分布均匀，其撒布量为0.3kg/ m</w:t>
      </w:r>
      <w:r>
        <w:rPr>
          <w:rFonts w:hint="eastAsia" w:ascii="宋体" w:hAnsi="宋体" w:cs="宋体"/>
          <w:color w:val="auto"/>
          <w:kern w:val="0"/>
          <w:sz w:val="24"/>
          <w:highlight w:val="none"/>
          <w:vertAlign w:val="superscript"/>
        </w:rPr>
        <w:t>2</w:t>
      </w:r>
      <w:r>
        <w:rPr>
          <w:rFonts w:hint="eastAsia" w:ascii="宋体" w:hAnsi="宋体" w:cs="宋体"/>
          <w:color w:val="auto"/>
          <w:kern w:val="0"/>
          <w:sz w:val="24"/>
          <w:highlight w:val="none"/>
        </w:rPr>
        <w:t>~0.4g/ m</w:t>
      </w:r>
      <w:r>
        <w:rPr>
          <w:rFonts w:hint="eastAsia" w:ascii="宋体" w:hAnsi="宋体" w:cs="宋体"/>
          <w:color w:val="auto"/>
          <w:kern w:val="0"/>
          <w:sz w:val="24"/>
          <w:highlight w:val="none"/>
          <w:vertAlign w:val="superscript"/>
        </w:rPr>
        <w:t>2</w:t>
      </w:r>
      <w:r>
        <w:rPr>
          <w:rFonts w:hint="eastAsia" w:ascii="宋体" w:hAnsi="宋体" w:cs="宋体"/>
          <w:color w:val="auto"/>
          <w:kern w:val="0"/>
          <w:sz w:val="24"/>
          <w:highlight w:val="none"/>
        </w:rPr>
        <w:t>。（g）标线施工前要和业主方一起踏看施工范围，制作施工计划，并每周向业主方反馈施工进度。</w:t>
      </w:r>
    </w:p>
    <w:p>
      <w:pPr>
        <w:spacing w:line="360" w:lineRule="auto"/>
        <w:ind w:firstLine="470" w:firstLineChars="196"/>
        <w:rPr>
          <w:rFonts w:ascii="宋体" w:hAnsi="宋体" w:cs="宋体"/>
          <w:b/>
          <w:color w:val="auto"/>
          <w:sz w:val="24"/>
          <w:highlight w:val="none"/>
        </w:rPr>
      </w:pPr>
      <w:r>
        <w:rPr>
          <w:rFonts w:hint="eastAsia" w:ascii="宋体" w:hAnsi="宋体" w:cs="宋体"/>
          <w:bCs/>
          <w:color w:val="auto"/>
          <w:sz w:val="24"/>
          <w:highlight w:val="none"/>
        </w:rPr>
        <w:t>3）设备的质量标准、检测标准、测试手段、安装标准</w:t>
      </w:r>
    </w:p>
    <w:p>
      <w:pPr>
        <w:spacing w:line="360" w:lineRule="auto"/>
        <w:ind w:left="420" w:leftChars="200" w:firstLine="1080" w:firstLineChars="450"/>
        <w:rPr>
          <w:rFonts w:ascii="宋体" w:hAnsi="宋体" w:cs="宋体"/>
          <w:color w:val="auto"/>
          <w:sz w:val="24"/>
          <w:highlight w:val="none"/>
        </w:rPr>
      </w:pPr>
      <w:r>
        <w:rPr>
          <w:rFonts w:hint="eastAsia" w:ascii="宋体" w:hAnsi="宋体" w:cs="宋体"/>
          <w:color w:val="auto"/>
          <w:sz w:val="24"/>
          <w:highlight w:val="none"/>
        </w:rPr>
        <w:t>●JTGF80/1-2004《公路工程质量检验评定标准》</w:t>
      </w:r>
    </w:p>
    <w:p>
      <w:pPr>
        <w:spacing w:line="360" w:lineRule="auto"/>
        <w:ind w:left="420" w:leftChars="200" w:firstLine="1080" w:firstLineChars="450"/>
        <w:rPr>
          <w:rFonts w:ascii="宋体" w:hAnsi="宋体" w:cs="宋体"/>
          <w:color w:val="auto"/>
          <w:sz w:val="24"/>
          <w:highlight w:val="none"/>
        </w:rPr>
      </w:pPr>
      <w:r>
        <w:rPr>
          <w:rFonts w:hint="eastAsia" w:ascii="宋体" w:hAnsi="宋体" w:cs="宋体"/>
          <w:color w:val="auto"/>
          <w:sz w:val="24"/>
          <w:highlight w:val="none"/>
        </w:rPr>
        <w:t>●GA/T652-2016《公安交通管理外场设备基础施工通用要求》</w:t>
      </w:r>
    </w:p>
    <w:p>
      <w:pPr>
        <w:spacing w:line="360" w:lineRule="auto"/>
        <w:ind w:left="420" w:leftChars="200" w:firstLine="1080" w:firstLineChars="45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rPr>
        <w:t>GB/T 16311-2009</w:t>
      </w:r>
      <w:r>
        <w:rPr>
          <w:rFonts w:hint="eastAsia" w:ascii="宋体" w:hAnsi="宋体" w:cs="宋体"/>
          <w:color w:val="auto"/>
          <w:sz w:val="24"/>
          <w:highlight w:val="none"/>
        </w:rPr>
        <w:t>《道路交通标线质量要求和检测方法》等相关规范</w:t>
      </w:r>
    </w:p>
    <w:p>
      <w:pPr>
        <w:spacing w:line="360" w:lineRule="auto"/>
        <w:ind w:firstLine="720" w:firstLineChars="300"/>
        <w:rPr>
          <w:rFonts w:ascii="宋体" w:hAnsi="宋体" w:cs="宋体"/>
          <w:color w:val="auto"/>
          <w:kern w:val="0"/>
          <w:sz w:val="24"/>
          <w:highlight w:val="none"/>
        </w:rPr>
      </w:pPr>
      <w:r>
        <w:rPr>
          <w:rFonts w:hint="eastAsia" w:ascii="宋体" w:hAnsi="宋体" w:cs="宋体"/>
          <w:color w:val="auto"/>
          <w:sz w:val="24"/>
          <w:highlight w:val="none"/>
        </w:rPr>
        <w:t>验收时投标人应提供每个路口、路段标志、标线、护栏的工作量清单，标线路口的工作量清单要描述各个方向的工作量。</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2.4 交通信号灯技术规格及要求</w:t>
      </w:r>
    </w:p>
    <w:p>
      <w:pPr>
        <w:spacing w:line="360" w:lineRule="auto"/>
        <w:ind w:left="400"/>
        <w:rPr>
          <w:rFonts w:ascii="宋体" w:hAnsi="宋体" w:cs="宋体"/>
          <w:color w:val="auto"/>
          <w:sz w:val="24"/>
          <w:highlight w:val="none"/>
        </w:rPr>
      </w:pPr>
      <w:r>
        <w:rPr>
          <w:rFonts w:hint="eastAsia" w:ascii="宋体" w:hAnsi="宋体" w:cs="宋体"/>
          <w:color w:val="auto"/>
          <w:sz w:val="24"/>
          <w:highlight w:val="none"/>
        </w:rPr>
        <w:t>（1）杆身</w:t>
      </w:r>
    </w:p>
    <w:p>
      <w:pPr>
        <w:spacing w:line="360" w:lineRule="auto"/>
        <w:ind w:left="420" w:leftChars="200"/>
        <w:rPr>
          <w:rFonts w:ascii="宋体" w:hAnsi="宋体" w:cs="宋体"/>
          <w:color w:val="auto"/>
          <w:sz w:val="24"/>
          <w:highlight w:val="none"/>
        </w:rPr>
      </w:pPr>
      <w:r>
        <w:rPr>
          <w:rFonts w:hint="eastAsia" w:ascii="宋体" w:hAnsi="宋体" w:cs="宋体"/>
          <w:color w:val="auto"/>
          <w:sz w:val="24"/>
          <w:highlight w:val="none"/>
        </w:rPr>
        <w:t>A、杆身要求为优质Q235钢板经模压形成。</w:t>
      </w:r>
    </w:p>
    <w:p>
      <w:pPr>
        <w:spacing w:line="360" w:lineRule="auto"/>
        <w:ind w:left="420" w:leftChars="200"/>
        <w:rPr>
          <w:rFonts w:ascii="宋体" w:hAnsi="宋体" w:cs="宋体"/>
          <w:color w:val="auto"/>
          <w:sz w:val="24"/>
          <w:highlight w:val="none"/>
        </w:rPr>
      </w:pPr>
      <w:r>
        <w:rPr>
          <w:rFonts w:hint="eastAsia" w:ascii="宋体" w:hAnsi="宋体" w:cs="宋体"/>
          <w:color w:val="auto"/>
          <w:sz w:val="24"/>
          <w:highlight w:val="none"/>
        </w:rPr>
        <w:t>B、经热镀锌防腐处理，并处理好杆管内锌渣，确保20年不生锈，封板采用铝板。</w:t>
      </w:r>
    </w:p>
    <w:p>
      <w:pPr>
        <w:spacing w:line="360" w:lineRule="auto"/>
        <w:ind w:left="420" w:leftChars="200"/>
        <w:rPr>
          <w:rFonts w:ascii="宋体" w:hAnsi="宋体" w:cs="宋体"/>
          <w:color w:val="auto"/>
          <w:sz w:val="24"/>
          <w:highlight w:val="none"/>
        </w:rPr>
      </w:pPr>
      <w:r>
        <w:rPr>
          <w:rFonts w:hint="eastAsia" w:ascii="宋体" w:hAnsi="宋体" w:cs="宋体"/>
          <w:color w:val="auto"/>
          <w:sz w:val="24"/>
          <w:highlight w:val="none"/>
        </w:rPr>
        <w:t>C、紧固件螺栓、螺母为45#钢，做好防锈处理。</w:t>
      </w:r>
    </w:p>
    <w:p>
      <w:pPr>
        <w:spacing w:line="360" w:lineRule="auto"/>
        <w:ind w:left="420"/>
        <w:rPr>
          <w:rFonts w:ascii="宋体" w:hAnsi="宋体" w:cs="宋体"/>
          <w:color w:val="auto"/>
          <w:sz w:val="24"/>
          <w:highlight w:val="none"/>
        </w:rPr>
      </w:pPr>
      <w:r>
        <w:rPr>
          <w:rFonts w:hint="eastAsia" w:ascii="宋体" w:hAnsi="宋体" w:cs="宋体"/>
          <w:color w:val="auto"/>
          <w:sz w:val="24"/>
          <w:highlight w:val="none"/>
        </w:rPr>
        <w:t>（2）基础</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A、基础砼标号为商品混凝土C25。基础下沉30cm，螺栓、螺母做好防锈处理。</w:t>
      </w:r>
    </w:p>
    <w:p>
      <w:pPr>
        <w:spacing w:line="360" w:lineRule="auto"/>
        <w:ind w:left="840" w:leftChars="400"/>
        <w:rPr>
          <w:rFonts w:ascii="宋体" w:hAnsi="宋体" w:cs="宋体"/>
          <w:color w:val="auto"/>
          <w:sz w:val="24"/>
          <w:highlight w:val="none"/>
        </w:rPr>
      </w:pPr>
      <w:r>
        <w:rPr>
          <w:rFonts w:hint="eastAsia" w:ascii="宋体" w:hAnsi="宋体" w:cs="宋体"/>
          <w:color w:val="auto"/>
          <w:sz w:val="24"/>
          <w:highlight w:val="none"/>
        </w:rPr>
        <w:t>B、基础尺寸按照设计要求能承受最大风力14级。</w:t>
      </w:r>
    </w:p>
    <w:p>
      <w:pPr>
        <w:spacing w:line="360" w:lineRule="auto"/>
        <w:ind w:left="840" w:leftChars="400"/>
        <w:rPr>
          <w:rFonts w:ascii="宋体" w:hAnsi="宋体" w:cs="宋体"/>
          <w:color w:val="auto"/>
          <w:sz w:val="24"/>
          <w:highlight w:val="none"/>
        </w:rPr>
      </w:pPr>
      <w:r>
        <w:rPr>
          <w:rFonts w:hint="eastAsia" w:ascii="宋体" w:hAnsi="宋体" w:cs="宋体"/>
          <w:color w:val="auto"/>
          <w:sz w:val="24"/>
          <w:highlight w:val="none"/>
        </w:rPr>
        <w:t>C、信号灯F杆基础要求钢筋扎制，钢筋为</w:t>
      </w:r>
      <w:r>
        <w:rPr>
          <w:rFonts w:hint="eastAsia" w:ascii="宋体" w:hAnsi="宋体" w:cs="宋体"/>
          <w:color w:val="auto"/>
          <w:kern w:val="0"/>
          <w:sz w:val="24"/>
          <w:highlight w:val="none"/>
          <w:lang w:bidi="ar"/>
        </w:rPr>
        <w:t>Φ10mm，扎制钢筋笼间距250MM。</w:t>
      </w:r>
    </w:p>
    <w:p>
      <w:pPr>
        <w:spacing w:line="360" w:lineRule="auto"/>
        <w:ind w:left="840" w:leftChars="400"/>
        <w:rPr>
          <w:rFonts w:ascii="宋体" w:hAnsi="宋体" w:cs="宋体"/>
          <w:color w:val="auto"/>
          <w:sz w:val="24"/>
          <w:highlight w:val="none"/>
        </w:rPr>
      </w:pPr>
      <w:r>
        <w:rPr>
          <w:rFonts w:hint="eastAsia" w:ascii="宋体" w:hAnsi="宋体" w:cs="宋体"/>
          <w:color w:val="auto"/>
          <w:sz w:val="24"/>
          <w:highlight w:val="none"/>
        </w:rPr>
        <w:t>D、信号机机箱基础比原有水平面抬高30CM。</w:t>
      </w:r>
    </w:p>
    <w:p>
      <w:pPr>
        <w:spacing w:line="360" w:lineRule="auto"/>
        <w:ind w:left="420"/>
        <w:rPr>
          <w:rFonts w:ascii="宋体" w:hAnsi="宋体" w:cs="宋体"/>
          <w:color w:val="auto"/>
          <w:sz w:val="24"/>
          <w:highlight w:val="none"/>
        </w:rPr>
      </w:pPr>
      <w:r>
        <w:rPr>
          <w:rFonts w:hint="eastAsia" w:ascii="宋体" w:hAnsi="宋体" w:cs="宋体"/>
          <w:color w:val="auto"/>
          <w:sz w:val="24"/>
          <w:highlight w:val="none"/>
        </w:rPr>
        <w:t>（3）、信号灯技术要求</w:t>
      </w:r>
    </w:p>
    <w:p>
      <w:pPr>
        <w:pStyle w:val="17"/>
        <w:spacing w:line="360" w:lineRule="auto"/>
        <w:ind w:firstLine="361" w:firstLineChars="150"/>
        <w:rPr>
          <w:rFonts w:ascii="宋体" w:hAnsi="宋体" w:cs="宋体"/>
          <w:b/>
          <w:color w:val="auto"/>
          <w:highlight w:val="none"/>
        </w:rPr>
      </w:pPr>
      <w:r>
        <w:rPr>
          <w:rFonts w:hint="eastAsia" w:ascii="宋体" w:hAnsi="宋体" w:cs="宋体"/>
          <w:b/>
          <w:color w:val="auto"/>
          <w:highlight w:val="none"/>
        </w:rPr>
        <w:t xml:space="preserve">     整体要求</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1）所有灯具应通过公安部公共安全产品强制性认证（GA认证），并提供有效认证证书以及灯具通过GA14887－2011（交通信号灯）检测的有效检测报告。</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2）交通信号灯生产商应通过ISO9001－2000以上质量管理体系认证，并提供有效认证证书。</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3）灯具的外壳体采用铝型材或压铸铝材料应具有良好的抗氧化性，使用期内产品不褪色；外壳体、灯罩等外部结构件要有良好的刚性和耐冲击性，防护等级IP55；内部结构件有良好的稳固性和密封性。</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4）灯具应采用前开门形式，手拧不锈钢螺丝，方便安装维护；</w:t>
      </w:r>
      <w:r>
        <w:rPr>
          <w:rFonts w:hint="eastAsia" w:ascii="宋体" w:hAnsi="宋体" w:cs="宋体"/>
          <w:color w:val="auto"/>
          <w:highlight w:val="none"/>
        </w:rPr>
        <w:tab/>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5）灯体与信号灯杆的连接安装要简便可靠并有指示标识，灯具自身安装结构应有准确的设计，保证灯具安装的简便和同一灯杆灯色一致。</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6）灯具与外电路连接应有不少于容纳两根电缆的接线端子，并保证连接部件稳固。</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7）LED交通信号灯壳体上应有铭牌标明产品名称、型号、工作电压、电流、功率等，并附有安装标识。</w:t>
      </w:r>
    </w:p>
    <w:p>
      <w:pPr>
        <w:pStyle w:val="17"/>
        <w:spacing w:line="360" w:lineRule="auto"/>
        <w:ind w:left="340" w:firstLine="482" w:firstLineChars="200"/>
        <w:rPr>
          <w:rFonts w:ascii="宋体" w:hAnsi="宋体" w:cs="宋体"/>
          <w:b/>
          <w:color w:val="auto"/>
          <w:highlight w:val="none"/>
        </w:rPr>
      </w:pPr>
      <w:r>
        <w:rPr>
          <w:rFonts w:hint="eastAsia" w:ascii="宋体" w:hAnsi="宋体" w:cs="宋体"/>
          <w:b/>
          <w:color w:val="auto"/>
          <w:highlight w:val="none"/>
        </w:rPr>
        <w:t>发光单元要求</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 xml:space="preserve"> a、一般要求</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1）发光单元使用的LED芯片必须是用四元素技术制造的。</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2）机动车灯、方向指示信号灯采用配光设计，行人灯具可采用非配光设计。</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3）每个发光灯具应包括用高分子材料制作的外壳和面罩及用阻燃材料制作的印刷电路板。</w:t>
      </w:r>
    </w:p>
    <w:p>
      <w:pPr>
        <w:pStyle w:val="17"/>
        <w:spacing w:line="360" w:lineRule="auto"/>
        <w:ind w:firstLine="840" w:firstLineChars="350"/>
        <w:rPr>
          <w:rFonts w:ascii="宋体" w:hAnsi="宋体" w:cs="宋体"/>
          <w:color w:val="auto"/>
          <w:highlight w:val="none"/>
        </w:rPr>
      </w:pPr>
      <w:r>
        <w:rPr>
          <w:rFonts w:hint="eastAsia" w:ascii="宋体" w:hAnsi="宋体" w:cs="宋体"/>
          <w:color w:val="auto"/>
          <w:highlight w:val="none"/>
        </w:rPr>
        <w:t>b、光学要求</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1）LED色度性能：红、黄、绿三种颜色符合国标GB14887—2011第5.5条款规定。</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2）单只LED发光强度红、黄色不得小于1.5cd；绿色不得小于3cd。</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3）光强：应符合宽角度信号灯的光强标准。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4）LED机动车信号灯具发光单元应采用先进合理的光学配光设计原理，使灯面呈面发光特性，没有明显的光点；灯面亮度均匀，灯色目视明亮、清晰不刺眼，两条相邻车道安装灯具无视觉差异。</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c、电气性能</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1）工作电压：AC220V±20%   50HZ±2；在工作电压下，通过每只LED的电流应符合LED厂商要求的正常工作电流范围。</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2）功率：每个灯头≤25VA。</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3）每个发光单元的引线，应采用符合国家电工标准的导线，线径不小于0.75平方毫米，红、黄、绿色的三种发光单元除回路线外应分别用红、黄、绿色的导线。</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4）信号灯应采用恒流电源控制，在AC220V±20%范围内保证通过单个LED发光管的电流波动小于2mA。</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 xml:space="preserve">  d、工作环境要求</w:t>
      </w:r>
    </w:p>
    <w:p>
      <w:pPr>
        <w:pStyle w:val="17"/>
        <w:spacing w:line="360" w:lineRule="auto"/>
        <w:ind w:left="340" w:leftChars="162" w:firstLine="600" w:firstLineChars="25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1）工作温度：－30℃~+70℃</w:t>
      </w:r>
    </w:p>
    <w:p>
      <w:pPr>
        <w:pStyle w:val="17"/>
        <w:spacing w:line="360" w:lineRule="auto"/>
        <w:ind w:left="340" w:leftChars="162" w:firstLine="600" w:firstLineChars="25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2）工作湿度：﹤90%rh</w:t>
      </w:r>
    </w:p>
    <w:p>
      <w:pPr>
        <w:pStyle w:val="17"/>
        <w:spacing w:line="360" w:lineRule="auto"/>
        <w:ind w:left="340" w:firstLine="482" w:firstLineChars="200"/>
        <w:rPr>
          <w:rFonts w:ascii="宋体" w:hAnsi="宋体" w:cs="宋体"/>
          <w:b/>
          <w:color w:val="auto"/>
          <w:highlight w:val="none"/>
        </w:rPr>
      </w:pPr>
      <w:r>
        <w:rPr>
          <w:rFonts w:hint="eastAsia" w:ascii="宋体" w:hAnsi="宋体" w:cs="宋体"/>
          <w:b/>
          <w:color w:val="auto"/>
          <w:highlight w:val="none"/>
        </w:rPr>
        <w:t>信号灯规格及技术要求</w:t>
      </w:r>
    </w:p>
    <w:p>
      <w:pPr>
        <w:pStyle w:val="17"/>
        <w:spacing w:line="360" w:lineRule="auto"/>
        <w:ind w:left="340" w:firstLine="482" w:firstLineChars="200"/>
        <w:rPr>
          <w:rFonts w:ascii="宋体" w:hAnsi="宋体" w:cs="宋体"/>
          <w:b/>
          <w:color w:val="auto"/>
          <w:highlight w:val="none"/>
        </w:rPr>
      </w:pPr>
      <w:r>
        <w:rPr>
          <w:rFonts w:hint="eastAsia" w:ascii="宋体" w:hAnsi="宋体" w:cs="宋体"/>
          <w:b/>
          <w:color w:val="auto"/>
          <w:highlight w:val="none"/>
        </w:rPr>
        <w:t>A、机动车信号灯主灯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机动车信号灯（满屏灯）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 规格：Φ400mm ，铝或镁铝合金壳体，遮沿等尺寸符合GB14887-2011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 红、黄发光单元LED 数量不得少于250 颗，绿发光单元不少于180 颗；</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 中心光强：红色、黄色＞800cd；绿色＞800cd；</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（4） 色度：符合GB14887-2011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（5） 黄灯灯具应有9 秒倒计时，全周期/脉冲自适应，当检测到红黄或绿黄同亮时立即熄灭倒计时，并保持至少两个周期不工作。</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机动车信号灯（箭头灯）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 规格：￠400mm，铝或镁铝合金壳体，遮沿等尺寸符合GB14887-2011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 红、黄发光单元LED 数量不得少于108 颗，绿发光单元不少于108颗；</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 亮度：红色、黄色、绿色≥6000cd/m2</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（4） 色度：符合GB14887—2011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（5） 重量：≤15kg</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（6） 黄灯灯具应有9 秒倒计时，全周期/脉冲自适应，当检测到红黄或绿黄同亮时立即熄灭倒计时，并保持至少两个周期不工作。</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1）规格：￠400mm遮沿等尺寸符合GB14887—2011相关标准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2）红、黄发光单元LED数量不得少于250颗，绿发光单元不少于180颗；</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3）光强：红色、黄色＞600cd；绿色＞400cd</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ab/>
      </w:r>
      <w:r>
        <w:rPr>
          <w:rFonts w:hint="eastAsia" w:ascii="宋体" w:hAnsi="宋体" w:cs="宋体"/>
          <w:color w:val="auto"/>
          <w:highlight w:val="none"/>
        </w:rPr>
        <w:t>4）色度：符合GB14887—2011相关标准</w:t>
      </w:r>
    </w:p>
    <w:p>
      <w:pPr>
        <w:pStyle w:val="17"/>
        <w:spacing w:line="360" w:lineRule="auto"/>
        <w:ind w:left="340" w:firstLine="482" w:firstLineChars="200"/>
        <w:rPr>
          <w:rFonts w:ascii="宋体" w:hAnsi="宋体" w:cs="宋体"/>
          <w:b/>
          <w:color w:val="auto"/>
          <w:highlight w:val="none"/>
        </w:rPr>
      </w:pPr>
      <w:r>
        <w:rPr>
          <w:rFonts w:hint="eastAsia" w:ascii="宋体" w:hAnsi="宋体" w:cs="宋体"/>
          <w:b/>
          <w:color w:val="auto"/>
          <w:highlight w:val="none"/>
        </w:rPr>
        <w:t>B、机动车信号灯辅灯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1、机动车信号灯（满屏灯）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 规格：Φ300mm ，铝或镁铝合金壳体，遮沿等尺寸符合GB14887-2011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 红、黄发光单元LED 数量不得少于210 颗，绿发光单元不少于128 颗；</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 中心光强：红色、黄色＞400cd；绿色＞600cd；</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（4） 色度：符合GB14887-2011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（5） 黄灯灯具应有9 秒倒计时，全周期/脉冲自适应，当检测到红黄或绿黄同亮时立即熄灭倒计时，并保持至少两个周期不工作。</w:t>
      </w:r>
    </w:p>
    <w:p>
      <w:pPr>
        <w:pStyle w:val="17"/>
        <w:spacing w:line="360" w:lineRule="auto"/>
        <w:ind w:left="340" w:firstLine="482" w:firstLineChars="200"/>
        <w:rPr>
          <w:rFonts w:ascii="宋体" w:hAnsi="宋体" w:cs="宋体"/>
          <w:b/>
          <w:color w:val="auto"/>
          <w:highlight w:val="none"/>
        </w:rPr>
      </w:pPr>
      <w:r>
        <w:rPr>
          <w:rFonts w:hint="eastAsia" w:ascii="宋体" w:hAnsi="宋体" w:cs="宋体"/>
          <w:b/>
          <w:color w:val="auto"/>
          <w:highlight w:val="none"/>
        </w:rPr>
        <w:t>2、机动车信号灯（箭头灯）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 规格：φ300mm，铝或镁铝合金壳体，遮沿等尺寸符合GB14887-2011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 红、黄发光单元LED 数量不得少于60 颗，绿发光单元不少于60颗；</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 亮度：红色、黄色、绿色≥5000cd/m2</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（4） 色度：符合GB14887—2011 相关标准</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（5） 重量：≤12kg</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（6） 黄灯灯具应有9 秒倒计时，全周期/脉冲自适应，当检测到红黄或绿黄同亮时立即熄灭倒计时，并保持至少两个周期不工作。</w:t>
      </w:r>
    </w:p>
    <w:p>
      <w:pPr>
        <w:pStyle w:val="17"/>
        <w:spacing w:line="360" w:lineRule="auto"/>
        <w:ind w:left="340" w:firstLine="482" w:firstLineChars="200"/>
        <w:rPr>
          <w:rFonts w:ascii="宋体" w:hAnsi="宋体" w:cs="宋体"/>
          <w:b/>
          <w:color w:val="auto"/>
          <w:highlight w:val="none"/>
        </w:rPr>
      </w:pPr>
      <w:r>
        <w:rPr>
          <w:rFonts w:hint="eastAsia" w:ascii="宋体" w:hAnsi="宋体" w:cs="宋体"/>
          <w:b/>
          <w:color w:val="auto"/>
          <w:highlight w:val="none"/>
        </w:rPr>
        <w:t>C、非机动车信号灯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（1）规格：￠RX300mm，发光颜色由红、黄、绿自行车图案组成，外壳由铝或镁一次压铸而成，排列方式严格按GB14887-2011 要求设置；</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（2）发光单元发光管数量：红单元不少于75 颗，黄单元75 颗，绿单元75颗；</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（3）基准轴亮度：≥300 坎德拉；</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（4）整灯使用寿命：＞100000H；</w:t>
      </w:r>
    </w:p>
    <w:p>
      <w:pPr>
        <w:pStyle w:val="17"/>
        <w:spacing w:line="360" w:lineRule="auto"/>
        <w:ind w:left="340" w:firstLine="482" w:firstLineChars="200"/>
        <w:rPr>
          <w:rFonts w:ascii="宋体" w:hAnsi="宋体" w:cs="宋体"/>
          <w:b/>
          <w:color w:val="auto"/>
          <w:highlight w:val="none"/>
        </w:rPr>
      </w:pPr>
      <w:r>
        <w:rPr>
          <w:rFonts w:hint="eastAsia" w:ascii="宋体" w:hAnsi="宋体" w:cs="宋体"/>
          <w:b/>
          <w:color w:val="auto"/>
          <w:highlight w:val="none"/>
        </w:rPr>
        <w:t>D、人行横道信号灯</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（1）规格：二联组合，上联为红色人形和绿色倒计时，下联为绿人行及红色倒计时；</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（2） 外形尺寸：不小于700mm×300mm×80mm；</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（3） 显示尺寸：红人、绿人高度≥250mm；</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（4） 基准轴亮度：≥300 坎德拉；</w:t>
      </w:r>
    </w:p>
    <w:p>
      <w:pPr>
        <w:pStyle w:val="17"/>
        <w:spacing w:line="360" w:lineRule="auto"/>
        <w:ind w:left="340" w:firstLine="480" w:firstLineChars="200"/>
        <w:rPr>
          <w:rFonts w:ascii="宋体" w:hAnsi="宋体" w:cs="宋体"/>
          <w:color w:val="auto"/>
          <w:highlight w:val="none"/>
        </w:rPr>
      </w:pPr>
      <w:r>
        <w:rPr>
          <w:rFonts w:hint="eastAsia" w:ascii="宋体" w:hAnsi="宋体" w:cs="宋体"/>
          <w:color w:val="auto"/>
          <w:highlight w:val="none"/>
        </w:rPr>
        <w:t>（5） 色度：符合GB14887-2011 相关标准；</w:t>
      </w:r>
    </w:p>
    <w:p>
      <w:pPr>
        <w:pStyle w:val="17"/>
        <w:spacing w:line="360" w:lineRule="auto"/>
        <w:ind w:left="340" w:firstLine="480" w:firstLineChars="200"/>
        <w:rPr>
          <w:rFonts w:ascii="宋体" w:hAnsi="宋体" w:cs="宋体"/>
          <w:b/>
          <w:color w:val="auto"/>
          <w:highlight w:val="none"/>
        </w:rPr>
      </w:pPr>
      <w:r>
        <w:rPr>
          <w:rFonts w:hint="eastAsia" w:ascii="宋体" w:hAnsi="宋体" w:cs="宋体"/>
          <w:color w:val="auto"/>
          <w:highlight w:val="none"/>
        </w:rPr>
        <w:t>（6） 重量：≤9kg。</w:t>
      </w:r>
    </w:p>
    <w:p>
      <w:pPr>
        <w:pStyle w:val="13"/>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太阳能靠右行驶灯技术要求</w:t>
      </w:r>
    </w:p>
    <w:p>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1、结构：警示柱由杆体、闪光头部和太阳能板组成；</w:t>
      </w:r>
    </w:p>
    <w:p>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2、尺寸：杆体高度1420mm，闪光头部尺寸380*380mm，结构尺寸如下图所示；</w:t>
      </w:r>
    </w:p>
    <w:p>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3、闪光部分采用高亮度LED发光管，通过专用LED透镜密封，头部图片根据需要可定制；</w:t>
      </w:r>
    </w:p>
    <w:p>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4、供电方式：蓄电池+太阳能板；</w:t>
      </w:r>
    </w:p>
    <w:p>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5、工作方式：白天充电，夜间工作；</w:t>
      </w:r>
    </w:p>
    <w:p>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6、阴雨天正常工作天数：大于15天。</w:t>
      </w:r>
    </w:p>
    <w:p>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drawing>
          <wp:inline distT="0" distB="0" distL="114300" distR="114300">
            <wp:extent cx="506095" cy="2595880"/>
            <wp:effectExtent l="0" t="0" r="8255" b="13970"/>
            <wp:docPr id="69" name="图片 2" descr="SG18003S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SG18003S541"/>
                    <pic:cNvPicPr>
                      <a:picLocks noChangeAspect="1"/>
                    </pic:cNvPicPr>
                  </pic:nvPicPr>
                  <pic:blipFill>
                    <a:blip r:embed="rId18"/>
                    <a:stretch>
                      <a:fillRect/>
                    </a:stretch>
                  </pic:blipFill>
                  <pic:spPr>
                    <a:xfrm>
                      <a:off x="0" y="0"/>
                      <a:ext cx="506095" cy="2595880"/>
                    </a:xfrm>
                    <a:prstGeom prst="rect">
                      <a:avLst/>
                    </a:prstGeom>
                    <a:noFill/>
                    <a:ln>
                      <a:noFill/>
                    </a:ln>
                  </pic:spPr>
                </pic:pic>
              </a:graphicData>
            </a:graphic>
          </wp:inline>
        </w:drawing>
      </w:r>
      <w:r>
        <w:rPr>
          <w:rFonts w:hint="eastAsia" w:ascii="宋体" w:hAnsi="宋体" w:cs="宋体"/>
          <w:color w:val="auto"/>
          <w:sz w:val="24"/>
          <w:szCs w:val="24"/>
          <w:highlight w:val="none"/>
        </w:rPr>
        <w:drawing>
          <wp:inline distT="0" distB="0" distL="114300" distR="114300">
            <wp:extent cx="2425065" cy="2630805"/>
            <wp:effectExtent l="0" t="0" r="13335" b="17145"/>
            <wp:docPr id="70" name="图片 3" descr="复合警示柱_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descr="复合警示柱_新1"/>
                    <pic:cNvPicPr>
                      <a:picLocks noChangeAspect="1"/>
                    </pic:cNvPicPr>
                  </pic:nvPicPr>
                  <pic:blipFill>
                    <a:blip r:embed="rId19"/>
                    <a:stretch>
                      <a:fillRect/>
                    </a:stretch>
                  </pic:blipFill>
                  <pic:spPr>
                    <a:xfrm>
                      <a:off x="0" y="0"/>
                      <a:ext cx="2425065" cy="2630805"/>
                    </a:xfrm>
                    <a:prstGeom prst="rect">
                      <a:avLst/>
                    </a:prstGeom>
                    <a:noFill/>
                    <a:ln>
                      <a:noFill/>
                    </a:ln>
                  </pic:spPr>
                </pic:pic>
              </a:graphicData>
            </a:graphic>
          </wp:inline>
        </w:drawing>
      </w:r>
    </w:p>
    <w:p>
      <w:pPr>
        <w:spacing w:line="360" w:lineRule="auto"/>
        <w:jc w:val="center"/>
        <w:rPr>
          <w:rFonts w:ascii="宋体" w:hAnsi="宋体" w:cs="宋体"/>
          <w:color w:val="auto"/>
          <w:sz w:val="24"/>
          <w:highlight w:val="none"/>
        </w:rPr>
      </w:pPr>
      <w:r>
        <w:rPr>
          <w:rFonts w:hint="eastAsia" w:ascii="宋体" w:hAnsi="宋体" w:cs="宋体"/>
          <w:b/>
          <w:color w:val="auto"/>
          <w:sz w:val="24"/>
          <w:highlight w:val="none"/>
        </w:rPr>
        <w:t>外形尺寸</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设备的质量标准、检测标准、测试手段、安装标准</w:t>
      </w:r>
    </w:p>
    <w:p>
      <w:pPr>
        <w:spacing w:line="360" w:lineRule="auto"/>
        <w:ind w:left="420" w:leftChars="200" w:firstLine="1080" w:firstLineChars="450"/>
        <w:rPr>
          <w:rFonts w:ascii="宋体" w:hAnsi="宋体" w:cs="宋体"/>
          <w:color w:val="auto"/>
          <w:sz w:val="24"/>
          <w:highlight w:val="none"/>
        </w:rPr>
      </w:pPr>
      <w:r>
        <w:rPr>
          <w:rFonts w:hint="eastAsia" w:ascii="宋体" w:hAnsi="宋体" w:cs="宋体"/>
          <w:color w:val="auto"/>
          <w:sz w:val="24"/>
          <w:highlight w:val="none"/>
        </w:rPr>
        <w:t>●JTGF80/1-2004《公路工程质量检验评定标准》</w:t>
      </w:r>
    </w:p>
    <w:p>
      <w:pPr>
        <w:spacing w:line="360" w:lineRule="auto"/>
        <w:ind w:left="420" w:leftChars="200" w:firstLine="1080" w:firstLineChars="450"/>
        <w:rPr>
          <w:rFonts w:ascii="宋体" w:hAnsi="宋体" w:cs="宋体"/>
          <w:color w:val="auto"/>
          <w:sz w:val="24"/>
          <w:highlight w:val="none"/>
        </w:rPr>
      </w:pPr>
      <w:r>
        <w:rPr>
          <w:rFonts w:hint="eastAsia" w:ascii="宋体" w:hAnsi="宋体" w:cs="宋体"/>
          <w:color w:val="auto"/>
          <w:sz w:val="24"/>
          <w:highlight w:val="none"/>
        </w:rPr>
        <w:t>●GB14886-2016《道路交通信号灯设置与安装规范》</w:t>
      </w:r>
    </w:p>
    <w:p>
      <w:pPr>
        <w:spacing w:line="360" w:lineRule="auto"/>
        <w:ind w:left="420" w:leftChars="200" w:firstLine="1080" w:firstLineChars="450"/>
        <w:rPr>
          <w:rFonts w:ascii="宋体" w:hAnsi="宋体" w:cs="宋体"/>
          <w:color w:val="auto"/>
          <w:sz w:val="24"/>
          <w:highlight w:val="none"/>
        </w:rPr>
      </w:pPr>
      <w:r>
        <w:rPr>
          <w:rFonts w:hint="eastAsia" w:ascii="宋体" w:hAnsi="宋体" w:cs="宋体"/>
          <w:color w:val="auto"/>
          <w:sz w:val="24"/>
          <w:highlight w:val="none"/>
        </w:rPr>
        <w:t>●GA/T652-2006《公安交通管理外场设备基础施工通用要求》</w:t>
      </w:r>
    </w:p>
    <w:p>
      <w:pPr>
        <w:spacing w:line="360" w:lineRule="auto"/>
        <w:ind w:left="420" w:leftChars="200" w:firstLine="1080" w:firstLineChars="450"/>
        <w:rPr>
          <w:rFonts w:ascii="宋体" w:hAnsi="宋体" w:cs="宋体"/>
          <w:color w:val="auto"/>
          <w:sz w:val="24"/>
          <w:highlight w:val="none"/>
        </w:rPr>
      </w:pPr>
      <w:r>
        <w:rPr>
          <w:rFonts w:hint="eastAsia" w:ascii="宋体" w:hAnsi="宋体" w:cs="宋体"/>
          <w:color w:val="auto"/>
          <w:sz w:val="24"/>
          <w:highlight w:val="none"/>
        </w:rPr>
        <w:t>●GB14887—2011《道路交通信号灯》国家标准。</w:t>
      </w:r>
    </w:p>
    <w:p>
      <w:pPr>
        <w:spacing w:line="360" w:lineRule="auto"/>
        <w:rPr>
          <w:rFonts w:ascii="宋体" w:hAnsi="宋体" w:cs="宋体"/>
          <w:color w:val="auto"/>
          <w:sz w:val="24"/>
          <w:highlight w:val="none"/>
        </w:rPr>
      </w:pPr>
      <w:r>
        <w:rPr>
          <w:rFonts w:hint="eastAsia" w:ascii="宋体" w:hAnsi="宋体" w:cs="宋体"/>
          <w:color w:val="auto"/>
          <w:sz w:val="24"/>
          <w:highlight w:val="none"/>
        </w:rPr>
        <w:t>验收时投标人应提供每个路口信号灯、标线的工作量清单和每个路口工程的竣工图纸等竣工资料。</w:t>
      </w:r>
    </w:p>
    <w:p>
      <w:pPr>
        <w:pStyle w:val="19"/>
        <w:numPr>
          <w:ilvl w:val="0"/>
          <w:numId w:val="12"/>
        </w:numPr>
        <w:spacing w:line="360" w:lineRule="auto"/>
        <w:ind w:left="0" w:leftChars="0" w:firstLine="0" w:firstLineChars="0"/>
        <w:rPr>
          <w:rFonts w:ascii="宋体" w:hAnsi="宋体" w:cs="宋体"/>
          <w:color w:val="auto"/>
          <w:kern w:val="0"/>
          <w:sz w:val="24"/>
          <w:highlight w:val="none"/>
        </w:rPr>
      </w:pPr>
      <w:r>
        <w:rPr>
          <w:rFonts w:hint="eastAsia" w:ascii="宋体" w:hAnsi="宋体" w:cs="宋体"/>
          <w:b/>
          <w:color w:val="auto"/>
          <w:kern w:val="0"/>
          <w:sz w:val="24"/>
          <w:highlight w:val="none"/>
        </w:rPr>
        <w:t>、</w:t>
      </w:r>
      <w:r>
        <w:rPr>
          <w:rFonts w:hint="eastAsia" w:ascii="宋体" w:hAnsi="宋体" w:cs="宋体"/>
          <w:color w:val="auto"/>
          <w:kern w:val="0"/>
          <w:sz w:val="24"/>
          <w:highlight w:val="none"/>
        </w:rPr>
        <w:t>LED情报板技术要求</w:t>
      </w:r>
    </w:p>
    <w:p>
      <w:pPr>
        <w:spacing w:line="360" w:lineRule="auto"/>
        <w:rPr>
          <w:rFonts w:ascii="宋体" w:hAnsi="宋体" w:cs="宋体"/>
          <w:color w:val="auto"/>
          <w:sz w:val="24"/>
          <w:highlight w:val="none"/>
        </w:rPr>
      </w:pPr>
      <w:r>
        <w:rPr>
          <w:rFonts w:hint="eastAsia" w:ascii="宋体" w:hAnsi="宋体" w:cs="宋体"/>
          <w:color w:val="auto"/>
          <w:kern w:val="0"/>
          <w:sz w:val="24"/>
          <w:highlight w:val="none"/>
        </w:rPr>
        <w:t>1.LED情报板技术参数：</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红管单管亮度 500-700mcd；红管波长 620-625nm；绿管单管亮度 1000-1500mcd；绿管波长 520-525nm；像素点间距 16mm；像素密度 模组像素；像素组成 2红1绿；单模块尺寸 256*128mm；扫描方式 1/4扫恒流驱动；横向视角 110（±10）度；纵向视角 60（±10）度；最大亮度（新装） 4500-5000CD/m2（标准亮度）；最大亮度（使用2年后） ≥4000CD/㎡；亮度调整 16级手动或自动；</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屏体尺寸 1616*848*150mm；有效显示面积 1536*768mm；点阵数量 96*48=4608点；单体重量 ≤50kg；安装方式 单/双横杆安装；维修开门模式 前开门，单门向下；尺寸扩展性 横向按256mm为单位伸缩；纵向按128mm为单位伸缩；平均功耗 ≤100W；控制方式 脱机控制（自动根据前端采样切换节目）、联机控制；进入/离开动画方式 无动画、左移、右移、上移、下移、左翻转、右翻转、上翻转、下翻转、左右拉幕、左右合幕、上下拉幕、上下合幕等；</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远程通讯接口 10/100M以太网、自动定时控制、远程控制；采样端口 4路，交流220VAC ；显示帧循环方案 根据采用端口信号自动切换节目，最大支持6路IO控制；时段方案 可根据需要设置两套时段方案（工作日/节假日），每套时段方案最大可设12个时段，满足不同的显示/提示需求；后台控制软件 可通过后台设置节目，亮度调节，开关屏时间调节，节目控制方式等参数；可与交警指定业务平台对接，实现情报下发功能、绿波速度下发功能；支持诺瓦协议。平台对接，实现情报下发功能、绿波速度下发功能；支持诺瓦协议。（包含传输设备、抱杆箱等）产品质保三年。</w:t>
      </w:r>
    </w:p>
    <w:p>
      <w:pPr>
        <w:pStyle w:val="19"/>
        <w:numPr>
          <w:ilvl w:val="0"/>
          <w:numId w:val="13"/>
        </w:numPr>
        <w:spacing w:line="360" w:lineRule="auto"/>
        <w:ind w:left="0" w:leftChars="0" w:firstLine="0" w:firstLineChars="0"/>
        <w:rPr>
          <w:rFonts w:ascii="宋体" w:hAnsi="宋体" w:cs="宋体"/>
          <w:color w:val="auto"/>
          <w:kern w:val="0"/>
          <w:sz w:val="24"/>
          <w:highlight w:val="none"/>
        </w:rPr>
      </w:pPr>
      <w:r>
        <w:rPr>
          <w:rFonts w:hint="eastAsia" w:ascii="宋体" w:hAnsi="宋体" w:cs="宋体"/>
          <w:color w:val="auto"/>
          <w:kern w:val="0"/>
          <w:sz w:val="24"/>
          <w:highlight w:val="none"/>
        </w:rPr>
        <w:t>情报板控制卡：支持接入信号灯状态，红灯时轮播“路口易堵，禁止进入”和违法数据节目，绿灯时轮播“左转车辆进入待行区”和绿波速度支持诺瓦协议，支持通过平台手动下发文字节目。</w:t>
      </w:r>
    </w:p>
    <w:p>
      <w:pPr>
        <w:numPr>
          <w:ilvl w:val="0"/>
          <w:numId w:val="13"/>
        </w:numPr>
        <w:spacing w:line="360" w:lineRule="auto"/>
        <w:rPr>
          <w:rFonts w:ascii="宋体" w:hAnsi="宋体" w:cs="宋体"/>
          <w:color w:val="auto"/>
          <w:sz w:val="24"/>
          <w:highlight w:val="none"/>
        </w:rPr>
      </w:pPr>
      <w:r>
        <w:rPr>
          <w:rFonts w:hint="eastAsia" w:ascii="宋体" w:hAnsi="宋体" w:cs="宋体"/>
          <w:color w:val="auto"/>
          <w:kern w:val="0"/>
          <w:sz w:val="24"/>
          <w:highlight w:val="none"/>
        </w:rPr>
        <w:t>网络交换机：4口千兆光纤收发器工业导轨式发送机 光口：1个千兆光口 距离20公里</w:t>
      </w:r>
    </w:p>
    <w:p>
      <w:pPr>
        <w:numPr>
          <w:ilvl w:val="0"/>
          <w:numId w:val="13"/>
        </w:numPr>
        <w:spacing w:line="360" w:lineRule="auto"/>
        <w:rPr>
          <w:rFonts w:ascii="宋体" w:hAnsi="宋体" w:cs="宋体"/>
          <w:color w:val="auto"/>
          <w:sz w:val="24"/>
          <w:highlight w:val="none"/>
        </w:rPr>
      </w:pPr>
      <w:r>
        <w:rPr>
          <w:rFonts w:hint="eastAsia" w:ascii="宋体" w:hAnsi="宋体" w:cs="宋体"/>
          <w:color w:val="auto"/>
          <w:kern w:val="0"/>
          <w:sz w:val="24"/>
          <w:highlight w:val="none"/>
        </w:rPr>
        <w:t>FC口 单模单纤；电口：1个千兆网口 3个百兆电口；安装方式：工业导轨式；</w:t>
      </w:r>
    </w:p>
    <w:p>
      <w:pPr>
        <w:widowControl/>
        <w:numPr>
          <w:ilvl w:val="0"/>
          <w:numId w:val="13"/>
        </w:numPr>
        <w:spacing w:line="360" w:lineRule="auto"/>
        <w:jc w:val="left"/>
        <w:textAlignment w:val="center"/>
        <w:rPr>
          <w:rFonts w:ascii="宋体" w:hAnsi="宋体" w:cs="宋体"/>
          <w:color w:val="auto"/>
          <w:sz w:val="24"/>
          <w:highlight w:val="none"/>
        </w:rPr>
      </w:pPr>
      <w:r>
        <w:rPr>
          <w:rFonts w:hint="eastAsia" w:ascii="宋体" w:hAnsi="宋体" w:cs="宋体"/>
          <w:color w:val="auto"/>
          <w:kern w:val="0"/>
          <w:sz w:val="24"/>
          <w:highlight w:val="none"/>
        </w:rPr>
        <w:t>抱杆机箱：尺寸不小于480mm（宽）×579mm（高）×215mm（深）含双路220V防雷，双路空气开关1个，单路空气开关1个，三芯、二芯插座1个 防护等级IP55，采用专用户外柜锁，具有良好的防水、防盗性能机柜底部进出线缆，有效实现防水、防尘机柜采用抱杆安装方式，安装高度距离地面2.5m~3.5m（安装抱箍需定制），具有防虫、防鼠功效 柜门采用防风结构（即门限位装置）一般规范 工作湿度：湿度5%~95%@40℃，无凝结 工作温度：温度-40℃~70℃</w:t>
      </w:r>
    </w:p>
    <w:p>
      <w:pPr>
        <w:tabs>
          <w:tab w:val="left" w:pos="8280"/>
        </w:tabs>
        <w:autoSpaceDE w:val="0"/>
        <w:autoSpaceDN w:val="0"/>
        <w:adjustRightInd w:val="0"/>
        <w:spacing w:line="360" w:lineRule="auto"/>
        <w:ind w:right="25"/>
        <w:rPr>
          <w:rFonts w:ascii="宋体" w:hAnsi="宋体" w:cs="宋体"/>
          <w:b/>
          <w:color w:val="auto"/>
          <w:kern w:val="0"/>
          <w:sz w:val="24"/>
          <w:highlight w:val="none"/>
        </w:rPr>
      </w:pPr>
      <w:r>
        <w:rPr>
          <w:rFonts w:hint="eastAsia" w:ascii="宋体" w:hAnsi="宋体" w:cs="宋体"/>
          <w:b/>
          <w:color w:val="auto"/>
          <w:kern w:val="0"/>
          <w:sz w:val="24"/>
          <w:highlight w:val="none"/>
        </w:rPr>
        <w:t>（四）、信号灯其他要求</w:t>
      </w:r>
    </w:p>
    <w:p>
      <w:pPr>
        <w:tabs>
          <w:tab w:val="left" w:pos="3589"/>
        </w:tabs>
        <w:spacing w:line="360" w:lineRule="auto"/>
        <w:ind w:firstLine="482" w:firstLineChars="200"/>
        <w:rPr>
          <w:rFonts w:ascii="宋体" w:hAnsi="宋体" w:cs="宋体"/>
          <w:color w:val="auto"/>
          <w:sz w:val="24"/>
          <w:highlight w:val="none"/>
        </w:rPr>
      </w:pPr>
      <w:r>
        <w:rPr>
          <w:rFonts w:hint="eastAsia" w:ascii="宋体" w:hAnsi="宋体" w:cs="宋体"/>
          <w:b/>
          <w:color w:val="auto"/>
          <w:kern w:val="0"/>
          <w:sz w:val="24"/>
          <w:highlight w:val="none"/>
        </w:rPr>
        <w:t>1、本项目要求投标人投标时提供样品（详见第二章投标人须知前附表）评标委员会现场对样品进行测量打分。将中标人的样品由双方确认交由交通警察局进行封存保管，作为检验施工方施工质量、效果的标准之一，在本项目验收合格后退还。投标人的样品不能体现或影射任何与投标人有关的信息，否则按无效标处理。</w:t>
      </w:r>
    </w:p>
    <w:p>
      <w:pPr>
        <w:tabs>
          <w:tab w:val="left" w:pos="3589"/>
        </w:tabs>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2、机动车信号灯与信号机需符合脉冲、通信、学习等不同联接方式的需求；在执行远程控制、路口人工控制、路口溢出控制时，信号灯应执行完过渡灯色后安全切换至需要执行的相位，相位执行期间不显示倒计时，恢复自主控制模式后（不论之前为指定相位、步进控制或者溢出控制等控制方式），倒计时需恢复正常，并在执行完倒计时后切换至下一个相位；系统自适应控制时，保持倒计时完整正确显示。信号机和倒计时信号灯通信方式、接线、倒计时实现方式等，由投标单位提前协调落实，初验前完成全部调试工作，实现招标要求。</w:t>
      </w:r>
    </w:p>
    <w:p>
      <w:pPr>
        <w:tabs>
          <w:tab w:val="left" w:pos="3589"/>
        </w:tabs>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▲3、</w:t>
      </w:r>
      <w:r>
        <w:rPr>
          <w:rFonts w:hint="eastAsia" w:ascii="宋体"/>
          <w:b/>
          <w:bCs/>
          <w:color w:val="auto"/>
          <w:sz w:val="24"/>
          <w:szCs w:val="20"/>
          <w:highlight w:val="none"/>
        </w:rPr>
        <w:t>控制仪必须与交警现有信号控制平台对接，含信号机调试、系统平台接入（含相关硬件，光纤由采购人负责实施），保证设备（包含软件、硬件）的正常使用，承诺提供5套手持信号配时调试仪器及电脑端版信号机调试软件。</w:t>
      </w:r>
      <w:r>
        <w:rPr>
          <w:rFonts w:hint="eastAsia" w:ascii="宋体" w:hAnsi="宋体" w:cs="宋体"/>
          <w:b/>
          <w:bCs/>
          <w:color w:val="auto"/>
          <w:sz w:val="24"/>
          <w:highlight w:val="none"/>
        </w:rPr>
        <w:t>相关费用已包含</w:t>
      </w:r>
      <w:r>
        <w:rPr>
          <w:rFonts w:hint="eastAsia" w:ascii="宋体" w:hAnsi="宋体"/>
          <w:b/>
          <w:bCs/>
          <w:color w:val="auto"/>
          <w:sz w:val="24"/>
          <w:szCs w:val="20"/>
          <w:highlight w:val="none"/>
        </w:rPr>
        <w:t>在本次投标报价中。</w:t>
      </w:r>
    </w:p>
    <w:p>
      <w:pPr>
        <w:tabs>
          <w:tab w:val="left" w:pos="8280"/>
        </w:tabs>
        <w:autoSpaceDE w:val="0"/>
        <w:autoSpaceDN w:val="0"/>
        <w:adjustRightInd w:val="0"/>
        <w:spacing w:line="360" w:lineRule="auto"/>
        <w:ind w:right="25"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4、投标人应提供信号机及信号灯原厂承诺：信号机、信号灯耗材、配件的名称、规格、单价，如信号机通讯模块、主控板、灯驱板、手控模块，信号灯的￠400、￠300满屏、箭头灯、黄灯（含倒计时）、人行灯灯芯、非机动车道灯灯芯、信号灯外壳等耗材配件，承诺今后5年内采购人及信号维修单位购买相关配件、耗材价格不得高于本次投标所报单价。</w:t>
      </w:r>
    </w:p>
    <w:p>
      <w:pPr>
        <w:tabs>
          <w:tab w:val="left" w:pos="8280"/>
        </w:tabs>
        <w:autoSpaceDE w:val="0"/>
        <w:autoSpaceDN w:val="0"/>
        <w:adjustRightInd w:val="0"/>
        <w:spacing w:line="360" w:lineRule="auto"/>
        <w:ind w:right="25"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5、承诺信号机厂家在验收前给采购人提供免费培训。同时承诺5年内向采购人及为采购人提供信号灯零星维护的中标公司免费提供技术支撑。</w:t>
      </w:r>
    </w:p>
    <w:p>
      <w:pPr>
        <w:tabs>
          <w:tab w:val="left" w:pos="8280"/>
        </w:tabs>
        <w:autoSpaceDE w:val="0"/>
        <w:autoSpaceDN w:val="0"/>
        <w:adjustRightInd w:val="0"/>
        <w:spacing w:line="360" w:lineRule="auto"/>
        <w:ind w:right="25"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6、</w:t>
      </w:r>
      <w:r>
        <w:rPr>
          <w:rFonts w:hint="eastAsia" w:ascii="宋体" w:hAnsi="宋体" w:cs="宋体"/>
          <w:color w:val="auto"/>
          <w:kern w:val="0"/>
          <w:sz w:val="24"/>
          <w:highlight w:val="none"/>
        </w:rPr>
        <w:t xml:space="preserve">本项目全部及部分采购内容严禁转包，若采购人在合同履行阶段发现中标人存在转包的情形，采购人将有权终止合同并追究其相应责任及赔偿采购人损失。 </w:t>
      </w:r>
    </w:p>
    <w:p>
      <w:pPr>
        <w:tabs>
          <w:tab w:val="left" w:pos="8280"/>
        </w:tabs>
        <w:autoSpaceDE w:val="0"/>
        <w:autoSpaceDN w:val="0"/>
        <w:adjustRightInd w:val="0"/>
        <w:spacing w:line="360" w:lineRule="auto"/>
        <w:ind w:right="25"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7、质保期内须提供常设24小时热线服务和长期的免费技术支持，提供不间断的服务直到结束。维修点需提供足够的备件以适应采购人维修需求。设备在运行过程中如果出现故障，中标人须在接到维修电话后，按照数字化城管的要求及时完成维修任务，不得影响用户的正常工作业务。</w:t>
      </w:r>
    </w:p>
    <w:p>
      <w:pPr>
        <w:tabs>
          <w:tab w:val="left" w:pos="8280"/>
        </w:tabs>
        <w:autoSpaceDE w:val="0"/>
        <w:autoSpaceDN w:val="0"/>
        <w:adjustRightInd w:val="0"/>
        <w:spacing w:line="360" w:lineRule="auto"/>
        <w:ind w:right="25" w:firstLine="480" w:firstLineChars="200"/>
        <w:rPr>
          <w:rFonts w:ascii="宋体" w:hAnsi="宋体" w:cs="宋体"/>
          <w:b/>
          <w:color w:val="auto"/>
          <w:sz w:val="24"/>
          <w:highlight w:val="none"/>
        </w:rPr>
      </w:pPr>
      <w:r>
        <w:rPr>
          <w:rFonts w:hint="eastAsia" w:ascii="宋体" w:hAnsi="宋体" w:cs="宋体"/>
          <w:color w:val="auto"/>
          <w:kern w:val="0"/>
          <w:sz w:val="24"/>
          <w:highlight w:val="none"/>
        </w:rPr>
        <w:t>8、</w:t>
      </w:r>
      <w:r>
        <w:rPr>
          <w:rFonts w:hint="eastAsia" w:ascii="宋体" w:hAnsi="宋体" w:cs="宋体"/>
          <w:b/>
          <w:color w:val="auto"/>
          <w:sz w:val="24"/>
          <w:highlight w:val="none"/>
        </w:rPr>
        <w:t>中标人的项目负责人不得兼任类似项目的项目负责人，否则，以中标人违约处理。采购人有权没收中标人的履约保证金。</w:t>
      </w:r>
    </w:p>
    <w:p>
      <w:pPr>
        <w:tabs>
          <w:tab w:val="left" w:pos="8280"/>
        </w:tabs>
        <w:autoSpaceDE w:val="0"/>
        <w:autoSpaceDN w:val="0"/>
        <w:adjustRightInd w:val="0"/>
        <w:spacing w:line="360" w:lineRule="auto"/>
        <w:ind w:right="25" w:firstLine="482" w:firstLineChars="200"/>
        <w:rPr>
          <w:rFonts w:ascii="宋体" w:hAnsi="宋体" w:cs="宋体"/>
          <w:b/>
          <w:color w:val="auto"/>
          <w:sz w:val="24"/>
          <w:highlight w:val="none"/>
        </w:rPr>
      </w:pPr>
      <w:r>
        <w:rPr>
          <w:rFonts w:hint="eastAsia" w:ascii="宋体" w:hAnsi="宋体" w:cs="宋体"/>
          <w:b/>
          <w:color w:val="auto"/>
          <w:sz w:val="24"/>
          <w:highlight w:val="none"/>
        </w:rPr>
        <w:t>9、质保期内的信号灯故障排查、灯具扶正、拆除、灯具移位，抱箍加固，信号灯网络故障修复（2小时内修复）、更换信号灯保险丝、信号灯线缆故障重新接线（不含更换线缆）等相关费用已包含在本次投标报价中。</w:t>
      </w:r>
    </w:p>
    <w:p>
      <w:pPr>
        <w:tabs>
          <w:tab w:val="left" w:pos="8280"/>
        </w:tabs>
        <w:autoSpaceDE w:val="0"/>
        <w:autoSpaceDN w:val="0"/>
        <w:adjustRightInd w:val="0"/>
        <w:spacing w:line="360" w:lineRule="auto"/>
        <w:ind w:right="25" w:firstLine="482" w:firstLineChars="200"/>
        <w:rPr>
          <w:rFonts w:ascii="宋体" w:hAnsi="宋体" w:cs="宋体"/>
          <w:b/>
          <w:color w:val="auto"/>
          <w:sz w:val="24"/>
          <w:highlight w:val="none"/>
        </w:rPr>
      </w:pPr>
      <w:r>
        <w:rPr>
          <w:rFonts w:hint="eastAsia" w:ascii="宋体" w:hAnsi="宋体" w:cs="宋体"/>
          <w:b/>
          <w:color w:val="auto"/>
          <w:sz w:val="24"/>
          <w:highlight w:val="none"/>
        </w:rPr>
        <w:t>10、管道施工必须满足相关规范标准。</w:t>
      </w:r>
    </w:p>
    <w:p>
      <w:pPr>
        <w:pStyle w:val="13"/>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11、工期要求：合同签订后150日内完成终验,要求合同签订后120日内初验通过，要求经试运行30日后终验通过。</w:t>
      </w:r>
    </w:p>
    <w:p>
      <w:pPr>
        <w:spacing w:line="360" w:lineRule="auto"/>
        <w:rPr>
          <w:rFonts w:ascii="宋体" w:hAnsi="宋体" w:cs="宋体"/>
          <w:color w:val="auto"/>
          <w:kern w:val="0"/>
          <w:sz w:val="24"/>
          <w:highlight w:val="none"/>
        </w:rPr>
      </w:pPr>
      <w:r>
        <w:rPr>
          <w:rFonts w:hint="eastAsia" w:ascii="宋体" w:hAnsi="宋体" w:cs="宋体"/>
          <w:b/>
          <w:color w:val="auto"/>
          <w:sz w:val="24"/>
          <w:highlight w:val="none"/>
        </w:rPr>
        <w:t xml:space="preserve">  </w:t>
      </w:r>
      <w:r>
        <w:rPr>
          <w:rFonts w:hint="eastAsia" w:ascii="宋体" w:hAnsi="宋体" w:cs="宋体"/>
          <w:b/>
          <w:color w:val="auto"/>
          <w:kern w:val="0"/>
          <w:sz w:val="24"/>
          <w:highlight w:val="none"/>
        </w:rPr>
        <w:t>▲</w:t>
      </w:r>
      <w:r>
        <w:rPr>
          <w:rFonts w:hint="eastAsia" w:ascii="宋体" w:hAnsi="宋体" w:cs="宋体"/>
          <w:b/>
          <w:color w:val="auto"/>
          <w:sz w:val="24"/>
          <w:highlight w:val="none"/>
        </w:rPr>
        <w:t>12、项目竣工验收之前，所投信号机要无缝接入台州市公安局交通警察局指定的智能控制系统。</w:t>
      </w:r>
    </w:p>
    <w:p>
      <w:pPr>
        <w:pStyle w:val="48"/>
        <w:numPr>
          <w:ilvl w:val="0"/>
          <w:numId w:val="8"/>
        </w:numPr>
        <w:spacing w:line="360" w:lineRule="auto"/>
        <w:ind w:firstLineChars="0"/>
        <w:rPr>
          <w:rFonts w:asciiTheme="majorEastAsia" w:hAnsiTheme="majorEastAsia" w:eastAsiaTheme="majorEastAsia" w:cstheme="minorBidi"/>
          <w:b/>
          <w:bCs/>
          <w:color w:val="auto"/>
          <w:kern w:val="0"/>
          <w:sz w:val="30"/>
          <w:szCs w:val="30"/>
          <w:highlight w:val="none"/>
        </w:rPr>
      </w:pPr>
      <w:r>
        <w:rPr>
          <w:rFonts w:hint="eastAsia" w:asciiTheme="majorEastAsia" w:hAnsiTheme="majorEastAsia" w:eastAsiaTheme="majorEastAsia" w:cstheme="minorBidi"/>
          <w:b/>
          <w:bCs/>
          <w:color w:val="auto"/>
          <w:kern w:val="0"/>
          <w:sz w:val="30"/>
          <w:szCs w:val="30"/>
          <w:highlight w:val="none"/>
        </w:rPr>
        <w:t>商务需求</w:t>
      </w:r>
    </w:p>
    <w:p>
      <w:pPr>
        <w:numPr>
          <w:ilvl w:val="0"/>
          <w:numId w:val="14"/>
        </w:numPr>
        <w:tabs>
          <w:tab w:val="left" w:pos="0"/>
        </w:tabs>
        <w:spacing w:line="360" w:lineRule="auto"/>
        <w:rPr>
          <w:rFonts w:ascii="宋体" w:hAnsi="宋体" w:cs="宋体"/>
          <w:color w:val="auto"/>
          <w:sz w:val="24"/>
          <w:highlight w:val="none"/>
        </w:rPr>
      </w:pPr>
      <w:r>
        <w:rPr>
          <w:rFonts w:hint="eastAsia" w:ascii="宋体" w:hAnsi="宋体" w:cs="宋体"/>
          <w:b/>
          <w:bCs/>
          <w:color w:val="auto"/>
          <w:sz w:val="24"/>
          <w:highlight w:val="none"/>
        </w:rPr>
        <w:t>质保期</w:t>
      </w:r>
      <w:r>
        <w:rPr>
          <w:rFonts w:hint="eastAsia" w:ascii="宋体" w:hAnsi="宋体" w:cs="宋体"/>
          <w:color w:val="auto"/>
          <w:sz w:val="24"/>
          <w:highlight w:val="none"/>
        </w:rPr>
        <w:t>：</w:t>
      </w:r>
      <w:r>
        <w:rPr>
          <w:rFonts w:asciiTheme="minorEastAsia" w:hAnsiTheme="minorEastAsia" w:eastAsiaTheme="minorEastAsia"/>
          <w:color w:val="auto"/>
          <w:sz w:val="24"/>
          <w:highlight w:val="none"/>
        </w:rPr>
        <w:t>自验收合格交</w:t>
      </w:r>
      <w:r>
        <w:rPr>
          <w:rFonts w:hint="eastAsia" w:asciiTheme="minorEastAsia" w:hAnsiTheme="minorEastAsia" w:eastAsiaTheme="minorEastAsia"/>
          <w:color w:val="auto"/>
          <w:sz w:val="24"/>
          <w:highlight w:val="none"/>
        </w:rPr>
        <w:t>付</w:t>
      </w:r>
      <w:r>
        <w:rPr>
          <w:rFonts w:asciiTheme="minorEastAsia" w:hAnsiTheme="minorEastAsia" w:eastAsiaTheme="minorEastAsia"/>
          <w:color w:val="auto"/>
          <w:sz w:val="24"/>
          <w:highlight w:val="none"/>
        </w:rPr>
        <w:t>之日起</w:t>
      </w:r>
      <w:r>
        <w:rPr>
          <w:rFonts w:hint="eastAsia" w:asciiTheme="minorEastAsia" w:hAnsiTheme="minorEastAsia" w:eastAsiaTheme="minorEastAsia"/>
          <w:color w:val="auto"/>
          <w:sz w:val="24"/>
          <w:highlight w:val="none"/>
        </w:rPr>
        <w:t>，</w:t>
      </w:r>
      <w:r>
        <w:rPr>
          <w:rFonts w:hint="eastAsia" w:ascii="宋体" w:hAnsi="宋体" w:cs="宋体"/>
          <w:color w:val="auto"/>
          <w:sz w:val="24"/>
          <w:highlight w:val="none"/>
        </w:rPr>
        <w:t>信号机不低于36个月，信号灯不低于36个月，标志不低于2年，标线保质期不低于1年。</w:t>
      </w:r>
    </w:p>
    <w:p>
      <w:pPr>
        <w:tabs>
          <w:tab w:val="left" w:pos="0"/>
        </w:tabs>
        <w:spacing w:line="360" w:lineRule="auto"/>
        <w:rPr>
          <w:rFonts w:ascii="宋体" w:hAnsi="宋体" w:cs="宋体"/>
          <w:color w:val="auto"/>
          <w:sz w:val="24"/>
          <w:highlight w:val="none"/>
        </w:rPr>
      </w:pPr>
      <w:r>
        <w:rPr>
          <w:rFonts w:hint="eastAsia" w:ascii="宋体" w:hAnsi="宋体" w:cs="宋体"/>
          <w:b/>
          <w:bCs/>
          <w:color w:val="auto"/>
          <w:sz w:val="24"/>
          <w:highlight w:val="none"/>
        </w:rPr>
        <w:t>2、交货期（交付期）：</w:t>
      </w:r>
      <w:r>
        <w:rPr>
          <w:rFonts w:hint="eastAsia" w:ascii="宋体" w:hAnsi="宋体" w:cs="宋体"/>
          <w:color w:val="auto"/>
          <w:sz w:val="24"/>
          <w:highlight w:val="none"/>
        </w:rPr>
        <w:t>合同签订后150日内完成终验,要求合同签订后120日内初验通过，要求经试运行30日后终验通过。</w:t>
      </w:r>
    </w:p>
    <w:p>
      <w:pPr>
        <w:pStyle w:val="18"/>
        <w:spacing w:line="360" w:lineRule="auto"/>
        <w:ind w:left="0" w:leftChars="0"/>
        <w:rPr>
          <w:rFonts w:ascii="宋体" w:hAnsi="宋体" w:cs="宋体"/>
          <w:color w:val="auto"/>
          <w:sz w:val="24"/>
          <w:highlight w:val="none"/>
        </w:rPr>
      </w:pPr>
      <w:r>
        <w:rPr>
          <w:rFonts w:hint="eastAsia" w:ascii="宋体" w:hAnsi="宋体" w:cs="宋体"/>
          <w:b/>
          <w:bCs/>
          <w:color w:val="auto"/>
          <w:sz w:val="24"/>
          <w:highlight w:val="none"/>
        </w:rPr>
        <w:t>3、履约保证金：</w:t>
      </w:r>
      <w:r>
        <w:rPr>
          <w:rFonts w:hint="eastAsia" w:ascii="宋体" w:hAnsi="宋体" w:cs="宋体"/>
          <w:color w:val="auto"/>
          <w:sz w:val="24"/>
          <w:highlight w:val="none"/>
        </w:rPr>
        <w:t>履约保证金为合同金额的1%，签订合同后 3 个工作日内向采购人提交（履约保证金可采用支票、汇票、保函、担保等形式），验收合格后5个工作日无息退还。</w:t>
      </w:r>
    </w:p>
    <w:p>
      <w:pPr>
        <w:spacing w:line="360" w:lineRule="auto"/>
        <w:rPr>
          <w:rFonts w:ascii="宋体" w:hAnsi="宋体" w:cs="宋体"/>
          <w:color w:val="auto"/>
          <w:szCs w:val="21"/>
          <w:highlight w:val="none"/>
        </w:rPr>
      </w:pPr>
      <w:r>
        <w:rPr>
          <w:rFonts w:hint="eastAsia" w:ascii="宋体" w:hAnsi="宋体" w:cs="宋体"/>
          <w:b/>
          <w:bCs/>
          <w:color w:val="auto"/>
          <w:sz w:val="24"/>
          <w:highlight w:val="none"/>
        </w:rPr>
        <w:t>4、付款条件：</w:t>
      </w:r>
      <w:r>
        <w:rPr>
          <w:rFonts w:hint="eastAsia" w:ascii="宋体" w:hAnsi="宋体" w:cs="宋体"/>
          <w:color w:val="auto"/>
          <w:sz w:val="24"/>
          <w:highlight w:val="none"/>
        </w:rPr>
        <w:t>合同签订，中标人提供发票后7个工作日内，支付合同总额的40%作为预付款，合同签订后120天内通过初验，中标人提供发票后7个工作日内支付至实际采购量结算金额的80%，项目整体终验合格并经审核结束，中标人提供发票后7个工作日内支付剩余结算金额（最终结算金额=实际采购量*成交单价，成交单价=上限单价*成交结算率）</w:t>
      </w:r>
    </w:p>
    <w:p>
      <w:pPr>
        <w:pStyle w:val="48"/>
        <w:spacing w:line="360" w:lineRule="auto"/>
        <w:ind w:firstLine="0" w:firstLineChars="0"/>
        <w:rPr>
          <w:rFonts w:ascii="宋体" w:hAnsi="宋体" w:cs="宋体"/>
          <w:b/>
          <w:bCs/>
          <w:color w:val="auto"/>
          <w:sz w:val="24"/>
          <w:szCs w:val="24"/>
          <w:highlight w:val="none"/>
        </w:rPr>
      </w:pPr>
      <w:r>
        <w:rPr>
          <w:rFonts w:hint="eastAsia" w:ascii="宋体" w:hAnsi="宋体" w:cs="宋体"/>
          <w:b/>
          <w:bCs/>
          <w:color w:val="auto"/>
          <w:sz w:val="24"/>
          <w:szCs w:val="24"/>
          <w:highlight w:val="none"/>
        </w:rPr>
        <w:t>5、其他说明：</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投标报价包含实现本项目的所有功能及安全保障工作所需费用，其应包括（但不限于）材料、设备、劳务、人员工资、奖金、各种加班费、食宿与交通、手续审批、安全、管理、质保期内的信号灯故障排查、灯具扶正、拆除、灯具移位，抱箍加固，信号灯网络故障修复（2小时内修复）、更换信号灯保险丝、信号灯线缆故障重新接线（不含更换线缆）等相关费用、保险、利润、税金、政策性文件规定及合同包含的所有风险、责任等所有费用（即整个项目直至履约完成，采购人不再另行支付费用）全部费用已包含在开标一览表的投标总报价中</w:t>
      </w:r>
      <w:r>
        <w:rPr>
          <w:rFonts w:hint="eastAsia" w:ascii="宋体" w:hAnsi="宋体" w:cs="宋体"/>
          <w:color w:val="auto"/>
          <w:sz w:val="24"/>
          <w:highlight w:val="none"/>
        </w:rPr>
        <w:t>。</w:t>
      </w:r>
    </w:p>
    <w:p>
      <w:pPr>
        <w:pStyle w:val="17"/>
        <w:spacing w:line="360" w:lineRule="auto"/>
        <w:ind w:firstLine="480"/>
        <w:rPr>
          <w:rFonts w:ascii="宋体" w:hAnsi="宋体" w:cs="宋体"/>
          <w:color w:val="auto"/>
          <w:kern w:val="0"/>
          <w:highlight w:val="none"/>
        </w:rPr>
      </w:pPr>
    </w:p>
    <w:p>
      <w:pPr>
        <w:pStyle w:val="17"/>
        <w:spacing w:line="360" w:lineRule="auto"/>
        <w:ind w:firstLine="480"/>
        <w:rPr>
          <w:rFonts w:ascii="宋体" w:hAnsi="宋体"/>
          <w:color w:val="auto"/>
          <w:highlight w:val="none"/>
        </w:rPr>
      </w:pPr>
    </w:p>
    <w:p>
      <w:pPr>
        <w:pStyle w:val="17"/>
        <w:spacing w:line="360" w:lineRule="auto"/>
        <w:ind w:firstLine="480"/>
        <w:rPr>
          <w:rFonts w:ascii="宋体" w:hAnsi="宋体"/>
          <w:color w:val="auto"/>
          <w:highlight w:val="none"/>
        </w:rPr>
      </w:pPr>
    </w:p>
    <w:p>
      <w:pPr>
        <w:pStyle w:val="17"/>
        <w:spacing w:line="360" w:lineRule="auto"/>
        <w:ind w:firstLine="480"/>
        <w:rPr>
          <w:rFonts w:ascii="宋体" w:hAnsi="宋体"/>
          <w:color w:val="auto"/>
          <w:highlight w:val="none"/>
        </w:rPr>
      </w:pPr>
    </w:p>
    <w:p>
      <w:pPr>
        <w:pStyle w:val="4"/>
        <w:numPr>
          <w:ilvl w:val="1"/>
          <w:numId w:val="0"/>
        </w:numPr>
        <w:spacing w:line="360" w:lineRule="auto"/>
        <w:rPr>
          <w:rFonts w:ascii="宋体" w:hAnsi="宋体"/>
          <w:color w:val="auto"/>
          <w:sz w:val="24"/>
          <w:szCs w:val="24"/>
          <w:highlight w:val="none"/>
        </w:rPr>
        <w:sectPr>
          <w:headerReference r:id="rId7" w:type="default"/>
          <w:footerReference r:id="rId8" w:type="default"/>
          <w:pgSz w:w="11906" w:h="16838"/>
          <w:pgMar w:top="1440" w:right="1803" w:bottom="1440" w:left="1803" w:header="851" w:footer="992" w:gutter="0"/>
          <w:pgNumType w:fmt="numberInDash"/>
          <w:cols w:space="0" w:num="1"/>
          <w:docGrid w:type="lines" w:linePitch="332" w:charSpace="0"/>
        </w:sectPr>
      </w:pPr>
    </w:p>
    <w:bookmarkEnd w:id="0"/>
    <w:p>
      <w:pPr>
        <w:numPr>
          <w:ilvl w:val="0"/>
          <w:numId w:val="4"/>
        </w:num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政府采购合同主要条款</w:t>
      </w:r>
    </w:p>
    <w:p>
      <w:pPr>
        <w:widowControl/>
        <w:shd w:val="clear" w:color="auto" w:fill="FFFFFF"/>
        <w:spacing w:after="150" w:line="360" w:lineRule="auto"/>
        <w:ind w:firstLine="480"/>
        <w:jc w:val="left"/>
        <w:rPr>
          <w:rFonts w:ascii="宋体" w:hAnsi="宋体"/>
          <w:color w:val="auto"/>
          <w:sz w:val="24"/>
          <w:highlight w:val="none"/>
        </w:rPr>
      </w:pPr>
      <w:r>
        <w:rPr>
          <w:rFonts w:ascii="宋体" w:hAnsi="宋体"/>
          <w:color w:val="auto"/>
          <w:sz w:val="24"/>
          <w:highlight w:val="none"/>
        </w:rPr>
        <w:t>以下为成交后</w:t>
      </w:r>
      <w:r>
        <w:rPr>
          <w:rFonts w:hint="eastAsia" w:ascii="宋体" w:hAnsi="宋体"/>
          <w:color w:val="auto"/>
          <w:sz w:val="24"/>
          <w:highlight w:val="none"/>
        </w:rPr>
        <w:t>签订</w:t>
      </w:r>
      <w:r>
        <w:rPr>
          <w:rFonts w:ascii="宋体" w:hAnsi="宋体"/>
          <w:color w:val="auto"/>
          <w:sz w:val="24"/>
          <w:highlight w:val="none"/>
        </w:rPr>
        <w:t>本项目合同的通用条款，成交供应商不得提出实质性的修改，</w:t>
      </w:r>
      <w:r>
        <w:rPr>
          <w:rFonts w:hint="eastAsia" w:ascii="宋体" w:hAnsi="宋体"/>
          <w:color w:val="auto"/>
          <w:sz w:val="24"/>
          <w:highlight w:val="none"/>
        </w:rPr>
        <w:t>如有特殊</w:t>
      </w:r>
      <w:r>
        <w:rPr>
          <w:rFonts w:ascii="宋体" w:hAnsi="宋体"/>
          <w:color w:val="auto"/>
          <w:sz w:val="24"/>
          <w:highlight w:val="none"/>
        </w:rPr>
        <w:t>条款将由采购人与成交供应商结合本项目具体情况协商后签订。</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rPr>
        <w:t>2022年台州市区新增信号灯及配套设施建设项目</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项目编号：</w:t>
      </w:r>
    </w:p>
    <w:p>
      <w:pPr>
        <w:pStyle w:val="22"/>
        <w:snapToGrid w:val="0"/>
        <w:spacing w:before="120" w:after="120" w:line="360" w:lineRule="auto"/>
        <w:rPr>
          <w:rFonts w:hAnsi="宋体"/>
          <w:color w:val="auto"/>
          <w:sz w:val="24"/>
          <w:highlight w:val="none"/>
        </w:rPr>
      </w:pPr>
      <w:r>
        <w:rPr>
          <w:rFonts w:hAnsi="宋体"/>
          <w:color w:val="auto"/>
          <w:sz w:val="24"/>
          <w:highlight w:val="none"/>
        </w:rPr>
        <w:t>甲方：（</w:t>
      </w:r>
      <w:r>
        <w:rPr>
          <w:rFonts w:hint="eastAsia" w:hAnsi="宋体"/>
          <w:color w:val="auto"/>
          <w:sz w:val="24"/>
          <w:highlight w:val="none"/>
        </w:rPr>
        <w:t>采购单位</w:t>
      </w:r>
      <w:r>
        <w:rPr>
          <w:rFonts w:hAnsi="宋体"/>
          <w:color w:val="auto"/>
          <w:sz w:val="24"/>
          <w:highlight w:val="none"/>
        </w:rPr>
        <w:t>）</w:t>
      </w:r>
      <w:r>
        <w:rPr>
          <w:rFonts w:hint="eastAsia" w:hAnsi="宋体"/>
          <w:color w:val="auto"/>
          <w:sz w:val="24"/>
          <w:highlight w:val="none"/>
        </w:rPr>
        <w:t xml:space="preserve">                            所在地：                              </w:t>
      </w:r>
    </w:p>
    <w:p>
      <w:pPr>
        <w:pStyle w:val="22"/>
        <w:snapToGrid w:val="0"/>
        <w:spacing w:before="120" w:after="120" w:line="360" w:lineRule="auto"/>
        <w:rPr>
          <w:rFonts w:hAnsi="宋体"/>
          <w:color w:val="auto"/>
          <w:sz w:val="24"/>
          <w:highlight w:val="none"/>
        </w:rPr>
      </w:pPr>
      <w:r>
        <w:rPr>
          <w:rFonts w:hAnsi="宋体"/>
          <w:color w:val="auto"/>
          <w:sz w:val="24"/>
          <w:highlight w:val="none"/>
        </w:rPr>
        <w:t>乙方：（</w:t>
      </w:r>
      <w:r>
        <w:rPr>
          <w:rFonts w:hint="eastAsia" w:hAnsi="宋体"/>
          <w:color w:val="auto"/>
          <w:sz w:val="24"/>
          <w:highlight w:val="none"/>
        </w:rPr>
        <w:t>中标供应商</w:t>
      </w:r>
      <w:r>
        <w:rPr>
          <w:rFonts w:hAnsi="宋体"/>
          <w:color w:val="auto"/>
          <w:sz w:val="24"/>
          <w:highlight w:val="none"/>
        </w:rPr>
        <w:t>）</w:t>
      </w:r>
      <w:r>
        <w:rPr>
          <w:rFonts w:hint="eastAsia" w:hAnsi="宋体"/>
          <w:color w:val="auto"/>
          <w:sz w:val="24"/>
          <w:highlight w:val="none"/>
        </w:rPr>
        <w:t xml:space="preserve">                          所在地：</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color w:val="auto"/>
          <w:sz w:val="24"/>
          <w:highlight w:val="none"/>
        </w:rPr>
        <w:t>甲、乙双方根据</w:t>
      </w:r>
      <w:r>
        <w:rPr>
          <w:rFonts w:hint="eastAsia" w:asciiTheme="minorEastAsia" w:hAnsiTheme="minorEastAsia" w:eastAsiaTheme="minorEastAsia"/>
          <w:color w:val="auto"/>
          <w:sz w:val="24"/>
          <w:highlight w:val="none"/>
        </w:rPr>
        <w:t>2022年台州市区新增信号灯及配套设施建设项目</w:t>
      </w:r>
      <w:r>
        <w:rPr>
          <w:rFonts w:asciiTheme="minorEastAsia" w:hAnsiTheme="minorEastAsia" w:eastAsiaTheme="minorEastAsia"/>
          <w:color w:val="auto"/>
          <w:sz w:val="24"/>
          <w:highlight w:val="none"/>
        </w:rPr>
        <w:t>公开招标的结果，签署本合同。</w:t>
      </w:r>
    </w:p>
    <w:p>
      <w:pPr>
        <w:spacing w:line="360" w:lineRule="auto"/>
        <w:rPr>
          <w:rFonts w:ascii="宋体"/>
          <w:color w:val="auto"/>
          <w:sz w:val="24"/>
          <w:highlight w:val="none"/>
          <w:lang w:val="zh-CN"/>
        </w:rPr>
      </w:pPr>
      <w:r>
        <w:rPr>
          <w:rFonts w:hint="eastAsia" w:ascii="宋体"/>
          <w:color w:val="auto"/>
          <w:sz w:val="24"/>
          <w:highlight w:val="none"/>
          <w:lang w:val="zh-CN"/>
        </w:rPr>
        <w:t xml:space="preserve">一、合同文件： </w:t>
      </w:r>
    </w:p>
    <w:p>
      <w:pPr>
        <w:spacing w:line="360" w:lineRule="auto"/>
        <w:ind w:firstLine="480" w:firstLineChars="200"/>
        <w:rPr>
          <w:rFonts w:ascii="宋体"/>
          <w:color w:val="auto"/>
          <w:sz w:val="24"/>
          <w:highlight w:val="none"/>
          <w:lang w:val="zh-CN"/>
        </w:rPr>
      </w:pPr>
      <w:r>
        <w:rPr>
          <w:rFonts w:hint="eastAsia" w:ascii="宋体"/>
          <w:color w:val="auto"/>
          <w:sz w:val="24"/>
          <w:highlight w:val="none"/>
          <w:lang w:val="zh-CN"/>
        </w:rPr>
        <w:t>1.合同条款。</w:t>
      </w:r>
    </w:p>
    <w:p>
      <w:pPr>
        <w:spacing w:line="360" w:lineRule="auto"/>
        <w:ind w:firstLine="480" w:firstLineChars="200"/>
        <w:rPr>
          <w:rFonts w:ascii="宋体"/>
          <w:color w:val="auto"/>
          <w:sz w:val="24"/>
          <w:highlight w:val="none"/>
          <w:lang w:val="zh-CN"/>
        </w:rPr>
      </w:pPr>
      <w:r>
        <w:rPr>
          <w:rFonts w:hint="eastAsia" w:ascii="宋体"/>
          <w:color w:val="auto"/>
          <w:sz w:val="24"/>
          <w:highlight w:val="none"/>
          <w:lang w:val="zh-CN"/>
        </w:rPr>
        <w:t>2.中标通知书。</w:t>
      </w:r>
    </w:p>
    <w:p>
      <w:pPr>
        <w:spacing w:line="360" w:lineRule="auto"/>
        <w:ind w:firstLine="480" w:firstLineChars="200"/>
        <w:rPr>
          <w:rFonts w:ascii="宋体"/>
          <w:color w:val="auto"/>
          <w:sz w:val="24"/>
          <w:highlight w:val="none"/>
          <w:lang w:val="zh-CN"/>
        </w:rPr>
      </w:pPr>
      <w:r>
        <w:rPr>
          <w:rFonts w:hint="eastAsia" w:ascii="宋体"/>
          <w:color w:val="auto"/>
          <w:sz w:val="24"/>
          <w:highlight w:val="none"/>
          <w:lang w:val="zh-CN"/>
        </w:rPr>
        <w:t>3.更正补充文件。</w:t>
      </w:r>
    </w:p>
    <w:p>
      <w:pPr>
        <w:spacing w:line="360" w:lineRule="auto"/>
        <w:ind w:firstLine="480" w:firstLineChars="200"/>
        <w:rPr>
          <w:rFonts w:ascii="宋体"/>
          <w:color w:val="auto"/>
          <w:sz w:val="24"/>
          <w:highlight w:val="none"/>
          <w:lang w:val="zh-CN"/>
        </w:rPr>
      </w:pPr>
      <w:r>
        <w:rPr>
          <w:rFonts w:hint="eastAsia" w:ascii="宋体"/>
          <w:color w:val="auto"/>
          <w:sz w:val="24"/>
          <w:highlight w:val="none"/>
          <w:lang w:val="zh-CN"/>
        </w:rPr>
        <w:t>4.招标文件。</w:t>
      </w:r>
    </w:p>
    <w:p>
      <w:pPr>
        <w:spacing w:line="360" w:lineRule="auto"/>
        <w:ind w:firstLine="480" w:firstLineChars="200"/>
        <w:rPr>
          <w:rFonts w:ascii="宋体"/>
          <w:color w:val="auto"/>
          <w:sz w:val="24"/>
          <w:highlight w:val="none"/>
          <w:lang w:val="zh-CN"/>
        </w:rPr>
      </w:pPr>
      <w:r>
        <w:rPr>
          <w:rFonts w:hint="eastAsia" w:ascii="宋体"/>
          <w:color w:val="auto"/>
          <w:sz w:val="24"/>
          <w:highlight w:val="none"/>
          <w:lang w:val="zh-CN"/>
        </w:rPr>
        <w:t>5.中标供应商投标文件。</w:t>
      </w:r>
    </w:p>
    <w:p>
      <w:pPr>
        <w:spacing w:line="360" w:lineRule="auto"/>
        <w:ind w:firstLine="480" w:firstLineChars="200"/>
        <w:rPr>
          <w:rFonts w:ascii="宋体"/>
          <w:color w:val="auto"/>
          <w:sz w:val="24"/>
          <w:highlight w:val="none"/>
          <w:lang w:val="zh-CN"/>
        </w:rPr>
      </w:pPr>
      <w:r>
        <w:rPr>
          <w:rFonts w:hint="eastAsia" w:ascii="宋体"/>
          <w:color w:val="auto"/>
          <w:sz w:val="24"/>
          <w:highlight w:val="none"/>
          <w:lang w:val="zh-CN"/>
        </w:rPr>
        <w:t>6.其他。</w:t>
      </w:r>
    </w:p>
    <w:p>
      <w:pPr>
        <w:pStyle w:val="22"/>
        <w:snapToGrid w:val="0"/>
        <w:spacing w:line="360" w:lineRule="auto"/>
        <w:ind w:firstLine="480" w:firstLineChars="200"/>
        <w:rPr>
          <w:rFonts w:hAnsi="Times New Roman"/>
          <w:color w:val="auto"/>
          <w:sz w:val="24"/>
          <w:highlight w:val="none"/>
          <w:lang w:val="zh-CN"/>
        </w:rPr>
      </w:pPr>
      <w:r>
        <w:rPr>
          <w:rFonts w:hint="eastAsia"/>
          <w:color w:val="auto"/>
          <w:sz w:val="24"/>
          <w:highlight w:val="none"/>
          <w:lang w:val="zh-CN"/>
        </w:rPr>
        <w:t>上述所指合同文件应认为是互相补充和解释的，但是有模棱两可或互相矛盾之处，以其所列内容顺序为准。</w:t>
      </w:r>
    </w:p>
    <w:p>
      <w:pPr>
        <w:pStyle w:val="22"/>
        <w:numPr>
          <w:ilvl w:val="0"/>
          <w:numId w:val="3"/>
        </w:numPr>
        <w:snapToGrid w:val="0"/>
        <w:spacing w:before="120" w:after="120" w:line="360" w:lineRule="auto"/>
        <w:ind w:left="539"/>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货物内容</w:t>
      </w:r>
    </w:p>
    <w:tbl>
      <w:tblPr>
        <w:tblStyle w:val="35"/>
        <w:tblpPr w:leftFromText="180" w:rightFromText="180" w:vertAnchor="text" w:horzAnchor="page" w:tblpX="1122" w:tblpY="1469"/>
        <w:tblOverlap w:val="never"/>
        <w:tblW w:w="10020" w:type="dxa"/>
        <w:tblInd w:w="0" w:type="dxa"/>
        <w:tblLayout w:type="autofit"/>
        <w:tblCellMar>
          <w:top w:w="0" w:type="dxa"/>
          <w:left w:w="108" w:type="dxa"/>
          <w:bottom w:w="0" w:type="dxa"/>
          <w:right w:w="108" w:type="dxa"/>
        </w:tblCellMar>
      </w:tblPr>
      <w:tblGrid>
        <w:gridCol w:w="591"/>
        <w:gridCol w:w="1266"/>
        <w:gridCol w:w="745"/>
        <w:gridCol w:w="2106"/>
        <w:gridCol w:w="903"/>
        <w:gridCol w:w="782"/>
        <w:gridCol w:w="1176"/>
        <w:gridCol w:w="1289"/>
        <w:gridCol w:w="1162"/>
      </w:tblGrid>
      <w:tr>
        <w:tblPrEx>
          <w:tblCellMar>
            <w:top w:w="0" w:type="dxa"/>
            <w:left w:w="108" w:type="dxa"/>
            <w:bottom w:w="0" w:type="dxa"/>
            <w:right w:w="108" w:type="dxa"/>
          </w:tblCellMar>
        </w:tblPrEx>
        <w:trPr>
          <w:trHeight w:val="300" w:hRule="atLeast"/>
        </w:trPr>
        <w:tc>
          <w:tcPr>
            <w:tcW w:w="10020" w:type="dxa"/>
            <w:gridSpan w:val="9"/>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一、标线类</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成交单价（元）（结算率*上限单价）</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热熔反光型标线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按国标、热熔反光型</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详见技术参数，含部分的彩色标线,</w:t>
            </w:r>
          </w:p>
        </w:tc>
      </w:tr>
      <w:tr>
        <w:tblPrEx>
          <w:tblCellMar>
            <w:top w:w="0" w:type="dxa"/>
            <w:left w:w="108" w:type="dxa"/>
            <w:bottom w:w="0" w:type="dxa"/>
            <w:right w:w="108" w:type="dxa"/>
          </w:tblCellMar>
        </w:tblPrEx>
        <w:trPr>
          <w:trHeight w:val="15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热熔突起型标线（震荡标线）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热熔型厚度≥6mm,长划70mm空110mm,宽150mm线划3颗;宽200mm线划4颗</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304</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水磨除线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水除线</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水除线</w:t>
            </w: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合计</w:t>
            </w:r>
          </w:p>
        </w:tc>
        <w:tc>
          <w:tcPr>
            <w:tcW w:w="1266" w:type="dxa"/>
            <w:tcBorders>
              <w:top w:val="nil"/>
              <w:left w:val="nil"/>
              <w:bottom w:val="single" w:color="000000" w:sz="8" w:space="0"/>
              <w:right w:val="single" w:color="000000" w:sz="8" w:space="0"/>
            </w:tcBorders>
            <w:shd w:val="clear" w:color="auto" w:fill="auto"/>
            <w:vAlign w:val="center"/>
          </w:tcPr>
          <w:p>
            <w:pPr>
              <w:jc w:val="left"/>
              <w:rPr>
                <w:rFonts w:ascii="宋体" w:hAnsi="宋体" w:cs="宋体"/>
                <w:color w:val="auto"/>
                <w:szCs w:val="21"/>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left"/>
              <w:rPr>
                <w:rFonts w:ascii="宋体" w:hAnsi="宋体" w:cs="宋体"/>
                <w:color w:val="auto"/>
                <w:szCs w:val="21"/>
                <w:highlight w:val="none"/>
              </w:rPr>
            </w:pPr>
          </w:p>
        </w:tc>
      </w:tr>
      <w:tr>
        <w:tblPrEx>
          <w:tblCellMar>
            <w:top w:w="0" w:type="dxa"/>
            <w:left w:w="108" w:type="dxa"/>
            <w:bottom w:w="0" w:type="dxa"/>
            <w:right w:w="108" w:type="dxa"/>
          </w:tblCellMar>
        </w:tblPrEx>
        <w:trPr>
          <w:trHeight w:val="315"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二、标志牌</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成交单价（元）（结算率*上限单价）</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V类反光膜标志牌1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3.0mm厚度铝合金</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含配件等反光膜与2015年以来交警管理项目（新）改建道路的一致</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V类反光膜标志牌2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2.0mm厚度铝合金</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含配件等反光膜与2015年以来交警管理项目（新）改建道路的一致</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III类反光膜</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按国标III类反光膜</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警示桩、杆件等贴膜</w:t>
            </w: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圆形标志1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Φ50*2.0mm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V类反光膜</w:t>
            </w: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圆形标志2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Φ80*2.0mm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V类反光膜</w:t>
            </w: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圆形标志3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Φ100*2.0mm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V类反光膜</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三角形</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边长90*2.0 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V类反光膜</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八角形标志</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对角线长度80*2.0 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V类反光膜</w:t>
            </w:r>
          </w:p>
        </w:tc>
      </w:tr>
      <w:tr>
        <w:tblPrEx>
          <w:tblCellMar>
            <w:top w:w="0" w:type="dxa"/>
            <w:left w:w="108" w:type="dxa"/>
            <w:bottom w:w="0" w:type="dxa"/>
            <w:right w:w="108" w:type="dxa"/>
          </w:tblCellMar>
        </w:tblPrEx>
        <w:trPr>
          <w:trHeight w:val="11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太阳能靠右行驶</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太阳能靠右行驶灯款式中的靠右行驶标志为圆形。</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含配件</w:t>
            </w: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26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00"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三、标志杆</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成交单价（元）（结算率*上限单价）</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信号灯F杆1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镀锌 ≥6.8M竖杆；立杆壁厚≥8mm，立柱上口直径285mm，下口直径350mm；5m≤横杆＜8M,壁厚≥5mm；臂远口直径110mm，近口直径315mm；能抗14级以上台风；杆件贴反光材料；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8"/>
                <w:rFonts w:hint="default"/>
                <w:color w:val="auto"/>
                <w:highlight w:val="none"/>
                <w:lang w:bidi="ar"/>
              </w:rPr>
              <w:t xml:space="preserve"> 不含基础</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信号灯F杆2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镀锌 ≥6.8M竖杆；立杆壁厚≥8m，立柱上口直径285mm，下口直径350mm；；8m≤横杆＜10M,壁厚≥6mm；臂远口直径110mm，近口直径315mm；能抗14级以上台风；杆件贴反光材料；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不含基础</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信号灯F杆3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镀锌 ≥6.8M竖杆；立杆壁厚≥10mm；立柱上口直径285mm，下口直径350mm；10M≤横杆＜13M,,壁厚≥8mm；臂远口直径110mm，近口直径315mm；能抗14级以上台风；杆件贴反光材料；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不含基础</w:t>
            </w:r>
          </w:p>
        </w:tc>
      </w:tr>
      <w:tr>
        <w:tblPrEx>
          <w:tblCellMar>
            <w:top w:w="0" w:type="dxa"/>
            <w:left w:w="108" w:type="dxa"/>
            <w:bottom w:w="0" w:type="dxa"/>
            <w:right w:w="108" w:type="dxa"/>
          </w:tblCellMar>
        </w:tblPrEx>
        <w:trPr>
          <w:trHeight w:val="36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信号灯F杆4</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镀锌 ≥6.8M竖杆；立杆壁厚≥10mm；立柱上口直径285mm，下口直径350mm；横杆≥13M,壁厚≥8mm；臂远口直径110mm，近口直径315mm；能抗14级以上台风；杆件贴反光材料；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不含基础</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273 F杆1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杆Φ273*10*8300臂Φ152*8臂长≥10米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双悬臂</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273 F杆2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杆Φ273*10*8300臂Φ152*6臂长＜10米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双悬臂</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219 F杆1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杆Φ219*10*8000臂Φ140*8臂长≥8米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双悬臂</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219 F杆2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杆Φ219*10*8000臂Φ140*8臂长＜8米</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双悬臂</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辅助灯灯杆</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Φ140*4.5*4500mm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非机动车（人行灯）灯杆1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8"/>
                <w:rFonts w:hint="default"/>
                <w:color w:val="auto"/>
                <w:highlight w:val="none"/>
                <w:lang w:bidi="ar"/>
              </w:rPr>
              <w:t xml:space="preserve"> Φ110*4*4500mm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非机动车（人行灯）灯杆2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8"/>
                <w:rFonts w:hint="default"/>
                <w:color w:val="auto"/>
                <w:highlight w:val="none"/>
                <w:lang w:bidi="ar"/>
              </w:rPr>
              <w:t xml:space="preserve"> Φ110*4*3500mm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8"/>
                <w:rFonts w:hint="default"/>
                <w:color w:val="auto"/>
                <w:highlight w:val="none"/>
                <w:lang w:bidi="ar"/>
              </w:rPr>
              <w:t xml:space="preserve">辅助灯杆基础  </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1000*1000*1200mm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含挖土方、运土、预埋件、清理现场</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非机动车（人行灯）灯杆基础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800*800*1000mm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含挖土方、运土、预埋件、清理现场</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信号灯F杆基础 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1500*1500*2000mm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含挖土方、混凝土预埋、钢筋笼、运土、清理现场，C25砼或C30砼</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信号灯F杆基础 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1800*1800*2400mm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含挖土方、混凝土预埋、钢筋笼、运土、清理现场，C25砼或C30砼</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机箱基础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（800 mm *800 mm *600mm）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含预埋件　</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杆件1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Φ89×4×4500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直埋式</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杆件2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Φ89×4×4000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直埋式</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杆件3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Φ89×4×3500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直埋式</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基础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C25砼</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m³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含挖土方、运土、基础笼、清理现场等</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警示桩</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Φ114×1200，埋深300mm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207</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含配件及安装，不含反光膜</w:t>
            </w:r>
          </w:p>
        </w:tc>
      </w:tr>
      <w:tr>
        <w:tblPrEx>
          <w:tblCellMar>
            <w:top w:w="0" w:type="dxa"/>
            <w:left w:w="108" w:type="dxa"/>
            <w:bottom w:w="0" w:type="dxa"/>
            <w:right w:w="108" w:type="dxa"/>
          </w:tblCellMar>
        </w:tblPrEx>
        <w:trPr>
          <w:trHeight w:val="54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信号机整机</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（投标人自行填写）</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有效接入台州市公安局交通警察局指定的信号智能控制系统。需提供业主单位接入证明或承诺中标后15日内按&lt;台州市交通信号智能控制通信协议（V1.01）协议&gt;完成接入工作。按《台州市交通信号智能控制通信协议（V1.01）协议接入的信号机平台的不收任何费用。</w:t>
            </w:r>
          </w:p>
        </w:tc>
      </w:tr>
      <w:tr>
        <w:tblPrEx>
          <w:tblCellMar>
            <w:top w:w="0" w:type="dxa"/>
            <w:left w:w="108" w:type="dxa"/>
            <w:bottom w:w="0" w:type="dxa"/>
            <w:right w:w="108" w:type="dxa"/>
          </w:tblCellMar>
        </w:tblPrEx>
        <w:trPr>
          <w:trHeight w:val="27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26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00"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四、交通信号灯</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成交单价（元）（结算率*上限单价）</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机动车信号灯1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Φ400mm圆灯整组带数显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机动车信号灯2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Φ400mm箭头整组带数显,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7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机动车信号灯3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Φ400mm掉头信号灯整组带数显,铝压铸，遮阳罩铝型材，不锈钢螺丝，外表烤漆型不易掉色，竖装，支架用镀锌钢管，厚度3mm以上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机动车信号灯4</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Φ300mm圆灯整组,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4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机动车信号灯5</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Φ300mm箭头整组, 铝压铸，遮阳罩铝型材，不锈钢螺丝，外表烤漆型不易掉色，竖装；支架用镀锌钢管，厚度3mm以上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7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非机动车灯</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Φ300mm 红、黄、绿分屏显示，绿灯动态，整组；铝压铸；不锈钢螺丝，外表烤漆型不易掉色，竖装；支架用镀锌钢管，厚度3mm以上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1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人行横道信号灯</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Φ300mm 红黄绿整组；红、绿分屏显示，绿人动态，分八步走；铝压铸；不锈钢螺丝，外表烤漆型不易掉色，竖装，支架用镀锌钢管，厚度3mm以上；</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组</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0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合计</w:t>
            </w:r>
          </w:p>
        </w:tc>
        <w:tc>
          <w:tcPr>
            <w:tcW w:w="126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45"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210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90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8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176"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00" w:hRule="atLeast"/>
        </w:trPr>
        <w:tc>
          <w:tcPr>
            <w:tcW w:w="10020" w:type="dxa"/>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五、交通管线及窨井</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266"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项目名称</w:t>
            </w:r>
          </w:p>
        </w:tc>
        <w:tc>
          <w:tcPr>
            <w:tcW w:w="7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定制商品（是/否）</w:t>
            </w:r>
          </w:p>
        </w:tc>
        <w:tc>
          <w:tcPr>
            <w:tcW w:w="210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规格</w:t>
            </w:r>
          </w:p>
        </w:tc>
        <w:tc>
          <w:tcPr>
            <w:tcW w:w="90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单位</w:t>
            </w:r>
          </w:p>
        </w:tc>
        <w:tc>
          <w:tcPr>
            <w:tcW w:w="782"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数量</w:t>
            </w:r>
          </w:p>
        </w:tc>
        <w:tc>
          <w:tcPr>
            <w:tcW w:w="117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成交单价（元）（结算率*上限单价）</w:t>
            </w:r>
          </w:p>
        </w:tc>
        <w:tc>
          <w:tcPr>
            <w:tcW w:w="1289"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小计</w:t>
            </w:r>
          </w:p>
        </w:tc>
        <w:tc>
          <w:tcPr>
            <w:tcW w:w="1162"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CellMar>
            <w:top w:w="0" w:type="dxa"/>
            <w:left w:w="108" w:type="dxa"/>
            <w:bottom w:w="0" w:type="dxa"/>
            <w:right w:w="108" w:type="dxa"/>
          </w:tblCellMar>
        </w:tblPrEx>
        <w:trPr>
          <w:trHeight w:val="93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PE≥Φ75牵引（顶管） 厚度≥4mm（1根）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一次顶进1根(含PE管)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多根管合并一次顶进，工程量按单根管长度计算</w:t>
            </w: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PE≥Φ75牵引（顶管） 厚度≥4mm（2根）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一次顶进2根(含PE管)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PE≥Φ75牵引（顶管） 厚度≥4mm（3根）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一次顶进3根(含PE管)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PE≥Φ75牵引（顶管） 厚度≥4mm（4根）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一次顶进4根(含PE管)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PE≥Φ110牵引（顶管） 厚度≥6mm（1根）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一次顶进1根(含PE管)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PE≥Φ110牵引（顶管） 厚度≥6mm（2根）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一次顶进2根(含PE管)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PE≥Φ110牵引（顶管） 厚度≥6mm（3根）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一次顶进3根(含PE管)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52</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PE≥Φ110牵引（顶管） 厚度≥6mm（4根）</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一次顶进4根(含PE管)</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vMerge w:val="continue"/>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PE≥Φ75铺设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PE≥Φ75铺设 厚度≥4mm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PE≥Φ110铺设  厚度≥5mm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PE≥Φ110铺设  厚度≥5mm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渡锌钢管Φ75铺设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Φ75</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渡锌钢管Φ89铺设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渡锌钢管Φ89铺设 厚度≥4mm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渡锌钢管Φ110铺设 厚度≥4mm</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渡锌钢管Φ110铺设 厚度≥4mm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沥青混凝土路面管线开挖及修复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含路面拆除修复及沟槽开挖回填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水泥混凝土路面管线开挖及修复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含路面拆除修复及沟槽开挖回填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人行道路面管线开挖及修复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含路面拆除修复及沟槽开挖回填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绿化带管线开挖及修复</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含绿化苗木起挖、种回及沟槽开挖回填</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m2</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1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1.5平方*4芯信号电源线(单股硬线)    国标（铜芯）</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1.5平方*4芯信号电源线(单股硬线)    国标（铜芯</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4平方*3芯信号电源线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4平方*3芯信号电源线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6平方*3芯信号电源线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6平方*3芯信号电源线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10平方*3芯信号电源线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10平方*3芯信号电源线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16平方*3芯信号电源线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16平方*3芯信号电源线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25平方*4芯信号电源线  （铜芯）      国标</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Style w:val="109"/>
                <w:rFonts w:hint="default"/>
                <w:color w:val="auto"/>
                <w:highlight w:val="none"/>
                <w:lang w:bidi="ar"/>
              </w:rPr>
              <w:t>25平方*4芯信号电源线  （铜芯）      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35平方*4芯铝线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35平方*4芯铝线</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8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网线（室外使用双护套超五类网线，单根线径0.5mm;)含水晶头</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否</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网线（室外使用双护套超五类网线，单根线径0.5mm;)含水晶头（投标时须提供品牌）</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米</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含网线头制作与接线</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电表箱（含电表）</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按国标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8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电表空箱</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按国标</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1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接地角铁50*50*2500（含接地到机箱线）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50*50*2500</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水泥钢纤维窨井1</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400mm*400mm*500mm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含施工、国标井盖</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水泥钢纤维窨井2</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钢纤维；600 mm *600 mm *500mm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含施工、国标井盖</w:t>
            </w:r>
          </w:p>
        </w:tc>
      </w:tr>
      <w:tr>
        <w:tblPrEx>
          <w:tblCellMar>
            <w:top w:w="0" w:type="dxa"/>
            <w:left w:w="108" w:type="dxa"/>
            <w:bottom w:w="0" w:type="dxa"/>
            <w:right w:w="108" w:type="dxa"/>
          </w:tblCellMar>
        </w:tblPrEx>
        <w:trPr>
          <w:trHeight w:val="69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水泥钢纤维窨井3</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钢纤维；1000mm*600mm*500mm</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含施工、国标井盖</w:t>
            </w:r>
          </w:p>
        </w:tc>
      </w:tr>
      <w:tr>
        <w:tblPrEx>
          <w:tblCellMar>
            <w:top w:w="0" w:type="dxa"/>
            <w:left w:w="108" w:type="dxa"/>
            <w:bottom w:w="0" w:type="dxa"/>
            <w:right w:w="108" w:type="dxa"/>
          </w:tblCellMar>
        </w:tblPrEx>
        <w:trPr>
          <w:trHeight w:val="13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铭牌</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铭牌内容为"台州交警",塑料,要求至少使用10年;用于线缆端头处</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项</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396"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LED情报板</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含安装、施工、标牌、扎带、胶布、调试、三年维护费用等</w:t>
            </w: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情报板控制卡</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65"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抱杆机箱</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网络交换机</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4口千兆光纤收发器工业导轨式发送机光口：1个千兆光口距离20公里，FC口单模单纤；电口：1个千兆网口3个百兆电口；安装方式：工业导轨式；</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 w:val="18"/>
                <w:szCs w:val="18"/>
                <w:highlight w:val="none"/>
                <w:lang w:bidi="ar"/>
              </w:rPr>
              <w:t>分离式LED车道指示标志（直行车道）</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具体详见技术参数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30</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含安装、施工、调试、三年维护费用等</w:t>
            </w: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26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 w:val="18"/>
                <w:szCs w:val="18"/>
                <w:highlight w:val="none"/>
                <w:lang w:bidi="ar"/>
              </w:rPr>
              <w:t>LED分离式可变车道功能指示牌（一）</w:t>
            </w:r>
          </w:p>
        </w:tc>
        <w:tc>
          <w:tcPr>
            <w:tcW w:w="74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是</w:t>
            </w:r>
          </w:p>
        </w:tc>
        <w:tc>
          <w:tcPr>
            <w:tcW w:w="210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具体详见技术参数</w:t>
            </w:r>
          </w:p>
        </w:tc>
        <w:tc>
          <w:tcPr>
            <w:tcW w:w="903"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8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1176"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289"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62"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含安装、施工、调试、三年维护费用等</w:t>
            </w:r>
          </w:p>
        </w:tc>
      </w:tr>
      <w:tr>
        <w:tblPrEx>
          <w:tblCellMar>
            <w:top w:w="0" w:type="dxa"/>
            <w:left w:w="108" w:type="dxa"/>
            <w:bottom w:w="0" w:type="dxa"/>
            <w:right w:w="108" w:type="dxa"/>
          </w:tblCellMar>
        </w:tblPrEx>
        <w:trPr>
          <w:trHeight w:val="2940" w:hRule="atLeast"/>
        </w:trPr>
        <w:tc>
          <w:tcPr>
            <w:tcW w:w="591"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266"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 w:val="18"/>
                <w:szCs w:val="18"/>
                <w:highlight w:val="none"/>
                <w:lang w:bidi="ar"/>
              </w:rPr>
              <w:t>LED分离式可变车道功能指示牌（二）</w:t>
            </w:r>
          </w:p>
        </w:tc>
        <w:tc>
          <w:tcPr>
            <w:tcW w:w="745"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是</w:t>
            </w:r>
          </w:p>
        </w:tc>
        <w:tc>
          <w:tcPr>
            <w:tcW w:w="2106"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具体详见技术参数</w:t>
            </w:r>
          </w:p>
        </w:tc>
        <w:tc>
          <w:tcPr>
            <w:tcW w:w="903"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82"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1176"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289"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62" w:type="dxa"/>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含安装、施工、调试、三年维护费用等</w:t>
            </w:r>
          </w:p>
        </w:tc>
      </w:tr>
      <w:tr>
        <w:tblPrEx>
          <w:tblCellMar>
            <w:top w:w="0" w:type="dxa"/>
            <w:left w:w="108" w:type="dxa"/>
            <w:bottom w:w="0" w:type="dxa"/>
            <w:right w:w="108" w:type="dxa"/>
          </w:tblCellMar>
        </w:tblPrEx>
        <w:trPr>
          <w:trHeight w:val="270" w:hRule="atLeast"/>
        </w:trPr>
        <w:tc>
          <w:tcPr>
            <w:tcW w:w="591" w:type="dxa"/>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合计</w:t>
            </w:r>
          </w:p>
        </w:tc>
        <w:tc>
          <w:tcPr>
            <w:tcW w:w="1266"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45"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2106"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903"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782"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176" w:type="dxa"/>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cs="宋体"/>
                <w:color w:val="auto"/>
                <w:szCs w:val="21"/>
                <w:highlight w:val="none"/>
              </w:rPr>
            </w:pPr>
          </w:p>
        </w:tc>
        <w:tc>
          <w:tcPr>
            <w:tcW w:w="1289" w:type="dxa"/>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Cs w:val="21"/>
                <w:highlight w:val="none"/>
              </w:rPr>
            </w:pPr>
          </w:p>
        </w:tc>
        <w:tc>
          <w:tcPr>
            <w:tcW w:w="116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r>
    </w:tbl>
    <w:p>
      <w:pPr>
        <w:pStyle w:val="22"/>
        <w:snapToGrid w:val="0"/>
        <w:spacing w:before="120" w:after="120" w:line="360" w:lineRule="auto"/>
        <w:ind w:firstLine="480" w:firstLineChars="200"/>
        <w:rPr>
          <w:color w:val="auto"/>
          <w:highlight w:val="none"/>
        </w:rPr>
      </w:pPr>
      <w:r>
        <w:rPr>
          <w:rFonts w:hint="eastAsia" w:hAnsi="宋体" w:cs="宋体"/>
          <w:bCs/>
          <w:color w:val="auto"/>
          <w:sz w:val="24"/>
          <w:highlight w:val="none"/>
        </w:rPr>
        <w:t>数量均为预估数量，履约时以实际发生采购量（采购人、监理审核后的采购量）结算，结算金额不超过本项目预算。</w:t>
      </w:r>
    </w:p>
    <w:p>
      <w:pPr>
        <w:pStyle w:val="23"/>
        <w:ind w:left="539" w:leftChars="0"/>
        <w:rPr>
          <w:color w:val="auto"/>
          <w:highlight w:val="none"/>
        </w:rPr>
      </w:pPr>
    </w:p>
    <w:p>
      <w:pPr>
        <w:pStyle w:val="22"/>
        <w:snapToGrid w:val="0"/>
        <w:spacing w:before="120" w:after="120"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w:t>
      </w:r>
      <w:r>
        <w:rPr>
          <w:rFonts w:asciiTheme="minorEastAsia" w:hAnsiTheme="minorEastAsia" w:eastAsiaTheme="minorEastAsia"/>
          <w:b/>
          <w:color w:val="auto"/>
          <w:sz w:val="24"/>
          <w:highlight w:val="none"/>
        </w:rPr>
        <w:t>、合同金额</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本合同</w:t>
      </w:r>
      <w:r>
        <w:rPr>
          <w:rFonts w:hint="eastAsia" w:asciiTheme="minorEastAsia" w:hAnsiTheme="minorEastAsia" w:eastAsiaTheme="minorEastAsia"/>
          <w:color w:val="auto"/>
          <w:sz w:val="24"/>
          <w:highlight w:val="none"/>
        </w:rPr>
        <w:t>结算率</w:t>
      </w:r>
      <w:r>
        <w:rPr>
          <w:rFonts w:asciiTheme="minorEastAsia" w:hAnsiTheme="minorEastAsia" w:eastAsiaTheme="minorEastAsia"/>
          <w:color w:val="auto"/>
          <w:sz w:val="24"/>
          <w:highlight w:val="none"/>
        </w:rPr>
        <w:t>为：_______________</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w:t>
      </w:r>
    </w:p>
    <w:p>
      <w:pPr>
        <w:pStyle w:val="22"/>
        <w:snapToGrid w:val="0"/>
        <w:spacing w:before="120" w:after="120"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w:t>
      </w:r>
      <w:r>
        <w:rPr>
          <w:rFonts w:asciiTheme="minorEastAsia" w:hAnsiTheme="minorEastAsia" w:eastAsiaTheme="minorEastAsia"/>
          <w:b/>
          <w:color w:val="auto"/>
          <w:sz w:val="24"/>
          <w:highlight w:val="none"/>
        </w:rPr>
        <w:t>、技术资料</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乙方应按招标文件规定的时间向甲方提供使用货物的有关技术资料。</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2"/>
        <w:snapToGrid w:val="0"/>
        <w:spacing w:before="120" w:after="120" w:line="360" w:lineRule="auto"/>
        <w:ind w:left="412" w:hanging="412" w:hangingChars="17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五</w:t>
      </w:r>
      <w:r>
        <w:rPr>
          <w:rFonts w:asciiTheme="minorEastAsia" w:hAnsiTheme="minorEastAsia" w:eastAsiaTheme="minorEastAsia"/>
          <w:b/>
          <w:color w:val="auto"/>
          <w:sz w:val="24"/>
          <w:highlight w:val="none"/>
        </w:rPr>
        <w:t>、知识产权</w:t>
      </w:r>
    </w:p>
    <w:p>
      <w:pPr>
        <w:pStyle w:val="22"/>
        <w:snapToGrid w:val="0"/>
        <w:spacing w:before="120" w:after="120"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乙方应保证所提供的货物或其任何一部分均不会侵犯任何第三方的知识产权。</w:t>
      </w:r>
    </w:p>
    <w:p>
      <w:pPr>
        <w:pStyle w:val="22"/>
        <w:snapToGrid w:val="0"/>
        <w:spacing w:before="120" w:after="120"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2.若侵犯,由乙方赔偿甲方因此遭受的损失（包括但不限于应对及追偿过程中所支付的律师费、差旅费、诉讼费、保全费、鉴定费、评估费等）。</w:t>
      </w:r>
    </w:p>
    <w:p>
      <w:pPr>
        <w:pStyle w:val="22"/>
        <w:snapToGrid w:val="0"/>
        <w:spacing w:before="120" w:after="120" w:line="360" w:lineRule="auto"/>
        <w:rPr>
          <w:rFonts w:asciiTheme="minorEastAsia" w:hAnsiTheme="minorEastAsia" w:eastAsiaTheme="minorEastAsia"/>
          <w:color w:val="auto"/>
          <w:sz w:val="24"/>
          <w:highlight w:val="none"/>
          <w:u w:val="single"/>
        </w:rPr>
      </w:pPr>
      <w:r>
        <w:rPr>
          <w:rFonts w:hint="eastAsia" w:asciiTheme="minorEastAsia" w:hAnsiTheme="minorEastAsia" w:eastAsiaTheme="minorEastAsia"/>
          <w:b/>
          <w:color w:val="auto"/>
          <w:sz w:val="24"/>
          <w:highlight w:val="none"/>
        </w:rPr>
        <w:t>六</w:t>
      </w:r>
      <w:r>
        <w:rPr>
          <w:rFonts w:asciiTheme="minorEastAsia" w:hAnsiTheme="minorEastAsia" w:eastAsiaTheme="minorEastAsia"/>
          <w:b/>
          <w:color w:val="auto"/>
          <w:sz w:val="24"/>
          <w:highlight w:val="none"/>
        </w:rPr>
        <w:t>、产权担保</w:t>
      </w:r>
    </w:p>
    <w:p>
      <w:pPr>
        <w:pStyle w:val="22"/>
        <w:snapToGrid w:val="0"/>
        <w:spacing w:before="120" w:after="120" w:line="360" w:lineRule="auto"/>
        <w:rPr>
          <w:rFonts w:asciiTheme="minorEastAsia" w:hAnsiTheme="minorEastAsia" w:eastAsiaTheme="minorEastAsia"/>
          <w:color w:val="auto"/>
          <w:sz w:val="24"/>
          <w:highlight w:val="none"/>
          <w:u w:val="single"/>
        </w:rPr>
      </w:pPr>
      <w:r>
        <w:rPr>
          <w:rFonts w:asciiTheme="minorEastAsia" w:hAnsiTheme="minorEastAsia" w:eastAsiaTheme="minorEastAsia"/>
          <w:color w:val="auto"/>
          <w:sz w:val="24"/>
          <w:highlight w:val="none"/>
        </w:rPr>
        <w:t>乙方保证所交付的货物的所有权完全属于乙方且无任何抵押、查封等产权瑕疵。</w:t>
      </w:r>
    </w:p>
    <w:p>
      <w:pPr>
        <w:pStyle w:val="22"/>
        <w:snapToGrid w:val="0"/>
        <w:spacing w:before="120" w:after="120" w:line="360" w:lineRule="auto"/>
        <w:ind w:left="410" w:hanging="410" w:hangingChars="17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七</w:t>
      </w:r>
      <w:r>
        <w:rPr>
          <w:rFonts w:asciiTheme="minorEastAsia" w:hAnsiTheme="minorEastAsia" w:eastAsiaTheme="minorEastAsia"/>
          <w:b/>
          <w:color w:val="auto"/>
          <w:sz w:val="24"/>
          <w:highlight w:val="none"/>
        </w:rPr>
        <w:t>、履约保证金</w:t>
      </w:r>
    </w:p>
    <w:p>
      <w:pPr>
        <w:pStyle w:val="22"/>
        <w:snapToGrid w:val="0"/>
        <w:spacing w:before="120" w:after="120" w:line="360" w:lineRule="auto"/>
        <w:ind w:left="408" w:hanging="408" w:hangingChars="170"/>
        <w:rPr>
          <w:rFonts w:asciiTheme="majorEastAsia" w:hAnsiTheme="majorEastAsia" w:eastAsiaTheme="majorEastAsia" w:cstheme="majorEastAsia"/>
          <w:color w:val="auto"/>
          <w:sz w:val="24"/>
          <w:highlight w:val="none"/>
          <w:lang w:val="zh-CN"/>
        </w:rPr>
      </w:pPr>
      <w:r>
        <w:rPr>
          <w:rFonts w:hint="eastAsia" w:asciiTheme="majorEastAsia" w:hAnsiTheme="majorEastAsia" w:eastAsiaTheme="majorEastAsia" w:cstheme="majorEastAsia"/>
          <w:color w:val="auto"/>
          <w:sz w:val="24"/>
          <w:highlight w:val="none"/>
        </w:rPr>
        <w:t>履约保证金金额为</w:t>
      </w:r>
      <w:r>
        <w:rPr>
          <w:rFonts w:hint="eastAsia" w:asciiTheme="majorEastAsia" w:hAnsiTheme="majorEastAsia" w:eastAsiaTheme="majorEastAsia" w:cstheme="majorEastAsia"/>
          <w:color w:val="auto"/>
          <w:sz w:val="24"/>
          <w:highlight w:val="none"/>
          <w:u w:val="single"/>
        </w:rPr>
        <w:t xml:space="preserve">              </w:t>
      </w:r>
      <w:r>
        <w:rPr>
          <w:rFonts w:hint="eastAsia" w:asciiTheme="majorEastAsia" w:hAnsiTheme="majorEastAsia" w:eastAsiaTheme="majorEastAsia" w:cstheme="majorEastAsia"/>
          <w:color w:val="auto"/>
          <w:sz w:val="24"/>
          <w:highlight w:val="none"/>
        </w:rPr>
        <w:t>元</w:t>
      </w:r>
      <w:r>
        <w:rPr>
          <w:rFonts w:hint="eastAsia" w:hAnsi="宋体" w:cs="宋体"/>
          <w:color w:val="auto"/>
          <w:sz w:val="24"/>
          <w:highlight w:val="none"/>
        </w:rPr>
        <w:t>，</w:t>
      </w:r>
      <w:r>
        <w:rPr>
          <w:rFonts w:hint="eastAsia" w:asciiTheme="majorEastAsia" w:hAnsiTheme="majorEastAsia" w:eastAsiaTheme="majorEastAsia" w:cstheme="majorEastAsia"/>
          <w:color w:val="auto"/>
          <w:sz w:val="24"/>
          <w:highlight w:val="none"/>
          <w:lang w:val="zh-CN"/>
        </w:rPr>
        <w:t>签订合同后 3 个工作日内向甲方提交</w:t>
      </w:r>
    </w:p>
    <w:p>
      <w:pPr>
        <w:pStyle w:val="22"/>
        <w:snapToGrid w:val="0"/>
        <w:spacing w:before="120" w:after="120" w:line="360" w:lineRule="auto"/>
        <w:rPr>
          <w:rFonts w:hAnsi="宋体" w:cs="宋体"/>
          <w:color w:val="auto"/>
          <w:sz w:val="24"/>
          <w:highlight w:val="none"/>
        </w:rPr>
      </w:pPr>
      <w:r>
        <w:rPr>
          <w:rFonts w:hint="eastAsia" w:hAnsi="宋体" w:cs="宋体"/>
          <w:color w:val="auto"/>
          <w:sz w:val="24"/>
          <w:highlight w:val="none"/>
        </w:rPr>
        <w:t>（履约保证金可采用支票、汇票、保函、担保等形式），验收合格后</w:t>
      </w:r>
      <w:r>
        <w:rPr>
          <w:rFonts w:hint="eastAsia" w:asciiTheme="majorEastAsia" w:hAnsiTheme="majorEastAsia" w:eastAsiaTheme="majorEastAsia" w:cstheme="majorEastAsia"/>
          <w:color w:val="auto"/>
          <w:sz w:val="24"/>
          <w:highlight w:val="none"/>
        </w:rPr>
        <w:t>5个工作日</w:t>
      </w:r>
      <w:r>
        <w:rPr>
          <w:rFonts w:hint="eastAsia" w:hAnsi="宋体" w:cs="宋体"/>
          <w:color w:val="auto"/>
          <w:sz w:val="24"/>
          <w:highlight w:val="none"/>
        </w:rPr>
        <w:t>无息退还。</w:t>
      </w:r>
    </w:p>
    <w:p>
      <w:pPr>
        <w:pStyle w:val="22"/>
        <w:snapToGrid w:val="0"/>
        <w:spacing w:before="120" w:after="120" w:line="360" w:lineRule="auto"/>
        <w:ind w:left="410" w:hanging="410" w:hangingChars="17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八、转包或分包</w:t>
      </w:r>
    </w:p>
    <w:p>
      <w:pPr>
        <w:snapToGrid w:val="0"/>
        <w:spacing w:before="156" w:beforeLines="50" w:after="156" w:afterLines="5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.本合同范围的货物，应由</w:t>
      </w:r>
      <w:r>
        <w:rPr>
          <w:rFonts w:asciiTheme="minorEastAsia" w:hAnsiTheme="minorEastAsia" w:eastAsiaTheme="minorEastAsia"/>
          <w:color w:val="auto"/>
          <w:sz w:val="24"/>
          <w:highlight w:val="none"/>
        </w:rPr>
        <w:t>乙</w:t>
      </w:r>
      <w:r>
        <w:rPr>
          <w:rFonts w:hint="eastAsia" w:asciiTheme="minorEastAsia" w:hAnsiTheme="minorEastAsia" w:eastAsiaTheme="minorEastAsia"/>
          <w:color w:val="auto"/>
          <w:sz w:val="24"/>
          <w:highlight w:val="none"/>
        </w:rPr>
        <w:t>方直接供应，不得转让他人供应；</w:t>
      </w:r>
    </w:p>
    <w:p>
      <w:pPr>
        <w:snapToGrid w:val="0"/>
        <w:spacing w:before="156" w:beforeLines="50" w:after="156" w:afterLines="5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.除非得到</w:t>
      </w:r>
      <w:r>
        <w:rPr>
          <w:rFonts w:asciiTheme="minorEastAsia" w:hAnsiTheme="minorEastAsia" w:eastAsiaTheme="minorEastAsia"/>
          <w:color w:val="auto"/>
          <w:sz w:val="24"/>
          <w:highlight w:val="none"/>
        </w:rPr>
        <w:t>甲</w:t>
      </w:r>
      <w:r>
        <w:rPr>
          <w:rFonts w:hint="eastAsia" w:asciiTheme="minorEastAsia" w:hAnsiTheme="minorEastAsia" w:eastAsiaTheme="minorEastAsia"/>
          <w:color w:val="auto"/>
          <w:sz w:val="24"/>
          <w:highlight w:val="none"/>
        </w:rPr>
        <w:t>方的书面同意，</w:t>
      </w:r>
      <w:r>
        <w:rPr>
          <w:rFonts w:asciiTheme="minorEastAsia" w:hAnsiTheme="minorEastAsia" w:eastAsiaTheme="minorEastAsia"/>
          <w:color w:val="auto"/>
          <w:sz w:val="24"/>
          <w:highlight w:val="none"/>
        </w:rPr>
        <w:t>乙</w:t>
      </w:r>
      <w:r>
        <w:rPr>
          <w:rFonts w:hint="eastAsia" w:asciiTheme="minorEastAsia" w:hAnsiTheme="minorEastAsia" w:eastAsiaTheme="minorEastAsia"/>
          <w:color w:val="auto"/>
          <w:sz w:val="24"/>
          <w:highlight w:val="none"/>
        </w:rPr>
        <w:t>方不得将本合同范围的货物全部或部分分包给他人供应；</w:t>
      </w:r>
    </w:p>
    <w:p>
      <w:pPr>
        <w:snapToGrid w:val="0"/>
        <w:spacing w:before="156" w:beforeLines="50" w:after="156" w:afterLines="5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.如有转让和未经</w:t>
      </w:r>
      <w:r>
        <w:rPr>
          <w:rFonts w:asciiTheme="minorEastAsia" w:hAnsiTheme="minorEastAsia" w:eastAsiaTheme="minorEastAsia"/>
          <w:color w:val="auto"/>
          <w:sz w:val="24"/>
          <w:highlight w:val="none"/>
        </w:rPr>
        <w:t>甲</w:t>
      </w:r>
      <w:r>
        <w:rPr>
          <w:rFonts w:hint="eastAsia" w:asciiTheme="minorEastAsia" w:hAnsiTheme="minorEastAsia" w:eastAsiaTheme="minorEastAsia"/>
          <w:color w:val="auto"/>
          <w:sz w:val="24"/>
          <w:highlight w:val="none"/>
        </w:rPr>
        <w:t>方同意的分包行为，</w:t>
      </w:r>
      <w:r>
        <w:rPr>
          <w:rFonts w:asciiTheme="minorEastAsia" w:hAnsiTheme="minorEastAsia" w:eastAsiaTheme="minorEastAsia"/>
          <w:color w:val="auto"/>
          <w:sz w:val="24"/>
          <w:highlight w:val="none"/>
        </w:rPr>
        <w:t>甲</w:t>
      </w:r>
      <w:r>
        <w:rPr>
          <w:rFonts w:hint="eastAsia" w:asciiTheme="minorEastAsia" w:hAnsiTheme="minorEastAsia" w:eastAsiaTheme="minorEastAsia"/>
          <w:color w:val="auto"/>
          <w:sz w:val="24"/>
          <w:highlight w:val="none"/>
        </w:rPr>
        <w:t>方有权解除合同，没收履约保证金并追究乙方的违约责任。</w:t>
      </w:r>
    </w:p>
    <w:p>
      <w:pPr>
        <w:pStyle w:val="22"/>
        <w:snapToGrid w:val="0"/>
        <w:spacing w:before="120" w:after="120"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九</w:t>
      </w:r>
      <w:r>
        <w:rPr>
          <w:rFonts w:asciiTheme="minorEastAsia" w:hAnsiTheme="minorEastAsia" w:eastAsiaTheme="minorEastAsia"/>
          <w:b/>
          <w:color w:val="auto"/>
          <w:sz w:val="24"/>
          <w:highlight w:val="none"/>
        </w:rPr>
        <w:t>、质保期</w:t>
      </w:r>
    </w:p>
    <w:p>
      <w:pPr>
        <w:tabs>
          <w:tab w:val="left" w:pos="0"/>
        </w:tabs>
        <w:spacing w:line="360" w:lineRule="auto"/>
        <w:rPr>
          <w:rFonts w:asciiTheme="minorEastAsia" w:hAnsiTheme="minorEastAsia" w:eastAsiaTheme="minorEastAsia"/>
          <w:color w:val="auto"/>
          <w:sz w:val="24"/>
          <w:highlight w:val="none"/>
        </w:rPr>
      </w:pPr>
      <w:r>
        <w:rPr>
          <w:rFonts w:hint="eastAsia" w:ascii="宋体" w:hAnsi="宋体" w:cs="宋体"/>
          <w:color w:val="auto"/>
          <w:sz w:val="24"/>
          <w:highlight w:val="none"/>
        </w:rPr>
        <w:t>信号机不低于36个月，信号灯不低于36个月，标志不低于2年，标线保质期不低于1年。</w:t>
      </w:r>
      <w:r>
        <w:rPr>
          <w:rFonts w:asciiTheme="minorEastAsia" w:hAnsiTheme="minorEastAsia" w:eastAsiaTheme="minorEastAsia"/>
          <w:color w:val="auto"/>
          <w:sz w:val="24"/>
          <w:highlight w:val="none"/>
        </w:rPr>
        <w:t>（自验收合格交</w:t>
      </w:r>
      <w:r>
        <w:rPr>
          <w:rFonts w:hint="eastAsia" w:asciiTheme="minorEastAsia" w:hAnsiTheme="minorEastAsia" w:eastAsiaTheme="minorEastAsia"/>
          <w:color w:val="auto"/>
          <w:sz w:val="24"/>
          <w:highlight w:val="none"/>
        </w:rPr>
        <w:t>付</w:t>
      </w:r>
      <w:r>
        <w:rPr>
          <w:rFonts w:asciiTheme="minorEastAsia" w:hAnsiTheme="minorEastAsia" w:eastAsiaTheme="minorEastAsia"/>
          <w:color w:val="auto"/>
          <w:sz w:val="24"/>
          <w:highlight w:val="none"/>
        </w:rPr>
        <w:t>之日起计）</w:t>
      </w:r>
    </w:p>
    <w:p>
      <w:pPr>
        <w:pStyle w:val="22"/>
        <w:snapToGrid w:val="0"/>
        <w:spacing w:before="120" w:after="120"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十</w:t>
      </w:r>
      <w:r>
        <w:rPr>
          <w:rFonts w:asciiTheme="minorEastAsia" w:hAnsiTheme="minorEastAsia" w:eastAsiaTheme="minorEastAsia"/>
          <w:b/>
          <w:color w:val="auto"/>
          <w:sz w:val="24"/>
          <w:highlight w:val="none"/>
        </w:rPr>
        <w:t>、交货期、交货方式及交货地点</w:t>
      </w:r>
    </w:p>
    <w:p>
      <w:pPr>
        <w:pStyle w:val="22"/>
        <w:snapToGrid w:val="0"/>
        <w:spacing w:before="120" w:after="120" w:line="360" w:lineRule="auto"/>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1</w:t>
      </w:r>
      <w:r>
        <w:rPr>
          <w:rFonts w:hint="eastAsia" w:asciiTheme="minorEastAsia" w:hAnsiTheme="minorEastAsia" w:eastAsiaTheme="minorEastAsia"/>
          <w:bCs/>
          <w:color w:val="auto"/>
          <w:sz w:val="24"/>
          <w:highlight w:val="none"/>
        </w:rPr>
        <w:t>.</w:t>
      </w:r>
      <w:r>
        <w:rPr>
          <w:rFonts w:asciiTheme="minorEastAsia" w:hAnsiTheme="minorEastAsia" w:eastAsiaTheme="minorEastAsia"/>
          <w:bCs/>
          <w:color w:val="auto"/>
          <w:sz w:val="24"/>
          <w:highlight w:val="none"/>
        </w:rPr>
        <w:t xml:space="preserve"> </w:t>
      </w:r>
      <w:r>
        <w:rPr>
          <w:rFonts w:hint="eastAsia" w:asciiTheme="minorEastAsia" w:hAnsiTheme="minorEastAsia" w:eastAsiaTheme="minorEastAsia"/>
          <w:bCs/>
          <w:color w:val="auto"/>
          <w:sz w:val="24"/>
          <w:highlight w:val="none"/>
        </w:rPr>
        <w:t>交货期（交付期）</w:t>
      </w:r>
      <w:r>
        <w:rPr>
          <w:rFonts w:hint="eastAsia" w:asciiTheme="minorEastAsia" w:hAnsiTheme="minorEastAsia" w:eastAsiaTheme="minorEastAsia"/>
          <w:bCs/>
          <w:color w:val="auto"/>
          <w:sz w:val="24"/>
          <w:highlight w:val="none"/>
        </w:rPr>
        <w:t>：合同签订后150日内完成终验,要求合同签订后120日内初验通过，要求经试运行30日后终验通过。</w:t>
      </w:r>
    </w:p>
    <w:p>
      <w:pPr>
        <w:pStyle w:val="22"/>
        <w:snapToGrid w:val="0"/>
        <w:spacing w:before="120" w:after="120" w:line="360" w:lineRule="auto"/>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2</w:t>
      </w:r>
      <w:r>
        <w:rPr>
          <w:rFonts w:hint="eastAsia" w:asciiTheme="minorEastAsia" w:hAnsiTheme="minorEastAsia" w:eastAsiaTheme="minorEastAsia"/>
          <w:bCs/>
          <w:color w:val="auto"/>
          <w:sz w:val="24"/>
          <w:highlight w:val="none"/>
        </w:rPr>
        <w:t>.</w:t>
      </w:r>
      <w:r>
        <w:rPr>
          <w:rFonts w:asciiTheme="minorEastAsia" w:hAnsiTheme="minorEastAsia" w:eastAsiaTheme="minorEastAsia"/>
          <w:bCs/>
          <w:color w:val="auto"/>
          <w:sz w:val="24"/>
          <w:highlight w:val="none"/>
        </w:rPr>
        <w:t xml:space="preserve"> 交货方式：</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Cs/>
          <w:color w:val="auto"/>
          <w:sz w:val="24"/>
          <w:highlight w:val="none"/>
        </w:rPr>
        <w:t>3</w:t>
      </w:r>
      <w:r>
        <w:rPr>
          <w:rFonts w:hint="eastAsia" w:asciiTheme="minorEastAsia" w:hAnsiTheme="minorEastAsia" w:eastAsiaTheme="minorEastAsia"/>
          <w:bCs/>
          <w:color w:val="auto"/>
          <w:sz w:val="24"/>
          <w:highlight w:val="none"/>
        </w:rPr>
        <w:t>.</w:t>
      </w:r>
      <w:r>
        <w:rPr>
          <w:rFonts w:asciiTheme="minorEastAsia" w:hAnsiTheme="minorEastAsia" w:eastAsiaTheme="minorEastAsia"/>
          <w:bCs/>
          <w:color w:val="auto"/>
          <w:sz w:val="24"/>
          <w:highlight w:val="none"/>
        </w:rPr>
        <w:t xml:space="preserve"> 交货地点：</w:t>
      </w:r>
      <w:r>
        <w:rPr>
          <w:rFonts w:hint="eastAsia" w:asciiTheme="minorEastAsia" w:hAnsiTheme="minorEastAsia" w:eastAsiaTheme="minorEastAsia"/>
          <w:bCs/>
          <w:color w:val="auto"/>
          <w:sz w:val="24"/>
          <w:highlight w:val="none"/>
        </w:rPr>
        <w:t>台州市</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、货款支付</w:t>
      </w:r>
    </w:p>
    <w:p>
      <w:pPr>
        <w:tabs>
          <w:tab w:val="left" w:pos="0"/>
        </w:tabs>
        <w:spacing w:line="360" w:lineRule="auto"/>
        <w:ind w:firstLine="480" w:firstLineChars="200"/>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1</w:t>
      </w:r>
      <w:r>
        <w:rPr>
          <w:rFonts w:hint="eastAsia" w:asciiTheme="minorEastAsia" w:hAnsiTheme="minorEastAsia" w:eastAsiaTheme="minorEastAsia"/>
          <w:bCs/>
          <w:color w:val="auto"/>
          <w:sz w:val="24"/>
          <w:highlight w:val="none"/>
        </w:rPr>
        <w:t>.</w:t>
      </w:r>
      <w:r>
        <w:rPr>
          <w:rFonts w:asciiTheme="minorEastAsia" w:hAnsiTheme="minorEastAsia" w:eastAsiaTheme="minorEastAsia"/>
          <w:bCs/>
          <w:color w:val="auto"/>
          <w:sz w:val="24"/>
          <w:highlight w:val="none"/>
        </w:rPr>
        <w:t>付款方式：</w:t>
      </w:r>
      <w:r>
        <w:rPr>
          <w:rFonts w:hint="eastAsia" w:asciiTheme="minorEastAsia" w:hAnsiTheme="minorEastAsia" w:eastAsiaTheme="minorEastAsia"/>
          <w:bCs/>
          <w:color w:val="auto"/>
          <w:sz w:val="24"/>
          <w:highlight w:val="none"/>
        </w:rPr>
        <w:t>合同签订，乙方提供发票后7个工作日内，支付合同总额的40%作为预付款，合同签订后</w:t>
      </w:r>
      <w:r>
        <w:rPr>
          <w:rFonts w:hint="eastAsia" w:asciiTheme="minorEastAsia" w:hAnsiTheme="minorEastAsia" w:eastAsiaTheme="minorEastAsia"/>
          <w:bCs/>
          <w:color w:val="auto"/>
          <w:sz w:val="24"/>
          <w:highlight w:val="none"/>
        </w:rPr>
        <w:t>120天内通过初验</w:t>
      </w:r>
      <w:r>
        <w:rPr>
          <w:rFonts w:hint="eastAsia" w:asciiTheme="minorEastAsia" w:hAnsiTheme="minorEastAsia" w:eastAsiaTheme="minorEastAsia"/>
          <w:bCs/>
          <w:color w:val="auto"/>
          <w:sz w:val="24"/>
          <w:highlight w:val="none"/>
        </w:rPr>
        <w:t>，乙方提供发票后7个工作日内支付至实际采购量结算金额的80%，项目整体终验合格并经审核结束，乙方提供发票后7个工作日内支付剩余结算金额（最终结算金额=实际采购量*成交单价，成交单价=上限单价*成交结算率）</w:t>
      </w:r>
    </w:p>
    <w:p>
      <w:pPr>
        <w:pStyle w:val="22"/>
        <w:snapToGrid w:val="0"/>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2.最终</w:t>
      </w:r>
      <w:r>
        <w:rPr>
          <w:rFonts w:hint="eastAsia" w:hAnsi="Times New Roman"/>
          <w:color w:val="auto"/>
          <w:sz w:val="24"/>
          <w:highlight w:val="none"/>
          <w:lang w:val="zh-CN"/>
        </w:rPr>
        <w:t>结算金额不超过本项目预算。</w:t>
      </w:r>
    </w:p>
    <w:p>
      <w:pPr>
        <w:snapToGrid w:val="0"/>
        <w:spacing w:before="156" w:beforeLines="50" w:after="156" w:afterLines="50"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十二、税费</w:t>
      </w:r>
    </w:p>
    <w:p>
      <w:pPr>
        <w:snapToGrid w:val="0"/>
        <w:spacing w:before="156" w:beforeLines="50" w:after="156" w:afterLines="50"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本合同执行中相关的一切税费均由</w:t>
      </w:r>
      <w:r>
        <w:rPr>
          <w:rFonts w:asciiTheme="minorEastAsia" w:hAnsiTheme="minorEastAsia" w:eastAsiaTheme="minorEastAsia"/>
          <w:color w:val="auto"/>
          <w:sz w:val="24"/>
          <w:highlight w:val="none"/>
        </w:rPr>
        <w:t>乙</w:t>
      </w:r>
      <w:r>
        <w:rPr>
          <w:rFonts w:hint="eastAsia" w:asciiTheme="minorEastAsia" w:hAnsiTheme="minorEastAsia" w:eastAsiaTheme="minorEastAsia"/>
          <w:color w:val="auto"/>
          <w:sz w:val="24"/>
          <w:highlight w:val="none"/>
        </w:rPr>
        <w:t>方负担。</w:t>
      </w:r>
    </w:p>
    <w:p>
      <w:pPr>
        <w:pStyle w:val="22"/>
        <w:snapToGrid w:val="0"/>
        <w:spacing w:before="120" w:after="120" w:line="360" w:lineRule="auto"/>
        <w:ind w:left="412" w:hanging="412" w:hangingChars="171"/>
        <w:rPr>
          <w:rFonts w:asciiTheme="minorEastAsia" w:hAnsiTheme="minorEastAsia" w:eastAsiaTheme="minorEastAsia"/>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三</w:t>
      </w:r>
      <w:r>
        <w:rPr>
          <w:rFonts w:asciiTheme="minorEastAsia" w:hAnsiTheme="minorEastAsia" w:eastAsiaTheme="minorEastAsia"/>
          <w:b/>
          <w:color w:val="auto"/>
          <w:sz w:val="24"/>
          <w:highlight w:val="none"/>
        </w:rPr>
        <w:t>、质量保证及售后服务</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乙方应按招标文件规定的货物性能、技术要求、质量标准向甲方提供未经使用的全新产品。</w:t>
      </w:r>
    </w:p>
    <w:p>
      <w:pPr>
        <w:pStyle w:val="22"/>
        <w:snapToGrid w:val="0"/>
        <w:spacing w:before="120" w:after="120" w:line="360" w:lineRule="auto"/>
        <w:ind w:left="480" w:hanging="480" w:hanging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乙方提供的</w:t>
      </w:r>
      <w:r>
        <w:rPr>
          <w:rFonts w:hint="eastAsia" w:asciiTheme="minorEastAsia" w:hAnsiTheme="minorEastAsia" w:eastAsiaTheme="minorEastAsia"/>
          <w:color w:val="auto"/>
          <w:sz w:val="24"/>
          <w:highlight w:val="none"/>
        </w:rPr>
        <w:t>成果</w:t>
      </w:r>
      <w:r>
        <w:rPr>
          <w:rFonts w:asciiTheme="minorEastAsia" w:hAnsiTheme="minorEastAsia" w:eastAsiaTheme="minorEastAsia"/>
          <w:color w:val="auto"/>
          <w:sz w:val="24"/>
          <w:highlight w:val="none"/>
        </w:rPr>
        <w:t>在质</w:t>
      </w:r>
      <w:r>
        <w:rPr>
          <w:rFonts w:hint="eastAsia" w:asciiTheme="minorEastAsia" w:hAnsiTheme="minorEastAsia" w:eastAsiaTheme="minorEastAsia"/>
          <w:color w:val="auto"/>
          <w:sz w:val="24"/>
          <w:highlight w:val="none"/>
        </w:rPr>
        <w:t>保</w:t>
      </w:r>
      <w:r>
        <w:rPr>
          <w:rFonts w:asciiTheme="minorEastAsia" w:hAnsiTheme="minorEastAsia" w:eastAsiaTheme="minorEastAsia"/>
          <w:color w:val="auto"/>
          <w:sz w:val="24"/>
          <w:highlight w:val="none"/>
        </w:rPr>
        <w:t>期内因本身的质量问题发生故障，</w:t>
      </w:r>
      <w:r>
        <w:rPr>
          <w:rFonts w:hint="eastAsia" w:asciiTheme="minorEastAsia" w:hAnsiTheme="minorEastAsia" w:eastAsiaTheme="minorEastAsia"/>
          <w:color w:val="auto"/>
          <w:sz w:val="24"/>
          <w:highlight w:val="none"/>
        </w:rPr>
        <w:t>乙方应负责免费提供后续服务。</w:t>
      </w:r>
      <w:r>
        <w:rPr>
          <w:rFonts w:asciiTheme="minorEastAsia" w:hAnsiTheme="minorEastAsia" w:eastAsiaTheme="minorEastAsia"/>
          <w:color w:val="auto"/>
          <w:sz w:val="24"/>
          <w:highlight w:val="none"/>
        </w:rPr>
        <w:t>对达不到技术要求者，根据实际情况，经双方协商，可按以下办法处理：</w:t>
      </w:r>
    </w:p>
    <w:p>
      <w:pPr>
        <w:pStyle w:val="22"/>
        <w:snapToGrid w:val="0"/>
        <w:spacing w:before="120" w:after="120" w:line="360" w:lineRule="auto"/>
        <w:ind w:firstLine="420"/>
        <w:rPr>
          <w:rFonts w:hAnsi="宋体"/>
          <w:color w:val="auto"/>
          <w:sz w:val="24"/>
          <w:highlight w:val="none"/>
        </w:rPr>
      </w:pPr>
      <w:r>
        <w:rPr>
          <w:rFonts w:hAnsi="宋体"/>
          <w:color w:val="auto"/>
          <w:sz w:val="24"/>
          <w:highlight w:val="none"/>
        </w:rPr>
        <w:t>⑴重做：由乙方承担所发生的全部费用。</w:t>
      </w:r>
    </w:p>
    <w:p>
      <w:pPr>
        <w:pStyle w:val="22"/>
        <w:snapToGrid w:val="0"/>
        <w:spacing w:before="120" w:after="120" w:line="360" w:lineRule="auto"/>
        <w:ind w:firstLine="420"/>
        <w:rPr>
          <w:rFonts w:hAnsi="宋体"/>
          <w:color w:val="auto"/>
          <w:sz w:val="24"/>
          <w:highlight w:val="none"/>
        </w:rPr>
      </w:pPr>
      <w:r>
        <w:rPr>
          <w:rFonts w:hAnsi="宋体"/>
          <w:color w:val="auto"/>
          <w:sz w:val="24"/>
          <w:highlight w:val="none"/>
        </w:rPr>
        <w:t>⑵贬值处理：由甲乙双方合议定价。</w:t>
      </w:r>
    </w:p>
    <w:p>
      <w:pPr>
        <w:pStyle w:val="22"/>
        <w:snapToGrid w:val="0"/>
        <w:spacing w:before="120" w:after="120" w:line="360" w:lineRule="auto"/>
        <w:ind w:left="420" w:left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⑶退货处理：乙方应退还甲方支付的合同款，同时应承担该货物的直接费用（运输、</w:t>
      </w:r>
      <w:r>
        <w:rPr>
          <w:rFonts w:hint="eastAsia" w:asciiTheme="minorEastAsia" w:hAnsiTheme="minorEastAsia" w:eastAsiaTheme="minorEastAsia"/>
          <w:color w:val="auto"/>
          <w:sz w:val="24"/>
          <w:highlight w:val="none"/>
        </w:rPr>
        <w:t>清洗、</w:t>
      </w:r>
      <w:r>
        <w:rPr>
          <w:rFonts w:asciiTheme="minorEastAsia" w:hAnsiTheme="minorEastAsia" w:eastAsiaTheme="minorEastAsia"/>
          <w:color w:val="auto"/>
          <w:sz w:val="24"/>
          <w:highlight w:val="none"/>
        </w:rPr>
        <w:t>保险、检验、货款利息及银行手续费等）。</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如在使用过程中发生质量问题，乙方在接到甲方通知后</w:t>
      </w:r>
      <w:r>
        <w:rPr>
          <w:rFonts w:asciiTheme="minorEastAsia" w:hAnsiTheme="minorEastAsia" w:eastAsiaTheme="minorEastAsia"/>
          <w:color w:val="auto"/>
          <w:sz w:val="24"/>
          <w:highlight w:val="none"/>
        </w:rPr>
        <w:t>在</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小时</w:t>
      </w:r>
      <w:r>
        <w:rPr>
          <w:rFonts w:asciiTheme="minorEastAsia" w:hAnsiTheme="minorEastAsia" w:eastAsiaTheme="minorEastAsia"/>
          <w:color w:val="auto"/>
          <w:sz w:val="24"/>
          <w:highlight w:val="none"/>
        </w:rPr>
        <w:t>内到达甲方</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现场。</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在质保期内，乙方应对</w:t>
      </w:r>
      <w:r>
        <w:rPr>
          <w:rFonts w:hint="eastAsia" w:asciiTheme="minorEastAsia" w:hAnsiTheme="minorEastAsia" w:eastAsiaTheme="minorEastAsia"/>
          <w:color w:val="auto"/>
          <w:sz w:val="24"/>
          <w:highlight w:val="none"/>
        </w:rPr>
        <w:t>成果</w:t>
      </w:r>
      <w:r>
        <w:rPr>
          <w:rFonts w:asciiTheme="minorEastAsia" w:hAnsiTheme="minorEastAsia" w:eastAsiaTheme="minorEastAsia"/>
          <w:color w:val="auto"/>
          <w:sz w:val="24"/>
          <w:highlight w:val="none"/>
        </w:rPr>
        <w:t>出现的质量及安全问题负责处理解决并承担一切</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费用。</w:t>
      </w:r>
    </w:p>
    <w:p>
      <w:pPr>
        <w:pStyle w:val="22"/>
        <w:numPr>
          <w:ilvl w:val="0"/>
          <w:numId w:val="15"/>
        </w:numPr>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上述的免费保修期为</w:t>
      </w:r>
      <w:r>
        <w:rPr>
          <w:rFonts w:hint="eastAsia" w:hAnsi="宋体" w:cs="宋体"/>
          <w:color w:val="auto"/>
          <w:sz w:val="24"/>
          <w:highlight w:val="none"/>
        </w:rPr>
        <w:t>信号机不低于36个月，信号灯不低于36个月，标志不低于2年，标线保质期不低于1年。</w:t>
      </w:r>
      <w:r>
        <w:rPr>
          <w:rFonts w:asciiTheme="minorEastAsia" w:hAnsiTheme="minorEastAsia" w:eastAsiaTheme="minorEastAsia"/>
          <w:color w:val="auto"/>
          <w:sz w:val="24"/>
          <w:highlight w:val="none"/>
        </w:rPr>
        <w:t>（自验收合格交</w:t>
      </w:r>
      <w:r>
        <w:rPr>
          <w:rFonts w:hint="eastAsia" w:asciiTheme="minorEastAsia" w:hAnsiTheme="minorEastAsia" w:eastAsiaTheme="minorEastAsia"/>
          <w:color w:val="auto"/>
          <w:sz w:val="24"/>
          <w:highlight w:val="none"/>
        </w:rPr>
        <w:t>付</w:t>
      </w:r>
      <w:r>
        <w:rPr>
          <w:rFonts w:asciiTheme="minorEastAsia" w:hAnsiTheme="minorEastAsia" w:eastAsiaTheme="minorEastAsia"/>
          <w:color w:val="auto"/>
          <w:sz w:val="24"/>
          <w:highlight w:val="none"/>
        </w:rPr>
        <w:t>之日起计），</w:t>
      </w:r>
      <w:r>
        <w:rPr>
          <w:rFonts w:asciiTheme="minorEastAsia" w:hAnsiTheme="minorEastAsia" w:eastAsiaTheme="minorEastAsia"/>
          <w:color w:val="auto"/>
          <w:sz w:val="24"/>
          <w:highlight w:val="none"/>
        </w:rPr>
        <w:t>因人为因素出现的故障不在免费保修范围内。</w:t>
      </w:r>
      <w:r>
        <w:rPr>
          <w:rFonts w:hint="eastAsia" w:asciiTheme="minorEastAsia" w:hAnsiTheme="minorEastAsia" w:eastAsiaTheme="minorEastAsia"/>
          <w:color w:val="auto"/>
          <w:sz w:val="24"/>
          <w:highlight w:val="none"/>
        </w:rPr>
        <w:t>超过保修期的机器设备，终生维修，维修时只收部件成本费。</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四</w:t>
      </w:r>
      <w:r>
        <w:rPr>
          <w:rFonts w:asciiTheme="minorEastAsia" w:hAnsiTheme="minorEastAsia" w:eastAsiaTheme="minorEastAsia"/>
          <w:b/>
          <w:color w:val="auto"/>
          <w:sz w:val="24"/>
          <w:highlight w:val="none"/>
        </w:rPr>
        <w:t>、调试和验收</w:t>
      </w:r>
    </w:p>
    <w:p>
      <w:pPr>
        <w:pStyle w:val="22"/>
        <w:snapToGrid w:val="0"/>
        <w:spacing w:before="120" w:after="120" w:line="360" w:lineRule="auto"/>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甲方对乙方提交的货物依据招标文件上的技术规格要求和国家有关质量标准</w:t>
      </w:r>
    </w:p>
    <w:p>
      <w:pPr>
        <w:pStyle w:val="22"/>
        <w:snapToGrid w:val="0"/>
        <w:spacing w:before="120" w:after="120" w:line="360" w:lineRule="auto"/>
        <w:ind w:firstLine="360" w:firstLineChars="15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进行现场初步验收，外观、说明书符合招标文件技术要求的，给予签收，初</w:t>
      </w:r>
    </w:p>
    <w:p>
      <w:pPr>
        <w:pStyle w:val="22"/>
        <w:snapToGrid w:val="0"/>
        <w:spacing w:before="120" w:after="120" w:line="360" w:lineRule="auto"/>
        <w:ind w:firstLine="360" w:firstLineChars="15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步验收不合格的不予签收。货到后，甲方需在</w:t>
      </w:r>
      <w:r>
        <w:rPr>
          <w:rFonts w:hint="eastAsia" w:asciiTheme="minorEastAsia" w:hAnsiTheme="minorEastAsia" w:eastAsiaTheme="minorEastAsia"/>
          <w:color w:val="auto"/>
          <w:sz w:val="24"/>
          <w:highlight w:val="none"/>
          <w:u w:val="single"/>
        </w:rPr>
        <w:t>五</w:t>
      </w:r>
      <w:r>
        <w:rPr>
          <w:rFonts w:hint="eastAsia" w:asciiTheme="minorEastAsia" w:hAnsiTheme="minorEastAsia" w:eastAsiaTheme="minorEastAsia"/>
          <w:color w:val="auto"/>
          <w:sz w:val="24"/>
          <w:highlight w:val="none"/>
        </w:rPr>
        <w:t>个</w:t>
      </w:r>
      <w:r>
        <w:rPr>
          <w:rFonts w:asciiTheme="minorEastAsia" w:hAnsiTheme="minorEastAsia" w:eastAsiaTheme="minorEastAsia"/>
          <w:color w:val="auto"/>
          <w:sz w:val="24"/>
          <w:highlight w:val="none"/>
        </w:rPr>
        <w:t>工作日内验收。</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乙方交货前应对产品作出全面检查和对验收文件进行整理，并列出清单，作</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为甲方收货验收和使用的技术条件依据，检验的结果应随货物交甲方。</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甲方对乙方提供的货物在使用前进行调试时，乙方需负责安装并培训甲方的</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使用操作人员，并协助甲方一起调试，直到符合技术要求，甲方才做最终验</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u w:val="single"/>
        </w:rPr>
      </w:pPr>
      <w:r>
        <w:rPr>
          <w:rFonts w:asciiTheme="minorEastAsia" w:hAnsiTheme="minorEastAsia" w:eastAsiaTheme="minorEastAsia"/>
          <w:color w:val="auto"/>
          <w:sz w:val="24"/>
          <w:highlight w:val="none"/>
        </w:rPr>
        <w:t>收。</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对技术复杂的货物，甲方应请国家认可的专业检测机构参与初步验收及最终</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验收，并由其出具质量检测报告。</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验收时乙方必须在现场，验收完毕后作出验收结果报告；验收费用由</w:t>
      </w:r>
      <w:r>
        <w:rPr>
          <w:rFonts w:hint="eastAsia" w:asciiTheme="minorEastAsia" w:hAnsiTheme="minorEastAsia" w:eastAsiaTheme="minorEastAsia"/>
          <w:color w:val="auto"/>
          <w:sz w:val="24"/>
          <w:highlight w:val="none"/>
        </w:rPr>
        <w:t>甲</w:t>
      </w:r>
      <w:r>
        <w:rPr>
          <w:rFonts w:asciiTheme="minorEastAsia" w:hAnsiTheme="minorEastAsia" w:eastAsiaTheme="minorEastAsia"/>
          <w:color w:val="auto"/>
          <w:sz w:val="24"/>
          <w:highlight w:val="none"/>
        </w:rPr>
        <w:t>方负</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责。</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五</w:t>
      </w:r>
      <w:r>
        <w:rPr>
          <w:rFonts w:asciiTheme="minorEastAsia" w:hAnsiTheme="minorEastAsia" w:eastAsiaTheme="minorEastAsia"/>
          <w:b/>
          <w:color w:val="auto"/>
          <w:sz w:val="24"/>
          <w:highlight w:val="none"/>
        </w:rPr>
        <w:t>、货物包装、发运及运输</w:t>
      </w:r>
    </w:p>
    <w:p>
      <w:pPr>
        <w:pStyle w:val="22"/>
        <w:snapToGrid w:val="0"/>
        <w:spacing w:before="120" w:after="120" w:line="360" w:lineRule="auto"/>
        <w:ind w:left="480" w:hanging="480" w:hanging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乙方应在货物发运前对其进行满足运输距离、防潮、防震、防锈和防破损装卸等要求包装，以保证货物安全运达甲方指定地点。</w:t>
      </w:r>
    </w:p>
    <w:p>
      <w:pPr>
        <w:pStyle w:val="22"/>
        <w:snapToGrid w:val="0"/>
        <w:spacing w:before="120" w:after="120" w:line="360" w:lineRule="auto"/>
        <w:ind w:left="480" w:hanging="480" w:hanging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使用说明书、质量检验证明书、随配附件和工具以及清单一并附于货物内。</w:t>
      </w:r>
    </w:p>
    <w:p>
      <w:pPr>
        <w:pStyle w:val="22"/>
        <w:snapToGrid w:val="0"/>
        <w:spacing w:before="120" w:after="120" w:line="360" w:lineRule="auto"/>
        <w:ind w:left="480" w:hanging="480" w:hanging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乙方在货物发运手续办理完毕后24小时内或货到甲方48小时前通知甲方，以准备接货。</w:t>
      </w:r>
    </w:p>
    <w:p>
      <w:pPr>
        <w:pStyle w:val="22"/>
        <w:snapToGrid w:val="0"/>
        <w:spacing w:before="120" w:after="120" w:line="360" w:lineRule="auto"/>
        <w:ind w:left="480" w:hanging="480" w:hanging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货物在交付甲方前发生的风险均由乙方负责。</w:t>
      </w:r>
    </w:p>
    <w:p>
      <w:pPr>
        <w:pStyle w:val="22"/>
        <w:snapToGrid w:val="0"/>
        <w:spacing w:line="360" w:lineRule="auto"/>
        <w:ind w:left="480" w:right="26" w:hanging="480" w:hanging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货物在规定的交付期限内由乙方送达甲方指定的地点视为交付，乙方同时需</w:t>
      </w:r>
    </w:p>
    <w:p>
      <w:pPr>
        <w:pStyle w:val="22"/>
        <w:snapToGrid w:val="0"/>
        <w:spacing w:line="360" w:lineRule="auto"/>
        <w:ind w:left="479" w:leftChars="171" w:right="26" w:hanging="120" w:hangingChars="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通知甲方货物已送达。</w:t>
      </w:r>
    </w:p>
    <w:p>
      <w:pPr>
        <w:pStyle w:val="22"/>
        <w:snapToGrid w:val="0"/>
        <w:spacing w:line="360" w:lineRule="auto"/>
        <w:ind w:right="26"/>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6.乙方运送的货物涉及商品包装和快递包装的，参考《商品包装政府采购需求标准（试行）》、《快递包装政府采购需求标准（试行）》(财办库〔2020〕123号)</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六</w:t>
      </w:r>
      <w:r>
        <w:rPr>
          <w:rFonts w:asciiTheme="minorEastAsia" w:hAnsiTheme="minorEastAsia" w:eastAsiaTheme="minorEastAsia"/>
          <w:b/>
          <w:color w:val="auto"/>
          <w:sz w:val="24"/>
          <w:highlight w:val="none"/>
        </w:rPr>
        <w:t>、违约责任</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甲方无正当理由拒收货物的，甲方向乙方偿付拒收货款总值的</w:t>
      </w:r>
      <w:r>
        <w:rPr>
          <w:rFonts w:asciiTheme="minorEastAsia" w:hAnsiTheme="minorEastAsia" w:eastAsiaTheme="minorEastAsia"/>
          <w:color w:val="auto"/>
          <w:sz w:val="24"/>
          <w:highlight w:val="none"/>
          <w:u w:val="single"/>
        </w:rPr>
        <w:t>百分之五</w:t>
      </w:r>
      <w:r>
        <w:rPr>
          <w:rFonts w:asciiTheme="minorEastAsia" w:hAnsiTheme="minorEastAsia" w:eastAsiaTheme="minorEastAsia"/>
          <w:color w:val="auto"/>
          <w:sz w:val="24"/>
          <w:highlight w:val="none"/>
        </w:rPr>
        <w:t>违约金。</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甲方无故逾期验收和办理货款支付手续的,甲方应按逾期付款</w:t>
      </w:r>
      <w:r>
        <w:rPr>
          <w:rFonts w:hint="eastAsia" w:asciiTheme="minorEastAsia" w:hAnsiTheme="minorEastAsia" w:eastAsiaTheme="minorEastAsia"/>
          <w:color w:val="auto"/>
          <w:sz w:val="24"/>
          <w:highlight w:val="none"/>
        </w:rPr>
        <w:t>金</w:t>
      </w:r>
      <w:r>
        <w:rPr>
          <w:rFonts w:asciiTheme="minorEastAsia" w:hAnsiTheme="minorEastAsia" w:eastAsiaTheme="minorEastAsia"/>
          <w:color w:val="auto"/>
          <w:sz w:val="24"/>
          <w:highlight w:val="none"/>
        </w:rPr>
        <w:t>额</w:t>
      </w:r>
      <w:r>
        <w:rPr>
          <w:rFonts w:asciiTheme="minorEastAsia" w:hAnsiTheme="minorEastAsia" w:eastAsiaTheme="minorEastAsia"/>
          <w:color w:val="auto"/>
          <w:sz w:val="24"/>
          <w:highlight w:val="none"/>
          <w:u w:val="single"/>
        </w:rPr>
        <w:t>万分之五</w:t>
      </w:r>
      <w:r>
        <w:rPr>
          <w:rFonts w:hint="eastAsia" w:asciiTheme="minorEastAsia" w:hAnsiTheme="minorEastAsia" w:eastAsiaTheme="minorEastAsia"/>
          <w:color w:val="auto"/>
          <w:sz w:val="24"/>
          <w:highlight w:val="none"/>
        </w:rPr>
        <w:t>每</w:t>
      </w:r>
      <w:r>
        <w:rPr>
          <w:rFonts w:asciiTheme="minorEastAsia" w:hAnsiTheme="minorEastAsia" w:eastAsiaTheme="minorEastAsia"/>
          <w:color w:val="auto"/>
          <w:sz w:val="24"/>
          <w:highlight w:val="none"/>
        </w:rPr>
        <w:t>日向乙方支付违约金。</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乙方逾期交付货物的，乙方应按逾期交货总额</w:t>
      </w:r>
      <w:r>
        <w:rPr>
          <w:rFonts w:asciiTheme="minorEastAsia" w:hAnsiTheme="minorEastAsia" w:eastAsiaTheme="minorEastAsia"/>
          <w:color w:val="auto"/>
          <w:sz w:val="24"/>
          <w:highlight w:val="none"/>
          <w:u w:val="single"/>
        </w:rPr>
        <w:t>千分之六</w:t>
      </w:r>
      <w:r>
        <w:rPr>
          <w:rFonts w:hint="eastAsia" w:asciiTheme="minorEastAsia" w:hAnsiTheme="minorEastAsia" w:eastAsiaTheme="minorEastAsia"/>
          <w:color w:val="auto"/>
          <w:sz w:val="24"/>
          <w:highlight w:val="none"/>
        </w:rPr>
        <w:t>每</w:t>
      </w:r>
      <w:r>
        <w:rPr>
          <w:rFonts w:asciiTheme="minorEastAsia" w:hAnsiTheme="minorEastAsia" w:eastAsiaTheme="minorEastAsia"/>
          <w:color w:val="auto"/>
          <w:sz w:val="24"/>
          <w:highlight w:val="none"/>
        </w:rPr>
        <w:t>日向甲方支付违约金，由甲方从待付货款中扣除。逾期超过约定日期</w:t>
      </w:r>
      <w:r>
        <w:rPr>
          <w:rFonts w:asciiTheme="minorEastAsia" w:hAnsiTheme="minorEastAsia" w:eastAsiaTheme="minorEastAsia"/>
          <w:color w:val="auto"/>
          <w:sz w:val="24"/>
          <w:highlight w:val="none"/>
          <w:u w:val="single"/>
        </w:rPr>
        <w:t>10</w:t>
      </w:r>
      <w:r>
        <w:rPr>
          <w:rFonts w:asciiTheme="minorEastAsia" w:hAnsiTheme="minorEastAsia" w:eastAsiaTheme="minorEastAsia"/>
          <w:color w:val="auto"/>
          <w:sz w:val="24"/>
          <w:highlight w:val="none"/>
        </w:rPr>
        <w:t>个工作日不能交货的，甲方可解除本合同。因乙方逾期交货或因其他违约行为导致甲方解除合同的，乙方应向甲方支付合同总值</w:t>
      </w:r>
      <w:r>
        <w:rPr>
          <w:rFonts w:asciiTheme="minorEastAsia" w:hAnsiTheme="minorEastAsia" w:eastAsiaTheme="minorEastAsia"/>
          <w:color w:val="auto"/>
          <w:sz w:val="24"/>
          <w:highlight w:val="none"/>
          <w:u w:val="single"/>
        </w:rPr>
        <w:t>5%</w:t>
      </w:r>
      <w:r>
        <w:rPr>
          <w:rFonts w:asciiTheme="minorEastAsia" w:hAnsiTheme="minorEastAsia" w:eastAsiaTheme="minorEastAsia"/>
          <w:color w:val="auto"/>
          <w:sz w:val="24"/>
          <w:highlight w:val="none"/>
        </w:rPr>
        <w:t xml:space="preserve">的违约金，如造成甲方损失超过违约金的，超出部分由乙方继续承担赔偿责任。 </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22"/>
        <w:snapToGrid w:val="0"/>
        <w:spacing w:before="120" w:after="120" w:line="360" w:lineRule="auto"/>
        <w:ind w:left="410" w:hanging="410" w:hangingChars="171"/>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5.若发生纠纷，由违约方赔偿守约方因纠纷所支付的费用（包括但不限于律师费、差旅费、诉讼费、保全费、鉴定费、评估费等）</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七</w:t>
      </w:r>
      <w:r>
        <w:rPr>
          <w:rFonts w:asciiTheme="minorEastAsia" w:hAnsiTheme="minorEastAsia" w:eastAsiaTheme="minorEastAsia"/>
          <w:b/>
          <w:color w:val="auto"/>
          <w:sz w:val="24"/>
          <w:highlight w:val="none"/>
        </w:rPr>
        <w:t>、不可抗力事件处理</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在合同有效期内，任何一方因不可抗力事件导致不能履行合同，则合同履行</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期可延长，其延长期与不可抗力影响期相同。</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不可抗力事件发生后，应立即通知对方，并寄送有关权威机构出具的证明。</w:t>
      </w:r>
    </w:p>
    <w:p>
      <w:pPr>
        <w:pStyle w:val="22"/>
        <w:snapToGrid w:val="0"/>
        <w:spacing w:before="120" w:after="120"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 xml:space="preserve"> 不可抗力事件延续120天以上，双方应通过友好协商，确定是否继续履行合</w:t>
      </w:r>
    </w:p>
    <w:p>
      <w:pPr>
        <w:pStyle w:val="22"/>
        <w:snapToGrid w:val="0"/>
        <w:spacing w:before="120" w:after="120" w:line="360" w:lineRule="auto"/>
        <w:ind w:firstLine="360" w:firstLineChars="15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同。</w:t>
      </w:r>
    </w:p>
    <w:p>
      <w:pPr>
        <w:pStyle w:val="22"/>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八</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解决争议的方法</w:t>
      </w:r>
    </w:p>
    <w:p>
      <w:pPr>
        <w:widowControl/>
        <w:spacing w:line="360" w:lineRule="auto"/>
        <w:jc w:val="left"/>
        <w:rPr>
          <w:color w:val="auto"/>
          <w:sz w:val="24"/>
          <w:highlight w:val="none"/>
        </w:rPr>
      </w:pPr>
      <w:r>
        <w:rPr>
          <w:rFonts w:hint="eastAsia" w:ascii="宋体" w:hAnsi="宋体" w:cs="宋体"/>
          <w:color w:val="auto"/>
          <w:kern w:val="0"/>
          <w:sz w:val="24"/>
          <w:highlight w:val="none"/>
        </w:rPr>
        <w:t xml:space="preserve">1. </w:t>
      </w:r>
      <w:r>
        <w:rPr>
          <w:rFonts w:ascii="宋体" w:hAnsi="宋体" w:cs="宋体"/>
          <w:color w:val="auto"/>
          <w:kern w:val="0"/>
          <w:sz w:val="24"/>
          <w:highlight w:val="none"/>
        </w:rPr>
        <w:t>如双方在履行合同时发生纠纷，应协商解决；协商不成时，可提请政府采购管理部门调解；调解不成的</w:t>
      </w:r>
      <w:r>
        <w:rPr>
          <w:rFonts w:hint="eastAsia" w:ascii="宋体" w:hAnsi="宋体" w:cs="宋体"/>
          <w:color w:val="auto"/>
          <w:kern w:val="0"/>
          <w:sz w:val="24"/>
          <w:highlight w:val="none"/>
        </w:rPr>
        <w:t>，</w:t>
      </w:r>
      <w:r>
        <w:rPr>
          <w:rFonts w:ascii="宋体" w:hAnsi="宋体" w:cs="宋体"/>
          <w:color w:val="auto"/>
          <w:kern w:val="0"/>
          <w:sz w:val="24"/>
          <w:highlight w:val="none"/>
        </w:rPr>
        <w:t>通过提交</w:t>
      </w:r>
      <w:r>
        <w:rPr>
          <w:rFonts w:hAnsi="宋体"/>
          <w:color w:val="auto"/>
          <w:sz w:val="24"/>
          <w:highlight w:val="none"/>
          <w:u w:val="single"/>
        </w:rPr>
        <w:t>台州</w:t>
      </w:r>
      <w:r>
        <w:rPr>
          <w:rFonts w:ascii="宋体" w:hAnsi="宋体" w:cs="宋体"/>
          <w:color w:val="auto"/>
          <w:kern w:val="0"/>
          <w:sz w:val="24"/>
          <w:highlight w:val="none"/>
        </w:rPr>
        <w:t>仲裁委员会仲裁方式解决</w:t>
      </w:r>
      <w:r>
        <w:rPr>
          <w:rFonts w:hint="eastAsia" w:ascii="宋体" w:hAnsi="宋体" w:cs="宋体"/>
          <w:color w:val="auto"/>
          <w:kern w:val="0"/>
          <w:sz w:val="24"/>
          <w:highlight w:val="none"/>
        </w:rPr>
        <w:t>。</w:t>
      </w:r>
    </w:p>
    <w:p>
      <w:pPr>
        <w:pStyle w:val="22"/>
        <w:tabs>
          <w:tab w:val="left" w:pos="5790"/>
        </w:tabs>
        <w:snapToGrid w:val="0"/>
        <w:spacing w:before="120" w:after="120" w:line="360" w:lineRule="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十</w:t>
      </w:r>
      <w:r>
        <w:rPr>
          <w:rFonts w:hint="eastAsia" w:asciiTheme="minorEastAsia" w:hAnsiTheme="minorEastAsia" w:eastAsiaTheme="minorEastAsia"/>
          <w:b/>
          <w:color w:val="auto"/>
          <w:sz w:val="24"/>
          <w:highlight w:val="none"/>
        </w:rPr>
        <w:t>九</w:t>
      </w:r>
      <w:r>
        <w:rPr>
          <w:rFonts w:asciiTheme="minorEastAsia" w:hAnsiTheme="minorEastAsia" w:eastAsiaTheme="minorEastAsia"/>
          <w:b/>
          <w:color w:val="auto"/>
          <w:sz w:val="24"/>
          <w:highlight w:val="none"/>
        </w:rPr>
        <w:t>、合同生效及其它</w:t>
      </w:r>
      <w:r>
        <w:rPr>
          <w:rFonts w:asciiTheme="minorEastAsia" w:hAnsiTheme="minorEastAsia" w:eastAsiaTheme="minorEastAsia"/>
          <w:b/>
          <w:color w:val="auto"/>
          <w:sz w:val="24"/>
          <w:highlight w:val="none"/>
        </w:rPr>
        <w:tab/>
      </w:r>
    </w:p>
    <w:p>
      <w:pPr>
        <w:pStyle w:val="17"/>
        <w:widowControl/>
        <w:spacing w:line="360" w:lineRule="auto"/>
        <w:ind w:right="-88"/>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合同经双方法定代表人或授权代表</w:t>
      </w:r>
      <w:r>
        <w:rPr>
          <w:rFonts w:hint="eastAsia" w:asciiTheme="minorEastAsia" w:hAnsiTheme="minorEastAsia" w:eastAsiaTheme="minorEastAsia"/>
          <w:color w:val="auto"/>
          <w:highlight w:val="none"/>
        </w:rPr>
        <w:t>签字</w:t>
      </w:r>
      <w:r>
        <w:rPr>
          <w:rFonts w:asciiTheme="minorEastAsia" w:hAnsiTheme="minorEastAsia" w:eastAsiaTheme="minorEastAsia"/>
          <w:color w:val="auto"/>
          <w:highlight w:val="none"/>
        </w:rPr>
        <w:t>并加盖单位公章后生效。</w:t>
      </w:r>
    </w:p>
    <w:p>
      <w:pPr>
        <w:pStyle w:val="17"/>
        <w:widowControl/>
        <w:spacing w:line="360" w:lineRule="auto"/>
        <w:ind w:right="-88"/>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本合同未尽事宜，遵照《</w:t>
      </w:r>
      <w:r>
        <w:rPr>
          <w:color w:val="auto"/>
          <w:highlight w:val="none"/>
        </w:rPr>
        <w:fldChar w:fldCharType="begin"/>
      </w:r>
      <w:r>
        <w:rPr>
          <w:color w:val="auto"/>
          <w:highlight w:val="none"/>
        </w:rPr>
        <w:instrText xml:space="preserve"> HYPERLINK "https://baike.so.com/doc/24285488-25517578.html" \t "https://www.so.com/_blank" </w:instrText>
      </w:r>
      <w:r>
        <w:rPr>
          <w:color w:val="auto"/>
          <w:highlight w:val="none"/>
        </w:rPr>
        <w:fldChar w:fldCharType="separate"/>
      </w:r>
      <w:r>
        <w:rPr>
          <w:rFonts w:asciiTheme="minorEastAsia" w:hAnsiTheme="minorEastAsia" w:eastAsiaTheme="minorEastAsia"/>
          <w:color w:val="auto"/>
          <w:highlight w:val="none"/>
        </w:rPr>
        <w:t>中华人民共和国民法典</w:t>
      </w:r>
      <w:r>
        <w:rPr>
          <w:rFonts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t>》有关条文执行。</w:t>
      </w:r>
    </w:p>
    <w:p>
      <w:pPr>
        <w:pStyle w:val="17"/>
        <w:widowControl/>
        <w:spacing w:line="360" w:lineRule="auto"/>
        <w:ind w:right="-88"/>
        <w:rPr>
          <w:rFonts w:asciiTheme="minorEastAsia" w:hAnsiTheme="minorEastAsia" w:eastAsiaTheme="minorEastAsia"/>
          <w:color w:val="auto"/>
          <w:highlight w:val="none"/>
        </w:rPr>
      </w:pP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.本合同一式伍份。甲、乙双方各执贰份，</w:t>
      </w:r>
      <w:r>
        <w:rPr>
          <w:rFonts w:hint="eastAsia" w:ascii="宋体" w:hAnsi="宋体"/>
          <w:color w:val="auto"/>
          <w:highlight w:val="none"/>
        </w:rPr>
        <w:t>采购组织机构向同级人民政府财政部门备案一份</w:t>
      </w:r>
      <w:r>
        <w:rPr>
          <w:rFonts w:hint="eastAsia" w:asciiTheme="minorEastAsia" w:hAnsiTheme="minorEastAsia" w:eastAsiaTheme="minorEastAsia"/>
          <w:color w:val="auto"/>
          <w:highlight w:val="none"/>
        </w:rPr>
        <w:t>。本项目未尽事宜以招标文件、投标文件及澄清文件等为准。</w:t>
      </w:r>
    </w:p>
    <w:p>
      <w:pPr>
        <w:widowControl/>
        <w:spacing w:line="360" w:lineRule="auto"/>
        <w:rPr>
          <w:rFonts w:asciiTheme="minorEastAsia" w:hAnsiTheme="minorEastAsia" w:eastAsiaTheme="minorEastAsia"/>
          <w:b/>
          <w:color w:val="auto"/>
          <w:sz w:val="24"/>
          <w:highlight w:val="none"/>
        </w:rPr>
      </w:pPr>
    </w:p>
    <w:p>
      <w:pPr>
        <w:widowControl/>
        <w:spacing w:line="360" w:lineRule="auto"/>
        <w:rPr>
          <w:rFonts w:asciiTheme="minorEastAsia" w:hAnsiTheme="minorEastAsia" w:eastAsiaTheme="minorEastAsia"/>
          <w:b/>
          <w:color w:val="auto"/>
          <w:sz w:val="24"/>
          <w:highlight w:val="none"/>
        </w:rPr>
      </w:pP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甲方（公章）                                     乙方（公章）</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法定代表人：                                     法定代表人：</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委托代理人：                                     委托代理人：</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                                       联系电话：</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开户银行：                                       开户银行：</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帐号：                                           帐号：</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地址及邮编：                                     地址及邮编：</w:t>
      </w:r>
    </w:p>
    <w:p>
      <w:pPr>
        <w:spacing w:line="360" w:lineRule="auto"/>
        <w:rPr>
          <w:rFonts w:asciiTheme="minorEastAsia" w:hAnsiTheme="minorEastAsia" w:eastAsiaTheme="minorEastAsia"/>
          <w:color w:val="auto"/>
          <w:sz w:val="24"/>
          <w:highlight w:val="none"/>
        </w:rPr>
      </w:pPr>
    </w:p>
    <w:p>
      <w:pPr>
        <w:autoSpaceDE w:val="0"/>
        <w:autoSpaceDN w:val="0"/>
        <w:adjustRightInd w:val="0"/>
        <w:spacing w:line="360" w:lineRule="auto"/>
        <w:rPr>
          <w:rFonts w:ascii="宋体" w:hAnsi="宋体"/>
          <w:b/>
          <w:color w:val="auto"/>
          <w:kern w:val="0"/>
          <w:sz w:val="30"/>
          <w:highlight w:val="none"/>
        </w:rPr>
      </w:pPr>
      <w:r>
        <w:rPr>
          <w:rFonts w:hint="eastAsia" w:asciiTheme="minorEastAsia" w:hAnsiTheme="minorEastAsia" w:eastAsiaTheme="minorEastAsia"/>
          <w:color w:val="auto"/>
          <w:sz w:val="24"/>
          <w:highlight w:val="none"/>
        </w:rPr>
        <w:t>签订时间：    年   月    日</w:t>
      </w:r>
    </w:p>
    <w:p>
      <w:pPr>
        <w:pStyle w:val="19"/>
        <w:ind w:firstLine="482"/>
        <w:rPr>
          <w:rFonts w:ascii="宋体" w:hAnsi="宋体" w:cs="宋体"/>
          <w:b/>
          <w:snapToGrid w:val="0"/>
          <w:color w:val="auto"/>
          <w:kern w:val="0"/>
          <w:sz w:val="24"/>
          <w:highlight w:val="none"/>
        </w:rPr>
      </w:pPr>
    </w:p>
    <w:p>
      <w:pPr>
        <w:jc w:val="center"/>
        <w:rPr>
          <w:rFonts w:ascii="宋体" w:hAnsi="宋体"/>
          <w:color w:val="auto"/>
          <w:highlight w:val="none"/>
        </w:rPr>
      </w:pPr>
    </w:p>
    <w:p>
      <w:pPr>
        <w:pStyle w:val="19"/>
        <w:ind w:left="0" w:leftChars="0" w:firstLine="0" w:firstLineChars="0"/>
        <w:rPr>
          <w:color w:val="auto"/>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pStyle w:val="3"/>
        <w:rPr>
          <w:rFonts w:eastAsia="黑体"/>
          <w:color w:val="auto"/>
          <w:sz w:val="32"/>
          <w:szCs w:val="32"/>
          <w:highlight w:val="none"/>
        </w:rPr>
      </w:pPr>
    </w:p>
    <w:p>
      <w:pPr>
        <w:rPr>
          <w:color w:val="auto"/>
          <w:highlight w:val="none"/>
        </w:rPr>
      </w:pPr>
    </w:p>
    <w:p>
      <w:pPr>
        <w:pStyle w:val="3"/>
        <w:rPr>
          <w:rFonts w:eastAsia="黑体"/>
          <w:color w:val="auto"/>
          <w:sz w:val="32"/>
          <w:szCs w:val="32"/>
          <w:highlight w:val="none"/>
        </w:rPr>
      </w:pPr>
    </w:p>
    <w:p>
      <w:pPr>
        <w:pStyle w:val="18"/>
        <w:ind w:left="0" w:leftChars="0"/>
        <w:rPr>
          <w:color w:val="auto"/>
          <w:highlight w:val="none"/>
        </w:rPr>
      </w:pPr>
    </w:p>
    <w:p>
      <w:pPr>
        <w:ind w:firstLine="482" w:firstLineChars="200"/>
        <w:rPr>
          <w:rFonts w:ascii="宋体" w:hAnsi="宋体" w:cs="宋体"/>
          <w:b/>
          <w:bCs/>
          <w:color w:val="auto"/>
          <w:sz w:val="24"/>
          <w:highlight w:val="none"/>
        </w:rPr>
      </w:pPr>
    </w:p>
    <w:p>
      <w:pPr>
        <w:rPr>
          <w:rFonts w:ascii="宋体" w:hAnsi="宋体" w:cs="宋体"/>
          <w:b/>
          <w:bCs/>
          <w:color w:val="auto"/>
          <w:sz w:val="24"/>
          <w:highlight w:val="none"/>
        </w:rPr>
      </w:pPr>
    </w:p>
    <w:p>
      <w:pPr>
        <w:pStyle w:val="19"/>
        <w:ind w:firstLine="482"/>
        <w:rPr>
          <w:rFonts w:ascii="宋体" w:hAnsi="宋体" w:cs="宋体"/>
          <w:b/>
          <w:bCs/>
          <w:color w:val="auto"/>
          <w:sz w:val="24"/>
          <w:highlight w:val="none"/>
        </w:rPr>
      </w:pPr>
    </w:p>
    <w:p>
      <w:pPr>
        <w:rPr>
          <w:color w:val="auto"/>
          <w:highlight w:val="none"/>
        </w:rPr>
      </w:pPr>
    </w:p>
    <w:p>
      <w:pPr>
        <w:rPr>
          <w:rFonts w:ascii="宋体" w:hAnsi="宋体" w:cs="宋体"/>
          <w:b/>
          <w:bCs/>
          <w:color w:val="auto"/>
          <w:sz w:val="28"/>
          <w:szCs w:val="28"/>
          <w:highlight w:val="none"/>
        </w:rPr>
      </w:pPr>
      <w:r>
        <w:rPr>
          <w:rFonts w:hint="eastAsia" w:ascii="宋体" w:hAnsi="宋体" w:cs="宋体"/>
          <w:b/>
          <w:bCs/>
          <w:color w:val="auto"/>
          <w:sz w:val="28"/>
          <w:szCs w:val="28"/>
          <w:highlight w:val="none"/>
        </w:rPr>
        <w:t>合同附件一</w:t>
      </w:r>
    </w:p>
    <w:p>
      <w:pPr>
        <w:jc w:val="center"/>
        <w:rPr>
          <w:rFonts w:ascii="Calibri" w:hAnsi="Calibri"/>
          <w:b/>
          <w:bCs/>
          <w:color w:val="auto"/>
          <w:sz w:val="28"/>
          <w:szCs w:val="28"/>
          <w:highlight w:val="none"/>
        </w:rPr>
      </w:pPr>
      <w:r>
        <w:rPr>
          <w:rFonts w:hint="eastAsia" w:ascii="宋体" w:hAnsi="宋体" w:cs="宋体"/>
          <w:b/>
          <w:bCs/>
          <w:color w:val="auto"/>
          <w:sz w:val="28"/>
          <w:szCs w:val="28"/>
          <w:highlight w:val="none"/>
        </w:rPr>
        <w:t>廉洁诚信协议</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为加强台州市公安局交通警察局政府采购项目廉政建设，预防违法违规行为，确保双方在业务交往中保持廉洁自律，防止各种不正当行为的发生，保证合作双方在业务交往活动中做到诚信廉洁、高效共赢，根据国家相关法律法规及政策规定，经双方协商一致，在签订合同的同时订立本廉洁诚信协议，内容如下：</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1、双方在整个项目采购、建设活动中，做到公平、公正、公开，不搞暗箱操作，不搞不正当竞争，双方工作人员及亲属不得违反以下规定：</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（1）不得收受或向对方馈送现金、贵重物品、有价证券、购物卡、充值卡等，不得收受回扣；</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不得介绍亲友或为对方亲友安排从事与双方合作有关的业务活动，甲方项目相关员工及其配偶、父母、子女、利害关系人及控股、参股企业不得在乙方或乙方关联企业中投资入股，甲方员工不得在乙方或乙方关联企业担任兼职，不得以咨询费、服务费或其他任何形式从乙方或乙方关联企业获得收入； </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（3）不得接受对方或向对方在住房建修、婚丧嫁娶、出国考察、旅游、攻读学历学位等方面提供资助；</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（4）不得参加或提供可能影响合作业务公平、公正的娱乐、宴请、健身等活动；</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（5）不得报销或为对方报销应由个人支付的费用。</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2、乙方人员若有违反第1条规定的行为，或者存在其它违反商业道德与市场规则的情况,甲方有义务向对方监察或相应部门举报。</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3、甲方人员有违反第1条规定的行为，或者存在其它索贿、受贿行为或者徇私舞弊、滥用职权、严重渎职等情况时，乙方有义务向对方监察或相应部门举报。</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4、双方及相关人员违反上述规定及其他廉洁诚信准则的，愿意接受党纪政纪及法律惩处。</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5、本保证及承诺的有效期与对应的合同或交易事项相同。</w:t>
      </w: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6、本廉洁承诺约定作为双方签订的合同附件，具有同等法律效力。</w:t>
      </w:r>
    </w:p>
    <w:p>
      <w:pPr>
        <w:spacing w:line="300" w:lineRule="auto"/>
        <w:rPr>
          <w:rFonts w:ascii="宋体" w:hAnsi="宋体" w:cs="宋体"/>
          <w:color w:val="auto"/>
          <w:sz w:val="24"/>
          <w:highlight w:val="none"/>
        </w:rPr>
      </w:pPr>
    </w:p>
    <w:p>
      <w:pPr>
        <w:pStyle w:val="96"/>
        <w:rPr>
          <w:color w:val="auto"/>
          <w:sz w:val="24"/>
          <w:szCs w:val="24"/>
          <w:highlight w:val="none"/>
        </w:rPr>
      </w:pPr>
    </w:p>
    <w:p>
      <w:pPr>
        <w:spacing w:line="30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台州市公安局交通警察局举报渠道：   合作方举报渠道：</w:t>
      </w:r>
    </w:p>
    <w:p>
      <w:pPr>
        <w:pStyle w:val="13"/>
        <w:spacing w:line="30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电话：12389                        电话：</w:t>
      </w:r>
    </w:p>
    <w:p>
      <w:pPr>
        <w:spacing w:line="360" w:lineRule="auto"/>
        <w:jc w:val="left"/>
        <w:rPr>
          <w:rFonts w:asciiTheme="majorEastAsia" w:hAnsiTheme="majorEastAsia" w:eastAsiaTheme="majorEastAsia"/>
          <w:color w:val="auto"/>
          <w:sz w:val="28"/>
          <w:szCs w:val="28"/>
          <w:highlight w:val="none"/>
        </w:rPr>
        <w:sectPr>
          <w:pgSz w:w="11906" w:h="16838"/>
          <w:pgMar w:top="1440" w:right="1800" w:bottom="1440" w:left="1800" w:header="851" w:footer="992" w:gutter="0"/>
          <w:pgNumType w:fmt="numberInDash"/>
          <w:cols w:space="425" w:num="1"/>
          <w:docGrid w:type="lines" w:linePitch="312" w:charSpace="0"/>
        </w:sectPr>
      </w:pPr>
    </w:p>
    <w:p>
      <w:pPr>
        <w:numPr>
          <w:ilvl w:val="0"/>
          <w:numId w:val="4"/>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投标文件格式附件</w:t>
      </w:r>
    </w:p>
    <w:p>
      <w:pPr>
        <w:spacing w:line="360" w:lineRule="auto"/>
        <w:rPr>
          <w:rFonts w:ascii="宋体" w:hAnsi="宋体"/>
          <w:b/>
          <w:color w:val="auto"/>
          <w:kern w:val="0"/>
          <w:sz w:val="28"/>
          <w:szCs w:val="28"/>
          <w:highlight w:val="none"/>
        </w:rPr>
      </w:pPr>
    </w:p>
    <w:p>
      <w:pPr>
        <w:snapToGrid w:val="0"/>
        <w:spacing w:before="50" w:after="50" w:line="360" w:lineRule="auto"/>
        <w:rPr>
          <w:rFonts w:ascii="仿宋_GB2312" w:hAnsi="宋体" w:eastAsia="仿宋_GB2312"/>
          <w:b/>
          <w:color w:val="auto"/>
          <w:sz w:val="36"/>
          <w:szCs w:val="36"/>
          <w:highlight w:val="none"/>
        </w:rPr>
      </w:pPr>
    </w:p>
    <w:p>
      <w:pPr>
        <w:snapToGrid w:val="0"/>
        <w:spacing w:before="50" w:after="50" w:line="360" w:lineRule="auto"/>
        <w:jc w:val="center"/>
        <w:rPr>
          <w:rFonts w:ascii="宋体" w:hAnsi="宋体"/>
          <w:b/>
          <w:bCs/>
          <w:color w:val="auto"/>
          <w:sz w:val="36"/>
          <w:szCs w:val="36"/>
          <w:highlight w:val="none"/>
        </w:rPr>
      </w:pPr>
      <w:r>
        <w:rPr>
          <w:rFonts w:hint="eastAsia" w:ascii="宋体" w:hAnsi="宋体"/>
          <w:b/>
          <w:bCs/>
          <w:color w:val="auto"/>
          <w:sz w:val="36"/>
          <w:szCs w:val="36"/>
          <w:highlight w:val="none"/>
        </w:rPr>
        <w:t>资格证明文件目录</w:t>
      </w:r>
    </w:p>
    <w:p>
      <w:pPr>
        <w:snapToGrid w:val="0"/>
        <w:spacing w:before="50" w:after="50" w:line="360" w:lineRule="auto"/>
        <w:jc w:val="center"/>
        <w:rPr>
          <w:rFonts w:ascii="仿宋_GB2312" w:hAnsi="宋体" w:eastAsia="仿宋_GB2312"/>
          <w:b/>
          <w:bCs/>
          <w:color w:val="auto"/>
          <w:sz w:val="36"/>
          <w:szCs w:val="36"/>
          <w:highlight w:val="none"/>
        </w:rPr>
      </w:pPr>
    </w:p>
    <w:p>
      <w:pPr>
        <w:numPr>
          <w:ilvl w:val="0"/>
          <w:numId w:val="16"/>
        </w:numPr>
        <w:snapToGrid w:val="0"/>
        <w:spacing w:line="360" w:lineRule="auto"/>
        <w:ind w:firstLine="549"/>
        <w:rPr>
          <w:rFonts w:ascii="宋体" w:hAnsi="宋体"/>
          <w:color w:val="auto"/>
          <w:sz w:val="28"/>
          <w:szCs w:val="28"/>
          <w:highlight w:val="none"/>
        </w:rPr>
      </w:pPr>
      <w:r>
        <w:rPr>
          <w:rFonts w:hint="eastAsia" w:ascii="宋体" w:hAnsi="宋体"/>
          <w:color w:val="auto"/>
          <w:sz w:val="28"/>
          <w:szCs w:val="28"/>
          <w:highlight w:val="none"/>
        </w:rPr>
        <w:t>声明书（附件</w:t>
      </w:r>
      <w:r>
        <w:rPr>
          <w:rFonts w:ascii="宋体" w:hAnsi="宋体"/>
          <w:color w:val="auto"/>
          <w:sz w:val="28"/>
          <w:szCs w:val="28"/>
          <w:highlight w:val="none"/>
        </w:rPr>
        <w:t>1</w:t>
      </w:r>
      <w:r>
        <w:rPr>
          <w:rFonts w:hint="eastAsia" w:ascii="宋体" w:hAnsi="宋体"/>
          <w:color w:val="auto"/>
          <w:sz w:val="28"/>
          <w:szCs w:val="28"/>
          <w:highlight w:val="none"/>
        </w:rPr>
        <w:t>）</w:t>
      </w:r>
    </w:p>
    <w:p>
      <w:pPr>
        <w:numPr>
          <w:ilvl w:val="0"/>
          <w:numId w:val="16"/>
        </w:numPr>
        <w:snapToGrid w:val="0"/>
        <w:spacing w:line="360" w:lineRule="auto"/>
        <w:ind w:firstLine="549"/>
        <w:rPr>
          <w:rFonts w:ascii="宋体" w:hAnsi="宋体"/>
          <w:color w:val="auto"/>
          <w:kern w:val="0"/>
          <w:sz w:val="28"/>
          <w:szCs w:val="28"/>
          <w:highlight w:val="none"/>
        </w:rPr>
      </w:pPr>
      <w:r>
        <w:rPr>
          <w:bCs/>
          <w:color w:val="auto"/>
          <w:sz w:val="28"/>
          <w:szCs w:val="28"/>
          <w:highlight w:val="none"/>
        </w:rPr>
        <w:t>授权</w:t>
      </w:r>
      <w:r>
        <w:rPr>
          <w:rFonts w:hint="eastAsia"/>
          <w:bCs/>
          <w:color w:val="auto"/>
          <w:sz w:val="28"/>
          <w:szCs w:val="28"/>
          <w:highlight w:val="none"/>
        </w:rPr>
        <w:t>委托</w:t>
      </w:r>
      <w:r>
        <w:rPr>
          <w:bCs/>
          <w:color w:val="auto"/>
          <w:sz w:val="28"/>
          <w:szCs w:val="28"/>
          <w:highlight w:val="none"/>
        </w:rPr>
        <w:t>书</w:t>
      </w:r>
      <w:r>
        <w:rPr>
          <w:rFonts w:hint="eastAsia" w:ascii="宋体" w:hAnsi="宋体"/>
          <w:bCs/>
          <w:color w:val="auto"/>
          <w:sz w:val="28"/>
          <w:szCs w:val="28"/>
          <w:highlight w:val="none"/>
        </w:rPr>
        <w:t>（附件</w:t>
      </w:r>
      <w:r>
        <w:rPr>
          <w:rFonts w:ascii="宋体" w:hAnsi="宋体"/>
          <w:bCs/>
          <w:color w:val="auto"/>
          <w:sz w:val="28"/>
          <w:szCs w:val="28"/>
          <w:highlight w:val="none"/>
        </w:rPr>
        <w:t>2</w:t>
      </w:r>
      <w:r>
        <w:rPr>
          <w:rFonts w:hint="eastAsia" w:ascii="宋体" w:hAnsi="宋体"/>
          <w:bCs/>
          <w:color w:val="auto"/>
          <w:sz w:val="28"/>
          <w:szCs w:val="28"/>
          <w:highlight w:val="none"/>
        </w:rPr>
        <w:t>）</w:t>
      </w:r>
    </w:p>
    <w:p>
      <w:pPr>
        <w:numPr>
          <w:ilvl w:val="0"/>
          <w:numId w:val="16"/>
        </w:numPr>
        <w:snapToGrid w:val="0"/>
        <w:spacing w:line="360" w:lineRule="auto"/>
        <w:ind w:firstLine="549"/>
        <w:rPr>
          <w:bCs/>
          <w:color w:val="auto"/>
          <w:sz w:val="28"/>
          <w:szCs w:val="28"/>
          <w:highlight w:val="none"/>
        </w:rPr>
      </w:pPr>
      <w:r>
        <w:rPr>
          <w:color w:val="auto"/>
          <w:sz w:val="28"/>
          <w:szCs w:val="28"/>
          <w:highlight w:val="none"/>
        </w:rPr>
        <w:t>法人或者其他组织的营业执照等证明文件，自然人的身份证明</w:t>
      </w:r>
      <w:r>
        <w:rPr>
          <w:rFonts w:hint="eastAsia"/>
          <w:color w:val="auto"/>
          <w:sz w:val="28"/>
          <w:szCs w:val="28"/>
          <w:highlight w:val="none"/>
        </w:rPr>
        <w:t>；</w:t>
      </w:r>
    </w:p>
    <w:p>
      <w:pPr>
        <w:numPr>
          <w:ilvl w:val="0"/>
          <w:numId w:val="16"/>
        </w:numPr>
        <w:snapToGrid w:val="0"/>
        <w:spacing w:line="360" w:lineRule="auto"/>
        <w:ind w:firstLine="549"/>
        <w:rPr>
          <w:rFonts w:ascii="宋体" w:hAnsi="宋体"/>
          <w:color w:val="auto"/>
          <w:sz w:val="28"/>
          <w:szCs w:val="28"/>
          <w:highlight w:val="none"/>
        </w:rPr>
      </w:pPr>
      <w:r>
        <w:rPr>
          <w:rFonts w:hint="eastAsia" w:ascii="宋体" w:hAnsi="宋体"/>
          <w:color w:val="auto"/>
          <w:sz w:val="28"/>
          <w:szCs w:val="28"/>
          <w:highlight w:val="none"/>
        </w:rPr>
        <w:t xml:space="preserve"> 中小企业声明函（附件12）</w:t>
      </w:r>
    </w:p>
    <w:p>
      <w:pPr>
        <w:numPr>
          <w:ilvl w:val="0"/>
          <w:numId w:val="16"/>
        </w:numPr>
        <w:snapToGrid w:val="0"/>
        <w:spacing w:line="360" w:lineRule="auto"/>
        <w:ind w:firstLine="549"/>
        <w:rPr>
          <w:bCs/>
          <w:color w:val="auto"/>
          <w:sz w:val="28"/>
          <w:szCs w:val="28"/>
          <w:highlight w:val="none"/>
        </w:rPr>
      </w:pPr>
      <w:r>
        <w:rPr>
          <w:rFonts w:hint="eastAsia" w:ascii="宋体" w:hAnsi="宋体"/>
          <w:color w:val="auto"/>
          <w:sz w:val="28"/>
          <w:szCs w:val="28"/>
          <w:highlight w:val="none"/>
        </w:rPr>
        <w:t>公路交通工程专业承包（交通安全设施分项）二级及以上资质证书。</w:t>
      </w:r>
      <w:r>
        <w:rPr>
          <w:rFonts w:hint="eastAsia"/>
          <w:bCs/>
          <w:color w:val="auto"/>
          <w:sz w:val="28"/>
          <w:szCs w:val="28"/>
          <w:highlight w:val="none"/>
        </w:rPr>
        <w:br w:type="page"/>
      </w:r>
    </w:p>
    <w:p>
      <w:pPr>
        <w:spacing w:line="360" w:lineRule="auto"/>
        <w:rPr>
          <w:rFonts w:ascii="宋体" w:hAnsi="宋体"/>
          <w:b/>
          <w:color w:val="auto"/>
          <w:sz w:val="28"/>
          <w:highlight w:val="none"/>
        </w:rPr>
      </w:pPr>
      <w:r>
        <w:rPr>
          <w:rFonts w:hint="eastAsia" w:ascii="宋体" w:hAnsi="宋体"/>
          <w:b/>
          <w:color w:val="auto"/>
          <w:sz w:val="28"/>
          <w:highlight w:val="none"/>
        </w:rPr>
        <w:t>附件</w:t>
      </w:r>
      <w:r>
        <w:rPr>
          <w:rFonts w:ascii="宋体" w:hAnsi="宋体"/>
          <w:b/>
          <w:color w:val="auto"/>
          <w:sz w:val="28"/>
          <w:highlight w:val="none"/>
        </w:rPr>
        <w:t>1</w:t>
      </w:r>
    </w:p>
    <w:p>
      <w:pPr>
        <w:adjustRightInd w:val="0"/>
        <w:snapToGrid w:val="0"/>
        <w:spacing w:line="360" w:lineRule="auto"/>
        <w:ind w:right="480"/>
        <w:jc w:val="center"/>
        <w:rPr>
          <w:rFonts w:ascii="宋体" w:hAnsi="宋体"/>
          <w:b/>
          <w:color w:val="auto"/>
          <w:kern w:val="0"/>
          <w:sz w:val="32"/>
          <w:szCs w:val="32"/>
          <w:highlight w:val="none"/>
          <w:lang w:val="zh-CN"/>
        </w:rPr>
      </w:pPr>
      <w:r>
        <w:rPr>
          <w:rFonts w:hint="eastAsia" w:ascii="宋体" w:hAnsi="宋体"/>
          <w:b/>
          <w:color w:val="auto"/>
          <w:kern w:val="0"/>
          <w:sz w:val="32"/>
          <w:szCs w:val="32"/>
          <w:highlight w:val="none"/>
          <w:lang w:val="zh-CN"/>
        </w:rPr>
        <w:t>投标声明书</w:t>
      </w:r>
    </w:p>
    <w:p>
      <w:pPr>
        <w:snapToGrid w:val="0"/>
        <w:spacing w:before="156" w:beforeLines="50" w:after="50" w:line="360" w:lineRule="exact"/>
        <w:rPr>
          <w:rFonts w:ascii="宋体" w:hAnsi="宋体" w:cs="宋体"/>
          <w:color w:val="auto"/>
          <w:kern w:val="0"/>
          <w:sz w:val="24"/>
          <w:highlight w:val="none"/>
        </w:rPr>
      </w:pPr>
      <w:r>
        <w:rPr>
          <w:rFonts w:hint="eastAsia" w:ascii="宋体" w:hAnsi="宋体" w:cstheme="minorBidi"/>
          <w:color w:val="auto"/>
          <w:sz w:val="24"/>
          <w:highlight w:val="none"/>
          <w:u w:val="single"/>
        </w:rPr>
        <w:t>浙江百和工程咨询有限公司</w:t>
      </w:r>
      <w:r>
        <w:rPr>
          <w:rFonts w:hint="eastAsia" w:ascii="宋体" w:hAnsi="宋体" w:cs="宋体"/>
          <w:color w:val="auto"/>
          <w:kern w:val="0"/>
          <w:sz w:val="24"/>
          <w:highlight w:val="none"/>
        </w:rPr>
        <w:t>：</w:t>
      </w:r>
    </w:p>
    <w:p>
      <w:pPr>
        <w:snapToGrid w:val="0"/>
        <w:spacing w:before="156" w:beforeLines="50" w:after="50" w:line="3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（投标人名称）系中华人民共和国合法企业，经营地址。</w:t>
      </w:r>
    </w:p>
    <w:p>
      <w:pPr>
        <w:snapToGrid w:val="0"/>
        <w:spacing w:before="156" w:beforeLines="50" w:after="50" w:line="3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）的法定代表人，我公司自愿参加贵方组织的（</w:t>
      </w:r>
      <w:r>
        <w:rPr>
          <w:rFonts w:hint="eastAsia" w:ascii="宋体" w:hAnsi="宋体" w:cs="宋体"/>
          <w:color w:val="auto"/>
          <w:kern w:val="0"/>
          <w:sz w:val="24"/>
          <w:highlight w:val="none"/>
          <w:u w:val="single"/>
        </w:rPr>
        <w:t>招标项目名称</w:t>
      </w:r>
      <w:r>
        <w:rPr>
          <w:rFonts w:hint="eastAsia" w:ascii="宋体" w:hAnsi="宋体" w:cs="宋体"/>
          <w:color w:val="auto"/>
          <w:kern w:val="0"/>
          <w:sz w:val="24"/>
          <w:highlight w:val="none"/>
        </w:rPr>
        <w:t>）（编号为）的投标，为此，我公司就本次投标有关事项郑重声明如下：</w:t>
      </w:r>
    </w:p>
    <w:p>
      <w:pPr>
        <w:snapToGrid w:val="0"/>
        <w:spacing w:before="156" w:beforeLines="50" w:after="50" w:line="360" w:lineRule="exact"/>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1、</w:t>
      </w:r>
      <w:r>
        <w:rPr>
          <w:rFonts w:hint="eastAsia" w:ascii="Arial" w:hAnsi="Arial" w:cs="Arial"/>
          <w:color w:val="auto"/>
          <w:sz w:val="24"/>
          <w:highlight w:val="none"/>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156" w:beforeLines="50" w:after="50" w:line="3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2、我公司</w:t>
      </w:r>
      <w:r>
        <w:rPr>
          <w:rFonts w:ascii="宋体" w:hAnsi="宋体" w:cs="宋体"/>
          <w:color w:val="auto"/>
          <w:kern w:val="0"/>
          <w:sz w:val="24"/>
          <w:highlight w:val="none"/>
        </w:rPr>
        <w:t>在参与投标前已</w:t>
      </w:r>
      <w:r>
        <w:rPr>
          <w:rFonts w:hint="eastAsia" w:ascii="宋体" w:hAnsi="宋体" w:cs="宋体"/>
          <w:color w:val="auto"/>
          <w:kern w:val="0"/>
          <w:sz w:val="24"/>
          <w:highlight w:val="none"/>
        </w:rPr>
        <w:t>详细审查</w:t>
      </w:r>
      <w:r>
        <w:rPr>
          <w:rFonts w:ascii="宋体" w:hAnsi="宋体" w:cs="宋体"/>
          <w:color w:val="auto"/>
          <w:kern w:val="0"/>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kern w:val="0"/>
          <w:sz w:val="24"/>
          <w:highlight w:val="none"/>
        </w:rPr>
        <w:t>利。</w:t>
      </w:r>
    </w:p>
    <w:p>
      <w:pPr>
        <w:numPr>
          <w:ilvl w:val="255"/>
          <w:numId w:val="0"/>
        </w:numPr>
        <w:snapToGrid w:val="0"/>
        <w:spacing w:before="156" w:beforeLines="50" w:after="50" w:line="360" w:lineRule="exact"/>
        <w:ind w:firstLine="480" w:firstLineChars="200"/>
        <w:rPr>
          <w:rFonts w:ascii="宋体" w:hAnsi="宋体"/>
          <w:color w:val="auto"/>
          <w:sz w:val="24"/>
          <w:highlight w:val="none"/>
        </w:rPr>
      </w:pPr>
      <w:r>
        <w:rPr>
          <w:rFonts w:hint="eastAsia" w:ascii="宋体" w:hAnsi="宋体"/>
          <w:color w:val="auto"/>
          <w:sz w:val="24"/>
          <w:highlight w:val="none"/>
        </w:rPr>
        <w:t>3、我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不是采购人的附属机构；在获知本项目采购信息后，与采购人聘请的为此项目提供咨询服务的公司及其附属机构没有任何联系。</w:t>
      </w:r>
    </w:p>
    <w:p>
      <w:pPr>
        <w:snapToGrid w:val="0"/>
        <w:spacing w:before="156" w:beforeLines="50" w:after="50" w:line="360" w:lineRule="exact"/>
        <w:ind w:firstLine="480" w:firstLineChars="200"/>
        <w:rPr>
          <w:rFonts w:ascii="宋体" w:hAnsi="宋体"/>
          <w:color w:val="auto"/>
          <w:kern w:val="0"/>
          <w:sz w:val="24"/>
          <w:highlight w:val="none"/>
          <w:lang w:val="af-ZA"/>
        </w:rPr>
      </w:pPr>
      <w:r>
        <w:rPr>
          <w:rFonts w:hint="eastAsia" w:ascii="宋体" w:hAnsi="宋体"/>
          <w:color w:val="auto"/>
          <w:sz w:val="24"/>
          <w:highlight w:val="none"/>
        </w:rPr>
        <w:t>4、</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pPr>
        <w:snapToGrid w:val="0"/>
        <w:spacing w:before="156" w:beforeLines="50" w:after="50" w:line="360" w:lineRule="exact"/>
        <w:ind w:firstLine="480" w:firstLineChars="200"/>
        <w:rPr>
          <w:rFonts w:ascii="仿宋_GB2312" w:hAnsi="仿宋_GB2312" w:eastAsia="仿宋_GB2312" w:cs="仿宋_GB2312"/>
          <w:color w:val="auto"/>
          <w:sz w:val="24"/>
          <w:highlight w:val="none"/>
        </w:rPr>
      </w:pPr>
      <w:r>
        <w:rPr>
          <w:rFonts w:hint="eastAsia" w:ascii="宋体" w:hAnsi="宋体" w:cs="宋体"/>
          <w:color w:val="auto"/>
          <w:kern w:val="0"/>
          <w:sz w:val="24"/>
          <w:highlight w:val="none"/>
          <w:lang w:val="af-ZA"/>
        </w:rPr>
        <w:t>5、我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严格履行政府采购合同，不降低合同约定的产品质量和服务，不擅自变更、中止、终止合同，或拒绝履行合同义务；</w:t>
      </w:r>
    </w:p>
    <w:p>
      <w:pPr>
        <w:snapToGrid w:val="0"/>
        <w:spacing w:before="156" w:beforeLines="50" w:after="50" w:line="360" w:lineRule="exact"/>
        <w:ind w:firstLine="480" w:firstLineChars="200"/>
        <w:rPr>
          <w:rFonts w:ascii="宋体" w:hAnsi="宋体"/>
          <w:color w:val="auto"/>
          <w:sz w:val="24"/>
          <w:highlight w:val="none"/>
        </w:rPr>
      </w:pPr>
      <w:r>
        <w:rPr>
          <w:rFonts w:hint="eastAsia" w:ascii="宋体" w:hAnsi="宋体"/>
          <w:color w:val="auto"/>
          <w:sz w:val="24"/>
          <w:highlight w:val="none"/>
        </w:rPr>
        <w:t>6、以上事项如有虚假或隐瞒，我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pPr>
        <w:adjustRightInd w:val="0"/>
        <w:snapToGrid w:val="0"/>
        <w:spacing w:line="360" w:lineRule="exact"/>
        <w:ind w:firstLine="480"/>
        <w:rPr>
          <w:rFonts w:ascii="宋体" w:hAnsi="宋体" w:cs="仿宋_GB2312"/>
          <w:color w:val="auto"/>
          <w:kern w:val="0"/>
          <w:sz w:val="24"/>
          <w:highlight w:val="none"/>
        </w:rPr>
      </w:pPr>
    </w:p>
    <w:p>
      <w:pPr>
        <w:adjustRightInd w:val="0"/>
        <w:snapToGrid w:val="0"/>
        <w:spacing w:line="360" w:lineRule="exact"/>
        <w:ind w:firstLine="4680" w:firstLineChars="19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投标人名称(公章)：</w:t>
      </w:r>
    </w:p>
    <w:p>
      <w:pPr>
        <w:adjustRightInd w:val="0"/>
        <w:snapToGrid w:val="0"/>
        <w:spacing w:line="360" w:lineRule="exact"/>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法定代表人或授权委托人(签章或签字)：</w:t>
      </w:r>
    </w:p>
    <w:p>
      <w:pPr>
        <w:adjustRightInd w:val="0"/>
        <w:snapToGrid w:val="0"/>
        <w:spacing w:line="360" w:lineRule="exact"/>
        <w:ind w:right="480"/>
        <w:jc w:val="center"/>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日期：</w:t>
      </w:r>
      <w:r>
        <w:rPr>
          <w:rFonts w:hint="eastAsia" w:ascii="宋体" w:hAnsi="宋体" w:cstheme="minorBidi"/>
          <w:color w:val="auto"/>
          <w:sz w:val="24"/>
          <w:highlight w:val="none"/>
        </w:rPr>
        <w:t>××</w:t>
      </w:r>
      <w:r>
        <w:rPr>
          <w:rFonts w:hint="eastAsia" w:ascii="宋体" w:hAnsi="宋体" w:cs="仿宋_GB2312"/>
          <w:color w:val="auto"/>
          <w:kern w:val="0"/>
          <w:sz w:val="24"/>
          <w:highlight w:val="none"/>
          <w:lang w:val="zh-CN"/>
        </w:rPr>
        <w:t xml:space="preserve">年 </w:t>
      </w:r>
      <w:r>
        <w:rPr>
          <w:rFonts w:hint="eastAsia" w:ascii="宋体" w:hAnsi="宋体" w:cstheme="minorBidi"/>
          <w:color w:val="auto"/>
          <w:sz w:val="24"/>
          <w:highlight w:val="none"/>
        </w:rPr>
        <w:t>××</w:t>
      </w:r>
      <w:r>
        <w:rPr>
          <w:rFonts w:hint="eastAsia" w:ascii="宋体" w:hAnsi="宋体" w:cs="仿宋_GB2312"/>
          <w:color w:val="auto"/>
          <w:kern w:val="0"/>
          <w:sz w:val="24"/>
          <w:highlight w:val="none"/>
          <w:lang w:val="zh-CN"/>
        </w:rPr>
        <w:t xml:space="preserve"> 月 </w:t>
      </w:r>
      <w:r>
        <w:rPr>
          <w:rFonts w:hint="eastAsia" w:ascii="宋体" w:hAnsi="宋体" w:cstheme="minorBidi"/>
          <w:color w:val="auto"/>
          <w:sz w:val="24"/>
          <w:highlight w:val="none"/>
        </w:rPr>
        <w:t>××</w:t>
      </w:r>
      <w:r>
        <w:rPr>
          <w:rFonts w:hint="eastAsia" w:ascii="宋体" w:hAnsi="宋体" w:cs="仿宋_GB2312"/>
          <w:color w:val="auto"/>
          <w:kern w:val="0"/>
          <w:sz w:val="24"/>
          <w:highlight w:val="none"/>
          <w:lang w:val="zh-CN"/>
        </w:rPr>
        <w:t xml:space="preserve"> 日</w:t>
      </w:r>
    </w:p>
    <w:p>
      <w:pPr>
        <w:adjustRightInd w:val="0"/>
        <w:snapToGrid w:val="0"/>
        <w:spacing w:line="360" w:lineRule="auto"/>
        <w:ind w:right="480"/>
        <w:rPr>
          <w:rFonts w:ascii="宋体" w:hAnsi="宋体"/>
          <w:b/>
          <w:color w:val="auto"/>
          <w:sz w:val="28"/>
          <w:highlight w:val="none"/>
        </w:rPr>
      </w:pPr>
    </w:p>
    <w:p>
      <w:pPr>
        <w:adjustRightInd w:val="0"/>
        <w:snapToGrid w:val="0"/>
        <w:spacing w:line="360" w:lineRule="auto"/>
        <w:ind w:right="480"/>
        <w:rPr>
          <w:rFonts w:ascii="宋体" w:hAnsi="宋体"/>
          <w:b/>
          <w:color w:val="auto"/>
          <w:sz w:val="28"/>
          <w:highlight w:val="none"/>
        </w:rPr>
      </w:pPr>
    </w:p>
    <w:p>
      <w:pPr>
        <w:adjustRightInd w:val="0"/>
        <w:snapToGrid w:val="0"/>
        <w:spacing w:line="360" w:lineRule="auto"/>
        <w:ind w:right="480"/>
        <w:rPr>
          <w:rFonts w:ascii="宋体" w:hAnsi="宋体"/>
          <w:b/>
          <w:color w:val="auto"/>
          <w:sz w:val="28"/>
          <w:highlight w:val="none"/>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360" w:lineRule="auto"/>
        <w:ind w:right="480"/>
        <w:rPr>
          <w:rFonts w:ascii="宋体"/>
          <w:b/>
          <w:color w:val="auto"/>
          <w:sz w:val="30"/>
          <w:szCs w:val="30"/>
          <w:highlight w:val="none"/>
        </w:rPr>
      </w:pPr>
      <w:r>
        <w:rPr>
          <w:rFonts w:hint="eastAsia" w:ascii="宋体" w:hAnsi="宋体"/>
          <w:b/>
          <w:color w:val="auto"/>
          <w:sz w:val="28"/>
          <w:highlight w:val="none"/>
        </w:rPr>
        <w:t>附件</w:t>
      </w:r>
      <w:r>
        <w:rPr>
          <w:rFonts w:ascii="宋体" w:hAnsi="宋体"/>
          <w:b/>
          <w:color w:val="auto"/>
          <w:sz w:val="28"/>
          <w:highlight w:val="none"/>
        </w:rPr>
        <w:t>2</w:t>
      </w:r>
    </w:p>
    <w:p>
      <w:pPr>
        <w:spacing w:line="360" w:lineRule="auto"/>
        <w:ind w:firstLine="321" w:firstLineChars="100"/>
        <w:jc w:val="center"/>
        <w:rPr>
          <w:rFonts w:hAnsi="宋体"/>
          <w:b/>
          <w:color w:val="auto"/>
          <w:sz w:val="32"/>
          <w:szCs w:val="32"/>
          <w:highlight w:val="none"/>
          <w:u w:val="single"/>
        </w:rPr>
      </w:pPr>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p>
    <w:p>
      <w:pPr>
        <w:snapToGrid w:val="0"/>
        <w:spacing w:before="156" w:beforeLines="50" w:after="50" w:line="360" w:lineRule="auto"/>
        <w:rPr>
          <w:rFonts w:ascii="宋体" w:hAnsi="宋体" w:cs="宋体"/>
          <w:color w:val="auto"/>
          <w:kern w:val="0"/>
          <w:sz w:val="24"/>
          <w:highlight w:val="none"/>
        </w:rPr>
      </w:pPr>
      <w:r>
        <w:rPr>
          <w:rFonts w:hint="eastAsia" w:ascii="宋体" w:hAnsi="宋体" w:cstheme="minorBidi"/>
          <w:color w:val="auto"/>
          <w:sz w:val="24"/>
          <w:highlight w:val="none"/>
          <w:u w:val="single"/>
        </w:rPr>
        <w:t>浙江百和工程咨询有限公司</w:t>
      </w:r>
      <w:r>
        <w:rPr>
          <w:rFonts w:hint="eastAsia" w:ascii="宋体" w:hAnsi="宋体" w:cs="宋体"/>
          <w:color w:val="auto"/>
          <w:kern w:val="0"/>
          <w:sz w:val="24"/>
          <w:highlight w:val="none"/>
        </w:rPr>
        <w:t>：</w:t>
      </w:r>
    </w:p>
    <w:p>
      <w:pPr>
        <w:pStyle w:val="22"/>
        <w:spacing w:line="360" w:lineRule="auto"/>
        <w:ind w:left="240" w:hanging="240" w:hangingChars="100"/>
        <w:rPr>
          <w:rFonts w:hAnsi="宋体"/>
          <w:color w:val="auto"/>
          <w:sz w:val="24"/>
          <w:highlight w:val="none"/>
        </w:rPr>
      </w:pPr>
      <w:r>
        <w:rPr>
          <w:rFonts w:hAnsi="宋体"/>
          <w:color w:val="auto"/>
          <w:sz w:val="24"/>
          <w:highlight w:val="none"/>
          <w:u w:val="single"/>
        </w:rPr>
        <w:t xml:space="preserve">  （投标人全称）  </w:t>
      </w:r>
      <w:r>
        <w:rPr>
          <w:rFonts w:hAnsi="宋体"/>
          <w:color w:val="auto"/>
          <w:sz w:val="24"/>
          <w:highlight w:val="none"/>
        </w:rPr>
        <w:t>法定代表人</w:t>
      </w:r>
      <w:r>
        <w:rPr>
          <w:rFonts w:hint="eastAsia" w:ascii="Arial" w:hAnsi="Arial" w:cs="Arial"/>
          <w:color w:val="auto"/>
          <w:sz w:val="24"/>
          <w:highlight w:val="none"/>
        </w:rPr>
        <w:t>（或营业执照中单位负责人）</w:t>
      </w:r>
      <w:r>
        <w:rPr>
          <w:rFonts w:hAnsi="宋体"/>
          <w:color w:val="auto"/>
          <w:sz w:val="24"/>
          <w:highlight w:val="none"/>
          <w:u w:val="single"/>
        </w:rPr>
        <w:tab/>
      </w:r>
      <w:r>
        <w:rPr>
          <w:rFonts w:hAnsi="宋体"/>
          <w:color w:val="auto"/>
          <w:sz w:val="24"/>
          <w:highlight w:val="none"/>
          <w:u w:val="single"/>
        </w:rPr>
        <w:t>（法定代表</w:t>
      </w:r>
      <w:r>
        <w:rPr>
          <w:rFonts w:hint="eastAsia" w:hAnsi="宋体"/>
          <w:color w:val="auto"/>
          <w:sz w:val="24"/>
          <w:highlight w:val="none"/>
          <w:u w:val="single"/>
        </w:rPr>
        <w:t>人</w:t>
      </w:r>
      <w:r>
        <w:rPr>
          <w:rFonts w:hint="eastAsia" w:ascii="Arial" w:hAnsi="Arial" w:cs="Arial"/>
          <w:color w:val="auto"/>
          <w:sz w:val="24"/>
          <w:highlight w:val="none"/>
          <w:u w:val="single"/>
        </w:rPr>
        <w:t>或营业执照中单位负责人</w:t>
      </w:r>
      <w:r>
        <w:rPr>
          <w:rFonts w:hAnsi="宋体"/>
          <w:color w:val="auto"/>
          <w:sz w:val="24"/>
          <w:highlight w:val="none"/>
          <w:u w:val="single"/>
        </w:rPr>
        <w:t xml:space="preserve">姓名） </w:t>
      </w:r>
      <w:r>
        <w:rPr>
          <w:rFonts w:hAnsi="宋体"/>
          <w:color w:val="auto"/>
          <w:sz w:val="24"/>
          <w:highlight w:val="none"/>
        </w:rPr>
        <w:t>授权</w:t>
      </w:r>
      <w:r>
        <w:rPr>
          <w:rFonts w:hint="eastAsia" w:hAnsi="宋体"/>
          <w:color w:val="auto"/>
          <w:sz w:val="24"/>
          <w:highlight w:val="none"/>
          <w:u w:val="single"/>
        </w:rPr>
        <w:t xml:space="preserve">   （全权代表</w:t>
      </w:r>
      <w:r>
        <w:rPr>
          <w:rFonts w:hAnsi="宋体"/>
          <w:color w:val="auto"/>
          <w:sz w:val="24"/>
          <w:highlight w:val="none"/>
          <w:u w:val="single"/>
        </w:rPr>
        <w:t>姓名</w:t>
      </w:r>
      <w:r>
        <w:rPr>
          <w:rFonts w:hint="eastAsia" w:hAnsi="宋体"/>
          <w:color w:val="auto"/>
          <w:sz w:val="24"/>
          <w:highlight w:val="none"/>
          <w:u w:val="single"/>
        </w:rPr>
        <w:t xml:space="preserve">） </w:t>
      </w:r>
      <w:r>
        <w:rPr>
          <w:rFonts w:hAnsi="宋体"/>
          <w:color w:val="auto"/>
          <w:sz w:val="24"/>
          <w:highlight w:val="none"/>
        </w:rPr>
        <w:t>为</w:t>
      </w:r>
      <w:r>
        <w:rPr>
          <w:rFonts w:hint="eastAsia" w:hAnsi="宋体"/>
          <w:color w:val="auto"/>
          <w:sz w:val="24"/>
          <w:highlight w:val="none"/>
        </w:rPr>
        <w:t>全权代表</w:t>
      </w:r>
      <w:r>
        <w:rPr>
          <w:rFonts w:hAnsi="宋体"/>
          <w:color w:val="auto"/>
          <w:sz w:val="24"/>
          <w:highlight w:val="none"/>
        </w:rPr>
        <w:t>，参加贵单位组织的</w:t>
      </w:r>
      <w:r>
        <w:rPr>
          <w:rFonts w:hAnsi="宋体"/>
          <w:color w:val="auto"/>
          <w:sz w:val="24"/>
          <w:highlight w:val="none"/>
          <w:u w:val="single"/>
        </w:rPr>
        <w:tab/>
      </w:r>
      <w:r>
        <w:rPr>
          <w:rFonts w:hint="eastAsia" w:hAnsi="宋体"/>
          <w:color w:val="auto"/>
          <w:sz w:val="24"/>
          <w:highlight w:val="none"/>
          <w:u w:val="single"/>
        </w:rPr>
        <w:t xml:space="preserve">            </w:t>
      </w:r>
      <w:r>
        <w:rPr>
          <w:rFonts w:hAnsi="宋体"/>
          <w:color w:val="auto"/>
          <w:sz w:val="24"/>
          <w:highlight w:val="none"/>
        </w:rPr>
        <w:t>项目的采购活动，并代表我方全权办理针对上述项目的投标、开标、评标、签约等具体事务和签署相关文件。</w:t>
      </w:r>
      <w:r>
        <w:rPr>
          <w:rFonts w:hint="eastAsia" w:hAnsi="宋体"/>
          <w:color w:val="auto"/>
          <w:sz w:val="24"/>
          <w:highlight w:val="none"/>
        </w:rPr>
        <w:t>我方对全权代表的签字事项负全部责任。</w:t>
      </w:r>
    </w:p>
    <w:p>
      <w:pPr>
        <w:pStyle w:val="22"/>
        <w:spacing w:line="360" w:lineRule="auto"/>
        <w:ind w:left="139" w:leftChars="66" w:firstLine="480" w:firstLineChars="200"/>
        <w:rPr>
          <w:rFonts w:hAnsi="宋体"/>
          <w:color w:val="auto"/>
          <w:sz w:val="24"/>
          <w:highlight w:val="none"/>
        </w:rPr>
      </w:pPr>
      <w:r>
        <w:rPr>
          <w:rFonts w:hint="eastAsia" w:hAnsi="宋体"/>
          <w:color w:val="auto"/>
          <w:sz w:val="24"/>
          <w:highlight w:val="none"/>
        </w:rPr>
        <w:t>在撤销授权的书面通知以前，本授权书一直有效。全权代表在授权委托书有效期内签署的所有文件不因授权的撤销而失效。</w:t>
      </w:r>
    </w:p>
    <w:p>
      <w:pPr>
        <w:pStyle w:val="22"/>
        <w:spacing w:line="360" w:lineRule="auto"/>
        <w:ind w:left="139" w:leftChars="66" w:firstLine="480" w:firstLineChars="200"/>
        <w:rPr>
          <w:rFonts w:hAnsi="宋体"/>
          <w:color w:val="auto"/>
          <w:sz w:val="24"/>
          <w:highlight w:val="none"/>
        </w:rPr>
      </w:pPr>
      <w:r>
        <w:rPr>
          <w:rFonts w:hint="eastAsia" w:hAnsi="宋体"/>
          <w:color w:val="auto"/>
          <w:sz w:val="24"/>
          <w:highlight w:val="none"/>
        </w:rPr>
        <w:t>全权代表无转委托权，特此委托。</w:t>
      </w:r>
    </w:p>
    <w:p>
      <w:pPr>
        <w:spacing w:line="360" w:lineRule="auto"/>
        <w:rPr>
          <w:color w:val="auto"/>
          <w:sz w:val="24"/>
          <w:highlight w:val="none"/>
        </w:rPr>
      </w:pPr>
    </w:p>
    <w:p>
      <w:pPr>
        <w:spacing w:line="360" w:lineRule="auto"/>
        <w:rPr>
          <w:color w:val="auto"/>
          <w:sz w:val="24"/>
          <w:highlight w:val="none"/>
        </w:rPr>
      </w:pPr>
      <w:r>
        <w:rPr>
          <w:rFonts w:hint="eastAsia" w:ascii="宋体"/>
          <w:color w:val="auto"/>
          <w:sz w:val="24"/>
          <w:highlight w:val="none"/>
        </w:rPr>
        <w:t>法定代表人签字或盖章：</w:t>
      </w:r>
    </w:p>
    <w:p>
      <w:pPr>
        <w:spacing w:line="360" w:lineRule="auto"/>
        <w:rPr>
          <w:color w:val="auto"/>
          <w:sz w:val="24"/>
          <w:highlight w:val="none"/>
        </w:rPr>
      </w:pPr>
    </w:p>
    <w:p>
      <w:pPr>
        <w:spacing w:line="360" w:lineRule="auto"/>
        <w:rPr>
          <w:color w:val="auto"/>
          <w:sz w:val="24"/>
          <w:highlight w:val="none"/>
        </w:rPr>
      </w:pPr>
      <w:r>
        <w:rPr>
          <w:rFonts w:hint="eastAsia" w:ascii="宋体"/>
          <w:color w:val="auto"/>
          <w:sz w:val="24"/>
          <w:highlight w:val="none"/>
        </w:rPr>
        <w:t>投标人全称（公章）：                              日期：</w:t>
      </w:r>
    </w:p>
    <w:p>
      <w:pPr>
        <w:spacing w:line="360" w:lineRule="auto"/>
        <w:rPr>
          <w:b/>
          <w:color w:val="auto"/>
          <w:sz w:val="24"/>
          <w:highlight w:val="none"/>
        </w:rPr>
      </w:pPr>
      <w:r>
        <w:rPr>
          <w:rFonts w:hint="eastAsia" w:ascii="宋体"/>
          <w:b/>
          <w:color w:val="auto"/>
          <w:sz w:val="24"/>
          <w:highlight w:val="none"/>
        </w:rPr>
        <w:t>附：</w:t>
      </w:r>
    </w:p>
    <w:tbl>
      <w:tblPr>
        <w:tblStyle w:val="3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法定代表身份证扫描件粘帖处</w:t>
            </w:r>
          </w:p>
        </w:tc>
      </w:tr>
    </w:tbl>
    <w:p>
      <w:pPr>
        <w:spacing w:line="360" w:lineRule="auto"/>
        <w:rPr>
          <w:color w:val="auto"/>
          <w:sz w:val="24"/>
          <w:highlight w:val="none"/>
        </w:rPr>
      </w:pPr>
      <w:r>
        <w:rPr>
          <w:rFonts w:hint="eastAsia" w:ascii="宋体"/>
          <w:color w:val="auto"/>
          <w:sz w:val="24"/>
          <w:highlight w:val="none"/>
        </w:rPr>
        <w:t xml:space="preserve">法定代表人姓名：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pacing w:line="360" w:lineRule="auto"/>
        <w:rPr>
          <w:b/>
          <w:color w:val="auto"/>
          <w:sz w:val="24"/>
          <w:highlight w:val="none"/>
        </w:rPr>
      </w:pPr>
    </w:p>
    <w:tbl>
      <w:tblPr>
        <w:tblStyle w:val="3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全权代表身份证扫描件粘帖处</w:t>
            </w:r>
          </w:p>
        </w:tc>
      </w:tr>
    </w:tbl>
    <w:p>
      <w:pPr>
        <w:spacing w:line="360" w:lineRule="auto"/>
        <w:rPr>
          <w:rFonts w:ascii="宋体"/>
          <w:color w:val="auto"/>
          <w:sz w:val="24"/>
          <w:highlight w:val="none"/>
        </w:rPr>
      </w:pPr>
      <w:r>
        <w:rPr>
          <w:rFonts w:hint="eastAsia" w:ascii="宋体"/>
          <w:color w:val="auto"/>
          <w:sz w:val="24"/>
          <w:highlight w:val="none"/>
        </w:rPr>
        <w:t xml:space="preserve">全权代表姓名：       </w:t>
      </w:r>
    </w:p>
    <w:p>
      <w:pPr>
        <w:spacing w:line="360" w:lineRule="auto"/>
        <w:rPr>
          <w:color w:val="auto"/>
          <w:sz w:val="24"/>
          <w:highlight w:val="none"/>
        </w:rPr>
      </w:pPr>
      <w:r>
        <w:rPr>
          <w:rFonts w:hint="eastAsia" w:ascii="宋体"/>
          <w:color w:val="auto"/>
          <w:sz w:val="24"/>
          <w:highlight w:val="none"/>
        </w:rPr>
        <w:t xml:space="preserve">职务：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napToGrid w:val="0"/>
        <w:spacing w:before="50" w:after="50"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lang w:val="zh-CN"/>
        </w:rPr>
        <w:t>商务与技术文件</w:t>
      </w:r>
      <w:r>
        <w:rPr>
          <w:rFonts w:hint="eastAsia" w:ascii="宋体" w:hAnsi="宋体"/>
          <w:b/>
          <w:bCs/>
          <w:color w:val="auto"/>
          <w:sz w:val="32"/>
          <w:szCs w:val="32"/>
          <w:highlight w:val="none"/>
        </w:rPr>
        <w:t>目录</w:t>
      </w:r>
    </w:p>
    <w:p>
      <w:pPr>
        <w:snapToGrid w:val="0"/>
        <w:spacing w:line="360" w:lineRule="auto"/>
        <w:rPr>
          <w:rFonts w:ascii="宋体" w:hAnsi="宋体"/>
          <w:color w:val="auto"/>
          <w:sz w:val="24"/>
          <w:highlight w:val="none"/>
        </w:rPr>
      </w:pP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1、供应商基本情况表（附件3）</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2、商务及技术需求响应表等（附件6）；</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3、投标人客观分自评表（附件10）</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4、其余内容根据评标办法自拟；（格式可参考附件）</w:t>
      </w:r>
    </w:p>
    <w:p>
      <w:pPr>
        <w:pStyle w:val="44"/>
        <w:rPr>
          <w:color w:val="auto"/>
          <w:highlight w:val="none"/>
        </w:rPr>
      </w:pPr>
    </w:p>
    <w:p>
      <w:pPr>
        <w:pStyle w:val="22"/>
        <w:adjustRightInd w:val="0"/>
        <w:snapToGrid w:val="0"/>
        <w:spacing w:line="360" w:lineRule="auto"/>
        <w:ind w:left="139" w:leftChars="66" w:firstLine="480" w:firstLineChars="200"/>
        <w:rPr>
          <w:rFonts w:hAnsi="宋体" w:cs="宋体"/>
          <w:color w:val="auto"/>
          <w:sz w:val="24"/>
          <w:highlight w:val="none"/>
        </w:rPr>
        <w:sectPr>
          <w:pgSz w:w="11906" w:h="16838"/>
          <w:pgMar w:top="1440" w:right="1800" w:bottom="1440" w:left="1800" w:header="851" w:footer="992" w:gutter="0"/>
          <w:pgNumType w:fmt="numberInDash"/>
          <w:cols w:space="425" w:num="1"/>
          <w:docGrid w:type="lines" w:linePitch="312" w:charSpace="0"/>
        </w:sectPr>
      </w:pPr>
      <w:r>
        <w:rPr>
          <w:rFonts w:hint="eastAsia" w:hAnsi="宋体" w:cs="宋体"/>
          <w:color w:val="auto"/>
          <w:sz w:val="24"/>
          <w:highlight w:val="none"/>
        </w:rPr>
        <w:t>招标需求中要求提供的相关证明材料及根据评标办法提供的证明材料均需在投标文件中提供扫描件。</w:t>
      </w:r>
    </w:p>
    <w:p>
      <w:pPr>
        <w:pStyle w:val="51"/>
        <w:shd w:val="clear" w:color="auto" w:fill="FFFFFF"/>
        <w:spacing w:before="0" w:beforeAutospacing="0" w:after="0" w:afterAutospacing="0" w:line="360" w:lineRule="auto"/>
        <w:rPr>
          <w:b/>
          <w:color w:val="auto"/>
          <w:sz w:val="28"/>
          <w:highlight w:val="none"/>
        </w:rPr>
      </w:pPr>
      <w:r>
        <w:rPr>
          <w:rFonts w:hint="eastAsia"/>
          <w:b/>
          <w:color w:val="auto"/>
          <w:sz w:val="28"/>
          <w:highlight w:val="none"/>
        </w:rPr>
        <w:t>附件</w:t>
      </w:r>
      <w:r>
        <w:rPr>
          <w:b/>
          <w:color w:val="auto"/>
          <w:sz w:val="28"/>
          <w:highlight w:val="none"/>
        </w:rPr>
        <w:t>3</w:t>
      </w:r>
    </w:p>
    <w:p>
      <w:pPr>
        <w:pStyle w:val="51"/>
        <w:shd w:val="clear" w:color="auto" w:fill="FFFFFF"/>
        <w:spacing w:before="0" w:beforeAutospacing="0" w:after="0" w:afterAutospacing="0" w:line="360" w:lineRule="auto"/>
        <w:jc w:val="center"/>
        <w:rPr>
          <w:b/>
          <w:bCs/>
          <w:color w:val="auto"/>
          <w:spacing w:val="21"/>
          <w:sz w:val="32"/>
          <w:szCs w:val="32"/>
          <w:highlight w:val="none"/>
        </w:rPr>
      </w:pPr>
      <w:r>
        <w:rPr>
          <w:rFonts w:hint="eastAsia"/>
          <w:b/>
          <w:color w:val="auto"/>
          <w:sz w:val="32"/>
          <w:szCs w:val="32"/>
          <w:highlight w:val="none"/>
        </w:rPr>
        <w:t>供应商</w:t>
      </w:r>
      <w:r>
        <w:rPr>
          <w:rFonts w:hint="eastAsia"/>
          <w:b/>
          <w:bCs/>
          <w:color w:val="auto"/>
          <w:spacing w:val="21"/>
          <w:sz w:val="32"/>
          <w:szCs w:val="32"/>
          <w:highlight w:val="none"/>
        </w:rPr>
        <w:t>基本情况表</w:t>
      </w:r>
    </w:p>
    <w:tbl>
      <w:tblPr>
        <w:tblStyle w:val="35"/>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tcPr>
          <w:p>
            <w:pPr>
              <w:pStyle w:val="51"/>
              <w:shd w:val="clear" w:color="auto" w:fill="FFFFFF"/>
              <w:spacing w:line="360" w:lineRule="auto"/>
              <w:rPr>
                <w:bCs/>
                <w:color w:val="auto"/>
                <w:highlight w:val="none"/>
              </w:rPr>
            </w:pPr>
            <w:r>
              <w:rPr>
                <w:rFonts w:hint="eastAsia"/>
                <w:bCs/>
                <w:color w:val="auto"/>
                <w:spacing w:val="27"/>
                <w:highlight w:val="none"/>
              </w:rPr>
              <w:t>企业名称</w:t>
            </w:r>
          </w:p>
        </w:tc>
        <w:tc>
          <w:tcPr>
            <w:tcW w:w="3979" w:type="dxa"/>
            <w:gridSpan w:val="6"/>
          </w:tcPr>
          <w:p>
            <w:pPr>
              <w:pStyle w:val="51"/>
              <w:shd w:val="clear" w:color="auto" w:fill="FFFFFF"/>
              <w:spacing w:line="360" w:lineRule="auto"/>
              <w:rPr>
                <w:bCs/>
                <w:color w:val="auto"/>
                <w:highlight w:val="none"/>
              </w:rPr>
            </w:pPr>
          </w:p>
        </w:tc>
        <w:tc>
          <w:tcPr>
            <w:tcW w:w="2001" w:type="dxa"/>
            <w:gridSpan w:val="3"/>
          </w:tcPr>
          <w:p>
            <w:pPr>
              <w:pStyle w:val="51"/>
              <w:shd w:val="clear" w:color="auto" w:fill="FFFFFF"/>
              <w:spacing w:line="360" w:lineRule="auto"/>
              <w:rPr>
                <w:bCs/>
                <w:color w:val="auto"/>
                <w:highlight w:val="none"/>
              </w:rPr>
            </w:pPr>
            <w:r>
              <w:rPr>
                <w:rFonts w:hint="eastAsia"/>
                <w:bCs/>
                <w:color w:val="auto"/>
                <w:spacing w:val="16"/>
                <w:highlight w:val="none"/>
              </w:rPr>
              <w:t>法人代表</w:t>
            </w:r>
          </w:p>
        </w:tc>
        <w:tc>
          <w:tcPr>
            <w:tcW w:w="2151" w:type="dxa"/>
            <w:gridSpan w:val="2"/>
          </w:tcPr>
          <w:p>
            <w:pPr>
              <w:pStyle w:val="51"/>
              <w:shd w:val="clear" w:color="auto" w:fill="FFFFFF"/>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82" w:type="dxa"/>
          </w:tcPr>
          <w:p>
            <w:pPr>
              <w:pStyle w:val="51"/>
              <w:shd w:val="clear" w:color="auto" w:fill="FFFFFF"/>
              <w:spacing w:line="360" w:lineRule="auto"/>
              <w:rPr>
                <w:bCs/>
                <w:color w:val="auto"/>
                <w:spacing w:val="16"/>
                <w:highlight w:val="none"/>
              </w:rPr>
            </w:pPr>
            <w:r>
              <w:rPr>
                <w:rFonts w:hint="eastAsia"/>
                <w:bCs/>
                <w:color w:val="auto"/>
                <w:spacing w:val="27"/>
                <w:highlight w:val="none"/>
              </w:rPr>
              <w:t>地址</w:t>
            </w:r>
          </w:p>
        </w:tc>
        <w:tc>
          <w:tcPr>
            <w:tcW w:w="3979" w:type="dxa"/>
            <w:gridSpan w:val="6"/>
            <w:tcBorders>
              <w:bottom w:val="single" w:color="auto" w:sz="4" w:space="0"/>
            </w:tcBorders>
          </w:tcPr>
          <w:p>
            <w:pPr>
              <w:pStyle w:val="51"/>
              <w:shd w:val="clear" w:color="auto" w:fill="FFFFFF"/>
              <w:spacing w:line="360" w:lineRule="auto"/>
              <w:rPr>
                <w:bCs/>
                <w:color w:val="auto"/>
                <w:spacing w:val="16"/>
                <w:highlight w:val="none"/>
              </w:rPr>
            </w:pPr>
          </w:p>
        </w:tc>
        <w:tc>
          <w:tcPr>
            <w:tcW w:w="2001" w:type="dxa"/>
            <w:gridSpan w:val="3"/>
          </w:tcPr>
          <w:p>
            <w:pPr>
              <w:pStyle w:val="51"/>
              <w:shd w:val="clear" w:color="auto" w:fill="FFFFFF"/>
              <w:spacing w:line="360" w:lineRule="auto"/>
              <w:rPr>
                <w:bCs/>
                <w:color w:val="auto"/>
                <w:spacing w:val="16"/>
                <w:highlight w:val="none"/>
              </w:rPr>
            </w:pPr>
            <w:r>
              <w:rPr>
                <w:rFonts w:hint="eastAsia"/>
                <w:bCs/>
                <w:color w:val="auto"/>
                <w:spacing w:val="16"/>
                <w:highlight w:val="none"/>
              </w:rPr>
              <w:t>企业性质</w:t>
            </w:r>
          </w:p>
        </w:tc>
        <w:tc>
          <w:tcPr>
            <w:tcW w:w="2151" w:type="dxa"/>
            <w:gridSpan w:val="2"/>
          </w:tcPr>
          <w:p>
            <w:pPr>
              <w:pStyle w:val="51"/>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2" w:type="dxa"/>
            <w:tcBorders>
              <w:bottom w:val="single" w:color="auto" w:sz="4" w:space="0"/>
            </w:tcBorders>
          </w:tcPr>
          <w:p>
            <w:pPr>
              <w:pStyle w:val="51"/>
              <w:shd w:val="clear" w:color="auto" w:fill="FFFFFF"/>
              <w:spacing w:line="360" w:lineRule="auto"/>
              <w:rPr>
                <w:bCs/>
                <w:color w:val="auto"/>
                <w:spacing w:val="16"/>
                <w:highlight w:val="none"/>
              </w:rPr>
            </w:pPr>
            <w:r>
              <w:rPr>
                <w:rFonts w:hint="eastAsia"/>
                <w:bCs/>
                <w:color w:val="auto"/>
                <w:spacing w:val="27"/>
                <w:highlight w:val="none"/>
              </w:rPr>
              <w:t>股东姓名</w:t>
            </w:r>
          </w:p>
        </w:tc>
        <w:tc>
          <w:tcPr>
            <w:tcW w:w="701" w:type="dxa"/>
            <w:tcBorders>
              <w:bottom w:val="single" w:color="auto" w:sz="4" w:space="0"/>
            </w:tcBorders>
          </w:tcPr>
          <w:p>
            <w:pPr>
              <w:pStyle w:val="51"/>
              <w:shd w:val="clear" w:color="auto" w:fill="FFFFFF"/>
              <w:spacing w:before="0" w:beforeAutospacing="0" w:after="0" w:afterAutospacing="0" w:line="360" w:lineRule="auto"/>
              <w:rPr>
                <w:bCs/>
                <w:color w:val="auto"/>
                <w:spacing w:val="16"/>
                <w:highlight w:val="none"/>
              </w:rPr>
            </w:pPr>
          </w:p>
        </w:tc>
        <w:tc>
          <w:tcPr>
            <w:tcW w:w="910" w:type="dxa"/>
            <w:gridSpan w:val="2"/>
            <w:tcBorders>
              <w:bottom w:val="single" w:color="auto" w:sz="4" w:space="0"/>
            </w:tcBorders>
          </w:tcPr>
          <w:p>
            <w:pPr>
              <w:pStyle w:val="51"/>
              <w:shd w:val="clear" w:color="auto" w:fill="FFFFFF"/>
              <w:spacing w:line="360" w:lineRule="auto"/>
              <w:rPr>
                <w:bCs/>
                <w:color w:val="auto"/>
                <w:spacing w:val="16"/>
                <w:highlight w:val="none"/>
              </w:rPr>
            </w:pPr>
            <w:r>
              <w:rPr>
                <w:rFonts w:hint="eastAsia"/>
                <w:bCs/>
                <w:color w:val="auto"/>
                <w:spacing w:val="16"/>
                <w:highlight w:val="none"/>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auto"/>
                <w:spacing w:val="16"/>
                <w:kern w:val="0"/>
                <w:sz w:val="24"/>
                <w:highlight w:val="none"/>
              </w:rPr>
            </w:pPr>
          </w:p>
          <w:p>
            <w:pPr>
              <w:pStyle w:val="51"/>
              <w:shd w:val="clear" w:color="auto" w:fill="FFFFFF"/>
              <w:spacing w:line="360" w:lineRule="auto"/>
              <w:rPr>
                <w:bCs/>
                <w:color w:val="auto"/>
                <w:spacing w:val="16"/>
                <w:highlight w:val="none"/>
              </w:rPr>
            </w:pPr>
          </w:p>
        </w:tc>
        <w:tc>
          <w:tcPr>
            <w:tcW w:w="2001" w:type="dxa"/>
            <w:gridSpan w:val="3"/>
          </w:tcPr>
          <w:p>
            <w:pPr>
              <w:pStyle w:val="51"/>
              <w:shd w:val="clear" w:color="auto" w:fill="FFFFFF"/>
              <w:spacing w:line="360" w:lineRule="auto"/>
              <w:ind w:left="107"/>
              <w:rPr>
                <w:bCs/>
                <w:color w:val="auto"/>
                <w:spacing w:val="16"/>
                <w:highlight w:val="none"/>
              </w:rPr>
            </w:pPr>
            <w:r>
              <w:rPr>
                <w:rFonts w:hint="eastAsia"/>
                <w:bCs/>
                <w:color w:val="auto"/>
                <w:spacing w:val="16"/>
                <w:highlight w:val="none"/>
              </w:rPr>
              <w:t>股东关系</w:t>
            </w:r>
          </w:p>
        </w:tc>
        <w:tc>
          <w:tcPr>
            <w:tcW w:w="2151" w:type="dxa"/>
            <w:gridSpan w:val="2"/>
          </w:tcPr>
          <w:p>
            <w:pPr>
              <w:pStyle w:val="51"/>
              <w:shd w:val="clear" w:color="auto" w:fill="FFFFFF"/>
              <w:spacing w:line="360" w:lineRule="auto"/>
              <w:ind w:left="107"/>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vMerge w:val="restart"/>
          </w:tcPr>
          <w:p>
            <w:pPr>
              <w:pStyle w:val="51"/>
              <w:shd w:val="clear" w:color="auto" w:fill="FFFFFF"/>
              <w:spacing w:line="360" w:lineRule="auto"/>
              <w:rPr>
                <w:bCs/>
                <w:color w:val="auto"/>
                <w:spacing w:val="16"/>
                <w:highlight w:val="none"/>
              </w:rPr>
            </w:pPr>
            <w:r>
              <w:rPr>
                <w:rFonts w:hint="eastAsia"/>
                <w:bCs/>
                <w:color w:val="auto"/>
                <w:spacing w:val="12"/>
                <w:highlight w:val="none"/>
              </w:rPr>
              <w:t>联系人</w:t>
            </w:r>
            <w:r>
              <w:rPr>
                <w:rFonts w:hint="eastAsia"/>
                <w:bCs/>
                <w:color w:val="auto"/>
                <w:spacing w:val="27"/>
                <w:highlight w:val="none"/>
              </w:rPr>
              <w:t>姓名</w:t>
            </w:r>
          </w:p>
        </w:tc>
        <w:tc>
          <w:tcPr>
            <w:tcW w:w="701" w:type="dxa"/>
            <w:vMerge w:val="restart"/>
            <w:tcBorders>
              <w:top w:val="nil"/>
            </w:tcBorders>
          </w:tcPr>
          <w:p>
            <w:pPr>
              <w:pStyle w:val="51"/>
              <w:shd w:val="clear" w:color="auto" w:fill="FFFFFF"/>
              <w:spacing w:line="360" w:lineRule="auto"/>
              <w:rPr>
                <w:bCs/>
                <w:color w:val="auto"/>
                <w:spacing w:val="16"/>
                <w:highlight w:val="none"/>
              </w:rPr>
            </w:pPr>
          </w:p>
        </w:tc>
        <w:tc>
          <w:tcPr>
            <w:tcW w:w="910" w:type="dxa"/>
            <w:gridSpan w:val="2"/>
            <w:tcBorders>
              <w:top w:val="nil"/>
              <w:bottom w:val="single" w:color="auto" w:sz="4" w:space="0"/>
            </w:tcBorders>
          </w:tcPr>
          <w:p>
            <w:pPr>
              <w:pStyle w:val="51"/>
              <w:shd w:val="clear" w:color="auto" w:fill="FFFFFF"/>
              <w:spacing w:line="360" w:lineRule="auto"/>
              <w:rPr>
                <w:bCs/>
                <w:color w:val="auto"/>
                <w:spacing w:val="16"/>
                <w:highlight w:val="none"/>
              </w:rPr>
            </w:pPr>
            <w:r>
              <w:rPr>
                <w:rFonts w:hint="eastAsia"/>
                <w:bCs/>
                <w:color w:val="auto"/>
                <w:spacing w:val="16"/>
                <w:highlight w:val="none"/>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auto"/>
                <w:spacing w:val="16"/>
                <w:kern w:val="0"/>
                <w:sz w:val="24"/>
                <w:highlight w:val="none"/>
              </w:rPr>
            </w:pPr>
          </w:p>
          <w:p>
            <w:pPr>
              <w:pStyle w:val="51"/>
              <w:shd w:val="clear" w:color="auto" w:fill="FFFFFF"/>
              <w:spacing w:line="360" w:lineRule="auto"/>
              <w:rPr>
                <w:bCs/>
                <w:color w:val="auto"/>
                <w:spacing w:val="16"/>
                <w:highlight w:val="none"/>
              </w:rPr>
            </w:pPr>
          </w:p>
        </w:tc>
        <w:tc>
          <w:tcPr>
            <w:tcW w:w="2001" w:type="dxa"/>
            <w:gridSpan w:val="3"/>
            <w:vMerge w:val="restart"/>
          </w:tcPr>
          <w:p>
            <w:pPr>
              <w:pStyle w:val="51"/>
              <w:shd w:val="clear" w:color="auto" w:fill="FFFFFF"/>
              <w:spacing w:before="0" w:beforeAutospacing="0" w:after="0" w:afterAutospacing="0" w:line="360" w:lineRule="auto"/>
              <w:rPr>
                <w:bCs/>
                <w:color w:val="auto"/>
                <w:spacing w:val="16"/>
                <w:highlight w:val="none"/>
              </w:rPr>
            </w:pPr>
            <w:r>
              <w:rPr>
                <w:rFonts w:hint="eastAsia"/>
                <w:bCs/>
                <w:color w:val="auto"/>
                <w:spacing w:val="16"/>
                <w:highlight w:val="none"/>
              </w:rPr>
              <w:t>传真</w:t>
            </w:r>
          </w:p>
        </w:tc>
        <w:tc>
          <w:tcPr>
            <w:tcW w:w="2151" w:type="dxa"/>
            <w:gridSpan w:val="2"/>
            <w:vMerge w:val="restart"/>
          </w:tcPr>
          <w:p>
            <w:pPr>
              <w:pStyle w:val="51"/>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82" w:type="dxa"/>
            <w:vMerge w:val="continue"/>
            <w:tcBorders>
              <w:bottom w:val="single" w:color="auto" w:sz="4" w:space="0"/>
            </w:tcBorders>
          </w:tcPr>
          <w:p>
            <w:pPr>
              <w:pStyle w:val="51"/>
              <w:shd w:val="clear" w:color="auto" w:fill="FFFFFF"/>
              <w:spacing w:line="360" w:lineRule="auto"/>
              <w:ind w:left="107"/>
              <w:rPr>
                <w:bCs/>
                <w:color w:val="auto"/>
                <w:highlight w:val="none"/>
              </w:rPr>
            </w:pPr>
          </w:p>
        </w:tc>
        <w:tc>
          <w:tcPr>
            <w:tcW w:w="701" w:type="dxa"/>
            <w:vMerge w:val="continue"/>
            <w:tcBorders>
              <w:bottom w:val="single" w:color="auto" w:sz="4" w:space="0"/>
            </w:tcBorders>
          </w:tcPr>
          <w:p>
            <w:pPr>
              <w:pStyle w:val="51"/>
              <w:shd w:val="clear" w:color="auto" w:fill="FFFFFF"/>
              <w:spacing w:line="360" w:lineRule="auto"/>
              <w:rPr>
                <w:bCs/>
                <w:color w:val="auto"/>
                <w:spacing w:val="16"/>
                <w:highlight w:val="none"/>
              </w:rPr>
            </w:pPr>
          </w:p>
        </w:tc>
        <w:tc>
          <w:tcPr>
            <w:tcW w:w="910" w:type="dxa"/>
            <w:gridSpan w:val="2"/>
            <w:tcBorders>
              <w:bottom w:val="single" w:color="auto" w:sz="4" w:space="0"/>
            </w:tcBorders>
          </w:tcPr>
          <w:p>
            <w:pPr>
              <w:pStyle w:val="51"/>
              <w:shd w:val="clear" w:color="auto" w:fill="FFFFFF"/>
              <w:spacing w:line="360" w:lineRule="auto"/>
              <w:rPr>
                <w:bCs/>
                <w:color w:val="auto"/>
                <w:spacing w:val="16"/>
                <w:highlight w:val="none"/>
              </w:rPr>
            </w:pPr>
            <w:r>
              <w:rPr>
                <w:rFonts w:hint="eastAsia"/>
                <w:bCs/>
                <w:color w:val="auto"/>
                <w:spacing w:val="27"/>
                <w:highlight w:val="none"/>
              </w:rPr>
              <w:t>手机</w:t>
            </w:r>
          </w:p>
        </w:tc>
        <w:tc>
          <w:tcPr>
            <w:tcW w:w="2368" w:type="dxa"/>
            <w:gridSpan w:val="3"/>
            <w:tcBorders>
              <w:bottom w:val="single" w:color="auto" w:sz="4" w:space="0"/>
            </w:tcBorders>
          </w:tcPr>
          <w:p>
            <w:pPr>
              <w:pStyle w:val="51"/>
              <w:shd w:val="clear" w:color="auto" w:fill="FFFFFF"/>
              <w:spacing w:line="360" w:lineRule="auto"/>
              <w:rPr>
                <w:bCs/>
                <w:color w:val="auto"/>
                <w:spacing w:val="16"/>
                <w:highlight w:val="none"/>
              </w:rPr>
            </w:pPr>
          </w:p>
        </w:tc>
        <w:tc>
          <w:tcPr>
            <w:tcW w:w="2001" w:type="dxa"/>
            <w:gridSpan w:val="3"/>
            <w:vMerge w:val="continue"/>
          </w:tcPr>
          <w:p>
            <w:pPr>
              <w:pStyle w:val="51"/>
              <w:shd w:val="clear" w:color="auto" w:fill="FFFFFF"/>
              <w:spacing w:line="360" w:lineRule="auto"/>
              <w:rPr>
                <w:bCs/>
                <w:color w:val="auto"/>
                <w:spacing w:val="16"/>
                <w:highlight w:val="none"/>
              </w:rPr>
            </w:pPr>
          </w:p>
        </w:tc>
        <w:tc>
          <w:tcPr>
            <w:tcW w:w="2151" w:type="dxa"/>
            <w:gridSpan w:val="2"/>
            <w:vMerge w:val="continue"/>
          </w:tcPr>
          <w:p>
            <w:pPr>
              <w:pStyle w:val="51"/>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82" w:type="dxa"/>
            <w:vMerge w:val="restart"/>
          </w:tcPr>
          <w:p>
            <w:pPr>
              <w:pStyle w:val="51"/>
              <w:shd w:val="clear" w:color="auto" w:fill="FFFFFF"/>
              <w:spacing w:line="360" w:lineRule="auto"/>
              <w:ind w:left="107"/>
              <w:rPr>
                <w:bCs/>
                <w:color w:val="auto"/>
                <w:highlight w:val="none"/>
              </w:rPr>
            </w:pPr>
            <w:r>
              <w:rPr>
                <w:bCs/>
                <w:color w:val="auto"/>
                <w:highlight w:val="none"/>
              </w:rPr>
              <w:t>1</w:t>
            </w:r>
            <w:r>
              <w:rPr>
                <w:rFonts w:hint="eastAsia"/>
                <w:bCs/>
                <w:color w:val="auto"/>
                <w:highlight w:val="none"/>
              </w:rPr>
              <w:t>.</w:t>
            </w:r>
          </w:p>
          <w:p>
            <w:pPr>
              <w:pStyle w:val="51"/>
              <w:shd w:val="clear" w:color="auto" w:fill="FFFFFF"/>
              <w:spacing w:line="360" w:lineRule="auto"/>
              <w:ind w:left="107"/>
              <w:rPr>
                <w:bCs/>
                <w:color w:val="auto"/>
                <w:highlight w:val="none"/>
              </w:rPr>
            </w:pPr>
            <w:r>
              <w:rPr>
                <w:rFonts w:hint="eastAsia"/>
                <w:bCs/>
                <w:color w:val="auto"/>
                <w:highlight w:val="none"/>
              </w:rPr>
              <w:t>企</w:t>
            </w:r>
          </w:p>
          <w:p>
            <w:pPr>
              <w:pStyle w:val="51"/>
              <w:shd w:val="clear" w:color="auto" w:fill="FFFFFF"/>
              <w:spacing w:line="360" w:lineRule="auto"/>
              <w:ind w:left="107"/>
              <w:rPr>
                <w:bCs/>
                <w:color w:val="auto"/>
                <w:highlight w:val="none"/>
              </w:rPr>
            </w:pPr>
            <w:r>
              <w:rPr>
                <w:rFonts w:hint="eastAsia"/>
                <w:bCs/>
                <w:color w:val="auto"/>
                <w:highlight w:val="none"/>
              </w:rPr>
              <w:t>业</w:t>
            </w:r>
          </w:p>
          <w:p>
            <w:pPr>
              <w:pStyle w:val="51"/>
              <w:shd w:val="clear" w:color="auto" w:fill="FFFFFF"/>
              <w:spacing w:line="360" w:lineRule="auto"/>
              <w:ind w:left="107"/>
              <w:rPr>
                <w:bCs/>
                <w:color w:val="auto"/>
                <w:spacing w:val="27"/>
                <w:highlight w:val="none"/>
              </w:rPr>
            </w:pPr>
            <w:r>
              <w:rPr>
                <w:rFonts w:hint="eastAsia"/>
                <w:bCs/>
                <w:color w:val="auto"/>
                <w:spacing w:val="27"/>
                <w:highlight w:val="none"/>
              </w:rPr>
              <w:t>概</w:t>
            </w:r>
          </w:p>
          <w:p>
            <w:pPr>
              <w:pStyle w:val="51"/>
              <w:shd w:val="clear" w:color="auto" w:fill="FFFFFF"/>
              <w:spacing w:line="360" w:lineRule="auto"/>
              <w:ind w:left="107"/>
              <w:rPr>
                <w:bCs/>
                <w:color w:val="auto"/>
                <w:highlight w:val="none"/>
              </w:rPr>
            </w:pPr>
            <w:r>
              <w:rPr>
                <w:rFonts w:hint="eastAsia"/>
                <w:bCs/>
                <w:color w:val="auto"/>
                <w:spacing w:val="27"/>
                <w:highlight w:val="none"/>
              </w:rPr>
              <w:t>况</w:t>
            </w:r>
          </w:p>
        </w:tc>
        <w:tc>
          <w:tcPr>
            <w:tcW w:w="701" w:type="dxa"/>
            <w:tcBorders>
              <w:top w:val="nil"/>
            </w:tcBorders>
          </w:tcPr>
          <w:p>
            <w:pPr>
              <w:pStyle w:val="51"/>
              <w:shd w:val="clear" w:color="auto" w:fill="FFFFFF"/>
              <w:spacing w:line="360" w:lineRule="auto"/>
              <w:rPr>
                <w:bCs/>
                <w:color w:val="auto"/>
                <w:spacing w:val="16"/>
                <w:highlight w:val="none"/>
              </w:rPr>
            </w:pPr>
            <w:r>
              <w:rPr>
                <w:rFonts w:hint="eastAsia"/>
                <w:bCs/>
                <w:color w:val="auto"/>
                <w:spacing w:val="16"/>
                <w:highlight w:val="none"/>
              </w:rPr>
              <w:t>职工人数</w:t>
            </w:r>
          </w:p>
        </w:tc>
        <w:tc>
          <w:tcPr>
            <w:tcW w:w="910" w:type="dxa"/>
            <w:gridSpan w:val="2"/>
            <w:tcBorders>
              <w:top w:val="nil"/>
            </w:tcBorders>
          </w:tcPr>
          <w:p>
            <w:pPr>
              <w:pStyle w:val="51"/>
              <w:shd w:val="clear" w:color="auto" w:fill="FFFFFF"/>
              <w:spacing w:line="360" w:lineRule="auto"/>
              <w:rPr>
                <w:bCs/>
                <w:color w:val="auto"/>
                <w:spacing w:val="16"/>
                <w:highlight w:val="none"/>
              </w:rPr>
            </w:pPr>
          </w:p>
        </w:tc>
        <w:tc>
          <w:tcPr>
            <w:tcW w:w="1163" w:type="dxa"/>
            <w:tcBorders>
              <w:top w:val="nil"/>
            </w:tcBorders>
          </w:tcPr>
          <w:p>
            <w:pPr>
              <w:pStyle w:val="51"/>
              <w:shd w:val="clear" w:color="auto" w:fill="FFFFFF"/>
              <w:spacing w:before="0" w:beforeAutospacing="0" w:after="0" w:afterAutospacing="0" w:line="360" w:lineRule="auto"/>
              <w:rPr>
                <w:bCs/>
                <w:color w:val="auto"/>
                <w:highlight w:val="none"/>
              </w:rPr>
            </w:pPr>
            <w:r>
              <w:rPr>
                <w:rFonts w:hint="eastAsia"/>
                <w:bCs/>
                <w:color w:val="auto"/>
                <w:spacing w:val="18"/>
                <w:highlight w:val="none"/>
              </w:rPr>
              <w:t>具备大专以</w:t>
            </w:r>
            <w:r>
              <w:rPr>
                <w:rFonts w:hint="eastAsia"/>
                <w:bCs/>
                <w:color w:val="auto"/>
                <w:spacing w:val="12"/>
                <w:highlight w:val="none"/>
              </w:rPr>
              <w:t>上学历人数</w:t>
            </w:r>
          </w:p>
        </w:tc>
        <w:tc>
          <w:tcPr>
            <w:tcW w:w="1205" w:type="dxa"/>
            <w:gridSpan w:val="2"/>
            <w:tcBorders>
              <w:top w:val="nil"/>
            </w:tcBorders>
          </w:tcPr>
          <w:p>
            <w:pPr>
              <w:widowControl/>
              <w:spacing w:line="360" w:lineRule="auto"/>
              <w:jc w:val="left"/>
              <w:rPr>
                <w:rFonts w:ascii="宋体" w:hAnsi="宋体" w:cs="宋体"/>
                <w:bCs/>
                <w:color w:val="auto"/>
                <w:spacing w:val="16"/>
                <w:kern w:val="0"/>
                <w:sz w:val="24"/>
                <w:highlight w:val="none"/>
              </w:rPr>
            </w:pPr>
          </w:p>
          <w:p>
            <w:pPr>
              <w:widowControl/>
              <w:spacing w:line="360" w:lineRule="auto"/>
              <w:jc w:val="left"/>
              <w:rPr>
                <w:rFonts w:ascii="宋体" w:hAnsi="宋体" w:cs="宋体"/>
                <w:bCs/>
                <w:color w:val="auto"/>
                <w:spacing w:val="16"/>
                <w:kern w:val="0"/>
                <w:sz w:val="24"/>
                <w:highlight w:val="none"/>
              </w:rPr>
            </w:pPr>
          </w:p>
          <w:p>
            <w:pPr>
              <w:pStyle w:val="51"/>
              <w:shd w:val="clear" w:color="auto" w:fill="FFFFFF"/>
              <w:spacing w:line="360" w:lineRule="auto"/>
              <w:rPr>
                <w:bCs/>
                <w:color w:val="auto"/>
                <w:spacing w:val="16"/>
                <w:highlight w:val="none"/>
              </w:rPr>
            </w:pPr>
          </w:p>
        </w:tc>
        <w:tc>
          <w:tcPr>
            <w:tcW w:w="2001" w:type="dxa"/>
            <w:gridSpan w:val="3"/>
          </w:tcPr>
          <w:p>
            <w:pPr>
              <w:pStyle w:val="51"/>
              <w:shd w:val="clear" w:color="auto" w:fill="FFFFFF"/>
              <w:spacing w:line="360" w:lineRule="auto"/>
              <w:rPr>
                <w:bCs/>
                <w:color w:val="auto"/>
                <w:spacing w:val="16"/>
                <w:highlight w:val="none"/>
              </w:rPr>
            </w:pPr>
            <w:r>
              <w:rPr>
                <w:rFonts w:hint="eastAsia"/>
                <w:bCs/>
                <w:color w:val="auto"/>
                <w:spacing w:val="65"/>
                <w:highlight w:val="none"/>
              </w:rPr>
              <w:t>国家授予技</w:t>
            </w:r>
            <w:r>
              <w:rPr>
                <w:rFonts w:hint="eastAsia"/>
                <w:bCs/>
                <w:color w:val="auto"/>
                <w:spacing w:val="12"/>
                <w:highlight w:val="none"/>
              </w:rPr>
              <w:t>术职称人数</w:t>
            </w:r>
          </w:p>
        </w:tc>
        <w:tc>
          <w:tcPr>
            <w:tcW w:w="2151" w:type="dxa"/>
            <w:gridSpan w:val="2"/>
          </w:tcPr>
          <w:p>
            <w:pPr>
              <w:widowControl/>
              <w:spacing w:line="360" w:lineRule="auto"/>
              <w:jc w:val="left"/>
              <w:rPr>
                <w:rFonts w:ascii="宋体" w:hAnsi="宋体" w:cs="宋体"/>
                <w:bCs/>
                <w:color w:val="auto"/>
                <w:spacing w:val="16"/>
                <w:kern w:val="0"/>
                <w:sz w:val="24"/>
                <w:highlight w:val="none"/>
              </w:rPr>
            </w:pPr>
          </w:p>
          <w:p>
            <w:pPr>
              <w:pStyle w:val="51"/>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82" w:type="dxa"/>
            <w:vMerge w:val="continue"/>
          </w:tcPr>
          <w:p>
            <w:pPr>
              <w:pStyle w:val="51"/>
              <w:shd w:val="clear" w:color="auto" w:fill="FFFFFF"/>
              <w:spacing w:line="360" w:lineRule="auto"/>
              <w:ind w:left="107"/>
              <w:rPr>
                <w:bCs/>
                <w:color w:val="auto"/>
                <w:highlight w:val="none"/>
              </w:rPr>
            </w:pPr>
          </w:p>
        </w:tc>
        <w:tc>
          <w:tcPr>
            <w:tcW w:w="701" w:type="dxa"/>
          </w:tcPr>
          <w:p>
            <w:pPr>
              <w:pStyle w:val="51"/>
              <w:shd w:val="clear" w:color="auto" w:fill="FFFFFF"/>
              <w:spacing w:line="360" w:lineRule="auto"/>
              <w:rPr>
                <w:bCs/>
                <w:color w:val="auto"/>
                <w:highlight w:val="none"/>
              </w:rPr>
            </w:pPr>
            <w:r>
              <w:rPr>
                <w:rFonts w:hint="eastAsia"/>
                <w:bCs/>
                <w:color w:val="auto"/>
                <w:spacing w:val="16"/>
                <w:highlight w:val="none"/>
              </w:rPr>
              <w:t>占地面积</w:t>
            </w:r>
          </w:p>
        </w:tc>
        <w:tc>
          <w:tcPr>
            <w:tcW w:w="910" w:type="dxa"/>
            <w:gridSpan w:val="2"/>
          </w:tcPr>
          <w:p>
            <w:pPr>
              <w:pStyle w:val="51"/>
              <w:shd w:val="clear" w:color="auto" w:fill="FFFFFF"/>
              <w:spacing w:line="360" w:lineRule="auto"/>
              <w:rPr>
                <w:bCs/>
                <w:color w:val="auto"/>
                <w:highlight w:val="none"/>
              </w:rPr>
            </w:pPr>
          </w:p>
        </w:tc>
        <w:tc>
          <w:tcPr>
            <w:tcW w:w="1163" w:type="dxa"/>
          </w:tcPr>
          <w:p>
            <w:pPr>
              <w:pStyle w:val="51"/>
              <w:shd w:val="clear" w:color="auto" w:fill="FFFFFF"/>
              <w:spacing w:line="360" w:lineRule="auto"/>
              <w:rPr>
                <w:bCs/>
                <w:color w:val="auto"/>
                <w:highlight w:val="none"/>
              </w:rPr>
            </w:pPr>
            <w:r>
              <w:rPr>
                <w:rFonts w:hint="eastAsia"/>
                <w:bCs/>
                <w:color w:val="auto"/>
                <w:spacing w:val="16"/>
                <w:highlight w:val="none"/>
              </w:rPr>
              <w:t>建筑面积</w:t>
            </w:r>
          </w:p>
        </w:tc>
        <w:tc>
          <w:tcPr>
            <w:tcW w:w="1205" w:type="dxa"/>
            <w:gridSpan w:val="2"/>
          </w:tcPr>
          <w:p>
            <w:pPr>
              <w:pStyle w:val="51"/>
              <w:shd w:val="clear" w:color="auto" w:fill="FFFFFF"/>
              <w:spacing w:line="360" w:lineRule="auto"/>
              <w:ind w:firstLine="480" w:firstLineChars="200"/>
              <w:rPr>
                <w:bCs/>
                <w:color w:val="auto"/>
                <w:highlight w:val="none"/>
              </w:rPr>
            </w:pPr>
            <w:r>
              <w:rPr>
                <w:rFonts w:hint="eastAsia"/>
                <w:bCs/>
                <w:color w:val="auto"/>
                <w:highlight w:val="none"/>
              </w:rPr>
              <w:t xml:space="preserve">平方米 </w:t>
            </w:r>
          </w:p>
          <w:p>
            <w:pPr>
              <w:pStyle w:val="51"/>
              <w:shd w:val="clear" w:color="auto" w:fill="FFFFFF"/>
              <w:spacing w:line="360" w:lineRule="auto"/>
              <w:rPr>
                <w:bCs/>
                <w:color w:val="auto"/>
                <w:highlight w:val="none"/>
              </w:rPr>
            </w:pPr>
            <w:r>
              <w:rPr>
                <w:rFonts w:hint="eastAsia"/>
                <w:bCs/>
                <w:color w:val="auto"/>
                <w:spacing w:val="16"/>
                <w:highlight w:val="none"/>
              </w:rPr>
              <w:t>□自有□租賃</w:t>
            </w:r>
          </w:p>
        </w:tc>
        <w:tc>
          <w:tcPr>
            <w:tcW w:w="2001" w:type="dxa"/>
            <w:gridSpan w:val="3"/>
          </w:tcPr>
          <w:p>
            <w:pPr>
              <w:pStyle w:val="51"/>
              <w:shd w:val="clear" w:color="auto" w:fill="FFFFFF"/>
              <w:spacing w:line="360" w:lineRule="auto"/>
              <w:rPr>
                <w:bCs/>
                <w:color w:val="auto"/>
                <w:highlight w:val="none"/>
              </w:rPr>
            </w:pPr>
            <w:r>
              <w:rPr>
                <w:rFonts w:hint="eastAsia"/>
                <w:bCs/>
                <w:color w:val="auto"/>
                <w:spacing w:val="16"/>
                <w:highlight w:val="none"/>
              </w:rPr>
              <w:t>生产经营场所及场所的设施与设备</w:t>
            </w:r>
          </w:p>
        </w:tc>
        <w:tc>
          <w:tcPr>
            <w:tcW w:w="2151" w:type="dxa"/>
            <w:gridSpan w:val="2"/>
          </w:tcPr>
          <w:p>
            <w:pPr>
              <w:pStyle w:val="51"/>
              <w:shd w:val="clear" w:color="auto" w:fill="FFFFFF"/>
              <w:spacing w:before="0" w:beforeAutospacing="0" w:after="0" w:afterAutospacing="0"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82" w:type="dxa"/>
            <w:vMerge w:val="continue"/>
          </w:tcPr>
          <w:p>
            <w:pPr>
              <w:pStyle w:val="51"/>
              <w:shd w:val="clear" w:color="auto" w:fill="FFFFFF"/>
              <w:spacing w:line="360" w:lineRule="auto"/>
              <w:ind w:left="107"/>
              <w:rPr>
                <w:bCs/>
                <w:color w:val="auto"/>
                <w:highlight w:val="none"/>
              </w:rPr>
            </w:pPr>
          </w:p>
        </w:tc>
        <w:tc>
          <w:tcPr>
            <w:tcW w:w="701" w:type="dxa"/>
          </w:tcPr>
          <w:p>
            <w:pPr>
              <w:pStyle w:val="51"/>
              <w:shd w:val="clear" w:color="auto" w:fill="FFFFFF"/>
              <w:spacing w:line="360" w:lineRule="auto"/>
              <w:ind w:left="2"/>
              <w:rPr>
                <w:bCs/>
                <w:color w:val="auto"/>
                <w:spacing w:val="16"/>
                <w:highlight w:val="none"/>
              </w:rPr>
            </w:pPr>
            <w:r>
              <w:rPr>
                <w:rFonts w:hint="eastAsia"/>
                <w:bCs/>
                <w:color w:val="auto"/>
                <w:spacing w:val="16"/>
                <w:highlight w:val="none"/>
              </w:rPr>
              <w:t>注册资金</w:t>
            </w:r>
          </w:p>
        </w:tc>
        <w:tc>
          <w:tcPr>
            <w:tcW w:w="910" w:type="dxa"/>
            <w:gridSpan w:val="2"/>
          </w:tcPr>
          <w:p>
            <w:pPr>
              <w:pStyle w:val="51"/>
              <w:shd w:val="clear" w:color="auto" w:fill="FFFFFF"/>
              <w:spacing w:line="360" w:lineRule="auto"/>
              <w:ind w:left="2"/>
              <w:rPr>
                <w:bCs/>
                <w:color w:val="auto"/>
                <w:highlight w:val="none"/>
              </w:rPr>
            </w:pPr>
          </w:p>
        </w:tc>
        <w:tc>
          <w:tcPr>
            <w:tcW w:w="1163" w:type="dxa"/>
          </w:tcPr>
          <w:p>
            <w:pPr>
              <w:pStyle w:val="51"/>
              <w:shd w:val="clear" w:color="auto" w:fill="FFFFFF"/>
              <w:spacing w:line="360" w:lineRule="auto"/>
              <w:ind w:left="107"/>
              <w:rPr>
                <w:bCs/>
                <w:color w:val="auto"/>
                <w:highlight w:val="none"/>
              </w:rPr>
            </w:pPr>
            <w:r>
              <w:rPr>
                <w:rFonts w:hint="eastAsia"/>
                <w:bCs/>
                <w:color w:val="auto"/>
                <w:spacing w:val="16"/>
                <w:highlight w:val="none"/>
              </w:rPr>
              <w:t>注册发证</w:t>
            </w:r>
            <w:r>
              <w:rPr>
                <w:rFonts w:hint="eastAsia"/>
                <w:bCs/>
                <w:color w:val="auto"/>
                <w:spacing w:val="27"/>
                <w:highlight w:val="none"/>
              </w:rPr>
              <w:t>机关</w:t>
            </w:r>
          </w:p>
        </w:tc>
        <w:tc>
          <w:tcPr>
            <w:tcW w:w="3206" w:type="dxa"/>
            <w:gridSpan w:val="5"/>
          </w:tcPr>
          <w:p>
            <w:pPr>
              <w:widowControl/>
              <w:spacing w:line="360" w:lineRule="auto"/>
              <w:jc w:val="left"/>
              <w:rPr>
                <w:rFonts w:ascii="宋体" w:hAnsi="宋体" w:cs="宋体"/>
                <w:bCs/>
                <w:color w:val="auto"/>
                <w:kern w:val="0"/>
                <w:sz w:val="24"/>
                <w:highlight w:val="none"/>
              </w:rPr>
            </w:pPr>
          </w:p>
          <w:p>
            <w:pPr>
              <w:pStyle w:val="51"/>
              <w:shd w:val="clear" w:color="auto" w:fill="FFFFFF"/>
              <w:spacing w:line="360" w:lineRule="auto"/>
              <w:ind w:left="107"/>
              <w:rPr>
                <w:bCs/>
                <w:color w:val="auto"/>
                <w:highlight w:val="none"/>
              </w:rPr>
            </w:pPr>
          </w:p>
        </w:tc>
        <w:tc>
          <w:tcPr>
            <w:tcW w:w="1218" w:type="dxa"/>
          </w:tcPr>
          <w:p>
            <w:pPr>
              <w:pStyle w:val="51"/>
              <w:shd w:val="clear" w:color="auto" w:fill="FFFFFF"/>
              <w:spacing w:line="360" w:lineRule="auto"/>
              <w:ind w:left="107"/>
              <w:rPr>
                <w:bCs/>
                <w:color w:val="auto"/>
                <w:highlight w:val="none"/>
              </w:rPr>
            </w:pPr>
            <w:r>
              <w:rPr>
                <w:rFonts w:hint="eastAsia"/>
                <w:bCs/>
                <w:color w:val="auto"/>
                <w:highlight w:val="none"/>
              </w:rPr>
              <w:t>公司成</w:t>
            </w:r>
            <w:r>
              <w:rPr>
                <w:rFonts w:hint="eastAsia"/>
                <w:bCs/>
                <w:color w:val="auto"/>
                <w:spacing w:val="12"/>
                <w:highlight w:val="none"/>
              </w:rPr>
              <w:t>立时间</w:t>
            </w:r>
          </w:p>
        </w:tc>
        <w:tc>
          <w:tcPr>
            <w:tcW w:w="933" w:type="dxa"/>
          </w:tcPr>
          <w:p>
            <w:pPr>
              <w:pStyle w:val="51"/>
              <w:shd w:val="clear" w:color="auto" w:fill="FFFFFF"/>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82" w:type="dxa"/>
            <w:vMerge w:val="continue"/>
          </w:tcPr>
          <w:p>
            <w:pPr>
              <w:pStyle w:val="51"/>
              <w:shd w:val="clear" w:color="auto" w:fill="FFFFFF"/>
              <w:spacing w:line="360" w:lineRule="auto"/>
              <w:ind w:left="107"/>
              <w:rPr>
                <w:bCs/>
                <w:color w:val="auto"/>
                <w:highlight w:val="none"/>
              </w:rPr>
            </w:pPr>
          </w:p>
        </w:tc>
        <w:tc>
          <w:tcPr>
            <w:tcW w:w="701" w:type="dxa"/>
          </w:tcPr>
          <w:p>
            <w:pPr>
              <w:pStyle w:val="51"/>
              <w:shd w:val="clear" w:color="auto" w:fill="FFFFFF"/>
              <w:spacing w:line="360" w:lineRule="auto"/>
              <w:ind w:left="2"/>
              <w:rPr>
                <w:bCs/>
                <w:color w:val="auto"/>
                <w:highlight w:val="none"/>
              </w:rPr>
            </w:pPr>
            <w:r>
              <w:rPr>
                <w:rFonts w:hint="eastAsia"/>
                <w:bCs/>
                <w:color w:val="auto"/>
                <w:highlight w:val="none"/>
              </w:rPr>
              <w:t>核准经营范围</w:t>
            </w:r>
          </w:p>
        </w:tc>
        <w:tc>
          <w:tcPr>
            <w:tcW w:w="7430" w:type="dxa"/>
            <w:gridSpan w:val="10"/>
          </w:tcPr>
          <w:p>
            <w:pPr>
              <w:pStyle w:val="51"/>
              <w:shd w:val="clear" w:color="auto" w:fill="FFFFFF"/>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82" w:type="dxa"/>
            <w:vMerge w:val="continue"/>
          </w:tcPr>
          <w:p>
            <w:pPr>
              <w:pStyle w:val="51"/>
              <w:shd w:val="clear" w:color="auto" w:fill="FFFFFF"/>
              <w:spacing w:line="360" w:lineRule="auto"/>
              <w:ind w:left="107"/>
              <w:rPr>
                <w:bCs/>
                <w:color w:val="auto"/>
                <w:highlight w:val="none"/>
              </w:rPr>
            </w:pPr>
          </w:p>
        </w:tc>
        <w:tc>
          <w:tcPr>
            <w:tcW w:w="8131" w:type="dxa"/>
            <w:gridSpan w:val="11"/>
          </w:tcPr>
          <w:p>
            <w:pPr>
              <w:pStyle w:val="51"/>
              <w:shd w:val="clear" w:color="auto" w:fill="FFFFFF"/>
              <w:spacing w:line="360" w:lineRule="auto"/>
              <w:rPr>
                <w:bCs/>
                <w:color w:val="auto"/>
                <w:spacing w:val="13"/>
                <w:highlight w:val="none"/>
              </w:rPr>
            </w:pPr>
            <w:r>
              <w:rPr>
                <w:rFonts w:hint="eastAsia"/>
                <w:bCs/>
                <w:color w:val="auto"/>
                <w:spacing w:val="13"/>
                <w:highlight w:val="none"/>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82" w:type="dxa"/>
            <w:vMerge w:val="restart"/>
          </w:tcPr>
          <w:p>
            <w:pPr>
              <w:pStyle w:val="51"/>
              <w:shd w:val="clear" w:color="auto" w:fill="FFFFFF"/>
              <w:spacing w:line="360" w:lineRule="auto"/>
              <w:ind w:left="107"/>
              <w:rPr>
                <w:bCs/>
                <w:color w:val="auto"/>
                <w:highlight w:val="none"/>
              </w:rPr>
            </w:pPr>
            <w:r>
              <w:rPr>
                <w:bCs/>
                <w:color w:val="auto"/>
                <w:highlight w:val="none"/>
              </w:rPr>
              <w:t>2</w:t>
            </w:r>
            <w:r>
              <w:rPr>
                <w:rFonts w:hint="eastAsia"/>
                <w:bCs/>
                <w:color w:val="auto"/>
                <w:highlight w:val="none"/>
              </w:rPr>
              <w:t>．</w:t>
            </w:r>
          </w:p>
          <w:p>
            <w:pPr>
              <w:pStyle w:val="51"/>
              <w:shd w:val="clear" w:color="auto" w:fill="FFFFFF"/>
              <w:spacing w:line="360" w:lineRule="auto"/>
              <w:ind w:left="107"/>
              <w:rPr>
                <w:bCs/>
                <w:color w:val="auto"/>
                <w:spacing w:val="16"/>
                <w:highlight w:val="none"/>
              </w:rPr>
            </w:pPr>
            <w:r>
              <w:rPr>
                <w:rFonts w:hint="eastAsia"/>
                <w:bCs/>
                <w:color w:val="auto"/>
                <w:highlight w:val="none"/>
              </w:rPr>
              <w:t>企</w:t>
            </w:r>
            <w:r>
              <w:rPr>
                <w:rFonts w:hint="eastAsia"/>
                <w:bCs/>
                <w:color w:val="auto"/>
                <w:spacing w:val="12"/>
                <w:highlight w:val="none"/>
              </w:rPr>
              <w:t>业有关资质获证情况</w:t>
            </w:r>
          </w:p>
        </w:tc>
        <w:tc>
          <w:tcPr>
            <w:tcW w:w="1553" w:type="dxa"/>
            <w:gridSpan w:val="2"/>
            <w:vMerge w:val="restart"/>
          </w:tcPr>
          <w:p>
            <w:pPr>
              <w:pStyle w:val="51"/>
              <w:shd w:val="clear" w:color="auto" w:fill="FFFFFF"/>
              <w:spacing w:before="0" w:beforeAutospacing="0" w:after="0" w:afterAutospacing="0" w:line="360" w:lineRule="auto"/>
              <w:rPr>
                <w:bCs/>
                <w:color w:val="auto"/>
                <w:spacing w:val="16"/>
                <w:highlight w:val="none"/>
              </w:rPr>
            </w:pPr>
            <w:r>
              <w:rPr>
                <w:rFonts w:hint="eastAsia"/>
                <w:bCs/>
                <w:color w:val="auto"/>
                <w:spacing w:val="12"/>
                <w:highlight w:val="none"/>
              </w:rPr>
              <w:t>产品生产许可证情况</w:t>
            </w:r>
            <w:r>
              <w:rPr>
                <w:rFonts w:hint="eastAsia"/>
                <w:bCs/>
                <w:color w:val="auto"/>
                <w:spacing w:val="41"/>
                <w:highlight w:val="none"/>
              </w:rPr>
              <w:t>（对需获得生产许可证的</w:t>
            </w:r>
            <w:r>
              <w:rPr>
                <w:rFonts w:hint="eastAsia"/>
                <w:bCs/>
                <w:color w:val="auto"/>
                <w:spacing w:val="11"/>
                <w:highlight w:val="none"/>
              </w:rPr>
              <w:t>产品要填写此栏）</w:t>
            </w:r>
          </w:p>
        </w:tc>
        <w:tc>
          <w:tcPr>
            <w:tcW w:w="1333" w:type="dxa"/>
            <w:gridSpan w:val="3"/>
          </w:tcPr>
          <w:p>
            <w:pPr>
              <w:pStyle w:val="51"/>
              <w:shd w:val="clear" w:color="auto" w:fill="FFFFFF"/>
              <w:spacing w:line="360" w:lineRule="auto"/>
              <w:ind w:right="-78" w:rightChars="-37"/>
              <w:rPr>
                <w:bCs/>
                <w:color w:val="auto"/>
                <w:spacing w:val="16"/>
                <w:highlight w:val="none"/>
              </w:rPr>
            </w:pPr>
            <w:r>
              <w:rPr>
                <w:rFonts w:hint="eastAsia"/>
                <w:bCs/>
                <w:color w:val="auto"/>
                <w:spacing w:val="16"/>
                <w:highlight w:val="none"/>
              </w:rPr>
              <w:t>产品名称</w:t>
            </w:r>
          </w:p>
        </w:tc>
        <w:tc>
          <w:tcPr>
            <w:tcW w:w="1418" w:type="dxa"/>
            <w:gridSpan w:val="2"/>
          </w:tcPr>
          <w:p>
            <w:pPr>
              <w:pStyle w:val="51"/>
              <w:shd w:val="clear" w:color="auto" w:fill="FFFFFF"/>
              <w:spacing w:before="0" w:beforeAutospacing="0" w:after="0" w:afterAutospacing="0" w:line="360" w:lineRule="auto"/>
              <w:rPr>
                <w:bCs/>
                <w:color w:val="auto"/>
                <w:highlight w:val="none"/>
              </w:rPr>
            </w:pPr>
            <w:r>
              <w:rPr>
                <w:rFonts w:hint="eastAsia"/>
                <w:bCs/>
                <w:color w:val="auto"/>
                <w:spacing w:val="16"/>
                <w:highlight w:val="none"/>
              </w:rPr>
              <w:t>发证机关</w:t>
            </w:r>
          </w:p>
        </w:tc>
        <w:tc>
          <w:tcPr>
            <w:tcW w:w="1276" w:type="dxa"/>
          </w:tcPr>
          <w:p>
            <w:pPr>
              <w:pStyle w:val="51"/>
              <w:shd w:val="clear" w:color="auto" w:fill="FFFFFF"/>
              <w:spacing w:line="360" w:lineRule="auto"/>
              <w:jc w:val="center"/>
              <w:rPr>
                <w:bCs/>
                <w:color w:val="auto"/>
                <w:highlight w:val="none"/>
              </w:rPr>
            </w:pPr>
            <w:r>
              <w:rPr>
                <w:rFonts w:hint="eastAsia"/>
                <w:bCs/>
                <w:color w:val="auto"/>
                <w:spacing w:val="27"/>
                <w:highlight w:val="none"/>
              </w:rPr>
              <w:t>编号</w:t>
            </w:r>
          </w:p>
        </w:tc>
        <w:tc>
          <w:tcPr>
            <w:tcW w:w="1618" w:type="dxa"/>
            <w:gridSpan w:val="2"/>
          </w:tcPr>
          <w:p>
            <w:pPr>
              <w:pStyle w:val="51"/>
              <w:shd w:val="clear" w:color="auto" w:fill="FFFFFF"/>
              <w:spacing w:line="360" w:lineRule="auto"/>
              <w:jc w:val="center"/>
              <w:rPr>
                <w:bCs/>
                <w:color w:val="auto"/>
                <w:highlight w:val="none"/>
              </w:rPr>
            </w:pPr>
            <w:r>
              <w:rPr>
                <w:rFonts w:hint="eastAsia"/>
                <w:bCs/>
                <w:color w:val="auto"/>
                <w:spacing w:val="16"/>
                <w:highlight w:val="none"/>
              </w:rPr>
              <w:t>发证时间</w:t>
            </w:r>
          </w:p>
        </w:tc>
        <w:tc>
          <w:tcPr>
            <w:tcW w:w="933" w:type="dxa"/>
          </w:tcPr>
          <w:p>
            <w:pPr>
              <w:pStyle w:val="51"/>
              <w:shd w:val="clear" w:color="auto" w:fill="FFFFFF"/>
              <w:spacing w:before="0" w:beforeAutospacing="0" w:after="0" w:afterAutospacing="0" w:line="360" w:lineRule="auto"/>
              <w:jc w:val="center"/>
              <w:rPr>
                <w:bCs/>
                <w:color w:val="auto"/>
                <w:highlight w:val="none"/>
              </w:rPr>
            </w:pPr>
            <w:r>
              <w:rPr>
                <w:rFonts w:hint="eastAsia"/>
                <w:bCs/>
                <w:color w:val="auto"/>
                <w:spacing w:val="27"/>
                <w:highlight w:val="none"/>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2" w:type="dxa"/>
            <w:vMerge w:val="continue"/>
          </w:tcPr>
          <w:p>
            <w:pPr>
              <w:pStyle w:val="51"/>
              <w:shd w:val="clear" w:color="auto" w:fill="FFFFFF"/>
              <w:spacing w:line="360" w:lineRule="auto"/>
              <w:ind w:left="107"/>
              <w:rPr>
                <w:bCs/>
                <w:color w:val="auto"/>
                <w:highlight w:val="none"/>
              </w:rPr>
            </w:pPr>
          </w:p>
        </w:tc>
        <w:tc>
          <w:tcPr>
            <w:tcW w:w="1553" w:type="dxa"/>
            <w:gridSpan w:val="2"/>
            <w:vMerge w:val="continue"/>
          </w:tcPr>
          <w:p>
            <w:pPr>
              <w:pStyle w:val="51"/>
              <w:shd w:val="clear" w:color="auto" w:fill="FFFFFF"/>
              <w:spacing w:line="360" w:lineRule="auto"/>
              <w:rPr>
                <w:bCs/>
                <w:color w:val="auto"/>
                <w:highlight w:val="none"/>
              </w:rPr>
            </w:pPr>
          </w:p>
        </w:tc>
        <w:tc>
          <w:tcPr>
            <w:tcW w:w="1333" w:type="dxa"/>
            <w:gridSpan w:val="3"/>
          </w:tcPr>
          <w:p>
            <w:pPr>
              <w:pStyle w:val="51"/>
              <w:shd w:val="clear" w:color="auto" w:fill="FFFFFF"/>
              <w:spacing w:line="360" w:lineRule="auto"/>
              <w:rPr>
                <w:bCs/>
                <w:color w:val="auto"/>
                <w:highlight w:val="none"/>
              </w:rPr>
            </w:pPr>
          </w:p>
        </w:tc>
        <w:tc>
          <w:tcPr>
            <w:tcW w:w="1418" w:type="dxa"/>
            <w:gridSpan w:val="2"/>
          </w:tcPr>
          <w:p>
            <w:pPr>
              <w:pStyle w:val="51"/>
              <w:shd w:val="clear" w:color="auto" w:fill="FFFFFF"/>
              <w:spacing w:line="360" w:lineRule="auto"/>
              <w:rPr>
                <w:bCs/>
                <w:color w:val="auto"/>
                <w:highlight w:val="none"/>
              </w:rPr>
            </w:pPr>
          </w:p>
        </w:tc>
        <w:tc>
          <w:tcPr>
            <w:tcW w:w="1276" w:type="dxa"/>
          </w:tcPr>
          <w:p>
            <w:pPr>
              <w:pStyle w:val="51"/>
              <w:shd w:val="clear" w:color="auto" w:fill="FFFFFF"/>
              <w:spacing w:line="360" w:lineRule="auto"/>
              <w:rPr>
                <w:bCs/>
                <w:color w:val="auto"/>
                <w:highlight w:val="none"/>
              </w:rPr>
            </w:pPr>
          </w:p>
        </w:tc>
        <w:tc>
          <w:tcPr>
            <w:tcW w:w="2551" w:type="dxa"/>
            <w:gridSpan w:val="3"/>
          </w:tcPr>
          <w:p>
            <w:pPr>
              <w:pStyle w:val="51"/>
              <w:shd w:val="clear" w:color="auto" w:fill="FFFFFF"/>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82" w:type="dxa"/>
            <w:vMerge w:val="continue"/>
          </w:tcPr>
          <w:p>
            <w:pPr>
              <w:pStyle w:val="51"/>
              <w:shd w:val="clear" w:color="auto" w:fill="FFFFFF"/>
              <w:spacing w:line="360" w:lineRule="auto"/>
              <w:ind w:left="107"/>
              <w:rPr>
                <w:bCs/>
                <w:color w:val="auto"/>
                <w:spacing w:val="16"/>
                <w:highlight w:val="none"/>
              </w:rPr>
            </w:pPr>
          </w:p>
        </w:tc>
        <w:tc>
          <w:tcPr>
            <w:tcW w:w="1553" w:type="dxa"/>
            <w:gridSpan w:val="2"/>
          </w:tcPr>
          <w:p>
            <w:pPr>
              <w:pStyle w:val="51"/>
              <w:shd w:val="clear" w:color="auto" w:fill="FFFFFF"/>
              <w:spacing w:before="0" w:beforeAutospacing="0" w:after="0" w:afterAutospacing="0" w:line="360" w:lineRule="auto"/>
              <w:ind w:right="-107" w:rightChars="-51"/>
              <w:rPr>
                <w:bCs/>
                <w:color w:val="auto"/>
                <w:spacing w:val="41"/>
                <w:highlight w:val="none"/>
              </w:rPr>
            </w:pPr>
            <w:r>
              <w:rPr>
                <w:rFonts w:hint="eastAsia"/>
                <w:bCs/>
                <w:color w:val="auto"/>
                <w:spacing w:val="41"/>
                <w:highlight w:val="none"/>
              </w:rPr>
              <w:t>企业通过质量体系、环保</w:t>
            </w:r>
            <w:r>
              <w:rPr>
                <w:rFonts w:hint="eastAsia"/>
                <w:bCs/>
                <w:color w:val="auto"/>
                <w:spacing w:val="11"/>
                <w:highlight w:val="none"/>
              </w:rPr>
              <w:t>体系、计量等认证情况</w:t>
            </w:r>
          </w:p>
        </w:tc>
        <w:tc>
          <w:tcPr>
            <w:tcW w:w="6578" w:type="dxa"/>
            <w:gridSpan w:val="9"/>
          </w:tcPr>
          <w:p>
            <w:pPr>
              <w:pStyle w:val="51"/>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682" w:type="dxa"/>
            <w:vMerge w:val="continue"/>
          </w:tcPr>
          <w:p>
            <w:pPr>
              <w:pStyle w:val="51"/>
              <w:shd w:val="clear" w:color="auto" w:fill="FFFFFF"/>
              <w:spacing w:line="360" w:lineRule="auto"/>
              <w:ind w:left="107"/>
              <w:rPr>
                <w:bCs/>
                <w:color w:val="auto"/>
                <w:spacing w:val="27"/>
                <w:highlight w:val="none"/>
              </w:rPr>
            </w:pPr>
          </w:p>
        </w:tc>
        <w:tc>
          <w:tcPr>
            <w:tcW w:w="1553" w:type="dxa"/>
            <w:gridSpan w:val="2"/>
          </w:tcPr>
          <w:p>
            <w:pPr>
              <w:pStyle w:val="51"/>
              <w:shd w:val="clear" w:color="auto" w:fill="FFFFFF"/>
              <w:spacing w:line="360" w:lineRule="auto"/>
              <w:rPr>
                <w:bCs/>
                <w:color w:val="auto"/>
                <w:spacing w:val="16"/>
                <w:highlight w:val="none"/>
              </w:rPr>
            </w:pPr>
            <w:r>
              <w:rPr>
                <w:rFonts w:hint="eastAsia"/>
                <w:bCs/>
                <w:color w:val="auto"/>
                <w:spacing w:val="10"/>
                <w:highlight w:val="none"/>
              </w:rPr>
              <w:t>企业获得专利情况</w:t>
            </w:r>
          </w:p>
        </w:tc>
        <w:tc>
          <w:tcPr>
            <w:tcW w:w="6578" w:type="dxa"/>
            <w:gridSpan w:val="9"/>
          </w:tcPr>
          <w:p>
            <w:pPr>
              <w:pStyle w:val="51"/>
              <w:shd w:val="clear" w:color="auto" w:fill="FFFFFF"/>
              <w:spacing w:line="360" w:lineRule="auto"/>
              <w:rPr>
                <w:bCs/>
                <w:color w:val="auto"/>
                <w:spacing w:val="16"/>
                <w:highlight w:val="none"/>
              </w:rPr>
            </w:pPr>
          </w:p>
        </w:tc>
      </w:tr>
    </w:tbl>
    <w:p>
      <w:pPr>
        <w:pStyle w:val="51"/>
        <w:shd w:val="clear" w:color="auto" w:fill="FFFFFF"/>
        <w:spacing w:before="0" w:beforeAutospacing="0" w:after="0" w:afterAutospacing="0" w:line="360" w:lineRule="auto"/>
        <w:rPr>
          <w:b/>
          <w:color w:val="auto"/>
          <w:sz w:val="21"/>
          <w:szCs w:val="21"/>
          <w:highlight w:val="none"/>
        </w:rPr>
      </w:pPr>
      <w:r>
        <w:rPr>
          <w:rFonts w:hint="eastAsia"/>
          <w:b/>
          <w:color w:val="auto"/>
          <w:sz w:val="21"/>
          <w:szCs w:val="21"/>
          <w:highlight w:val="none"/>
        </w:rPr>
        <w:t>要求：</w:t>
      </w:r>
    </w:p>
    <w:p>
      <w:pPr>
        <w:pStyle w:val="51"/>
        <w:shd w:val="clear" w:color="auto" w:fill="FFFFFF"/>
        <w:spacing w:before="0" w:beforeAutospacing="0" w:after="0" w:afterAutospacing="0" w:line="360" w:lineRule="auto"/>
        <w:ind w:firstLine="424" w:firstLineChars="202"/>
        <w:rPr>
          <w:color w:val="auto"/>
          <w:sz w:val="21"/>
          <w:szCs w:val="21"/>
          <w:highlight w:val="none"/>
        </w:rPr>
      </w:pPr>
      <w:r>
        <w:rPr>
          <w:rFonts w:hint="eastAsia" w:ascii="仿宋_GB2312" w:eastAsia="仿宋_GB2312"/>
          <w:color w:val="auto"/>
          <w:sz w:val="21"/>
          <w:szCs w:val="21"/>
          <w:highlight w:val="none"/>
        </w:rPr>
        <w:t>1.</w:t>
      </w:r>
      <w:r>
        <w:rPr>
          <w:rFonts w:hint="eastAsia"/>
          <w:color w:val="auto"/>
          <w:sz w:val="21"/>
          <w:szCs w:val="21"/>
          <w:highlight w:val="none"/>
        </w:rPr>
        <w:t>姓名栏必须将所有股东都统计在内，若非股份公司此行（第三行）无需填写；</w:t>
      </w:r>
    </w:p>
    <w:p>
      <w:pPr>
        <w:spacing w:line="360" w:lineRule="auto"/>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pStyle w:val="51"/>
        <w:shd w:val="clear" w:color="auto" w:fill="FFFFFF"/>
        <w:spacing w:before="0" w:beforeAutospacing="0" w:after="0" w:afterAutospacing="0" w:line="360" w:lineRule="auto"/>
        <w:ind w:firstLine="424" w:firstLineChars="177"/>
        <w:rPr>
          <w:b/>
          <w:bCs/>
          <w:color w:val="auto"/>
          <w:spacing w:val="11"/>
          <w:highlight w:val="none"/>
        </w:rPr>
      </w:pPr>
      <w:r>
        <w:rPr>
          <w:rFonts w:hint="eastAsia"/>
          <w:color w:val="auto"/>
          <w:highlight w:val="none"/>
        </w:rPr>
        <w:t>日        期：：</w:t>
      </w:r>
    </w:p>
    <w:p>
      <w:pPr>
        <w:spacing w:line="360" w:lineRule="auto"/>
        <w:rPr>
          <w:rFonts w:ascii="宋体" w:hAnsi="宋体"/>
          <w:b/>
          <w:color w:val="auto"/>
          <w:sz w:val="24"/>
          <w:highlight w:val="none"/>
        </w:rPr>
      </w:pPr>
    </w:p>
    <w:p>
      <w:pPr>
        <w:spacing w:line="360" w:lineRule="auto"/>
        <w:ind w:firstLine="435"/>
        <w:rPr>
          <w:rFonts w:ascii="宋体" w:hAnsi="宋体"/>
          <w:b/>
          <w:color w:val="auto"/>
          <w:sz w:val="28"/>
          <w:highlight w:val="none"/>
        </w:rPr>
        <w:sectPr>
          <w:pgSz w:w="11906" w:h="16838"/>
          <w:pgMar w:top="1440" w:right="1800" w:bottom="1440" w:left="1800" w:header="851" w:footer="992" w:gutter="0"/>
          <w:pgNumType w:fmt="numberInDash"/>
          <w:cols w:space="425" w:num="1"/>
          <w:docGrid w:type="lines" w:linePitch="312" w:charSpace="0"/>
        </w:sectPr>
      </w:pPr>
    </w:p>
    <w:p>
      <w:pPr>
        <w:spacing w:line="360" w:lineRule="auto"/>
        <w:ind w:firstLine="435"/>
        <w:rPr>
          <w:rFonts w:ascii="宋体" w:hAnsi="宋体"/>
          <w:color w:val="auto"/>
          <w:sz w:val="24"/>
          <w:highlight w:val="none"/>
        </w:rPr>
      </w:pPr>
      <w:r>
        <w:rPr>
          <w:rFonts w:hint="eastAsia" w:ascii="宋体" w:hAnsi="宋体"/>
          <w:b/>
          <w:color w:val="auto"/>
          <w:sz w:val="28"/>
          <w:highlight w:val="none"/>
        </w:rPr>
        <w:t>附件</w:t>
      </w:r>
      <w:r>
        <w:rPr>
          <w:rFonts w:ascii="宋体" w:hAnsi="宋体"/>
          <w:b/>
          <w:color w:val="auto"/>
          <w:sz w:val="28"/>
          <w:highlight w:val="none"/>
        </w:rPr>
        <w:t>4</w:t>
      </w:r>
    </w:p>
    <w:p>
      <w:pPr>
        <w:snapToGrid w:val="0"/>
        <w:spacing w:before="156" w:beforeLines="50" w:after="50" w:line="360" w:lineRule="auto"/>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项目实施人员一览表（标段）</w:t>
      </w:r>
    </w:p>
    <w:p>
      <w:pPr>
        <w:snapToGrid w:val="0"/>
        <w:spacing w:before="156" w:beforeLines="50" w:after="50" w:line="360" w:lineRule="auto"/>
        <w:ind w:firstLine="2400" w:firstLineChars="1000"/>
        <w:rPr>
          <w:rFonts w:ascii="宋体" w:hAnsi="宋体"/>
          <w:color w:val="auto"/>
          <w:sz w:val="24"/>
          <w:highlight w:val="none"/>
        </w:rPr>
      </w:pPr>
      <w:r>
        <w:rPr>
          <w:rFonts w:hint="eastAsia" w:ascii="宋体" w:hAnsi="宋体"/>
          <w:color w:val="auto"/>
          <w:sz w:val="24"/>
          <w:highlight w:val="none"/>
        </w:rPr>
        <w:t>（主要从业人员及其技术资格）</w:t>
      </w:r>
    </w:p>
    <w:tbl>
      <w:tblPr>
        <w:tblStyle w:val="35"/>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szCs w:val="20"/>
                <w:highlight w:val="none"/>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szCs w:val="20"/>
                <w:highlight w:val="none"/>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auto"/>
                <w:sz w:val="24"/>
                <w:szCs w:val="20"/>
                <w:highlight w:val="none"/>
              </w:rPr>
            </w:pPr>
            <w:r>
              <w:rPr>
                <w:rFonts w:hint="eastAsia" w:ascii="宋体" w:hAnsi="宋体"/>
                <w:b/>
                <w:bCs/>
                <w:color w:val="auto"/>
                <w:sz w:val="24"/>
                <w:highlight w:val="none"/>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auto"/>
                <w:sz w:val="24"/>
                <w:szCs w:val="20"/>
                <w:highlight w:val="none"/>
              </w:rPr>
            </w:pPr>
            <w:r>
              <w:rPr>
                <w:rFonts w:hint="eastAsia" w:ascii="宋体" w:hAnsi="宋体"/>
                <w:b/>
                <w:color w:val="auto"/>
                <w:sz w:val="24"/>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pStyle w:val="23"/>
              <w:snapToGrid w:val="0"/>
              <w:spacing w:before="156" w:beforeLines="50" w:after="50" w:line="360" w:lineRule="auto"/>
              <w:ind w:left="5250"/>
              <w:rPr>
                <w:rFonts w:ascii="宋体" w:hAnsi="宋体" w:eastAsia="宋体"/>
                <w:b/>
                <w:color w:val="auto"/>
                <w:kern w:val="44"/>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pStyle w:val="23"/>
              <w:snapToGrid w:val="0"/>
              <w:spacing w:before="156" w:beforeLines="50" w:after="50" w:line="360" w:lineRule="auto"/>
              <w:ind w:left="5250"/>
              <w:rPr>
                <w:rFonts w:ascii="宋体" w:hAnsi="宋体" w:eastAsia="宋体"/>
                <w:b/>
                <w:color w:val="auto"/>
                <w:kern w:val="44"/>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23"/>
              <w:spacing w:line="360" w:lineRule="auto"/>
              <w:ind w:left="5250"/>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auto"/>
                <w:kern w:val="44"/>
                <w:sz w:val="24"/>
                <w:szCs w:val="20"/>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7"/>
        <w:rPr>
          <w:rFonts w:ascii="宋体" w:hAnsi="宋体"/>
          <w:color w:val="auto"/>
          <w:szCs w:val="21"/>
          <w:highlight w:val="none"/>
        </w:rPr>
      </w:pPr>
      <w:r>
        <w:rPr>
          <w:rFonts w:hint="eastAsia" w:ascii="宋体" w:hAnsi="宋体"/>
          <w:b/>
          <w:color w:val="auto"/>
          <w:szCs w:val="21"/>
          <w:highlight w:val="none"/>
        </w:rPr>
        <w:t>1.</w:t>
      </w:r>
      <w:r>
        <w:rPr>
          <w:rFonts w:hint="eastAsia" w:ascii="宋体" w:hAnsi="宋体"/>
          <w:color w:val="auto"/>
          <w:szCs w:val="21"/>
          <w:highlight w:val="none"/>
        </w:rPr>
        <w:t>在填写时，如本表格不适合投标单位的实际情况，可根据本表格式自行划表填写。</w:t>
      </w:r>
    </w:p>
    <w:p>
      <w:pPr>
        <w:pStyle w:val="52"/>
        <w:spacing w:line="360" w:lineRule="auto"/>
        <w:ind w:left="424" w:leftChars="202"/>
        <w:rPr>
          <w:rFonts w:ascii="宋体" w:hAnsi="宋体"/>
          <w:color w:val="auto"/>
          <w:szCs w:val="21"/>
          <w:highlight w:val="none"/>
        </w:rPr>
      </w:pPr>
      <w:r>
        <w:rPr>
          <w:rFonts w:hint="eastAsia" w:ascii="宋体" w:hAnsi="宋体"/>
          <w:color w:val="auto"/>
          <w:szCs w:val="21"/>
          <w:highlight w:val="none"/>
        </w:rPr>
        <w:t>2.附人员证书扫描件；</w:t>
      </w:r>
    </w:p>
    <w:p>
      <w:pPr>
        <w:pStyle w:val="52"/>
        <w:spacing w:line="360" w:lineRule="auto"/>
        <w:ind w:left="424" w:hanging="424" w:hangingChars="202"/>
        <w:rPr>
          <w:rFonts w:ascii="宋体" w:hAnsi="宋体"/>
          <w:color w:val="auto"/>
          <w:szCs w:val="21"/>
          <w:highlight w:val="none"/>
        </w:rPr>
      </w:pPr>
      <w:r>
        <w:rPr>
          <w:rFonts w:hint="eastAsia" w:ascii="宋体" w:hAnsi="宋体"/>
          <w:color w:val="auto"/>
          <w:szCs w:val="21"/>
          <w:highlight w:val="none"/>
        </w:rPr>
        <w:t>　　3.出具上述人员在本单位服务的外部证明，如：</w:t>
      </w:r>
      <w:r>
        <w:rPr>
          <w:rFonts w:ascii="宋体" w:hAnsi="宋体"/>
          <w:color w:val="auto"/>
          <w:szCs w:val="21"/>
          <w:highlight w:val="none"/>
        </w:rPr>
        <w:t>投标截止日之前</w:t>
      </w:r>
      <w:r>
        <w:rPr>
          <w:rFonts w:hint="eastAsia" w:ascii="宋体" w:hAnsi="宋体"/>
          <w:color w:val="auto"/>
          <w:szCs w:val="21"/>
          <w:highlight w:val="none"/>
        </w:rPr>
        <w:t>近六</w:t>
      </w:r>
      <w:r>
        <w:rPr>
          <w:rFonts w:ascii="宋体" w:hAnsi="宋体"/>
          <w:color w:val="auto"/>
          <w:szCs w:val="21"/>
          <w:highlight w:val="none"/>
        </w:rPr>
        <w:t>个月的</w:t>
      </w:r>
      <w:r>
        <w:rPr>
          <w:rFonts w:hint="eastAsia" w:ascii="宋体" w:hAnsi="宋体"/>
          <w:color w:val="auto"/>
          <w:szCs w:val="21"/>
          <w:highlight w:val="none"/>
        </w:rPr>
        <w:t>代缴个税税单、参加社会保险的《投保单》或《社会保险参保人员证明》等。</w:t>
      </w:r>
    </w:p>
    <w:p>
      <w:pPr>
        <w:snapToGrid w:val="0"/>
        <w:spacing w:before="50" w:after="156" w:afterLines="50" w:line="360" w:lineRule="auto"/>
        <w:jc w:val="left"/>
        <w:rPr>
          <w:rFonts w:ascii="宋体" w:hAnsi="宋体"/>
          <w:color w:val="auto"/>
          <w:sz w:val="24"/>
          <w:szCs w:val="20"/>
          <w:highlight w:val="none"/>
        </w:rPr>
      </w:pPr>
    </w:p>
    <w:p>
      <w:pPr>
        <w:snapToGrid w:val="0"/>
        <w:spacing w:before="50" w:after="156" w:afterLines="50" w:line="360" w:lineRule="auto"/>
        <w:jc w:val="left"/>
        <w:rPr>
          <w:rFonts w:ascii="宋体" w:hAnsi="宋体"/>
          <w:color w:val="auto"/>
          <w:sz w:val="24"/>
          <w:szCs w:val="20"/>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pacing w:line="360" w:lineRule="auto"/>
        <w:ind w:firstLine="435"/>
        <w:rPr>
          <w:rFonts w:ascii="宋体" w:hAnsi="宋体"/>
          <w:color w:val="auto"/>
          <w:highlight w:val="none"/>
        </w:rPr>
      </w:pPr>
      <w:r>
        <w:rPr>
          <w:rFonts w:hint="eastAsia" w:ascii="宋体" w:hAnsi="宋体"/>
          <w:b/>
          <w:color w:val="auto"/>
          <w:sz w:val="28"/>
          <w:highlight w:val="none"/>
        </w:rPr>
        <w:t>附件</w:t>
      </w:r>
      <w:r>
        <w:rPr>
          <w:rFonts w:ascii="宋体" w:hAnsi="宋体"/>
          <w:b/>
          <w:color w:val="auto"/>
          <w:sz w:val="28"/>
          <w:highlight w:val="none"/>
        </w:rPr>
        <w:t>5</w:t>
      </w:r>
    </w:p>
    <w:p>
      <w:pPr>
        <w:spacing w:before="156" w:beforeLines="50" w:after="156" w:afterLines="50" w:line="360" w:lineRule="auto"/>
        <w:ind w:right="-10"/>
        <w:jc w:val="center"/>
        <w:rPr>
          <w:rFonts w:ascii="宋体" w:hAnsi="宋体"/>
          <w:b/>
          <w:bCs/>
          <w:color w:val="auto"/>
          <w:sz w:val="32"/>
          <w:szCs w:val="32"/>
          <w:highlight w:val="none"/>
        </w:rPr>
      </w:pPr>
      <w:r>
        <w:rPr>
          <w:rFonts w:hint="eastAsia" w:ascii="宋体" w:hAnsi="宋体"/>
          <w:b/>
          <w:bCs/>
          <w:color w:val="auto"/>
          <w:sz w:val="32"/>
          <w:szCs w:val="32"/>
          <w:highlight w:val="none"/>
        </w:rPr>
        <w:t>项目负责人资格情况表</w:t>
      </w:r>
    </w:p>
    <w:p>
      <w:pPr>
        <w:spacing w:line="360" w:lineRule="auto"/>
        <w:rPr>
          <w:rFonts w:ascii="宋体" w:hAnsi="宋体"/>
          <w:color w:val="auto"/>
          <w:highlight w:val="none"/>
        </w:rPr>
      </w:pPr>
      <w:r>
        <w:rPr>
          <w:rFonts w:hint="eastAsia" w:ascii="宋体" w:hAnsi="宋体"/>
          <w:color w:val="auto"/>
          <w:highlight w:val="none"/>
        </w:rPr>
        <w:t>采购项目：                                            标段</w:t>
      </w:r>
      <w:r>
        <w:rPr>
          <w:rFonts w:ascii="宋体" w:hAnsi="宋体"/>
          <w:color w:val="auto"/>
          <w:highlight w:val="none"/>
        </w:rPr>
        <w:t>号</w:t>
      </w:r>
      <w:r>
        <w:rPr>
          <w:rFonts w:hint="eastAsia" w:ascii="宋体" w:hAnsi="宋体"/>
          <w:color w:val="auto"/>
          <w:highlight w:val="none"/>
        </w:rPr>
        <w:t>：</w:t>
      </w:r>
    </w:p>
    <w:tbl>
      <w:tblPr>
        <w:tblStyle w:val="35"/>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rPr>
            </w:pPr>
            <w:r>
              <w:rPr>
                <w:rFonts w:hint="eastAsia" w:ascii="宋体" w:hAnsi="宋体"/>
                <w:color w:val="auto"/>
                <w:highlight w:val="none"/>
              </w:rPr>
              <w:t>注：业绩证明应提供旁证材料</w:t>
            </w:r>
          </w:p>
          <w:p>
            <w:pPr>
              <w:autoSpaceDE w:val="0"/>
              <w:autoSpaceDN w:val="0"/>
              <w:adjustRightInd w:val="0"/>
              <w:snapToGrid w:val="0"/>
              <w:spacing w:line="360" w:lineRule="auto"/>
              <w:jc w:val="center"/>
              <w:rPr>
                <w:rFonts w:ascii="宋体" w:hAnsi="宋体"/>
                <w:color w:val="auto"/>
                <w:highlight w:val="none"/>
                <w:lang w:val="zh-CN"/>
              </w:rPr>
            </w:pPr>
            <w:r>
              <w:rPr>
                <w:rFonts w:hint="eastAsia" w:ascii="宋体" w:hAnsi="宋体"/>
                <w:color w:val="auto"/>
                <w:highlight w:val="none"/>
              </w:rPr>
              <w:t>（用人单位工作证明或劳务合同）。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bl>
    <w:p>
      <w:pPr>
        <w:spacing w:line="360" w:lineRule="auto"/>
        <w:ind w:left="420"/>
        <w:rPr>
          <w:rFonts w:ascii="宋体" w:hAnsi="宋体"/>
          <w:color w:val="auto"/>
          <w:sz w:val="24"/>
          <w:highlight w:val="none"/>
        </w:rPr>
      </w:pP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b/>
          <w:color w:val="auto"/>
          <w:sz w:val="28"/>
          <w:highlight w:val="none"/>
        </w:rPr>
      </w:pPr>
      <w:r>
        <w:rPr>
          <w:rFonts w:hint="eastAsia" w:ascii="宋体" w:hAnsi="宋体"/>
          <w:color w:val="auto"/>
          <w:sz w:val="24"/>
          <w:highlight w:val="none"/>
        </w:rPr>
        <w:t>日        期：</w:t>
      </w:r>
    </w:p>
    <w:p>
      <w:pPr>
        <w:snapToGrid w:val="0"/>
        <w:spacing w:before="50" w:after="50" w:line="360" w:lineRule="auto"/>
        <w:rPr>
          <w:rFonts w:ascii="宋体" w:hAnsi="宋体"/>
          <w:b/>
          <w:color w:val="auto"/>
          <w:sz w:val="28"/>
          <w:highlight w:val="none"/>
        </w:rPr>
        <w:sectPr>
          <w:pgSz w:w="11906" w:h="16838"/>
          <w:pgMar w:top="1440" w:right="1800" w:bottom="1440" w:left="1800" w:header="851" w:footer="992" w:gutter="0"/>
          <w:pgNumType w:fmt="numberInDash"/>
          <w:cols w:space="425" w:num="1"/>
          <w:docGrid w:type="lines" w:linePitch="312" w:charSpace="0"/>
        </w:sectPr>
      </w:pPr>
    </w:p>
    <w:p>
      <w:pPr>
        <w:snapToGrid w:val="0"/>
        <w:spacing w:before="50" w:after="50" w:line="360" w:lineRule="auto"/>
        <w:rPr>
          <w:rFonts w:ascii="宋体" w:hAnsi="宋体"/>
          <w:b/>
          <w:color w:val="auto"/>
          <w:sz w:val="28"/>
          <w:highlight w:val="none"/>
        </w:rPr>
      </w:pPr>
      <w:r>
        <w:rPr>
          <w:rFonts w:hint="eastAsia" w:ascii="宋体" w:hAnsi="宋体"/>
          <w:b/>
          <w:color w:val="auto"/>
          <w:sz w:val="28"/>
          <w:highlight w:val="none"/>
        </w:rPr>
        <w:t>附件6</w:t>
      </w:r>
    </w:p>
    <w:p>
      <w:pPr>
        <w:pStyle w:val="22"/>
        <w:adjustRightInd w:val="0"/>
        <w:snapToGrid w:val="0"/>
        <w:spacing w:line="360" w:lineRule="auto"/>
        <w:jc w:val="center"/>
        <w:rPr>
          <w:rFonts w:hAnsi="宋体"/>
          <w:b/>
          <w:color w:val="auto"/>
          <w:sz w:val="32"/>
          <w:szCs w:val="32"/>
          <w:highlight w:val="none"/>
        </w:rPr>
      </w:pPr>
      <w:r>
        <w:rPr>
          <w:rFonts w:hint="eastAsia" w:hAnsi="宋体"/>
          <w:b/>
          <w:color w:val="auto"/>
          <w:sz w:val="32"/>
          <w:szCs w:val="32"/>
          <w:highlight w:val="none"/>
        </w:rPr>
        <w:t>商务及技术响应表</w:t>
      </w:r>
    </w:p>
    <w:p>
      <w:pPr>
        <w:pStyle w:val="22"/>
        <w:adjustRightInd w:val="0"/>
        <w:snapToGrid w:val="0"/>
        <w:spacing w:line="360" w:lineRule="auto"/>
        <w:jc w:val="left"/>
        <w:rPr>
          <w:rFonts w:hAnsi="宋体" w:cs="Tahoma"/>
          <w:b/>
          <w:color w:val="auto"/>
          <w:sz w:val="24"/>
          <w:highlight w:val="none"/>
        </w:rPr>
      </w:pPr>
      <w:r>
        <w:rPr>
          <w:rFonts w:hint="eastAsia" w:hAnsi="宋体"/>
          <w:b/>
          <w:bCs/>
          <w:color w:val="auto"/>
          <w:sz w:val="24"/>
          <w:highlight w:val="none"/>
        </w:rPr>
        <w:t>项目名称及编号：</w:t>
      </w:r>
    </w:p>
    <w:tbl>
      <w:tblPr>
        <w:tblStyle w:val="35"/>
        <w:tblW w:w="8739" w:type="dxa"/>
        <w:tblInd w:w="0" w:type="dxa"/>
        <w:tblLayout w:type="fixed"/>
        <w:tblCellMar>
          <w:top w:w="0" w:type="dxa"/>
          <w:left w:w="108" w:type="dxa"/>
          <w:bottom w:w="0" w:type="dxa"/>
          <w:right w:w="108" w:type="dxa"/>
        </w:tblCellMar>
      </w:tblPr>
      <w:tblGrid>
        <w:gridCol w:w="1195"/>
        <w:gridCol w:w="2171"/>
        <w:gridCol w:w="2001"/>
        <w:gridCol w:w="1971"/>
        <w:gridCol w:w="1401"/>
      </w:tblGrid>
      <w:tr>
        <w:tblPrEx>
          <w:tblCellMar>
            <w:top w:w="0" w:type="dxa"/>
            <w:left w:w="108" w:type="dxa"/>
            <w:bottom w:w="0" w:type="dxa"/>
            <w:right w:w="108" w:type="dxa"/>
          </w:tblCellMar>
        </w:tblPrEx>
        <w:trPr>
          <w:trHeight w:val="809" w:hRule="atLeast"/>
        </w:trPr>
        <w:tc>
          <w:tcPr>
            <w:tcW w:w="1195"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s="楷体_GB2312"/>
                <w:bCs/>
                <w:color w:val="auto"/>
                <w:spacing w:val="10"/>
                <w:kern w:val="0"/>
                <w:sz w:val="24"/>
                <w:szCs w:val="22"/>
                <w:highlight w:val="none"/>
              </w:rPr>
            </w:pPr>
            <w:r>
              <w:rPr>
                <w:rFonts w:hint="eastAsia" w:hAnsi="宋体" w:cs="楷体_GB2312"/>
                <w:bCs/>
                <w:color w:val="auto"/>
                <w:spacing w:val="10"/>
                <w:kern w:val="0"/>
                <w:sz w:val="24"/>
                <w:szCs w:val="22"/>
                <w:highlight w:val="none"/>
              </w:rPr>
              <w:t>类别</w:t>
            </w:r>
          </w:p>
        </w:tc>
        <w:tc>
          <w:tcPr>
            <w:tcW w:w="21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s="楷体_GB2312"/>
                <w:bCs/>
                <w:color w:val="auto"/>
                <w:spacing w:val="10"/>
                <w:kern w:val="0"/>
                <w:sz w:val="24"/>
                <w:szCs w:val="22"/>
                <w:highlight w:val="none"/>
              </w:rPr>
            </w:pPr>
            <w:r>
              <w:rPr>
                <w:rFonts w:hint="eastAsia" w:hAnsi="宋体" w:cs="楷体_GB2312"/>
                <w:bCs/>
                <w:color w:val="auto"/>
                <w:spacing w:val="10"/>
                <w:kern w:val="0"/>
                <w:sz w:val="24"/>
                <w:szCs w:val="22"/>
                <w:highlight w:val="none"/>
              </w:rPr>
              <w:t>内容</w:t>
            </w:r>
          </w:p>
        </w:tc>
        <w:tc>
          <w:tcPr>
            <w:tcW w:w="20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s="楷体_GB2312"/>
                <w:bCs/>
                <w:color w:val="auto"/>
                <w:spacing w:val="10"/>
                <w:kern w:val="0"/>
                <w:sz w:val="24"/>
                <w:szCs w:val="22"/>
                <w:highlight w:val="none"/>
              </w:rPr>
            </w:pPr>
            <w:r>
              <w:rPr>
                <w:rFonts w:hint="eastAsia" w:hAnsi="宋体" w:cs="楷体_GB2312"/>
                <w:bCs/>
                <w:color w:val="auto"/>
                <w:spacing w:val="10"/>
                <w:kern w:val="0"/>
                <w:sz w:val="24"/>
                <w:szCs w:val="22"/>
                <w:highlight w:val="none"/>
              </w:rPr>
              <w:t>招标文件技术（或</w:t>
            </w:r>
            <w:r>
              <w:rPr>
                <w:rFonts w:hAnsi="宋体" w:cs="楷体_GB2312"/>
                <w:bCs/>
                <w:color w:val="auto"/>
                <w:spacing w:val="10"/>
                <w:kern w:val="0"/>
                <w:sz w:val="24"/>
                <w:szCs w:val="22"/>
                <w:highlight w:val="none"/>
              </w:rPr>
              <w:t>商务</w:t>
            </w:r>
            <w:r>
              <w:rPr>
                <w:rFonts w:hint="eastAsia" w:hAnsi="宋体" w:cs="楷体_GB2312"/>
                <w:bCs/>
                <w:color w:val="auto"/>
                <w:spacing w:val="10"/>
                <w:kern w:val="0"/>
                <w:sz w:val="24"/>
                <w:szCs w:val="22"/>
                <w:highlight w:val="none"/>
              </w:rPr>
              <w:t>）要求</w:t>
            </w: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s="楷体_GB2312"/>
                <w:bCs/>
                <w:color w:val="auto"/>
                <w:spacing w:val="10"/>
                <w:kern w:val="0"/>
                <w:sz w:val="24"/>
                <w:szCs w:val="22"/>
                <w:highlight w:val="none"/>
              </w:rPr>
            </w:pPr>
            <w:r>
              <w:rPr>
                <w:rFonts w:hint="eastAsia" w:hAnsi="宋体" w:cs="楷体_GB2312"/>
                <w:bCs/>
                <w:color w:val="auto"/>
                <w:spacing w:val="10"/>
                <w:kern w:val="0"/>
                <w:sz w:val="24"/>
                <w:szCs w:val="22"/>
                <w:highlight w:val="none"/>
              </w:rPr>
              <w:t>投标文件技术（或</w:t>
            </w:r>
            <w:r>
              <w:rPr>
                <w:rFonts w:hAnsi="宋体" w:cs="楷体_GB2312"/>
                <w:bCs/>
                <w:color w:val="auto"/>
                <w:spacing w:val="10"/>
                <w:kern w:val="0"/>
                <w:sz w:val="24"/>
                <w:szCs w:val="22"/>
                <w:highlight w:val="none"/>
              </w:rPr>
              <w:t>商务</w:t>
            </w:r>
            <w:r>
              <w:rPr>
                <w:rFonts w:hint="eastAsia" w:hAnsi="宋体" w:cs="楷体_GB2312"/>
                <w:bCs/>
                <w:color w:val="auto"/>
                <w:spacing w:val="10"/>
                <w:kern w:val="0"/>
                <w:sz w:val="24"/>
                <w:szCs w:val="22"/>
                <w:highlight w:val="none"/>
              </w:rPr>
              <w:t>）响应</w:t>
            </w: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s="楷体_GB2312"/>
                <w:bCs/>
                <w:color w:val="auto"/>
                <w:spacing w:val="10"/>
                <w:kern w:val="0"/>
                <w:sz w:val="24"/>
                <w:szCs w:val="22"/>
                <w:highlight w:val="none"/>
              </w:rPr>
            </w:pPr>
            <w:r>
              <w:rPr>
                <w:rFonts w:hint="eastAsia" w:hAnsi="宋体" w:cs="楷体_GB2312"/>
                <w:bCs/>
                <w:color w:val="auto"/>
                <w:spacing w:val="10"/>
                <w:kern w:val="0"/>
                <w:sz w:val="24"/>
                <w:szCs w:val="22"/>
                <w:highlight w:val="none"/>
              </w:rPr>
              <w:t>偏离情况</w:t>
            </w:r>
          </w:p>
        </w:tc>
      </w:tr>
      <w:tr>
        <w:tblPrEx>
          <w:tblCellMar>
            <w:top w:w="0" w:type="dxa"/>
            <w:left w:w="108" w:type="dxa"/>
            <w:bottom w:w="0" w:type="dxa"/>
            <w:right w:w="108" w:type="dxa"/>
          </w:tblCellMar>
        </w:tblPrEx>
        <w:trPr>
          <w:trHeight w:val="206" w:hRule="atLeast"/>
        </w:trPr>
        <w:tc>
          <w:tcPr>
            <w:tcW w:w="119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楷体_GB2312"/>
                <w:color w:val="auto"/>
                <w:kern w:val="0"/>
                <w:sz w:val="22"/>
                <w:szCs w:val="22"/>
                <w:highlight w:val="none"/>
              </w:rPr>
            </w:pPr>
            <w:r>
              <w:rPr>
                <w:rFonts w:hint="eastAsia" w:ascii="宋体" w:hAnsi="宋体" w:cs="楷体_GB2312"/>
                <w:color w:val="auto"/>
                <w:kern w:val="0"/>
                <w:sz w:val="22"/>
                <w:szCs w:val="22"/>
                <w:highlight w:val="none"/>
              </w:rPr>
              <w:t>响应情况</w:t>
            </w:r>
          </w:p>
        </w:tc>
        <w:tc>
          <w:tcPr>
            <w:tcW w:w="21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楷体_GB2312"/>
                <w:bCs/>
                <w:color w:val="auto"/>
                <w:spacing w:val="10"/>
                <w:kern w:val="0"/>
                <w:sz w:val="24"/>
                <w:szCs w:val="22"/>
                <w:highlight w:val="none"/>
              </w:rPr>
            </w:pPr>
            <w:r>
              <w:rPr>
                <w:rFonts w:hint="eastAsia" w:ascii="宋体" w:hAnsi="宋体" w:cs="楷体_GB2312"/>
                <w:bCs/>
                <w:color w:val="auto"/>
                <w:spacing w:val="10"/>
                <w:kern w:val="0"/>
                <w:sz w:val="24"/>
                <w:szCs w:val="22"/>
                <w:highlight w:val="none"/>
              </w:rPr>
              <w:t>质保期</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r>
        <w:tblPrEx>
          <w:tblCellMar>
            <w:top w:w="0" w:type="dxa"/>
            <w:left w:w="108" w:type="dxa"/>
            <w:bottom w:w="0" w:type="dxa"/>
            <w:right w:w="108" w:type="dxa"/>
          </w:tblCellMar>
        </w:tblPrEx>
        <w:trPr>
          <w:trHeight w:val="624" w:hRule="atLeast"/>
        </w:trPr>
        <w:tc>
          <w:tcPr>
            <w:tcW w:w="1195" w:type="dxa"/>
            <w:vMerge w:val="continue"/>
            <w:tcBorders>
              <w:left w:val="single" w:color="auto" w:sz="4" w:space="0"/>
              <w:right w:val="single" w:color="auto" w:sz="4" w:space="0"/>
            </w:tcBorders>
            <w:vAlign w:val="center"/>
          </w:tcPr>
          <w:p>
            <w:pPr>
              <w:widowControl/>
              <w:jc w:val="center"/>
              <w:rPr>
                <w:rFonts w:ascii="宋体" w:hAnsi="宋体" w:cs="楷体_GB2312"/>
                <w:color w:val="auto"/>
                <w:kern w:val="0"/>
                <w:sz w:val="22"/>
                <w:szCs w:val="22"/>
                <w:highlight w:val="none"/>
              </w:rPr>
            </w:pPr>
          </w:p>
        </w:tc>
        <w:tc>
          <w:tcPr>
            <w:tcW w:w="21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楷体_GB2312"/>
                <w:bCs/>
                <w:color w:val="auto"/>
                <w:spacing w:val="10"/>
                <w:kern w:val="0"/>
                <w:sz w:val="24"/>
                <w:szCs w:val="22"/>
                <w:highlight w:val="none"/>
              </w:rPr>
            </w:pPr>
            <w:r>
              <w:rPr>
                <w:rFonts w:hint="eastAsia" w:ascii="宋体" w:hAnsi="宋体" w:cs="宋体"/>
                <w:b/>
                <w:bCs/>
                <w:color w:val="auto"/>
                <w:sz w:val="24"/>
                <w:highlight w:val="none"/>
              </w:rPr>
              <w:t>交货期（交付期）</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r>
        <w:tblPrEx>
          <w:tblCellMar>
            <w:top w:w="0" w:type="dxa"/>
            <w:left w:w="108" w:type="dxa"/>
            <w:bottom w:w="0" w:type="dxa"/>
            <w:right w:w="108" w:type="dxa"/>
          </w:tblCellMar>
        </w:tblPrEx>
        <w:trPr>
          <w:trHeight w:val="238" w:hRule="atLeast"/>
        </w:trPr>
        <w:tc>
          <w:tcPr>
            <w:tcW w:w="1195" w:type="dxa"/>
            <w:vMerge w:val="continue"/>
            <w:tcBorders>
              <w:left w:val="single" w:color="auto" w:sz="4" w:space="0"/>
              <w:right w:val="single" w:color="auto" w:sz="4" w:space="0"/>
            </w:tcBorders>
            <w:vAlign w:val="center"/>
          </w:tcPr>
          <w:p>
            <w:pPr>
              <w:widowControl/>
              <w:jc w:val="center"/>
              <w:rPr>
                <w:rFonts w:ascii="宋体" w:hAnsi="宋体" w:cs="楷体_GB2312"/>
                <w:color w:val="auto"/>
                <w:kern w:val="0"/>
                <w:sz w:val="22"/>
                <w:szCs w:val="22"/>
                <w:highlight w:val="none"/>
              </w:rPr>
            </w:pPr>
          </w:p>
        </w:tc>
        <w:tc>
          <w:tcPr>
            <w:tcW w:w="21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楷体_GB2312"/>
                <w:bCs/>
                <w:color w:val="auto"/>
                <w:spacing w:val="10"/>
                <w:kern w:val="0"/>
                <w:sz w:val="24"/>
                <w:szCs w:val="22"/>
                <w:highlight w:val="none"/>
              </w:rPr>
            </w:pPr>
            <w:r>
              <w:rPr>
                <w:rFonts w:hint="eastAsia" w:ascii="宋体" w:hAnsi="宋体" w:cs="楷体_GB2312"/>
                <w:bCs/>
                <w:color w:val="auto"/>
                <w:spacing w:val="10"/>
                <w:kern w:val="0"/>
                <w:sz w:val="24"/>
                <w:szCs w:val="22"/>
                <w:highlight w:val="none"/>
              </w:rPr>
              <w:t>履约保证金</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r>
        <w:tblPrEx>
          <w:tblCellMar>
            <w:top w:w="0" w:type="dxa"/>
            <w:left w:w="108" w:type="dxa"/>
            <w:bottom w:w="0" w:type="dxa"/>
            <w:right w:w="108" w:type="dxa"/>
          </w:tblCellMar>
        </w:tblPrEx>
        <w:trPr>
          <w:trHeight w:val="173" w:hRule="atLeast"/>
        </w:trPr>
        <w:tc>
          <w:tcPr>
            <w:tcW w:w="1195" w:type="dxa"/>
            <w:vMerge w:val="continue"/>
            <w:tcBorders>
              <w:left w:val="single" w:color="auto" w:sz="4" w:space="0"/>
              <w:right w:val="single" w:color="auto" w:sz="4" w:space="0"/>
            </w:tcBorders>
            <w:vAlign w:val="center"/>
          </w:tcPr>
          <w:p>
            <w:pPr>
              <w:widowControl/>
              <w:jc w:val="center"/>
              <w:rPr>
                <w:rFonts w:ascii="宋体" w:hAnsi="宋体" w:cs="楷体_GB2312"/>
                <w:color w:val="auto"/>
                <w:kern w:val="0"/>
                <w:sz w:val="22"/>
                <w:szCs w:val="22"/>
                <w:highlight w:val="none"/>
              </w:rPr>
            </w:pPr>
          </w:p>
        </w:tc>
        <w:tc>
          <w:tcPr>
            <w:tcW w:w="21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楷体_GB2312"/>
                <w:bCs/>
                <w:color w:val="auto"/>
                <w:spacing w:val="10"/>
                <w:kern w:val="0"/>
                <w:sz w:val="24"/>
                <w:szCs w:val="22"/>
                <w:highlight w:val="none"/>
              </w:rPr>
            </w:pPr>
            <w:r>
              <w:rPr>
                <w:rFonts w:hint="eastAsia" w:ascii="宋体" w:hAnsi="宋体"/>
                <w:color w:val="auto"/>
                <w:sz w:val="24"/>
                <w:highlight w:val="none"/>
              </w:rPr>
              <w:t>付款条件</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r>
        <w:tblPrEx>
          <w:tblCellMar>
            <w:top w:w="0" w:type="dxa"/>
            <w:left w:w="108" w:type="dxa"/>
            <w:bottom w:w="0" w:type="dxa"/>
            <w:right w:w="108" w:type="dxa"/>
          </w:tblCellMar>
        </w:tblPrEx>
        <w:trPr>
          <w:trHeight w:val="227" w:hRule="atLeast"/>
        </w:trPr>
        <w:tc>
          <w:tcPr>
            <w:tcW w:w="1195" w:type="dxa"/>
            <w:vMerge w:val="continue"/>
            <w:tcBorders>
              <w:left w:val="single" w:color="auto" w:sz="4" w:space="0"/>
              <w:right w:val="single" w:color="auto" w:sz="4" w:space="0"/>
            </w:tcBorders>
            <w:vAlign w:val="center"/>
          </w:tcPr>
          <w:p>
            <w:pPr>
              <w:widowControl/>
              <w:jc w:val="center"/>
              <w:rPr>
                <w:rFonts w:ascii="宋体" w:hAnsi="宋体" w:cs="楷体_GB2312"/>
                <w:color w:val="auto"/>
                <w:kern w:val="0"/>
                <w:sz w:val="22"/>
                <w:szCs w:val="22"/>
                <w:highlight w:val="none"/>
              </w:rPr>
            </w:pPr>
          </w:p>
        </w:tc>
        <w:tc>
          <w:tcPr>
            <w:tcW w:w="21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其他说明</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r>
        <w:tblPrEx>
          <w:tblCellMar>
            <w:top w:w="0" w:type="dxa"/>
            <w:left w:w="108" w:type="dxa"/>
            <w:bottom w:w="0" w:type="dxa"/>
            <w:right w:w="108" w:type="dxa"/>
          </w:tblCellMar>
        </w:tblPrEx>
        <w:trPr>
          <w:trHeight w:val="90" w:hRule="atLeast"/>
        </w:trPr>
        <w:tc>
          <w:tcPr>
            <w:tcW w:w="1195" w:type="dxa"/>
            <w:vMerge w:val="continue"/>
            <w:tcBorders>
              <w:left w:val="single" w:color="auto" w:sz="4" w:space="0"/>
              <w:right w:val="single" w:color="auto" w:sz="4" w:space="0"/>
            </w:tcBorders>
            <w:vAlign w:val="center"/>
          </w:tcPr>
          <w:p>
            <w:pPr>
              <w:widowControl/>
              <w:jc w:val="center"/>
              <w:rPr>
                <w:rFonts w:ascii="宋体" w:hAnsi="宋体"/>
                <w:color w:val="auto"/>
                <w:kern w:val="0"/>
                <w:sz w:val="22"/>
                <w:szCs w:val="22"/>
                <w:highlight w:val="none"/>
              </w:rPr>
            </w:pPr>
          </w:p>
        </w:tc>
        <w:tc>
          <w:tcPr>
            <w:tcW w:w="21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s="楷体_GB2312"/>
                <w:bCs/>
                <w:color w:val="auto"/>
                <w:spacing w:val="10"/>
                <w:kern w:val="0"/>
                <w:sz w:val="24"/>
                <w:szCs w:val="22"/>
                <w:highlight w:val="none"/>
              </w:rPr>
              <w:t>……</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r>
        <w:tblPrEx>
          <w:tblCellMar>
            <w:top w:w="0" w:type="dxa"/>
            <w:left w:w="108" w:type="dxa"/>
            <w:bottom w:w="0" w:type="dxa"/>
            <w:right w:w="108" w:type="dxa"/>
          </w:tblCellMar>
        </w:tblPrEx>
        <w:trPr>
          <w:trHeight w:val="624" w:hRule="atLeast"/>
        </w:trPr>
        <w:tc>
          <w:tcPr>
            <w:tcW w:w="1195" w:type="dxa"/>
            <w:vMerge w:val="continue"/>
            <w:tcBorders>
              <w:left w:val="single" w:color="auto" w:sz="4" w:space="0"/>
              <w:right w:val="single" w:color="auto" w:sz="4" w:space="0"/>
            </w:tcBorders>
            <w:vAlign w:val="center"/>
          </w:tcPr>
          <w:p>
            <w:pPr>
              <w:widowControl/>
              <w:jc w:val="center"/>
              <w:rPr>
                <w:rFonts w:ascii="宋体" w:hAnsi="宋体"/>
                <w:color w:val="auto"/>
                <w:kern w:val="0"/>
                <w:sz w:val="22"/>
                <w:szCs w:val="22"/>
                <w:highlight w:val="none"/>
              </w:rPr>
            </w:pPr>
          </w:p>
        </w:tc>
        <w:tc>
          <w:tcPr>
            <w:tcW w:w="21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（技术</w:t>
            </w:r>
            <w:r>
              <w:rPr>
                <w:rFonts w:ascii="宋体" w:hAnsi="宋体"/>
                <w:color w:val="auto"/>
                <w:sz w:val="24"/>
                <w:highlight w:val="none"/>
              </w:rPr>
              <w:t>需求响应内容</w:t>
            </w:r>
            <w:r>
              <w:rPr>
                <w:rFonts w:hint="eastAsia" w:ascii="宋体" w:hAnsi="宋体"/>
                <w:color w:val="auto"/>
                <w:sz w:val="24"/>
                <w:highlight w:val="none"/>
              </w:rPr>
              <w:t>）</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r>
        <w:tblPrEx>
          <w:tblCellMar>
            <w:top w:w="0" w:type="dxa"/>
            <w:left w:w="108" w:type="dxa"/>
            <w:bottom w:w="0" w:type="dxa"/>
            <w:right w:w="108" w:type="dxa"/>
          </w:tblCellMar>
        </w:tblPrEx>
        <w:trPr>
          <w:trHeight w:val="237" w:hRule="atLeast"/>
        </w:trPr>
        <w:tc>
          <w:tcPr>
            <w:tcW w:w="1195"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olor w:val="auto"/>
                <w:kern w:val="0"/>
                <w:sz w:val="22"/>
                <w:szCs w:val="22"/>
                <w:highlight w:val="none"/>
              </w:rPr>
            </w:pPr>
          </w:p>
        </w:tc>
        <w:tc>
          <w:tcPr>
            <w:tcW w:w="2171"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pacing w:val="20"/>
                <w:sz w:val="24"/>
                <w:highlight w:val="none"/>
              </w:rPr>
            </w:pPr>
            <w:r>
              <w:rPr>
                <w:rFonts w:hint="eastAsia" w:hAnsi="宋体"/>
                <w:color w:val="auto"/>
                <w:sz w:val="24"/>
                <w:highlight w:val="none"/>
              </w:rPr>
              <w:t>……</w:t>
            </w:r>
          </w:p>
        </w:tc>
        <w:tc>
          <w:tcPr>
            <w:tcW w:w="2001" w:type="dxa"/>
            <w:tcBorders>
              <w:top w:val="single" w:color="auto" w:sz="4" w:space="0"/>
              <w:left w:val="single" w:color="auto" w:sz="4" w:space="0"/>
              <w:bottom w:val="single" w:color="auto" w:sz="4" w:space="0"/>
              <w:right w:val="single" w:color="auto" w:sz="4" w:space="0"/>
            </w:tcBorders>
          </w:tcPr>
          <w:p>
            <w:pPr>
              <w:pStyle w:val="22"/>
              <w:adjustRightInd w:val="0"/>
              <w:snapToGrid w:val="0"/>
              <w:spacing w:line="360" w:lineRule="auto"/>
              <w:jc w:val="center"/>
              <w:rPr>
                <w:rFonts w:hAnsi="宋体"/>
                <w:color w:val="auto"/>
                <w:spacing w:val="20"/>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c>
          <w:tcPr>
            <w:tcW w:w="1401" w:type="dxa"/>
            <w:tcBorders>
              <w:top w:val="single" w:color="auto" w:sz="4" w:space="0"/>
              <w:left w:val="single" w:color="auto" w:sz="4" w:space="0"/>
              <w:bottom w:val="single" w:color="auto" w:sz="4" w:space="0"/>
              <w:right w:val="single" w:color="auto" w:sz="4" w:space="0"/>
            </w:tcBorders>
            <w:vAlign w:val="center"/>
          </w:tcPr>
          <w:p>
            <w:pPr>
              <w:pStyle w:val="22"/>
              <w:adjustRightInd w:val="0"/>
              <w:snapToGrid w:val="0"/>
              <w:spacing w:line="360" w:lineRule="auto"/>
              <w:jc w:val="center"/>
              <w:rPr>
                <w:rFonts w:hAnsi="宋体"/>
                <w:color w:val="auto"/>
                <w:spacing w:val="20"/>
                <w:sz w:val="24"/>
                <w:highlight w:val="none"/>
              </w:rPr>
            </w:pPr>
          </w:p>
        </w:tc>
      </w:tr>
    </w:tbl>
    <w:p>
      <w:pPr>
        <w:pStyle w:val="53"/>
        <w:tabs>
          <w:tab w:val="left" w:pos="360"/>
        </w:tabs>
        <w:spacing w:line="360" w:lineRule="auto"/>
        <w:ind w:right="84" w:rightChars="40" w:firstLine="422" w:firstLineChars="200"/>
        <w:rPr>
          <w:rFonts w:ascii="宋体"/>
          <w:color w:val="auto"/>
          <w:szCs w:val="21"/>
          <w:highlight w:val="none"/>
        </w:rPr>
      </w:pPr>
      <w:r>
        <w:rPr>
          <w:rFonts w:hint="eastAsia" w:ascii="宋体"/>
          <w:b/>
          <w:color w:val="auto"/>
          <w:szCs w:val="21"/>
          <w:highlight w:val="none"/>
        </w:rPr>
        <w:t>要求：</w:t>
      </w:r>
      <w:r>
        <w:rPr>
          <w:rFonts w:hint="eastAsia" w:ascii="宋体"/>
          <w:color w:val="auto"/>
          <w:szCs w:val="21"/>
          <w:highlight w:val="none"/>
        </w:rPr>
        <w:t>1. 本表参照本招标文件第四章“公开招标需求”填制，投标人应根据招标需求</w:t>
      </w:r>
      <w:r>
        <w:rPr>
          <w:rFonts w:ascii="宋体"/>
          <w:color w:val="auto"/>
          <w:szCs w:val="21"/>
          <w:highlight w:val="none"/>
        </w:rPr>
        <w:t>的</w:t>
      </w:r>
      <w:r>
        <w:rPr>
          <w:rFonts w:hint="eastAsia" w:ascii="宋体"/>
          <w:color w:val="auto"/>
          <w:szCs w:val="21"/>
          <w:highlight w:val="none"/>
        </w:rPr>
        <w:t>服务指标，对照招标文件要求在“偏离情况”栏注明“正偏离”、“负偏离”或“无偏离”。</w:t>
      </w:r>
    </w:p>
    <w:p>
      <w:pPr>
        <w:pStyle w:val="53"/>
        <w:tabs>
          <w:tab w:val="left" w:pos="360"/>
        </w:tabs>
        <w:spacing w:line="360" w:lineRule="auto"/>
        <w:ind w:right="84" w:rightChars="40" w:firstLine="420" w:firstLineChars="200"/>
        <w:rPr>
          <w:rFonts w:ascii="宋体"/>
          <w:color w:val="auto"/>
          <w:szCs w:val="21"/>
          <w:highlight w:val="none"/>
        </w:rPr>
      </w:pPr>
      <w:r>
        <w:rPr>
          <w:rFonts w:hint="eastAsia" w:ascii="宋体"/>
          <w:color w:val="auto"/>
          <w:szCs w:val="21"/>
          <w:highlight w:val="none"/>
        </w:rPr>
        <w:t>2.</w:t>
      </w:r>
      <w:r>
        <w:rPr>
          <w:rFonts w:hint="eastAsia"/>
          <w:color w:val="auto"/>
          <w:highlight w:val="none"/>
        </w:rPr>
        <w:t xml:space="preserve"> </w:t>
      </w:r>
      <w:r>
        <w:rPr>
          <w:rFonts w:hint="eastAsia" w:ascii="宋体"/>
          <w:color w:val="auto"/>
          <w:szCs w:val="21"/>
          <w:highlight w:val="none"/>
        </w:rPr>
        <w:t>如未提供或未填写均视为完全相应采购需求内容。</w:t>
      </w:r>
    </w:p>
    <w:p>
      <w:pPr>
        <w:pStyle w:val="53"/>
        <w:tabs>
          <w:tab w:val="left" w:pos="360"/>
        </w:tabs>
        <w:spacing w:line="360" w:lineRule="auto"/>
        <w:ind w:right="84" w:rightChars="40"/>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pStyle w:val="54"/>
        <w:spacing w:line="360" w:lineRule="auto"/>
        <w:jc w:val="left"/>
        <w:rPr>
          <w:rFonts w:ascii="宋体" w:hAnsi="宋体"/>
          <w:b/>
          <w:color w:val="auto"/>
          <w:sz w:val="28"/>
          <w:highlight w:val="none"/>
        </w:rPr>
        <w:sectPr>
          <w:pgSz w:w="11906" w:h="16838"/>
          <w:pgMar w:top="1440" w:right="1800" w:bottom="1440" w:left="1800" w:header="851" w:footer="992" w:gutter="0"/>
          <w:pgNumType w:fmt="numberInDash"/>
          <w:cols w:space="425" w:num="1"/>
          <w:docGrid w:type="lines" w:linePitch="312" w:charSpace="0"/>
        </w:sectPr>
      </w:pPr>
    </w:p>
    <w:p>
      <w:pPr>
        <w:pStyle w:val="54"/>
        <w:spacing w:line="360" w:lineRule="auto"/>
        <w:jc w:val="left"/>
        <w:rPr>
          <w:rFonts w:ascii="宋体" w:hAnsi="宋体"/>
          <w:b/>
          <w:color w:val="auto"/>
          <w:sz w:val="28"/>
          <w:highlight w:val="none"/>
        </w:rPr>
      </w:pPr>
      <w:r>
        <w:rPr>
          <w:rFonts w:hint="eastAsia" w:ascii="宋体" w:hAnsi="宋体"/>
          <w:b/>
          <w:color w:val="auto"/>
          <w:sz w:val="28"/>
          <w:highlight w:val="none"/>
        </w:rPr>
        <w:t>附件7</w:t>
      </w:r>
    </w:p>
    <w:p>
      <w:pPr>
        <w:pStyle w:val="55"/>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证书一览表</w:t>
      </w:r>
    </w:p>
    <w:p>
      <w:pPr>
        <w:pStyle w:val="55"/>
        <w:spacing w:line="360" w:lineRule="auto"/>
        <w:jc w:val="center"/>
        <w:rPr>
          <w:rFonts w:ascii="宋体" w:hAnsi="宋体" w:cs="Arial"/>
          <w:color w:val="auto"/>
          <w:sz w:val="28"/>
          <w:szCs w:val="28"/>
          <w:highlight w:val="none"/>
        </w:rPr>
      </w:pPr>
    </w:p>
    <w:tbl>
      <w:tblPr>
        <w:tblStyle w:val="35"/>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55"/>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证书名称</w:t>
            </w:r>
          </w:p>
        </w:tc>
        <w:tc>
          <w:tcPr>
            <w:tcW w:w="2258" w:type="dxa"/>
            <w:tcBorders>
              <w:top w:val="single" w:color="auto" w:sz="4" w:space="0"/>
              <w:bottom w:val="single" w:color="auto" w:sz="4" w:space="0"/>
            </w:tcBorders>
          </w:tcPr>
          <w:p>
            <w:pPr>
              <w:pStyle w:val="55"/>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发证单位</w:t>
            </w:r>
          </w:p>
        </w:tc>
        <w:tc>
          <w:tcPr>
            <w:tcW w:w="2260" w:type="dxa"/>
            <w:tcBorders>
              <w:top w:val="single" w:color="auto" w:sz="4" w:space="0"/>
              <w:bottom w:val="single" w:color="auto" w:sz="4" w:space="0"/>
            </w:tcBorders>
          </w:tcPr>
          <w:p>
            <w:pPr>
              <w:pStyle w:val="55"/>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证书等级</w:t>
            </w:r>
          </w:p>
        </w:tc>
        <w:tc>
          <w:tcPr>
            <w:tcW w:w="2047" w:type="dxa"/>
            <w:tcBorders>
              <w:top w:val="single" w:color="auto" w:sz="4" w:space="0"/>
              <w:bottom w:val="single" w:color="auto" w:sz="4" w:space="0"/>
              <w:right w:val="single" w:color="auto" w:sz="4" w:space="0"/>
            </w:tcBorders>
          </w:tcPr>
          <w:p>
            <w:pPr>
              <w:pStyle w:val="55"/>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55"/>
              <w:spacing w:line="360" w:lineRule="auto"/>
              <w:jc w:val="center"/>
              <w:rPr>
                <w:rFonts w:ascii="宋体" w:hAnsi="宋体" w:cs="Arial"/>
                <w:color w:val="auto"/>
                <w:szCs w:val="21"/>
                <w:highlight w:val="none"/>
              </w:rPr>
            </w:pPr>
          </w:p>
        </w:tc>
        <w:tc>
          <w:tcPr>
            <w:tcW w:w="2258" w:type="dxa"/>
            <w:tcBorders>
              <w:top w:val="single" w:color="auto" w:sz="4" w:space="0"/>
            </w:tcBorders>
          </w:tcPr>
          <w:p>
            <w:pPr>
              <w:pStyle w:val="55"/>
              <w:spacing w:line="360" w:lineRule="auto"/>
              <w:jc w:val="center"/>
              <w:rPr>
                <w:rFonts w:ascii="宋体" w:hAnsi="宋体" w:cs="Arial"/>
                <w:color w:val="auto"/>
                <w:szCs w:val="21"/>
                <w:highlight w:val="none"/>
              </w:rPr>
            </w:pPr>
          </w:p>
        </w:tc>
        <w:tc>
          <w:tcPr>
            <w:tcW w:w="2260" w:type="dxa"/>
            <w:tcBorders>
              <w:top w:val="single" w:color="auto" w:sz="4" w:space="0"/>
            </w:tcBorders>
          </w:tcPr>
          <w:p>
            <w:pPr>
              <w:pStyle w:val="55"/>
              <w:spacing w:line="360" w:lineRule="auto"/>
              <w:jc w:val="center"/>
              <w:rPr>
                <w:rFonts w:ascii="宋体" w:hAnsi="宋体" w:cs="Arial"/>
                <w:color w:val="auto"/>
                <w:szCs w:val="21"/>
                <w:highlight w:val="none"/>
              </w:rPr>
            </w:pPr>
          </w:p>
        </w:tc>
        <w:tc>
          <w:tcPr>
            <w:tcW w:w="2047" w:type="dxa"/>
            <w:tcBorders>
              <w:top w:val="single" w:color="auto" w:sz="4" w:space="0"/>
              <w:right w:val="single" w:color="auto" w:sz="4" w:space="0"/>
            </w:tcBorders>
          </w:tcPr>
          <w:p>
            <w:pPr>
              <w:pStyle w:val="55"/>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5"/>
              <w:spacing w:line="360" w:lineRule="auto"/>
              <w:jc w:val="center"/>
              <w:rPr>
                <w:rFonts w:ascii="宋体" w:hAnsi="宋体" w:cs="Arial"/>
                <w:color w:val="auto"/>
                <w:szCs w:val="21"/>
                <w:highlight w:val="none"/>
              </w:rPr>
            </w:pPr>
          </w:p>
        </w:tc>
        <w:tc>
          <w:tcPr>
            <w:tcW w:w="2258" w:type="dxa"/>
          </w:tcPr>
          <w:p>
            <w:pPr>
              <w:pStyle w:val="55"/>
              <w:spacing w:line="360" w:lineRule="auto"/>
              <w:jc w:val="center"/>
              <w:rPr>
                <w:rFonts w:ascii="宋体" w:hAnsi="宋体" w:cs="Arial"/>
                <w:color w:val="auto"/>
                <w:szCs w:val="21"/>
                <w:highlight w:val="none"/>
              </w:rPr>
            </w:pPr>
          </w:p>
        </w:tc>
        <w:tc>
          <w:tcPr>
            <w:tcW w:w="2260" w:type="dxa"/>
          </w:tcPr>
          <w:p>
            <w:pPr>
              <w:pStyle w:val="55"/>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55"/>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5"/>
              <w:spacing w:line="360" w:lineRule="auto"/>
              <w:jc w:val="center"/>
              <w:rPr>
                <w:rFonts w:ascii="宋体" w:hAnsi="宋体" w:cs="Arial"/>
                <w:color w:val="auto"/>
                <w:szCs w:val="21"/>
                <w:highlight w:val="none"/>
              </w:rPr>
            </w:pPr>
          </w:p>
        </w:tc>
        <w:tc>
          <w:tcPr>
            <w:tcW w:w="2258" w:type="dxa"/>
          </w:tcPr>
          <w:p>
            <w:pPr>
              <w:pStyle w:val="55"/>
              <w:spacing w:line="360" w:lineRule="auto"/>
              <w:jc w:val="center"/>
              <w:rPr>
                <w:rFonts w:ascii="宋体" w:hAnsi="宋体" w:cs="Arial"/>
                <w:color w:val="auto"/>
                <w:szCs w:val="21"/>
                <w:highlight w:val="none"/>
              </w:rPr>
            </w:pPr>
          </w:p>
        </w:tc>
        <w:tc>
          <w:tcPr>
            <w:tcW w:w="2260" w:type="dxa"/>
          </w:tcPr>
          <w:p>
            <w:pPr>
              <w:pStyle w:val="55"/>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55"/>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5"/>
              <w:spacing w:line="360" w:lineRule="auto"/>
              <w:jc w:val="center"/>
              <w:rPr>
                <w:rFonts w:ascii="宋体" w:hAnsi="宋体" w:cs="Arial"/>
                <w:color w:val="auto"/>
                <w:szCs w:val="21"/>
                <w:highlight w:val="none"/>
              </w:rPr>
            </w:pPr>
          </w:p>
        </w:tc>
        <w:tc>
          <w:tcPr>
            <w:tcW w:w="2258" w:type="dxa"/>
          </w:tcPr>
          <w:p>
            <w:pPr>
              <w:pStyle w:val="55"/>
              <w:spacing w:line="360" w:lineRule="auto"/>
              <w:jc w:val="center"/>
              <w:rPr>
                <w:rFonts w:ascii="宋体" w:hAnsi="宋体" w:cs="Arial"/>
                <w:color w:val="auto"/>
                <w:szCs w:val="21"/>
                <w:highlight w:val="none"/>
              </w:rPr>
            </w:pPr>
          </w:p>
        </w:tc>
        <w:tc>
          <w:tcPr>
            <w:tcW w:w="2260" w:type="dxa"/>
          </w:tcPr>
          <w:p>
            <w:pPr>
              <w:pStyle w:val="55"/>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55"/>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5"/>
              <w:spacing w:line="360" w:lineRule="auto"/>
              <w:jc w:val="center"/>
              <w:rPr>
                <w:rFonts w:ascii="宋体" w:hAnsi="宋体" w:cs="Arial"/>
                <w:color w:val="auto"/>
                <w:szCs w:val="21"/>
                <w:highlight w:val="none"/>
              </w:rPr>
            </w:pPr>
          </w:p>
        </w:tc>
        <w:tc>
          <w:tcPr>
            <w:tcW w:w="2258" w:type="dxa"/>
          </w:tcPr>
          <w:p>
            <w:pPr>
              <w:pStyle w:val="55"/>
              <w:spacing w:line="360" w:lineRule="auto"/>
              <w:jc w:val="center"/>
              <w:rPr>
                <w:rFonts w:ascii="宋体" w:hAnsi="宋体" w:cs="Arial"/>
                <w:color w:val="auto"/>
                <w:szCs w:val="21"/>
                <w:highlight w:val="none"/>
              </w:rPr>
            </w:pPr>
          </w:p>
        </w:tc>
        <w:tc>
          <w:tcPr>
            <w:tcW w:w="2260" w:type="dxa"/>
          </w:tcPr>
          <w:p>
            <w:pPr>
              <w:pStyle w:val="55"/>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55"/>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5"/>
              <w:spacing w:line="360" w:lineRule="auto"/>
              <w:jc w:val="center"/>
              <w:rPr>
                <w:rFonts w:ascii="宋体" w:hAnsi="宋体" w:cs="Arial"/>
                <w:color w:val="auto"/>
                <w:szCs w:val="21"/>
                <w:highlight w:val="none"/>
              </w:rPr>
            </w:pPr>
          </w:p>
        </w:tc>
        <w:tc>
          <w:tcPr>
            <w:tcW w:w="2258" w:type="dxa"/>
          </w:tcPr>
          <w:p>
            <w:pPr>
              <w:pStyle w:val="55"/>
              <w:spacing w:line="360" w:lineRule="auto"/>
              <w:jc w:val="center"/>
              <w:rPr>
                <w:rFonts w:ascii="宋体" w:hAnsi="宋体" w:cs="Arial"/>
                <w:color w:val="auto"/>
                <w:szCs w:val="21"/>
                <w:highlight w:val="none"/>
              </w:rPr>
            </w:pPr>
          </w:p>
        </w:tc>
        <w:tc>
          <w:tcPr>
            <w:tcW w:w="2260" w:type="dxa"/>
          </w:tcPr>
          <w:p>
            <w:pPr>
              <w:pStyle w:val="55"/>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55"/>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55"/>
              <w:spacing w:line="360" w:lineRule="auto"/>
              <w:jc w:val="center"/>
              <w:rPr>
                <w:rFonts w:ascii="宋体" w:hAnsi="宋体" w:cs="Arial"/>
                <w:color w:val="auto"/>
                <w:szCs w:val="21"/>
                <w:highlight w:val="none"/>
              </w:rPr>
            </w:pPr>
          </w:p>
        </w:tc>
        <w:tc>
          <w:tcPr>
            <w:tcW w:w="2258" w:type="dxa"/>
            <w:tcBorders>
              <w:bottom w:val="single" w:color="auto" w:sz="4" w:space="0"/>
            </w:tcBorders>
          </w:tcPr>
          <w:p>
            <w:pPr>
              <w:pStyle w:val="55"/>
              <w:spacing w:line="360" w:lineRule="auto"/>
              <w:jc w:val="center"/>
              <w:rPr>
                <w:rFonts w:ascii="宋体" w:hAnsi="宋体" w:cs="Arial"/>
                <w:color w:val="auto"/>
                <w:szCs w:val="21"/>
                <w:highlight w:val="none"/>
              </w:rPr>
            </w:pPr>
          </w:p>
        </w:tc>
        <w:tc>
          <w:tcPr>
            <w:tcW w:w="2260" w:type="dxa"/>
            <w:tcBorders>
              <w:bottom w:val="single" w:color="auto" w:sz="4" w:space="0"/>
            </w:tcBorders>
          </w:tcPr>
          <w:p>
            <w:pPr>
              <w:pStyle w:val="55"/>
              <w:spacing w:line="360" w:lineRule="auto"/>
              <w:jc w:val="center"/>
              <w:rPr>
                <w:rFonts w:ascii="宋体" w:hAnsi="宋体" w:cs="Arial"/>
                <w:color w:val="auto"/>
                <w:szCs w:val="21"/>
                <w:highlight w:val="none"/>
              </w:rPr>
            </w:pPr>
          </w:p>
        </w:tc>
        <w:tc>
          <w:tcPr>
            <w:tcW w:w="2047" w:type="dxa"/>
            <w:tcBorders>
              <w:bottom w:val="single" w:color="auto" w:sz="4" w:space="0"/>
              <w:right w:val="single" w:color="auto" w:sz="4" w:space="0"/>
            </w:tcBorders>
          </w:tcPr>
          <w:p>
            <w:pPr>
              <w:pStyle w:val="55"/>
              <w:spacing w:line="360" w:lineRule="auto"/>
              <w:jc w:val="center"/>
              <w:rPr>
                <w:rFonts w:ascii="宋体" w:hAnsi="宋体" w:cs="Arial"/>
                <w:color w:val="auto"/>
                <w:szCs w:val="21"/>
                <w:highlight w:val="none"/>
              </w:rPr>
            </w:pPr>
          </w:p>
        </w:tc>
      </w:tr>
    </w:tbl>
    <w:p>
      <w:pPr>
        <w:pStyle w:val="55"/>
        <w:tabs>
          <w:tab w:val="left" w:pos="1050"/>
        </w:tabs>
        <w:spacing w:line="360" w:lineRule="auto"/>
        <w:rPr>
          <w:rFonts w:ascii="仿宋_GB2312" w:hAnsi="宋体" w:eastAsia="仿宋_GB2312"/>
          <w:color w:val="auto"/>
          <w:sz w:val="24"/>
          <w:highlight w:val="none"/>
        </w:rPr>
      </w:pPr>
    </w:p>
    <w:p>
      <w:pPr>
        <w:pStyle w:val="55"/>
        <w:tabs>
          <w:tab w:val="left" w:pos="1050"/>
        </w:tabs>
        <w:spacing w:line="360" w:lineRule="auto"/>
        <w:rPr>
          <w:rFonts w:ascii="宋体" w:hAnsi="宋体"/>
          <w:color w:val="auto"/>
          <w:szCs w:val="21"/>
          <w:highlight w:val="none"/>
        </w:rPr>
      </w:pPr>
      <w:r>
        <w:rPr>
          <w:rFonts w:hint="eastAsia" w:ascii="宋体" w:hAnsi="宋体"/>
          <w:b/>
          <w:color w:val="auto"/>
          <w:szCs w:val="21"/>
          <w:highlight w:val="none"/>
        </w:rPr>
        <w:t>要求：</w:t>
      </w:r>
    </w:p>
    <w:p>
      <w:pPr>
        <w:pStyle w:val="55"/>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1.填写投标人获得资质、认证或企业信誉证书；</w:t>
      </w:r>
    </w:p>
    <w:p>
      <w:pPr>
        <w:pStyle w:val="55"/>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2.附所列证书扫描件或其他证明材料。</w:t>
      </w:r>
    </w:p>
    <w:p>
      <w:pPr>
        <w:pStyle w:val="55"/>
        <w:tabs>
          <w:tab w:val="left" w:pos="1050"/>
        </w:tabs>
        <w:spacing w:line="360" w:lineRule="auto"/>
        <w:ind w:firstLine="720" w:firstLineChars="300"/>
        <w:rPr>
          <w:rFonts w:ascii="仿宋_GB2312" w:hAnsi="宋体" w:eastAsia="仿宋_GB2312"/>
          <w:color w:val="auto"/>
          <w:sz w:val="24"/>
          <w:highlight w:val="none"/>
        </w:rPr>
      </w:pPr>
    </w:p>
    <w:p>
      <w:pPr>
        <w:pStyle w:val="55"/>
        <w:tabs>
          <w:tab w:val="left" w:pos="1050"/>
        </w:tabs>
        <w:spacing w:line="360" w:lineRule="auto"/>
        <w:ind w:firstLine="720" w:firstLineChars="300"/>
        <w:rPr>
          <w:rFonts w:ascii="仿宋_GB2312" w:hAnsi="宋体" w:eastAsia="仿宋_GB2312"/>
          <w:color w:val="auto"/>
          <w:sz w:val="24"/>
          <w:highlight w:val="none"/>
        </w:rPr>
      </w:pPr>
    </w:p>
    <w:p>
      <w:pPr>
        <w:pStyle w:val="55"/>
        <w:tabs>
          <w:tab w:val="left" w:pos="1050"/>
        </w:tabs>
        <w:spacing w:line="360" w:lineRule="auto"/>
        <w:ind w:firstLine="720" w:firstLineChars="300"/>
        <w:rPr>
          <w:rFonts w:ascii="仿宋_GB2312" w:hAnsi="宋体" w:eastAsia="仿宋_GB2312"/>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职        务：</w:t>
      </w:r>
    </w:p>
    <w:p>
      <w:pPr>
        <w:spacing w:line="360" w:lineRule="auto"/>
        <w:ind w:firstLine="424" w:firstLineChars="177"/>
        <w:rPr>
          <w:rFonts w:ascii="宋体" w:hAnsi="宋体"/>
          <w:color w:val="auto"/>
          <w:sz w:val="24"/>
          <w:highlight w:val="none"/>
        </w:rPr>
      </w:pPr>
    </w:p>
    <w:p>
      <w:pPr>
        <w:spacing w:line="360" w:lineRule="auto"/>
        <w:ind w:firstLine="371" w:firstLineChars="177"/>
        <w:rPr>
          <w:b/>
          <w:bCs/>
          <w:color w:val="auto"/>
          <w:spacing w:val="11"/>
          <w:highlight w:val="none"/>
        </w:rPr>
      </w:pPr>
      <w:r>
        <w:rPr>
          <w:rFonts w:hint="eastAsia"/>
          <w:color w:val="auto"/>
          <w:highlight w:val="none"/>
        </w:rPr>
        <w:t>日        期：：</w:t>
      </w: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r>
        <w:rPr>
          <w:rFonts w:hint="eastAsia" w:ascii="宋体" w:hAnsi="宋体"/>
          <w:b/>
          <w:color w:val="auto"/>
          <w:sz w:val="28"/>
          <w:highlight w:val="none"/>
        </w:rPr>
        <w:t>附件8</w:t>
      </w:r>
    </w:p>
    <w:p>
      <w:pPr>
        <w:pStyle w:val="54"/>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投标人类似项目实施情况一览表</w:t>
      </w:r>
    </w:p>
    <w:p>
      <w:pPr>
        <w:pStyle w:val="54"/>
        <w:spacing w:line="360" w:lineRule="auto"/>
        <w:jc w:val="center"/>
        <w:rPr>
          <w:rFonts w:ascii="仿宋_GB2312" w:eastAsia="仿宋_GB2312"/>
          <w:b/>
          <w:color w:val="auto"/>
          <w:sz w:val="28"/>
          <w:szCs w:val="28"/>
          <w:highlight w:val="none"/>
        </w:rPr>
      </w:pPr>
    </w:p>
    <w:tbl>
      <w:tblPr>
        <w:tblStyle w:val="35"/>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5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5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5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5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5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5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54"/>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4"/>
              <w:spacing w:line="360" w:lineRule="auto"/>
              <w:jc w:val="center"/>
              <w:rPr>
                <w:rFonts w:ascii="宋体" w:hAnsi="宋体" w:cs="Arial"/>
                <w:color w:val="auto"/>
                <w:sz w:val="24"/>
                <w:highlight w:val="none"/>
              </w:rPr>
            </w:pPr>
            <w:r>
              <w:rPr>
                <w:rFonts w:hint="eastAsia" w:ascii="宋体" w:hAnsi="宋体" w:cs="Arial"/>
                <w:color w:val="auto"/>
                <w:sz w:val="24"/>
                <w:highlight w:val="none"/>
              </w:rPr>
              <w:t>1</w:t>
            </w:r>
          </w:p>
        </w:tc>
        <w:tc>
          <w:tcPr>
            <w:tcW w:w="129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4"/>
              <w:spacing w:line="360" w:lineRule="auto"/>
              <w:jc w:val="center"/>
              <w:rPr>
                <w:rFonts w:ascii="宋体" w:hAnsi="宋体" w:cs="Arial"/>
                <w:color w:val="auto"/>
                <w:sz w:val="24"/>
                <w:highlight w:val="none"/>
              </w:rPr>
            </w:pPr>
            <w:r>
              <w:rPr>
                <w:rFonts w:hint="eastAsia" w:ascii="宋体" w:hAnsi="宋体" w:cs="Arial"/>
                <w:color w:val="auto"/>
                <w:sz w:val="24"/>
                <w:highlight w:val="none"/>
              </w:rPr>
              <w:t>2</w:t>
            </w:r>
          </w:p>
        </w:tc>
        <w:tc>
          <w:tcPr>
            <w:tcW w:w="129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4"/>
              <w:spacing w:line="360" w:lineRule="auto"/>
              <w:jc w:val="center"/>
              <w:rPr>
                <w:rFonts w:ascii="宋体" w:hAnsi="宋体" w:cs="Arial"/>
                <w:color w:val="auto"/>
                <w:sz w:val="24"/>
                <w:highlight w:val="none"/>
              </w:rPr>
            </w:pPr>
            <w:r>
              <w:rPr>
                <w:rFonts w:hint="eastAsia" w:ascii="宋体" w:hAnsi="宋体" w:cs="Arial"/>
                <w:color w:val="auto"/>
                <w:sz w:val="24"/>
                <w:highlight w:val="none"/>
              </w:rPr>
              <w:t>3</w:t>
            </w:r>
          </w:p>
        </w:tc>
        <w:tc>
          <w:tcPr>
            <w:tcW w:w="129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r>
              <w:rPr>
                <w:rFonts w:hint="eastAsia" w:ascii="宋体" w:hAnsi="宋体" w:cs="Arial"/>
                <w:color w:val="auto"/>
                <w:sz w:val="24"/>
                <w:highlight w:val="none"/>
              </w:rPr>
              <w:t>…</w:t>
            </w:r>
          </w:p>
        </w:tc>
        <w:tc>
          <w:tcPr>
            <w:tcW w:w="129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54"/>
              <w:spacing w:line="360" w:lineRule="auto"/>
              <w:rPr>
                <w:rFonts w:ascii="宋体" w:hAnsi="宋体" w:cs="Arial"/>
                <w:color w:val="auto"/>
                <w:sz w:val="24"/>
                <w:highlight w:val="none"/>
              </w:rPr>
            </w:pPr>
          </w:p>
        </w:tc>
      </w:tr>
    </w:tbl>
    <w:p>
      <w:pPr>
        <w:autoSpaceDE w:val="0"/>
        <w:autoSpaceDN w:val="0"/>
        <w:adjustRightInd w:val="0"/>
        <w:spacing w:before="156" w:beforeLines="50" w:line="360" w:lineRule="auto"/>
        <w:rPr>
          <w:rFonts w:ascii="宋体" w:hAnsi="宋体" w:cs="Arial"/>
          <w:b/>
          <w:color w:val="auto"/>
          <w:szCs w:val="21"/>
          <w:highlight w:val="none"/>
        </w:rPr>
      </w:pPr>
      <w:r>
        <w:rPr>
          <w:rFonts w:hint="eastAsia" w:ascii="宋体" w:hAnsi="宋体" w:cs="Arial"/>
          <w:b/>
          <w:color w:val="auto"/>
          <w:szCs w:val="21"/>
          <w:highlight w:val="none"/>
        </w:rPr>
        <w:t>要求</w:t>
      </w:r>
      <w:r>
        <w:rPr>
          <w:rFonts w:ascii="宋体" w:hAnsi="宋体" w:cs="Arial"/>
          <w:b/>
          <w:color w:val="auto"/>
          <w:szCs w:val="21"/>
          <w:highlight w:val="none"/>
        </w:rPr>
        <w:t>：</w:t>
      </w:r>
    </w:p>
    <w:p>
      <w:pPr>
        <w:autoSpaceDE w:val="0"/>
        <w:autoSpaceDN w:val="0"/>
        <w:adjustRightInd w:val="0"/>
        <w:spacing w:before="156" w:beforeLines="50" w:line="360" w:lineRule="auto"/>
        <w:ind w:firstLine="424" w:firstLineChars="202"/>
        <w:rPr>
          <w:rFonts w:ascii="宋体" w:hAnsi="宋体" w:cs="Arial"/>
          <w:b/>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w:t>
      </w:r>
      <w:r>
        <w:rPr>
          <w:rFonts w:ascii="宋体" w:hAnsi="宋体" w:cs="Arial"/>
          <w:color w:val="auto"/>
          <w:szCs w:val="21"/>
          <w:highlight w:val="none"/>
        </w:rPr>
        <w:t>业绩证明应提供证明材料（合同</w:t>
      </w:r>
      <w:r>
        <w:rPr>
          <w:rFonts w:hint="eastAsia" w:ascii="宋体" w:hAnsi="宋体" w:cs="Arial"/>
          <w:color w:val="auto"/>
          <w:szCs w:val="21"/>
          <w:highlight w:val="none"/>
        </w:rPr>
        <w:t>扫描件可只提供首页、含金额页、盖章页并加盖投标人公章</w:t>
      </w:r>
      <w:r>
        <w:rPr>
          <w:rFonts w:ascii="宋体" w:hAnsi="宋体" w:cs="Arial"/>
          <w:color w:val="auto"/>
          <w:szCs w:val="21"/>
          <w:highlight w:val="none"/>
        </w:rPr>
        <w:t>）；</w:t>
      </w:r>
    </w:p>
    <w:p>
      <w:pPr>
        <w:spacing w:line="360" w:lineRule="auto"/>
        <w:ind w:firstLine="424" w:firstLineChars="202"/>
        <w:jc w:val="left"/>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rPr>
        <w:t>.报价供应商</w:t>
      </w:r>
      <w:r>
        <w:rPr>
          <w:rFonts w:ascii="宋体" w:hAnsi="宋体" w:cs="Arial"/>
          <w:color w:val="auto"/>
          <w:szCs w:val="21"/>
          <w:highlight w:val="none"/>
        </w:rPr>
        <w:t>可按此表格式复制</w:t>
      </w:r>
      <w:r>
        <w:rPr>
          <w:rFonts w:hint="eastAsia" w:ascii="宋体" w:hAnsi="宋体" w:cs="Arial"/>
          <w:color w:val="auto"/>
          <w:szCs w:val="21"/>
          <w:highlight w:val="none"/>
        </w:rPr>
        <w:t>。</w:t>
      </w:r>
    </w:p>
    <w:p>
      <w:pPr>
        <w:spacing w:line="360" w:lineRule="auto"/>
        <w:rPr>
          <w:rFonts w:ascii="宋体" w:hAnsi="宋体"/>
          <w:color w:val="auto"/>
          <w:sz w:val="22"/>
          <w:szCs w:val="22"/>
          <w:highlight w:val="none"/>
        </w:rPr>
      </w:pPr>
    </w:p>
    <w:p>
      <w:pPr>
        <w:spacing w:line="360" w:lineRule="auto"/>
        <w:rPr>
          <w:rFonts w:ascii="宋体" w:hAnsi="宋体"/>
          <w:color w:val="auto"/>
          <w:sz w:val="22"/>
          <w:szCs w:val="22"/>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pacing w:line="360" w:lineRule="auto"/>
        <w:jc w:val="center"/>
        <w:outlineLvl w:val="2"/>
        <w:rPr>
          <w:rFonts w:ascii="宋体" w:hAnsi="宋体" w:cs="宋体"/>
          <w:color w:val="auto"/>
          <w:sz w:val="24"/>
          <w:highlight w:val="none"/>
          <w:u w:val="single"/>
        </w:rPr>
      </w:pPr>
    </w:p>
    <w:p>
      <w:pPr>
        <w:spacing w:line="360" w:lineRule="auto"/>
        <w:rPr>
          <w:rFonts w:ascii="宋体" w:hAnsi="宋体"/>
          <w:b/>
          <w:color w:val="auto"/>
          <w:sz w:val="28"/>
          <w:highlight w:val="none"/>
        </w:rPr>
      </w:pPr>
      <w:r>
        <w:rPr>
          <w:rFonts w:hint="eastAsia" w:ascii="宋体" w:hAnsi="宋体"/>
          <w:b/>
          <w:color w:val="auto"/>
          <w:sz w:val="28"/>
          <w:highlight w:val="none"/>
        </w:rPr>
        <w:t>附件9</w:t>
      </w:r>
    </w:p>
    <w:p>
      <w:pPr>
        <w:spacing w:line="360" w:lineRule="auto"/>
        <w:ind w:firstLine="435"/>
        <w:jc w:val="center"/>
        <w:rPr>
          <w:rFonts w:ascii="宋体" w:hAnsi="宋体"/>
          <w:b/>
          <w:color w:val="auto"/>
          <w:sz w:val="32"/>
          <w:szCs w:val="32"/>
          <w:highlight w:val="none"/>
        </w:rPr>
      </w:pPr>
      <w:r>
        <w:rPr>
          <w:rFonts w:hint="eastAsia" w:ascii="宋体" w:hAnsi="宋体"/>
          <w:b/>
          <w:color w:val="auto"/>
          <w:sz w:val="32"/>
          <w:szCs w:val="32"/>
          <w:highlight w:val="none"/>
        </w:rPr>
        <w:t>售后服务情况表</w:t>
      </w:r>
    </w:p>
    <w:p>
      <w:pPr>
        <w:spacing w:line="360" w:lineRule="auto"/>
        <w:ind w:firstLine="435"/>
        <w:jc w:val="center"/>
        <w:rPr>
          <w:rFonts w:ascii="宋体" w:hAnsi="宋体"/>
          <w:b/>
          <w:color w:val="auto"/>
          <w:sz w:val="36"/>
          <w:szCs w:val="36"/>
          <w:highlight w:val="none"/>
        </w:rPr>
      </w:pPr>
    </w:p>
    <w:tbl>
      <w:tblPr>
        <w:tblStyle w:val="35"/>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vAlign w:val="center"/>
          </w:tcPr>
          <w:p>
            <w:pPr>
              <w:pStyle w:val="56"/>
              <w:spacing w:line="360" w:lineRule="auto"/>
              <w:jc w:val="center"/>
              <w:rPr>
                <w:rFonts w:ascii="宋体" w:hAnsi="宋体" w:cs="Arial"/>
                <w:b/>
                <w:color w:val="auto"/>
                <w:sz w:val="24"/>
                <w:highlight w:val="none"/>
              </w:rPr>
            </w:pPr>
            <w:r>
              <w:rPr>
                <w:rFonts w:hint="eastAsia" w:ascii="宋体" w:hAnsi="宋体" w:cs="Arial"/>
                <w:b/>
                <w:color w:val="auto"/>
                <w:sz w:val="24"/>
                <w:highlight w:val="none"/>
              </w:rPr>
              <w:t>序号</w:t>
            </w:r>
          </w:p>
        </w:tc>
        <w:tc>
          <w:tcPr>
            <w:tcW w:w="2355" w:type="dxa"/>
            <w:vAlign w:val="center"/>
          </w:tcPr>
          <w:p>
            <w:pPr>
              <w:pStyle w:val="56"/>
              <w:spacing w:line="360" w:lineRule="auto"/>
              <w:jc w:val="center"/>
              <w:rPr>
                <w:rFonts w:ascii="宋体" w:hAnsi="宋体" w:cs="Arial"/>
                <w:b/>
                <w:color w:val="auto"/>
                <w:sz w:val="24"/>
                <w:highlight w:val="none"/>
              </w:rPr>
            </w:pPr>
            <w:r>
              <w:rPr>
                <w:rFonts w:hint="eastAsia" w:ascii="宋体" w:hAnsi="宋体" w:cs="Arial"/>
                <w:b/>
                <w:color w:val="auto"/>
                <w:sz w:val="24"/>
                <w:highlight w:val="none"/>
              </w:rPr>
              <w:t>项目</w:t>
            </w:r>
          </w:p>
        </w:tc>
        <w:tc>
          <w:tcPr>
            <w:tcW w:w="4061" w:type="dxa"/>
            <w:vAlign w:val="center"/>
          </w:tcPr>
          <w:p>
            <w:pPr>
              <w:pStyle w:val="56"/>
              <w:spacing w:line="360" w:lineRule="auto"/>
              <w:jc w:val="center"/>
              <w:rPr>
                <w:rFonts w:ascii="宋体" w:hAnsi="宋体" w:cs="Arial"/>
                <w:b/>
                <w:color w:val="auto"/>
                <w:sz w:val="24"/>
                <w:highlight w:val="none"/>
              </w:rPr>
            </w:pPr>
            <w:r>
              <w:rPr>
                <w:rFonts w:hint="eastAsia" w:ascii="宋体" w:hAnsi="宋体" w:cs="Arial"/>
                <w:b/>
                <w:color w:val="auto"/>
                <w:sz w:val="24"/>
                <w:highlight w:val="none"/>
              </w:rPr>
              <w:t>投标人情况</w:t>
            </w:r>
          </w:p>
        </w:tc>
        <w:tc>
          <w:tcPr>
            <w:tcW w:w="1373" w:type="dxa"/>
            <w:vAlign w:val="center"/>
          </w:tcPr>
          <w:p>
            <w:pPr>
              <w:pStyle w:val="56"/>
              <w:spacing w:line="360" w:lineRule="auto"/>
              <w:jc w:val="center"/>
              <w:rPr>
                <w:rFonts w:ascii="宋体" w:hAnsi="宋体" w:cs="Arial"/>
                <w:b/>
                <w:color w:val="auto"/>
                <w:sz w:val="24"/>
                <w:highlight w:val="none"/>
              </w:rPr>
            </w:pPr>
            <w:r>
              <w:rPr>
                <w:rFonts w:hint="eastAsia" w:ascii="宋体" w:hAnsi="宋体" w:cs="Arial"/>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56"/>
              <w:spacing w:line="360" w:lineRule="auto"/>
              <w:jc w:val="center"/>
              <w:rPr>
                <w:rFonts w:ascii="宋体" w:hAnsi="宋体" w:cs="Arial"/>
                <w:bCs/>
                <w:color w:val="auto"/>
                <w:sz w:val="24"/>
                <w:highlight w:val="none"/>
              </w:rPr>
            </w:pPr>
            <w:r>
              <w:rPr>
                <w:rFonts w:hint="eastAsia" w:ascii="宋体" w:hAnsi="宋体" w:cs="Arial"/>
                <w:bCs/>
                <w:color w:val="auto"/>
                <w:sz w:val="24"/>
                <w:highlight w:val="none"/>
              </w:rPr>
              <w:t>1</w:t>
            </w:r>
          </w:p>
        </w:tc>
        <w:tc>
          <w:tcPr>
            <w:tcW w:w="2355" w:type="dxa"/>
            <w:vMerge w:val="restart"/>
            <w:vAlign w:val="center"/>
          </w:tcPr>
          <w:p>
            <w:pPr>
              <w:pStyle w:val="56"/>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服务期内服务情况(</w:t>
            </w:r>
            <w:r>
              <w:rPr>
                <w:rFonts w:ascii="宋体" w:hAnsi="宋体" w:cs="Arial"/>
                <w:bCs/>
                <w:color w:val="auto"/>
                <w:sz w:val="24"/>
                <w:highlight w:val="none"/>
              </w:rPr>
              <w:t>服务</w:t>
            </w:r>
            <w:r>
              <w:rPr>
                <w:rFonts w:hint="eastAsia" w:ascii="宋体" w:hAnsi="宋体" w:cs="Arial"/>
                <w:bCs/>
                <w:color w:val="auto"/>
                <w:sz w:val="24"/>
                <w:highlight w:val="none"/>
              </w:rPr>
              <w:t>方式、服务网点</w:t>
            </w:r>
            <w:r>
              <w:rPr>
                <w:rFonts w:ascii="宋体" w:hAnsi="宋体" w:cs="Arial"/>
                <w:bCs/>
                <w:color w:val="auto"/>
                <w:sz w:val="24"/>
                <w:highlight w:val="none"/>
              </w:rPr>
              <w:t>、售后服务的内容和措施</w:t>
            </w:r>
            <w:r>
              <w:rPr>
                <w:rFonts w:hint="eastAsia" w:ascii="宋体" w:hAnsi="宋体" w:cs="Arial"/>
                <w:bCs/>
                <w:color w:val="auto"/>
                <w:sz w:val="24"/>
                <w:highlight w:val="none"/>
              </w:rPr>
              <w:t>等等，可用附页和宣传材料)</w:t>
            </w:r>
          </w:p>
        </w:tc>
        <w:tc>
          <w:tcPr>
            <w:tcW w:w="4061" w:type="dxa"/>
          </w:tcPr>
          <w:p>
            <w:pPr>
              <w:pStyle w:val="56"/>
              <w:spacing w:line="360" w:lineRule="auto"/>
              <w:rPr>
                <w:rFonts w:ascii="宋体" w:hAnsi="宋体" w:cs="Arial"/>
                <w:bCs/>
                <w:color w:val="auto"/>
                <w:sz w:val="24"/>
                <w:highlight w:val="none"/>
              </w:rPr>
            </w:pPr>
            <w:r>
              <w:rPr>
                <w:rFonts w:hint="eastAsia" w:ascii="宋体" w:hAnsi="宋体" w:cs="Arial"/>
                <w:bCs/>
                <w:color w:val="auto"/>
                <w:sz w:val="24"/>
                <w:highlight w:val="none"/>
              </w:rPr>
              <w:t>服务期内服务情况：</w:t>
            </w:r>
          </w:p>
        </w:tc>
        <w:tc>
          <w:tcPr>
            <w:tcW w:w="1373" w:type="dxa"/>
          </w:tcPr>
          <w:p>
            <w:pPr>
              <w:pStyle w:val="56"/>
              <w:spacing w:line="360" w:lineRule="auto"/>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56"/>
              <w:widowControl/>
              <w:spacing w:line="360" w:lineRule="auto"/>
              <w:jc w:val="left"/>
              <w:rPr>
                <w:rFonts w:ascii="宋体" w:hAnsi="宋体" w:cs="Arial"/>
                <w:bCs/>
                <w:color w:val="auto"/>
                <w:sz w:val="24"/>
                <w:highlight w:val="none"/>
              </w:rPr>
            </w:pPr>
          </w:p>
        </w:tc>
        <w:tc>
          <w:tcPr>
            <w:tcW w:w="2355" w:type="dxa"/>
            <w:vMerge w:val="continue"/>
            <w:vAlign w:val="center"/>
          </w:tcPr>
          <w:p>
            <w:pPr>
              <w:pStyle w:val="56"/>
              <w:widowControl/>
              <w:spacing w:line="360" w:lineRule="auto"/>
              <w:jc w:val="left"/>
              <w:rPr>
                <w:rFonts w:ascii="宋体" w:hAnsi="宋体" w:cs="Arial"/>
                <w:bCs/>
                <w:color w:val="auto"/>
                <w:sz w:val="24"/>
                <w:highlight w:val="none"/>
              </w:rPr>
            </w:pPr>
          </w:p>
        </w:tc>
        <w:tc>
          <w:tcPr>
            <w:tcW w:w="4061" w:type="dxa"/>
          </w:tcPr>
          <w:p>
            <w:pPr>
              <w:pStyle w:val="56"/>
              <w:spacing w:line="360" w:lineRule="auto"/>
              <w:rPr>
                <w:rFonts w:ascii="宋体" w:hAnsi="宋体" w:cs="Arial"/>
                <w:bCs/>
                <w:color w:val="auto"/>
                <w:sz w:val="24"/>
                <w:highlight w:val="none"/>
              </w:rPr>
            </w:pPr>
            <w:r>
              <w:rPr>
                <w:rFonts w:hint="eastAsia" w:ascii="宋体" w:hAnsi="宋体" w:cs="Arial"/>
                <w:bCs/>
                <w:color w:val="auto"/>
                <w:sz w:val="24"/>
                <w:highlight w:val="none"/>
              </w:rPr>
              <w:t>投标人售后服务情况：</w:t>
            </w:r>
          </w:p>
        </w:tc>
        <w:tc>
          <w:tcPr>
            <w:tcW w:w="1373" w:type="dxa"/>
          </w:tcPr>
          <w:p>
            <w:pPr>
              <w:pStyle w:val="56"/>
              <w:spacing w:line="360" w:lineRule="auto"/>
              <w:jc w:val="left"/>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62" w:hRule="exact"/>
          <w:jc w:val="center"/>
        </w:trPr>
        <w:tc>
          <w:tcPr>
            <w:tcW w:w="739" w:type="dxa"/>
            <w:vAlign w:val="center"/>
          </w:tcPr>
          <w:p>
            <w:pPr>
              <w:pStyle w:val="56"/>
              <w:spacing w:line="360" w:lineRule="auto"/>
              <w:jc w:val="center"/>
              <w:rPr>
                <w:rFonts w:ascii="宋体" w:hAnsi="宋体" w:cs="Arial"/>
                <w:bCs/>
                <w:color w:val="auto"/>
                <w:sz w:val="24"/>
                <w:highlight w:val="none"/>
              </w:rPr>
            </w:pPr>
            <w:r>
              <w:rPr>
                <w:rFonts w:hint="eastAsia" w:ascii="宋体" w:hAnsi="宋体" w:cs="Arial"/>
                <w:bCs/>
                <w:color w:val="auto"/>
                <w:sz w:val="24"/>
                <w:highlight w:val="none"/>
              </w:rPr>
              <w:t>2</w:t>
            </w:r>
          </w:p>
        </w:tc>
        <w:tc>
          <w:tcPr>
            <w:tcW w:w="2355" w:type="dxa"/>
            <w:vAlign w:val="center"/>
          </w:tcPr>
          <w:p>
            <w:pPr>
              <w:pStyle w:val="56"/>
              <w:spacing w:line="360" w:lineRule="auto"/>
              <w:rPr>
                <w:rFonts w:ascii="宋体" w:hAnsi="宋体" w:cs="Arial"/>
                <w:bCs/>
                <w:color w:val="auto"/>
                <w:sz w:val="24"/>
                <w:highlight w:val="none"/>
              </w:rPr>
            </w:pPr>
            <w:r>
              <w:rPr>
                <w:rFonts w:hint="eastAsia" w:ascii="宋体" w:hAnsi="宋体" w:cs="Arial"/>
                <w:bCs/>
                <w:color w:val="auto"/>
                <w:sz w:val="24"/>
                <w:highlight w:val="none"/>
              </w:rPr>
              <w:t>服务期结束后服务</w:t>
            </w:r>
          </w:p>
        </w:tc>
        <w:tc>
          <w:tcPr>
            <w:tcW w:w="4061" w:type="dxa"/>
          </w:tcPr>
          <w:p>
            <w:pPr>
              <w:pStyle w:val="56"/>
              <w:widowControl/>
              <w:spacing w:line="360" w:lineRule="auto"/>
              <w:jc w:val="left"/>
              <w:rPr>
                <w:rFonts w:ascii="宋体" w:hAnsi="宋体" w:cs="Arial"/>
                <w:bCs/>
                <w:color w:val="auto"/>
                <w:sz w:val="24"/>
                <w:highlight w:val="none"/>
              </w:rPr>
            </w:pPr>
          </w:p>
          <w:p>
            <w:pPr>
              <w:pStyle w:val="56"/>
              <w:widowControl/>
              <w:spacing w:line="360" w:lineRule="auto"/>
              <w:jc w:val="left"/>
              <w:rPr>
                <w:rFonts w:ascii="宋体" w:hAnsi="宋体" w:cs="Arial"/>
                <w:bCs/>
                <w:color w:val="auto"/>
                <w:sz w:val="24"/>
                <w:highlight w:val="none"/>
              </w:rPr>
            </w:pPr>
          </w:p>
          <w:p>
            <w:pPr>
              <w:pStyle w:val="56"/>
              <w:spacing w:line="360" w:lineRule="auto"/>
              <w:rPr>
                <w:rFonts w:ascii="宋体" w:hAnsi="宋体" w:cs="Arial"/>
                <w:bCs/>
                <w:color w:val="auto"/>
                <w:sz w:val="24"/>
                <w:highlight w:val="none"/>
              </w:rPr>
            </w:pPr>
          </w:p>
        </w:tc>
        <w:tc>
          <w:tcPr>
            <w:tcW w:w="1373" w:type="dxa"/>
          </w:tcPr>
          <w:p>
            <w:pPr>
              <w:pStyle w:val="56"/>
              <w:widowControl/>
              <w:spacing w:line="360" w:lineRule="auto"/>
              <w:jc w:val="left"/>
              <w:rPr>
                <w:rFonts w:ascii="宋体" w:hAnsi="宋体" w:cs="Arial"/>
                <w:bCs/>
                <w:color w:val="auto"/>
                <w:sz w:val="24"/>
                <w:highlight w:val="none"/>
              </w:rPr>
            </w:pPr>
          </w:p>
          <w:p>
            <w:pPr>
              <w:pStyle w:val="56"/>
              <w:widowControl/>
              <w:spacing w:line="360" w:lineRule="auto"/>
              <w:jc w:val="left"/>
              <w:rPr>
                <w:rFonts w:ascii="宋体" w:hAnsi="宋体" w:cs="Arial"/>
                <w:bCs/>
                <w:color w:val="auto"/>
                <w:sz w:val="24"/>
                <w:highlight w:val="none"/>
              </w:rPr>
            </w:pPr>
          </w:p>
          <w:p>
            <w:pPr>
              <w:pStyle w:val="56"/>
              <w:spacing w:line="360" w:lineRule="auto"/>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9" w:hRule="exact"/>
          <w:jc w:val="center"/>
        </w:trPr>
        <w:tc>
          <w:tcPr>
            <w:tcW w:w="739" w:type="dxa"/>
            <w:vAlign w:val="center"/>
          </w:tcPr>
          <w:p>
            <w:pPr>
              <w:pStyle w:val="56"/>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 xml:space="preserve"> 3</w:t>
            </w:r>
          </w:p>
        </w:tc>
        <w:tc>
          <w:tcPr>
            <w:tcW w:w="2355" w:type="dxa"/>
            <w:vAlign w:val="center"/>
          </w:tcPr>
          <w:p>
            <w:pPr>
              <w:pStyle w:val="56"/>
              <w:widowControl/>
              <w:spacing w:line="360" w:lineRule="auto"/>
              <w:jc w:val="left"/>
              <w:rPr>
                <w:rFonts w:ascii="宋体" w:hAnsi="宋体" w:cs="Arial"/>
                <w:bCs/>
                <w:color w:val="auto"/>
                <w:sz w:val="24"/>
                <w:highlight w:val="none"/>
              </w:rPr>
            </w:pPr>
          </w:p>
        </w:tc>
        <w:tc>
          <w:tcPr>
            <w:tcW w:w="4061" w:type="dxa"/>
          </w:tcPr>
          <w:p>
            <w:pPr>
              <w:pStyle w:val="56"/>
              <w:widowControl/>
              <w:spacing w:line="360" w:lineRule="auto"/>
              <w:jc w:val="left"/>
              <w:rPr>
                <w:rFonts w:ascii="宋体" w:hAnsi="宋体" w:cs="Arial"/>
                <w:bCs/>
                <w:i/>
                <w:color w:val="auto"/>
                <w:sz w:val="24"/>
                <w:highlight w:val="none"/>
              </w:rPr>
            </w:pPr>
          </w:p>
          <w:p>
            <w:pPr>
              <w:pStyle w:val="56"/>
              <w:widowControl/>
              <w:spacing w:line="360" w:lineRule="auto"/>
              <w:jc w:val="left"/>
              <w:rPr>
                <w:rFonts w:ascii="宋体" w:hAnsi="宋体" w:cs="Arial"/>
                <w:bCs/>
                <w:i/>
                <w:color w:val="auto"/>
                <w:sz w:val="24"/>
                <w:highlight w:val="none"/>
              </w:rPr>
            </w:pPr>
          </w:p>
        </w:tc>
        <w:tc>
          <w:tcPr>
            <w:tcW w:w="1373" w:type="dxa"/>
          </w:tcPr>
          <w:p>
            <w:pPr>
              <w:pStyle w:val="56"/>
              <w:widowControl/>
              <w:spacing w:line="360" w:lineRule="auto"/>
              <w:jc w:val="left"/>
              <w:rPr>
                <w:rFonts w:ascii="宋体" w:hAnsi="宋体" w:cs="Arial"/>
                <w:bCs/>
                <w:i/>
                <w:color w:val="auto"/>
                <w:sz w:val="24"/>
                <w:highlight w:val="none"/>
              </w:rPr>
            </w:pPr>
          </w:p>
          <w:p>
            <w:pPr>
              <w:pStyle w:val="56"/>
              <w:widowControl/>
              <w:spacing w:line="360" w:lineRule="auto"/>
              <w:jc w:val="left"/>
              <w:rPr>
                <w:rFonts w:ascii="宋体" w:hAnsi="宋体" w:cs="Arial"/>
                <w:bCs/>
                <w:i/>
                <w:color w:val="auto"/>
                <w:sz w:val="24"/>
                <w:highlight w:val="none"/>
              </w:rPr>
            </w:pPr>
          </w:p>
          <w:p>
            <w:pPr>
              <w:pStyle w:val="56"/>
              <w:widowControl/>
              <w:spacing w:line="360" w:lineRule="auto"/>
              <w:jc w:val="left"/>
              <w:rPr>
                <w:rFonts w:ascii="宋体" w:hAnsi="宋体" w:cs="Arial"/>
                <w:bCs/>
                <w:i/>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vAlign w:val="center"/>
          </w:tcPr>
          <w:p>
            <w:pPr>
              <w:pStyle w:val="56"/>
              <w:widowControl/>
              <w:spacing w:line="360" w:lineRule="auto"/>
              <w:jc w:val="left"/>
              <w:rPr>
                <w:rFonts w:ascii="宋体" w:hAnsi="宋体" w:cs="Arial"/>
                <w:bCs/>
                <w:color w:val="auto"/>
                <w:sz w:val="24"/>
                <w:highlight w:val="none"/>
              </w:rPr>
            </w:pPr>
            <w:r>
              <w:rPr>
                <w:rFonts w:ascii="宋体" w:hAnsi="宋体" w:cs="Arial"/>
                <w:bCs/>
                <w:color w:val="auto"/>
                <w:sz w:val="24"/>
                <w:highlight w:val="none"/>
              </w:rPr>
              <w:t>……</w:t>
            </w:r>
          </w:p>
        </w:tc>
        <w:tc>
          <w:tcPr>
            <w:tcW w:w="2355" w:type="dxa"/>
            <w:vAlign w:val="center"/>
          </w:tcPr>
          <w:p>
            <w:pPr>
              <w:pStyle w:val="56"/>
              <w:widowControl/>
              <w:spacing w:line="360" w:lineRule="auto"/>
              <w:jc w:val="left"/>
              <w:rPr>
                <w:rFonts w:ascii="宋体" w:hAnsi="宋体" w:cs="Arial"/>
                <w:bCs/>
                <w:color w:val="auto"/>
                <w:sz w:val="24"/>
                <w:highlight w:val="none"/>
              </w:rPr>
            </w:pPr>
            <w:r>
              <w:rPr>
                <w:rFonts w:ascii="宋体" w:hAnsi="宋体" w:cs="Arial"/>
                <w:bCs/>
                <w:color w:val="auto"/>
                <w:sz w:val="24"/>
                <w:highlight w:val="none"/>
              </w:rPr>
              <w:t>……</w:t>
            </w:r>
          </w:p>
        </w:tc>
        <w:tc>
          <w:tcPr>
            <w:tcW w:w="4061" w:type="dxa"/>
          </w:tcPr>
          <w:p>
            <w:pPr>
              <w:pStyle w:val="56"/>
              <w:widowControl/>
              <w:spacing w:line="360" w:lineRule="auto"/>
              <w:jc w:val="left"/>
              <w:rPr>
                <w:rFonts w:ascii="宋体" w:hAnsi="宋体" w:cs="Arial"/>
                <w:bCs/>
                <w:color w:val="auto"/>
                <w:sz w:val="24"/>
                <w:highlight w:val="none"/>
              </w:rPr>
            </w:pPr>
          </w:p>
        </w:tc>
        <w:tc>
          <w:tcPr>
            <w:tcW w:w="1373" w:type="dxa"/>
          </w:tcPr>
          <w:p>
            <w:pPr>
              <w:pStyle w:val="56"/>
              <w:widowControl/>
              <w:spacing w:line="360" w:lineRule="auto"/>
              <w:jc w:val="left"/>
              <w:rPr>
                <w:rFonts w:ascii="宋体" w:hAnsi="宋体" w:cs="Arial"/>
                <w:bCs/>
                <w:color w:val="auto"/>
                <w:sz w:val="24"/>
                <w:highlight w:val="none"/>
              </w:rPr>
            </w:pPr>
          </w:p>
        </w:tc>
      </w:tr>
    </w:tbl>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pStyle w:val="44"/>
        <w:rPr>
          <w:color w:val="auto"/>
          <w:highlight w:val="none"/>
        </w:rPr>
      </w:pPr>
    </w:p>
    <w:p>
      <w:pPr>
        <w:spacing w:line="360" w:lineRule="auto"/>
        <w:rPr>
          <w:color w:val="auto"/>
          <w:highlight w:val="none"/>
        </w:rPr>
      </w:pPr>
      <w:r>
        <w:rPr>
          <w:rFonts w:hint="eastAsia" w:ascii="宋体" w:hAnsi="宋体"/>
          <w:b/>
          <w:color w:val="auto"/>
          <w:sz w:val="28"/>
          <w:highlight w:val="none"/>
        </w:rPr>
        <w:t>附件10</w:t>
      </w:r>
    </w:p>
    <w:p>
      <w:pPr>
        <w:spacing w:line="360" w:lineRule="auto"/>
        <w:jc w:val="center"/>
        <w:outlineLvl w:val="2"/>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w:t>
      </w:r>
    </w:p>
    <w:p>
      <w:pPr>
        <w:ind w:leftChars="-95" w:hanging="199" w:hangingChars="66"/>
        <w:jc w:val="center"/>
        <w:rPr>
          <w:rFonts w:ascii="宋体" w:hAnsi="宋体" w:cs="宋体"/>
          <w:b/>
          <w:color w:val="auto"/>
          <w:sz w:val="30"/>
          <w:szCs w:val="30"/>
          <w:highlight w:val="none"/>
        </w:rPr>
      </w:pPr>
      <w:r>
        <w:rPr>
          <w:rFonts w:hint="eastAsia" w:ascii="宋体" w:hAnsi="宋体" w:cs="宋体"/>
          <w:b/>
          <w:color w:val="auto"/>
          <w:sz w:val="30"/>
          <w:szCs w:val="30"/>
          <w:highlight w:val="none"/>
        </w:rPr>
        <w:t>投标人客观分自评表</w:t>
      </w:r>
    </w:p>
    <w:tbl>
      <w:tblPr>
        <w:tblStyle w:val="3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5332"/>
        <w:gridCol w:w="1916"/>
        <w:gridCol w:w="885"/>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5332"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r>
              <w:rPr>
                <w:rFonts w:hint="eastAsia" w:ascii="宋体" w:hAnsi="宋体" w:cs="宋体"/>
                <w:b/>
                <w:color w:val="auto"/>
                <w:szCs w:val="21"/>
                <w:highlight w:val="none"/>
              </w:rPr>
              <w:t>自评内容</w:t>
            </w:r>
          </w:p>
        </w:tc>
        <w:tc>
          <w:tcPr>
            <w:tcW w:w="1916"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r>
              <w:rPr>
                <w:rFonts w:hint="eastAsia" w:ascii="宋体" w:hAnsi="宋体" w:cs="宋体"/>
                <w:b/>
                <w:color w:val="auto"/>
                <w:szCs w:val="21"/>
                <w:highlight w:val="none"/>
              </w:rPr>
              <w:t>评分依据在投标文件中页码</w:t>
            </w:r>
          </w:p>
        </w:tc>
        <w:tc>
          <w:tcPr>
            <w:tcW w:w="885"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r>
              <w:rPr>
                <w:rFonts w:hint="eastAsia" w:ascii="宋体" w:hAnsi="宋体" w:cs="宋体"/>
                <w:b/>
                <w:color w:val="auto"/>
                <w:szCs w:val="21"/>
                <w:highlight w:val="none"/>
              </w:rPr>
              <w:t>自评得分</w:t>
            </w:r>
          </w:p>
        </w:tc>
        <w:tc>
          <w:tcPr>
            <w:tcW w:w="779"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exac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53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18"/>
                <w:szCs w:val="18"/>
                <w:highlight w:val="none"/>
              </w:rPr>
            </w:pPr>
            <w:r>
              <w:rPr>
                <w:rFonts w:hint="eastAsia" w:ascii="宋体" w:hAnsi="宋体" w:cs="宋体"/>
                <w:color w:val="auto"/>
                <w:sz w:val="18"/>
                <w:szCs w:val="18"/>
                <w:highlight w:val="none"/>
              </w:rPr>
              <w:t>现场施工车辆：</w:t>
            </w:r>
            <w:r>
              <w:rPr>
                <w:rFonts w:hint="eastAsia" w:ascii="宋体" w:hAnsi="宋体" w:cs="宋体"/>
                <w:bCs/>
                <w:color w:val="auto"/>
                <w:sz w:val="18"/>
                <w:szCs w:val="18"/>
                <w:highlight w:val="none"/>
              </w:rPr>
              <w:t>包括吊车、登高车、货车及其它工程作业车辆等。</w:t>
            </w:r>
          </w:p>
          <w:p>
            <w:pPr>
              <w:rPr>
                <w:rFonts w:ascii="宋体" w:hAnsi="宋体" w:cs="宋体"/>
                <w:color w:val="auto"/>
                <w:sz w:val="18"/>
                <w:szCs w:val="18"/>
                <w:highlight w:val="none"/>
              </w:rPr>
            </w:pPr>
            <w:r>
              <w:rPr>
                <w:rFonts w:hint="eastAsia" w:ascii="宋体" w:hAnsi="宋体" w:cs="宋体"/>
                <w:bCs/>
                <w:color w:val="auto"/>
                <w:sz w:val="18"/>
                <w:szCs w:val="18"/>
                <w:highlight w:val="none"/>
              </w:rPr>
              <w:t>1、提供货车及其它工程作业车辆（不含吊车、登高车）3辆的得1分，4</w:t>
            </w:r>
            <w:r>
              <w:rPr>
                <w:rFonts w:hint="eastAsia" w:ascii="宋体" w:hAnsi="宋体" w:cs="宋体"/>
                <w:color w:val="auto"/>
                <w:sz w:val="18"/>
                <w:szCs w:val="18"/>
                <w:highlight w:val="none"/>
              </w:rPr>
              <w:t>辆</w:t>
            </w:r>
            <w:r>
              <w:rPr>
                <w:rFonts w:hint="eastAsia" w:ascii="宋体" w:hAnsi="宋体" w:cs="宋体"/>
                <w:bCs/>
                <w:color w:val="auto"/>
                <w:sz w:val="18"/>
                <w:szCs w:val="18"/>
                <w:highlight w:val="none"/>
              </w:rPr>
              <w:t>及以上得2分。</w:t>
            </w:r>
          </w:p>
          <w:p>
            <w:pPr>
              <w:rPr>
                <w:rFonts w:ascii="宋体" w:hAnsi="宋体" w:cs="宋体"/>
                <w:bCs/>
                <w:color w:val="auto"/>
                <w:sz w:val="18"/>
                <w:szCs w:val="18"/>
                <w:highlight w:val="none"/>
              </w:rPr>
            </w:pPr>
            <w:r>
              <w:rPr>
                <w:rFonts w:hint="eastAsia" w:ascii="宋体" w:hAnsi="宋体" w:cs="宋体"/>
                <w:bCs/>
                <w:color w:val="auto"/>
                <w:sz w:val="18"/>
                <w:szCs w:val="18"/>
                <w:highlight w:val="none"/>
              </w:rPr>
              <w:t>2、提供的登高车1辆得1分，</w:t>
            </w:r>
            <w:r>
              <w:rPr>
                <w:rFonts w:ascii="宋体" w:hAnsi="宋体" w:cs="宋体"/>
                <w:bCs/>
                <w:color w:val="auto"/>
                <w:sz w:val="18"/>
                <w:szCs w:val="18"/>
                <w:highlight w:val="none"/>
              </w:rPr>
              <w:t>2</w:t>
            </w:r>
            <w:r>
              <w:rPr>
                <w:rFonts w:hint="eastAsia" w:ascii="宋体" w:hAnsi="宋体" w:cs="宋体"/>
                <w:bCs/>
                <w:color w:val="auto"/>
                <w:sz w:val="18"/>
                <w:szCs w:val="18"/>
                <w:highlight w:val="none"/>
              </w:rPr>
              <w:t>辆及以上得2分。</w:t>
            </w:r>
          </w:p>
          <w:p>
            <w:pPr>
              <w:rPr>
                <w:rFonts w:ascii="宋体" w:hAnsi="宋体" w:cs="宋体"/>
                <w:color w:val="auto"/>
                <w:sz w:val="18"/>
                <w:szCs w:val="18"/>
                <w:highlight w:val="none"/>
              </w:rPr>
            </w:pPr>
            <w:r>
              <w:rPr>
                <w:rFonts w:hint="eastAsia" w:ascii="宋体" w:hAnsi="宋体" w:cs="宋体"/>
                <w:bCs/>
                <w:color w:val="auto"/>
                <w:sz w:val="18"/>
                <w:szCs w:val="18"/>
                <w:highlight w:val="none"/>
              </w:rPr>
              <w:t>3、提供吊车（含货车吊车一体的）的得1分，不提供不得分。</w:t>
            </w:r>
          </w:p>
          <w:p>
            <w:pPr>
              <w:rPr>
                <w:rFonts w:ascii="宋体" w:hAnsi="宋体" w:cs="宋体"/>
                <w:bCs/>
                <w:color w:val="auto"/>
                <w:sz w:val="18"/>
                <w:szCs w:val="18"/>
                <w:highlight w:val="none"/>
              </w:rPr>
            </w:pPr>
            <w:r>
              <w:rPr>
                <w:rFonts w:hint="eastAsia" w:ascii="宋体" w:hAnsi="宋体" w:cs="宋体"/>
                <w:color w:val="auto"/>
                <w:sz w:val="18"/>
                <w:szCs w:val="18"/>
                <w:highlight w:val="none"/>
              </w:rPr>
              <w:t>如是租赁的，需提供租赁合同。租赁期限需超过本项目期限。</w:t>
            </w:r>
          </w:p>
          <w:p>
            <w:pPr>
              <w:rPr>
                <w:rFonts w:ascii="宋体" w:hAnsi="宋体" w:cs="宋体"/>
                <w:bCs/>
                <w:color w:val="auto"/>
                <w:sz w:val="18"/>
                <w:szCs w:val="18"/>
                <w:highlight w:val="none"/>
              </w:rPr>
            </w:pPr>
            <w:r>
              <w:rPr>
                <w:rFonts w:hint="eastAsia" w:ascii="宋体" w:hAnsi="宋体" w:cs="宋体"/>
                <w:b/>
                <w:bCs/>
                <w:color w:val="auto"/>
                <w:sz w:val="18"/>
                <w:szCs w:val="18"/>
                <w:highlight w:val="none"/>
              </w:rPr>
              <w:t>需提供有效的车辆行驶证扫描件</w:t>
            </w:r>
            <w:r>
              <w:rPr>
                <w:rFonts w:hint="eastAsia" w:ascii="宋体" w:hAnsi="宋体" w:cs="宋体"/>
                <w:b/>
                <w:color w:val="auto"/>
                <w:sz w:val="18"/>
                <w:szCs w:val="18"/>
                <w:highlight w:val="none"/>
              </w:rPr>
              <w:t>。</w:t>
            </w:r>
            <w:r>
              <w:rPr>
                <w:rFonts w:hint="eastAsia" w:ascii="宋体" w:hAnsi="宋体" w:cs="宋体"/>
                <w:bCs/>
                <w:color w:val="auto"/>
                <w:sz w:val="18"/>
                <w:szCs w:val="18"/>
                <w:highlight w:val="none"/>
              </w:rPr>
              <w:t>作业车辆必须符合台州市相关交通管理要求,以上车辆必须为本项目服务，不得他用。</w:t>
            </w:r>
          </w:p>
        </w:tc>
        <w:tc>
          <w:tcPr>
            <w:tcW w:w="1916"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exac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Cs/>
                <w:color w:val="auto"/>
                <w:szCs w:val="21"/>
                <w:highlight w:val="none"/>
              </w:rPr>
            </w:pPr>
            <w:r>
              <w:rPr>
                <w:rFonts w:hint="eastAsia" w:ascii="宋体" w:hAnsi="宋体" w:cs="宋体"/>
                <w:bCs/>
                <w:color w:val="auto"/>
                <w:szCs w:val="21"/>
                <w:highlight w:val="none"/>
              </w:rPr>
              <w:t>2</w:t>
            </w:r>
          </w:p>
        </w:tc>
        <w:tc>
          <w:tcPr>
            <w:tcW w:w="5332"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color w:val="auto"/>
                <w:sz w:val="18"/>
                <w:szCs w:val="18"/>
                <w:highlight w:val="none"/>
              </w:rPr>
            </w:pPr>
            <w:r>
              <w:rPr>
                <w:rFonts w:hint="eastAsia" w:ascii="宋体" w:hAnsi="宋体" w:cs="宋体"/>
                <w:color w:val="auto"/>
                <w:sz w:val="18"/>
                <w:szCs w:val="18"/>
                <w:highlight w:val="none"/>
              </w:rPr>
              <w:t>根据投标人针对本项目配备的团队成员（项目负责人、其它管理维护人员）的职称情况、资历情况等进行打分。</w:t>
            </w:r>
          </w:p>
          <w:p>
            <w:pPr>
              <w:snapToGrid w:val="0"/>
              <w:rPr>
                <w:rFonts w:ascii="宋体" w:hAnsi="宋体" w:cs="宋体"/>
                <w:color w:val="auto"/>
                <w:sz w:val="18"/>
                <w:szCs w:val="18"/>
                <w:highlight w:val="none"/>
              </w:rPr>
            </w:pPr>
            <w:r>
              <w:rPr>
                <w:rFonts w:hint="eastAsia" w:ascii="宋体" w:hAnsi="宋体" w:cs="宋体"/>
                <w:color w:val="auto"/>
                <w:sz w:val="18"/>
                <w:szCs w:val="18"/>
                <w:highlight w:val="none"/>
              </w:rPr>
              <w:t>1.投标人项目负责人具有注册一级建造师（市政公用或公路工程）资格得4分，具有注册二级建造师（市政公用或公路工程）资格得2分，最高得</w:t>
            </w:r>
            <w:r>
              <w:rPr>
                <w:rFonts w:ascii="宋体" w:hAnsi="宋体" w:cs="宋体"/>
                <w:color w:val="auto"/>
                <w:sz w:val="18"/>
                <w:szCs w:val="18"/>
                <w:highlight w:val="none"/>
              </w:rPr>
              <w:t>4</w:t>
            </w:r>
            <w:r>
              <w:rPr>
                <w:rFonts w:hint="eastAsia" w:ascii="宋体" w:hAnsi="宋体" w:cs="宋体"/>
                <w:color w:val="auto"/>
                <w:sz w:val="18"/>
                <w:szCs w:val="18"/>
                <w:highlight w:val="none"/>
              </w:rPr>
              <w:t>分（需提供注册证书扫描件，不提供不得分）</w:t>
            </w:r>
          </w:p>
          <w:p>
            <w:pPr>
              <w:snapToGrid w:val="0"/>
              <w:rPr>
                <w:rFonts w:ascii="宋体" w:hAnsi="宋体" w:cs="宋体"/>
                <w:color w:val="auto"/>
                <w:sz w:val="18"/>
                <w:szCs w:val="18"/>
                <w:highlight w:val="none"/>
              </w:rPr>
            </w:pPr>
            <w:r>
              <w:rPr>
                <w:rFonts w:hint="eastAsia" w:ascii="宋体" w:hAnsi="宋体" w:cs="宋体"/>
                <w:color w:val="auto"/>
                <w:sz w:val="18"/>
                <w:szCs w:val="18"/>
                <w:highlight w:val="none"/>
              </w:rPr>
              <w:t>2.项目组其他人员（除项目负责人外）具有人社部门颁发的高级工程师职称的每人得</w:t>
            </w:r>
            <w:r>
              <w:rPr>
                <w:rFonts w:ascii="宋体" w:hAnsi="宋体" w:cs="宋体"/>
                <w:color w:val="auto"/>
                <w:sz w:val="18"/>
                <w:szCs w:val="18"/>
                <w:highlight w:val="none"/>
              </w:rPr>
              <w:t>2</w:t>
            </w:r>
            <w:r>
              <w:rPr>
                <w:rFonts w:hint="eastAsia" w:ascii="宋体" w:hAnsi="宋体" w:cs="宋体"/>
                <w:color w:val="auto"/>
                <w:sz w:val="18"/>
                <w:szCs w:val="18"/>
                <w:highlight w:val="none"/>
              </w:rPr>
              <w:t>分，具有工程师职称的每人得</w:t>
            </w:r>
            <w:r>
              <w:rPr>
                <w:rFonts w:ascii="宋体" w:hAnsi="宋体" w:cs="宋体"/>
                <w:color w:val="auto"/>
                <w:sz w:val="18"/>
                <w:szCs w:val="18"/>
                <w:highlight w:val="none"/>
              </w:rPr>
              <w:t>1</w:t>
            </w:r>
            <w:r>
              <w:rPr>
                <w:rFonts w:hint="eastAsia" w:ascii="宋体" w:hAnsi="宋体" w:cs="宋体"/>
                <w:color w:val="auto"/>
                <w:sz w:val="18"/>
                <w:szCs w:val="18"/>
                <w:highlight w:val="none"/>
              </w:rPr>
              <w:t>分，具有助理工程师职称的每人得0.5分，本项最高得</w:t>
            </w:r>
            <w:r>
              <w:rPr>
                <w:rFonts w:ascii="宋体" w:hAnsi="宋体" w:cs="宋体"/>
                <w:color w:val="auto"/>
                <w:sz w:val="18"/>
                <w:szCs w:val="18"/>
                <w:highlight w:val="none"/>
              </w:rPr>
              <w:t>5</w:t>
            </w:r>
            <w:r>
              <w:rPr>
                <w:rFonts w:hint="eastAsia" w:ascii="宋体" w:hAnsi="宋体" w:cs="宋体"/>
                <w:color w:val="auto"/>
                <w:sz w:val="18"/>
                <w:szCs w:val="18"/>
                <w:highlight w:val="none"/>
              </w:rPr>
              <w:t>分（需提供职称证书扫描件，不提供不得分）</w:t>
            </w:r>
          </w:p>
          <w:p>
            <w:pPr>
              <w:rPr>
                <w:rFonts w:ascii="宋体" w:hAnsi="宋体" w:cs="宋体"/>
                <w:bCs/>
                <w:color w:val="auto"/>
                <w:sz w:val="18"/>
                <w:szCs w:val="18"/>
                <w:highlight w:val="none"/>
              </w:rPr>
            </w:pPr>
            <w:r>
              <w:rPr>
                <w:rFonts w:hint="eastAsia" w:ascii="宋体" w:hAnsi="宋体" w:cs="宋体"/>
                <w:b/>
                <w:bCs/>
                <w:color w:val="auto"/>
                <w:sz w:val="18"/>
                <w:szCs w:val="18"/>
                <w:highlight w:val="none"/>
              </w:rPr>
              <w:t>注：以上人员除相应证书外，还需提供</w:t>
            </w:r>
            <w:r>
              <w:rPr>
                <w:rFonts w:hint="eastAsia" w:ascii="宋体" w:hAnsi="宋体" w:cs="宋体"/>
                <w:color w:val="auto"/>
                <w:sz w:val="18"/>
                <w:szCs w:val="18"/>
                <w:highlight w:val="none"/>
              </w:rPr>
              <w:t>投标截止日之前近六个月的代缴个税税单或参加社会保险的《投保单》或《社会保险参保人员证明》等人员在本单位服务的外部证明。本项</w:t>
            </w:r>
            <w:r>
              <w:rPr>
                <w:rFonts w:hint="eastAsia" w:ascii="宋体" w:hAnsi="宋体" w:cs="宋体"/>
                <w:b/>
                <w:bCs/>
                <w:color w:val="auto"/>
                <w:sz w:val="18"/>
                <w:szCs w:val="18"/>
                <w:highlight w:val="none"/>
              </w:rPr>
              <w:t xml:space="preserve">不重复计分，同一位人员有多本证书的，只计一本。 </w:t>
            </w:r>
          </w:p>
        </w:tc>
        <w:tc>
          <w:tcPr>
            <w:tcW w:w="1916"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53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18"/>
                <w:szCs w:val="18"/>
                <w:highlight w:val="none"/>
              </w:rPr>
            </w:pPr>
            <w:r>
              <w:rPr>
                <w:rFonts w:hint="eastAsia" w:ascii="宋体" w:hAnsi="宋体" w:cs="宋体"/>
                <w:color w:val="auto"/>
                <w:sz w:val="18"/>
                <w:szCs w:val="18"/>
                <w:highlight w:val="none"/>
              </w:rPr>
              <w:t>投标供应商或产品制造商具备ISO9001质量管理体系认证、ISO14001环境管理体系认证，ISO45001职业健康管理体系认证证书的，每项得1分，最高得到3分。</w:t>
            </w:r>
          </w:p>
          <w:p>
            <w:pPr>
              <w:rPr>
                <w:rFonts w:ascii="宋体" w:hAnsi="宋体" w:cs="宋体"/>
                <w:bCs/>
                <w:color w:val="auto"/>
                <w:sz w:val="18"/>
                <w:szCs w:val="18"/>
                <w:highlight w:val="none"/>
              </w:rPr>
            </w:pPr>
            <w:r>
              <w:rPr>
                <w:rFonts w:hint="eastAsia" w:ascii="宋体" w:hAnsi="宋体" w:cs="宋体"/>
                <w:color w:val="auto"/>
                <w:sz w:val="18"/>
                <w:szCs w:val="18"/>
                <w:highlight w:val="none"/>
              </w:rPr>
              <w:t>(需提供证书扫描件，不提供不得分)</w:t>
            </w:r>
          </w:p>
        </w:tc>
        <w:tc>
          <w:tcPr>
            <w:tcW w:w="1916"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Cs/>
                <w:color w:val="auto"/>
                <w:szCs w:val="21"/>
                <w:highlight w:val="none"/>
              </w:rPr>
            </w:pPr>
            <w:r>
              <w:rPr>
                <w:rFonts w:hint="eastAsia" w:ascii="宋体" w:hAnsi="宋体" w:cs="宋体"/>
                <w:bCs/>
                <w:color w:val="auto"/>
                <w:szCs w:val="21"/>
                <w:highlight w:val="none"/>
              </w:rPr>
              <w:t>4</w:t>
            </w:r>
          </w:p>
        </w:tc>
        <w:tc>
          <w:tcPr>
            <w:tcW w:w="53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18"/>
                <w:szCs w:val="18"/>
                <w:highlight w:val="none"/>
              </w:rPr>
            </w:pPr>
            <w:r>
              <w:rPr>
                <w:rFonts w:hint="eastAsia" w:ascii="宋体" w:hAnsi="宋体" w:cs="宋体"/>
                <w:color w:val="auto"/>
                <w:sz w:val="18"/>
                <w:szCs w:val="18"/>
                <w:highlight w:val="none"/>
              </w:rPr>
              <w:t>投标人提供2019年7月1日至今（以合同签订之日起算）实施过的公路或城市道路上的类似项目实施案例（信号灯）,每提供1个有效业绩得1分，最高3分。(投标时需同时提供合同及中标通知书原件扫描件，不提供不得分。)</w:t>
            </w:r>
          </w:p>
        </w:tc>
        <w:tc>
          <w:tcPr>
            <w:tcW w:w="1916"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exac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Cs/>
                <w:color w:val="auto"/>
                <w:szCs w:val="21"/>
                <w:highlight w:val="none"/>
              </w:rPr>
            </w:pPr>
            <w:r>
              <w:rPr>
                <w:rFonts w:hint="eastAsia" w:ascii="宋体" w:hAnsi="宋体" w:cs="宋体"/>
                <w:bCs/>
                <w:color w:val="auto"/>
                <w:szCs w:val="21"/>
                <w:highlight w:val="none"/>
              </w:rPr>
              <w:t>5</w:t>
            </w:r>
          </w:p>
        </w:tc>
        <w:tc>
          <w:tcPr>
            <w:tcW w:w="5332" w:type="dxa"/>
            <w:tcBorders>
              <w:top w:val="single" w:color="auto" w:sz="4" w:space="0"/>
              <w:left w:val="single" w:color="auto" w:sz="4" w:space="0"/>
              <w:bottom w:val="single" w:color="auto" w:sz="4" w:space="0"/>
              <w:right w:val="single" w:color="auto" w:sz="4" w:space="0"/>
            </w:tcBorders>
            <w:vAlign w:val="center"/>
          </w:tcPr>
          <w:p>
            <w:pPr>
              <w:pStyle w:val="13"/>
              <w:ind w:firstLine="0"/>
              <w:rPr>
                <w:rFonts w:ascii="宋体" w:hAnsi="宋体" w:cs="宋体"/>
                <w:color w:val="auto"/>
                <w:kern w:val="0"/>
                <w:sz w:val="18"/>
                <w:szCs w:val="18"/>
                <w:highlight w:val="none"/>
              </w:rPr>
            </w:pPr>
            <w:r>
              <w:rPr>
                <w:rFonts w:hint="eastAsia" w:ascii="宋体" w:hAnsi="宋体" w:cs="宋体"/>
                <w:color w:val="auto"/>
                <w:kern w:val="0"/>
                <w:sz w:val="18"/>
                <w:szCs w:val="18"/>
                <w:highlight w:val="none"/>
              </w:rPr>
              <w:t>投标人或投标产品（或核心产品或服务）符合《政府采购货物和服务招标投标管理办法》第五条规定，属于“节约能源、保护环境、扶持不发达地区和少数民族地区等”等政府采购政策落实对象的（注：“促进中小企业发展”政府采购政策评审时将在“价格分”中进行政策性价格扣除，此处不予以计分），提供相关证明材料和政策依据，每符合一项得1分，最高可得2分；未提供相关证明材料的不得分。（提供相关证明材料和政策依据）。</w:t>
            </w:r>
          </w:p>
        </w:tc>
        <w:tc>
          <w:tcPr>
            <w:tcW w:w="1916"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 w:val="18"/>
                <w:szCs w:val="18"/>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pStyle w:val="56"/>
              <w:spacing w:line="276" w:lineRule="auto"/>
              <w:jc w:val="center"/>
              <w:rPr>
                <w:rFonts w:ascii="宋体" w:hAnsi="宋体" w:cs="宋体"/>
                <w:b/>
                <w:color w:val="auto"/>
                <w:szCs w:val="21"/>
                <w:highlight w:val="none"/>
              </w:rPr>
            </w:pPr>
          </w:p>
        </w:tc>
      </w:tr>
    </w:tbl>
    <w:p>
      <w:pPr>
        <w:spacing w:line="360" w:lineRule="auto"/>
        <w:rPr>
          <w:rFonts w:asciiTheme="minorEastAsia" w:hAnsiTheme="minorEastAsia" w:eastAsiaTheme="minorEastAsia"/>
          <w:b/>
          <w:bCs/>
          <w:color w:val="auto"/>
          <w:sz w:val="36"/>
          <w:szCs w:val="36"/>
          <w:highlight w:val="none"/>
        </w:rPr>
      </w:pPr>
      <w:r>
        <w:rPr>
          <w:rFonts w:hint="eastAsia"/>
          <w:b/>
          <w:bCs/>
          <w:color w:val="auto"/>
          <w:szCs w:val="21"/>
          <w:highlight w:val="none"/>
        </w:rPr>
        <w:t>注：以上自评内容为招标文件第三章评标办法及评分标准中的分值细化条款中部分条款，如有出入，以第三章评标办法及评分标准为准，投标人在制作投标文件时自行修改。该自评表仅作为投标文件组成部分，投标人应根据评分标准及投标文件填写完整，投标人最终得分以评标委员会评审结果为准。</w:t>
      </w:r>
    </w:p>
    <w:p>
      <w:pPr>
        <w:spacing w:line="440" w:lineRule="exact"/>
        <w:rPr>
          <w:color w:val="auto"/>
          <w:szCs w:val="21"/>
          <w:highlight w:val="none"/>
        </w:rPr>
      </w:pPr>
      <w:r>
        <w:rPr>
          <w:rFonts w:hint="eastAsia"/>
          <w:color w:val="auto"/>
          <w:szCs w:val="21"/>
          <w:highlight w:val="none"/>
        </w:rPr>
        <w:t xml:space="preserve">                                      </w:t>
      </w:r>
    </w:p>
    <w:p>
      <w:pPr>
        <w:spacing w:line="440" w:lineRule="exact"/>
        <w:ind w:right="210"/>
        <w:jc w:val="right"/>
        <w:rPr>
          <w:color w:val="auto"/>
          <w:szCs w:val="21"/>
          <w:highlight w:val="none"/>
        </w:rPr>
      </w:pPr>
      <w:r>
        <w:rPr>
          <w:rFonts w:hint="eastAsia"/>
          <w:color w:val="auto"/>
          <w:szCs w:val="21"/>
          <w:highlight w:val="none"/>
        </w:rPr>
        <w:t xml:space="preserve"> 投标人名称（公章）：</w:t>
      </w:r>
    </w:p>
    <w:p>
      <w:pPr>
        <w:spacing w:line="440" w:lineRule="exact"/>
        <w:jc w:val="right"/>
        <w:rPr>
          <w:color w:val="auto"/>
          <w:szCs w:val="21"/>
          <w:highlight w:val="none"/>
        </w:rPr>
      </w:pPr>
      <w:r>
        <w:rPr>
          <w:rFonts w:hint="eastAsia"/>
          <w:color w:val="auto"/>
          <w:szCs w:val="21"/>
          <w:highlight w:val="none"/>
        </w:rPr>
        <w:t xml:space="preserve">         投标人代表签字或盖章：</w:t>
      </w:r>
    </w:p>
    <w:p>
      <w:pPr>
        <w:spacing w:line="440" w:lineRule="exact"/>
        <w:jc w:val="center"/>
        <w:rPr>
          <w:color w:val="auto"/>
          <w:szCs w:val="21"/>
          <w:highlight w:val="none"/>
        </w:rPr>
      </w:pPr>
    </w:p>
    <w:p>
      <w:pPr>
        <w:spacing w:line="440" w:lineRule="exact"/>
        <w:jc w:val="right"/>
        <w:rPr>
          <w:color w:val="auto"/>
          <w:highlight w:val="none"/>
        </w:rPr>
      </w:pPr>
      <w:r>
        <w:rPr>
          <w:color w:val="auto"/>
          <w:szCs w:val="21"/>
          <w:highlight w:val="none"/>
        </w:rPr>
        <w:t xml:space="preserve">                                       </w:t>
      </w:r>
      <w:r>
        <w:rPr>
          <w:rFonts w:hint="eastAsia"/>
          <w:color w:val="auto"/>
          <w:szCs w:val="21"/>
          <w:highlight w:val="none"/>
        </w:rPr>
        <w:t>日        期：</w:t>
      </w:r>
    </w:p>
    <w:p>
      <w:pPr>
        <w:pStyle w:val="44"/>
        <w:rPr>
          <w:color w:val="auto"/>
          <w:highlight w:val="none"/>
        </w:rPr>
      </w:pPr>
    </w:p>
    <w:p>
      <w:pPr>
        <w:spacing w:line="360" w:lineRule="auto"/>
        <w:ind w:right="-108"/>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pStyle w:val="44"/>
        <w:rPr>
          <w:rFonts w:ascii="仿宋_GB2312" w:hAnsi="宋体" w:eastAsia="仿宋_GB2312"/>
          <w:b/>
          <w:color w:val="auto"/>
          <w:sz w:val="36"/>
          <w:szCs w:val="36"/>
          <w:highlight w:val="none"/>
        </w:rPr>
      </w:pPr>
    </w:p>
    <w:p>
      <w:pPr>
        <w:spacing w:line="360" w:lineRule="auto"/>
        <w:ind w:right="-108"/>
        <w:jc w:val="center"/>
        <w:rPr>
          <w:rFonts w:ascii="宋体" w:hAnsi="宋体"/>
          <w:b/>
          <w:color w:val="auto"/>
          <w:sz w:val="32"/>
          <w:szCs w:val="32"/>
          <w:highlight w:val="none"/>
        </w:rPr>
      </w:pPr>
      <w:r>
        <w:rPr>
          <w:rFonts w:hint="eastAsia" w:ascii="宋体" w:hAnsi="宋体"/>
          <w:b/>
          <w:color w:val="auto"/>
          <w:sz w:val="32"/>
          <w:szCs w:val="32"/>
          <w:highlight w:val="none"/>
        </w:rPr>
        <w:t>报价文件目录</w:t>
      </w:r>
    </w:p>
    <w:p>
      <w:pPr>
        <w:spacing w:line="360" w:lineRule="auto"/>
        <w:ind w:right="-108"/>
        <w:jc w:val="center"/>
        <w:rPr>
          <w:rFonts w:ascii="仿宋_GB2312" w:hAnsi="宋体" w:eastAsia="仿宋_GB2312"/>
          <w:b/>
          <w:color w:val="auto"/>
          <w:sz w:val="36"/>
          <w:szCs w:val="36"/>
          <w:highlight w:val="none"/>
        </w:rPr>
      </w:pPr>
    </w:p>
    <w:p>
      <w:pPr>
        <w:spacing w:line="360" w:lineRule="auto"/>
        <w:rPr>
          <w:rFonts w:ascii="宋体" w:hAnsi="宋体"/>
          <w:color w:val="auto"/>
          <w:sz w:val="24"/>
          <w:highlight w:val="none"/>
        </w:rPr>
      </w:pPr>
    </w:p>
    <w:p>
      <w:pPr>
        <w:numPr>
          <w:ilvl w:val="0"/>
          <w:numId w:val="17"/>
        </w:numPr>
        <w:spacing w:line="360" w:lineRule="auto"/>
        <w:rPr>
          <w:rFonts w:ascii="宋体" w:hAnsi="宋体"/>
          <w:color w:val="auto"/>
          <w:sz w:val="24"/>
          <w:highlight w:val="none"/>
        </w:rPr>
      </w:pPr>
      <w:r>
        <w:rPr>
          <w:rFonts w:hint="eastAsia" w:ascii="宋体" w:hAnsi="宋体"/>
          <w:color w:val="auto"/>
          <w:sz w:val="24"/>
          <w:highlight w:val="none"/>
        </w:rPr>
        <w:t>开标一览表（附件11）；</w:t>
      </w:r>
    </w:p>
    <w:p>
      <w:pPr>
        <w:spacing w:line="360" w:lineRule="auto"/>
        <w:rPr>
          <w:rFonts w:ascii="宋体" w:hAnsi="宋体"/>
          <w:b/>
          <w:color w:val="auto"/>
          <w:sz w:val="28"/>
          <w:highlight w:val="none"/>
        </w:rPr>
      </w:pPr>
      <w:r>
        <w:rPr>
          <w:rFonts w:hint="eastAsia" w:hAnsi="宋体"/>
          <w:color w:val="auto"/>
          <w:sz w:val="24"/>
          <w:highlight w:val="none"/>
        </w:rPr>
        <w:t>2、供应商认为其他需要说明的内容组成。</w:t>
      </w: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rPr>
          <w:rFonts w:ascii="宋体" w:hAnsi="宋体"/>
          <w:b/>
          <w:color w:val="auto"/>
          <w:sz w:val="28"/>
          <w:highlight w:val="none"/>
        </w:rPr>
        <w:sectPr>
          <w:pgSz w:w="11906" w:h="16838"/>
          <w:pgMar w:top="1440" w:right="1800" w:bottom="1440" w:left="1800" w:header="851" w:footer="992" w:gutter="0"/>
          <w:pgNumType w:fmt="numberInDash"/>
          <w:cols w:space="425" w:num="1"/>
          <w:docGrid w:type="lines" w:linePitch="312" w:charSpace="0"/>
        </w:sectPr>
      </w:pPr>
    </w:p>
    <w:p>
      <w:pPr>
        <w:spacing w:line="360" w:lineRule="auto"/>
        <w:rPr>
          <w:rFonts w:ascii="宋体" w:hAnsi="宋体"/>
          <w:b/>
          <w:color w:val="auto"/>
          <w:sz w:val="28"/>
          <w:highlight w:val="none"/>
        </w:rPr>
      </w:pPr>
      <w:r>
        <w:rPr>
          <w:rFonts w:hint="eastAsia" w:ascii="宋体" w:hAnsi="宋体"/>
          <w:b/>
          <w:color w:val="auto"/>
          <w:sz w:val="28"/>
          <w:highlight w:val="none"/>
        </w:rPr>
        <w:t>附件11</w:t>
      </w:r>
    </w:p>
    <w:p>
      <w:pPr>
        <w:spacing w:line="360" w:lineRule="auto"/>
        <w:ind w:left="-2" w:hanging="2"/>
        <w:jc w:val="center"/>
        <w:rPr>
          <w:rFonts w:ascii="宋体" w:hAnsi="宋体"/>
          <w:b/>
          <w:color w:val="auto"/>
          <w:sz w:val="32"/>
          <w:szCs w:val="32"/>
          <w:highlight w:val="none"/>
        </w:rPr>
      </w:pPr>
      <w:r>
        <w:rPr>
          <w:rFonts w:hint="eastAsia" w:ascii="宋体" w:hAnsi="宋体"/>
          <w:b/>
          <w:color w:val="auto"/>
          <w:sz w:val="32"/>
          <w:szCs w:val="32"/>
          <w:highlight w:val="none"/>
        </w:rPr>
        <w:t>开标一览表（标段）</w:t>
      </w:r>
    </w:p>
    <w:p>
      <w:pPr>
        <w:pStyle w:val="22"/>
        <w:spacing w:line="360" w:lineRule="auto"/>
        <w:rPr>
          <w:rFonts w:hAnsi="宋体"/>
          <w:b/>
          <w:color w:val="auto"/>
          <w:sz w:val="24"/>
          <w:highlight w:val="none"/>
        </w:rPr>
      </w:pPr>
      <w:r>
        <w:rPr>
          <w:rFonts w:hAnsi="宋体"/>
          <w:b/>
          <w:color w:val="auto"/>
          <w:sz w:val="24"/>
          <w:highlight w:val="none"/>
        </w:rPr>
        <w:t>项目编号：</w:t>
      </w:r>
    </w:p>
    <w:p>
      <w:pPr>
        <w:pStyle w:val="60"/>
        <w:spacing w:line="360" w:lineRule="auto"/>
        <w:ind w:right="480"/>
        <w:jc w:val="left"/>
        <w:rPr>
          <w:rFonts w:ascii="宋体" w:hAnsi="宋体"/>
          <w:color w:val="auto"/>
          <w:sz w:val="24"/>
          <w:highlight w:val="none"/>
        </w:rPr>
      </w:pPr>
      <w:r>
        <w:rPr>
          <w:rFonts w:hAnsi="宋体"/>
          <w:b/>
          <w:color w:val="auto"/>
          <w:sz w:val="24"/>
          <w:highlight w:val="none"/>
        </w:rPr>
        <w:t>项目名称：</w:t>
      </w:r>
      <w:r>
        <w:rPr>
          <w:rFonts w:hint="eastAsia" w:hAnsi="宋体"/>
          <w:b/>
          <w:color w:val="auto"/>
          <w:sz w:val="24"/>
          <w:highlight w:val="none"/>
        </w:rPr>
        <w:t xml:space="preserve">                               </w:t>
      </w:r>
      <w:r>
        <w:rPr>
          <w:rFonts w:ascii="宋体" w:hAnsi="宋体"/>
          <w:color w:val="auto"/>
          <w:sz w:val="24"/>
          <w:highlight w:val="none"/>
        </w:rPr>
        <w:t>〔</w:t>
      </w:r>
      <w:r>
        <w:rPr>
          <w:rFonts w:hint="eastAsia" w:ascii="宋体" w:hAnsi="宋体"/>
          <w:color w:val="auto"/>
          <w:sz w:val="24"/>
          <w:highlight w:val="none"/>
        </w:rPr>
        <w:t>货币单位：</w:t>
      </w:r>
      <w:r>
        <w:rPr>
          <w:rFonts w:hint="eastAsia" w:ascii="宋体" w:hAnsi="宋体"/>
          <w:color w:val="auto"/>
          <w:sz w:val="24"/>
          <w:highlight w:val="none"/>
          <w:u w:val="single"/>
        </w:rPr>
        <w:t>人民币元</w:t>
      </w:r>
      <w:r>
        <w:rPr>
          <w:rFonts w:ascii="宋体" w:hAnsi="宋体"/>
          <w:color w:val="auto"/>
          <w:sz w:val="24"/>
          <w:highlight w:val="none"/>
        </w:rPr>
        <w:t>〕</w:t>
      </w:r>
    </w:p>
    <w:tbl>
      <w:tblPr>
        <w:tblStyle w:val="35"/>
        <w:tblW w:w="873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715"/>
        <w:gridCol w:w="1359"/>
        <w:gridCol w:w="466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050" w:hRule="atLeast"/>
          <w:jc w:val="center"/>
        </w:trPr>
        <w:tc>
          <w:tcPr>
            <w:tcW w:w="2715"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投标报价（结算率）</w:t>
            </w:r>
          </w:p>
        </w:tc>
        <w:tc>
          <w:tcPr>
            <w:tcW w:w="135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大写</w:t>
            </w:r>
          </w:p>
        </w:tc>
        <w:tc>
          <w:tcPr>
            <w:tcW w:w="4665"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ind w:firstLine="1680" w:firstLineChars="700"/>
              <w:textAlignment w:val="bottom"/>
              <w:rPr>
                <w:rFonts w:ascii="宋体" w:hAnsi="宋体"/>
                <w:color w:val="auto"/>
                <w:sz w:val="24"/>
                <w:highlight w:val="none"/>
                <w:u w:val="single"/>
              </w:rPr>
            </w:pPr>
            <w:r>
              <w:rPr>
                <w:rFonts w:hint="eastAsia" w:ascii="宋体" w:hAnsi="宋体"/>
                <w:color w:val="auto"/>
                <w:sz w:val="24"/>
                <w:highlight w:val="none"/>
              </w:rPr>
              <w:t>百分之</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099" w:hRule="atLeast"/>
          <w:jc w:val="center"/>
        </w:trPr>
        <w:tc>
          <w:tcPr>
            <w:tcW w:w="2715"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highlight w:val="none"/>
              </w:rPr>
            </w:pP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小写</w:t>
            </w:r>
          </w:p>
        </w:tc>
        <w:tc>
          <w:tcPr>
            <w:tcW w:w="4665"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w:t>
            </w:r>
          </w:p>
        </w:tc>
      </w:tr>
    </w:tbl>
    <w:p>
      <w:pPr>
        <w:pStyle w:val="60"/>
        <w:spacing w:line="360" w:lineRule="auto"/>
        <w:ind w:right="480"/>
        <w:jc w:val="left"/>
        <w:rPr>
          <w:rFonts w:ascii="宋体" w:hAnsi="宋体"/>
          <w:color w:val="auto"/>
          <w:sz w:val="24"/>
          <w:highlight w:val="none"/>
        </w:rPr>
      </w:pPr>
    </w:p>
    <w:p>
      <w:pPr>
        <w:spacing w:line="360" w:lineRule="auto"/>
        <w:rPr>
          <w:rFonts w:ascii="宋体" w:hAnsi="宋体"/>
          <w:b/>
          <w:color w:val="auto"/>
          <w:szCs w:val="21"/>
          <w:highlight w:val="none"/>
        </w:rPr>
      </w:pPr>
      <w:r>
        <w:rPr>
          <w:rFonts w:hint="eastAsia" w:ascii="宋体" w:hAnsi="宋体"/>
          <w:b/>
          <w:color w:val="auto"/>
          <w:szCs w:val="21"/>
          <w:highlight w:val="none"/>
        </w:rPr>
        <w:t>填报要求：</w:t>
      </w:r>
    </w:p>
    <w:p>
      <w:pPr>
        <w:numPr>
          <w:ilvl w:val="0"/>
          <w:numId w:val="18"/>
        </w:numPr>
        <w:spacing w:line="360" w:lineRule="auto"/>
        <w:ind w:firstLine="420" w:firstLineChars="200"/>
        <w:rPr>
          <w:color w:val="auto"/>
          <w:highlight w:val="none"/>
        </w:rPr>
      </w:pPr>
      <w:r>
        <w:rPr>
          <w:rFonts w:hint="eastAsia"/>
          <w:color w:val="auto"/>
          <w:highlight w:val="none"/>
        </w:rPr>
        <w:t>填报的结算率≤100%，否则作无效标处理</w:t>
      </w:r>
    </w:p>
    <w:p>
      <w:pPr>
        <w:numPr>
          <w:ilvl w:val="0"/>
          <w:numId w:val="18"/>
        </w:numPr>
        <w:spacing w:line="360" w:lineRule="auto"/>
        <w:ind w:firstLine="420" w:firstLineChars="200"/>
        <w:rPr>
          <w:color w:val="auto"/>
          <w:highlight w:val="none"/>
        </w:rPr>
      </w:pPr>
      <w:r>
        <w:rPr>
          <w:rFonts w:hint="eastAsia" w:ascii="宋体" w:hAnsi="宋体"/>
          <w:color w:val="auto"/>
          <w:kern w:val="0"/>
          <w:szCs w:val="21"/>
          <w:highlight w:val="none"/>
          <w:lang w:val="zh-CN"/>
        </w:rPr>
        <w:t>最终结算金额=实际工作量*成交单价（成交单价</w:t>
      </w:r>
      <w:r>
        <w:rPr>
          <w:rFonts w:hint="eastAsia" w:ascii="宋体" w:hAnsi="宋体"/>
          <w:color w:val="auto"/>
          <w:kern w:val="0"/>
          <w:szCs w:val="21"/>
          <w:highlight w:val="none"/>
        </w:rPr>
        <w:t>=上限单价*成交结算率</w:t>
      </w:r>
      <w:r>
        <w:rPr>
          <w:rFonts w:hint="eastAsia" w:ascii="宋体" w:hAnsi="宋体"/>
          <w:color w:val="auto"/>
          <w:kern w:val="0"/>
          <w:szCs w:val="21"/>
          <w:highlight w:val="none"/>
          <w:lang w:val="zh-CN"/>
        </w:rPr>
        <w:t>）</w:t>
      </w:r>
    </w:p>
    <w:p>
      <w:pPr>
        <w:numPr>
          <w:ilvl w:val="0"/>
          <w:numId w:val="18"/>
        </w:numPr>
        <w:spacing w:line="360" w:lineRule="auto"/>
        <w:ind w:firstLine="420" w:firstLineChars="200"/>
        <w:rPr>
          <w:rFonts w:ascii="宋体" w:hAnsi="宋体"/>
          <w:color w:val="auto"/>
          <w:szCs w:val="21"/>
          <w:highlight w:val="none"/>
        </w:rPr>
      </w:pPr>
      <w:r>
        <w:rPr>
          <w:rFonts w:hint="eastAsia" w:ascii="宋体" w:hAnsi="宋体"/>
          <w:color w:val="auto"/>
          <w:kern w:val="0"/>
          <w:szCs w:val="21"/>
          <w:highlight w:val="none"/>
        </w:rPr>
        <w:t>投标报价包含实现本项目的所有功能及安全保障工作所需费用，其应包括（但不限于）材料、设备、劳务、人员工资、奖金、各种加班费、食宿与交通、手续审批、安全、管理、质保、保险、利润、税金、政策性文件规定及合同包含的所有风险、责任等所有费用（即整个项目直至履约完成，采购人不再另行支付费用）全部费用已包含在开标一览表的投标总报价中。</w:t>
      </w:r>
    </w:p>
    <w:p>
      <w:pPr>
        <w:numPr>
          <w:ilvl w:val="0"/>
          <w:numId w:val="18"/>
        </w:numPr>
        <w:spacing w:line="360" w:lineRule="auto"/>
        <w:ind w:firstLine="420" w:firstLineChars="200"/>
        <w:rPr>
          <w:rFonts w:ascii="宋体" w:hAnsi="宋体"/>
          <w:color w:val="auto"/>
          <w:szCs w:val="21"/>
          <w:highlight w:val="none"/>
        </w:rPr>
      </w:pPr>
      <w:r>
        <w:rPr>
          <w:rFonts w:hint="eastAsia" w:ascii="宋体" w:hAnsi="宋体"/>
          <w:color w:val="auto"/>
          <w:kern w:val="0"/>
          <w:szCs w:val="21"/>
          <w:highlight w:val="none"/>
        </w:rPr>
        <w:t>报价一经涂改，应在涂改处加盖单位公章，或者由法定代表人或全权代表签字或盖章，否则其投标作无效标处理。</w:t>
      </w:r>
    </w:p>
    <w:p>
      <w:pPr>
        <w:pStyle w:val="19"/>
        <w:rPr>
          <w:color w:val="auto"/>
          <w:szCs w:val="21"/>
          <w:highlight w:val="none"/>
        </w:rPr>
      </w:pPr>
    </w:p>
    <w:p>
      <w:pPr>
        <w:spacing w:line="360" w:lineRule="auto"/>
        <w:ind w:left="420"/>
        <w:rPr>
          <w:rFonts w:ascii="宋体" w:hAnsi="宋体"/>
          <w:color w:val="auto"/>
          <w:szCs w:val="21"/>
          <w:highlight w:val="none"/>
        </w:rPr>
      </w:pPr>
      <w:r>
        <w:rPr>
          <w:rFonts w:hint="eastAsia" w:ascii="宋体" w:hAnsi="宋体"/>
          <w:color w:val="auto"/>
          <w:szCs w:val="21"/>
          <w:highlight w:val="none"/>
        </w:rPr>
        <w:t>投标人名称（公章）：</w:t>
      </w:r>
    </w:p>
    <w:p>
      <w:pPr>
        <w:spacing w:line="360" w:lineRule="auto"/>
        <w:ind w:firstLine="435"/>
        <w:rPr>
          <w:rFonts w:ascii="宋体" w:hAnsi="宋体"/>
          <w:color w:val="auto"/>
          <w:szCs w:val="21"/>
          <w:highlight w:val="none"/>
        </w:rPr>
      </w:pPr>
      <w:r>
        <w:rPr>
          <w:rFonts w:hint="eastAsia" w:ascii="宋体" w:hAnsi="宋体"/>
          <w:color w:val="auto"/>
          <w:szCs w:val="21"/>
          <w:highlight w:val="none"/>
        </w:rPr>
        <w:t>投标人代表签字或盖章：</w:t>
      </w:r>
    </w:p>
    <w:p>
      <w:pPr>
        <w:spacing w:line="360" w:lineRule="auto"/>
        <w:ind w:firstLine="435"/>
        <w:rPr>
          <w:rFonts w:ascii="宋体" w:hAnsi="宋体"/>
          <w:color w:val="auto"/>
          <w:szCs w:val="21"/>
          <w:highlight w:val="none"/>
        </w:rPr>
      </w:pP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务：</w:t>
      </w:r>
    </w:p>
    <w:p>
      <w:pPr>
        <w:spacing w:line="360" w:lineRule="auto"/>
        <w:ind w:firstLine="435"/>
        <w:rPr>
          <w:rFonts w:ascii="宋体" w:hAns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p>
    <w:p>
      <w:pPr>
        <w:snapToGrid w:val="0"/>
        <w:spacing w:before="156" w:beforeLines="50" w:after="50" w:line="360" w:lineRule="auto"/>
        <w:rPr>
          <w:rFonts w:ascii="宋体" w:hAnsi="宋体"/>
          <w:b/>
          <w:color w:val="auto"/>
          <w:sz w:val="28"/>
          <w:highlight w:val="none"/>
        </w:rPr>
      </w:pPr>
    </w:p>
    <w:p>
      <w:pPr>
        <w:snapToGrid w:val="0"/>
        <w:spacing w:before="156" w:beforeLines="50" w:after="50" w:line="360" w:lineRule="auto"/>
        <w:rPr>
          <w:rFonts w:ascii="宋体" w:hAnsi="宋体"/>
          <w:b/>
          <w:color w:val="auto"/>
          <w:sz w:val="28"/>
          <w:highlight w:val="none"/>
        </w:rPr>
      </w:pPr>
    </w:p>
    <w:p>
      <w:pPr>
        <w:snapToGrid w:val="0"/>
        <w:spacing w:before="156" w:beforeLines="50" w:after="50" w:line="360" w:lineRule="auto"/>
        <w:rPr>
          <w:rFonts w:ascii="宋体" w:hAnsi="宋体"/>
          <w:b/>
          <w:color w:val="auto"/>
          <w:sz w:val="28"/>
          <w:highlight w:val="none"/>
        </w:rPr>
      </w:pPr>
    </w:p>
    <w:p>
      <w:pPr>
        <w:spacing w:line="360" w:lineRule="auto"/>
        <w:rPr>
          <w:rFonts w:ascii="宋体" w:hAnsi="宋体"/>
          <w:b/>
          <w:color w:val="auto"/>
          <w:sz w:val="28"/>
          <w:highlight w:val="none"/>
        </w:rPr>
      </w:pPr>
      <w:r>
        <w:rPr>
          <w:rFonts w:hint="eastAsia" w:ascii="宋体" w:hAnsi="宋体"/>
          <w:b/>
          <w:color w:val="auto"/>
          <w:sz w:val="28"/>
          <w:highlight w:val="none"/>
        </w:rPr>
        <w:t>附件12</w:t>
      </w:r>
    </w:p>
    <w:p>
      <w:pPr>
        <w:widowControl/>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中小企业声明函</w:t>
      </w:r>
    </w:p>
    <w:p>
      <w:pPr>
        <w:pStyle w:val="13"/>
        <w:rPr>
          <w:color w:val="auto"/>
          <w:highlight w:val="none"/>
        </w:rPr>
      </w:pP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本公司郑重声明，根据《政府采购促进中小企业发展管理办法》（财库﹝2020﹞46 号）的规定，本公司参加参加</w:t>
      </w:r>
      <w:r>
        <w:rPr>
          <w:rFonts w:hint="eastAsia" w:ascii="宋体" w:hAnsi="宋体" w:cs="宋体"/>
          <w:i/>
          <w:color w:val="auto"/>
          <w:kern w:val="0"/>
          <w:sz w:val="24"/>
          <w:highlight w:val="none"/>
          <w:u w:val="single"/>
        </w:rPr>
        <w:t>（单位名称）</w:t>
      </w:r>
      <w:r>
        <w:rPr>
          <w:rFonts w:hint="eastAsia" w:ascii="宋体" w:hAnsi="宋体" w:cs="宋体"/>
          <w:color w:val="auto"/>
          <w:kern w:val="0"/>
          <w:sz w:val="24"/>
          <w:highlight w:val="none"/>
        </w:rPr>
        <w:t>的</w:t>
      </w:r>
      <w:r>
        <w:rPr>
          <w:rFonts w:hint="eastAsia" w:ascii="宋体" w:hAnsi="宋体" w:cs="宋体"/>
          <w:i/>
          <w:color w:val="auto"/>
          <w:kern w:val="0"/>
          <w:sz w:val="24"/>
          <w:highlight w:val="none"/>
          <w:u w:val="single"/>
        </w:rPr>
        <w:t>（项目名称）</w:t>
      </w:r>
      <w:r>
        <w:rPr>
          <w:rFonts w:hint="eastAsia" w:ascii="宋体" w:hAnsi="宋体" w:cs="宋体"/>
          <w:color w:val="auto"/>
          <w:kern w:val="0"/>
          <w:sz w:val="24"/>
          <w:highlight w:val="none"/>
        </w:rPr>
        <w:t>采购活动，全部为符合政策要求的中小企业（或者：服务全部由符合政策要求的中小企业承接）。相关企业（含联合体中的中小企业、签订分包意向协议的中小企业）的具体情 况如下：</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 xml:space="preserve">1. </w:t>
      </w:r>
      <w:r>
        <w:rPr>
          <w:rFonts w:hint="eastAsia" w:ascii="宋体" w:hAnsi="宋体" w:cs="宋体"/>
          <w:i/>
          <w:color w:val="auto"/>
          <w:kern w:val="0"/>
          <w:sz w:val="24"/>
          <w:highlight w:val="none"/>
          <w:u w:val="single"/>
        </w:rPr>
        <w:t xml:space="preserve">（标的名称） </w:t>
      </w:r>
      <w:r>
        <w:rPr>
          <w:rFonts w:hint="eastAsia" w:ascii="宋体" w:hAnsi="宋体" w:cs="宋体"/>
          <w:color w:val="auto"/>
          <w:kern w:val="0"/>
          <w:sz w:val="24"/>
          <w:highlight w:val="none"/>
        </w:rPr>
        <w:t>，属于</w:t>
      </w:r>
      <w:r>
        <w:rPr>
          <w:rFonts w:hint="eastAsia" w:ascii="宋体" w:hAnsi="宋体" w:cs="宋体"/>
          <w:i/>
          <w:color w:val="auto"/>
          <w:kern w:val="0"/>
          <w:sz w:val="24"/>
          <w:highlight w:val="none"/>
          <w:u w:val="single"/>
        </w:rPr>
        <w:t>（采购文件中明确的所属行业）</w:t>
      </w:r>
      <w:r>
        <w:rPr>
          <w:rFonts w:hint="eastAsia" w:ascii="宋体" w:hAnsi="宋体" w:cs="宋体"/>
          <w:color w:val="auto"/>
          <w:kern w:val="0"/>
          <w:sz w:val="24"/>
          <w:highlight w:val="none"/>
        </w:rPr>
        <w:t>；承建（承接）企业为</w:t>
      </w:r>
      <w:r>
        <w:rPr>
          <w:rFonts w:hint="eastAsia" w:ascii="宋体" w:hAnsi="宋体" w:cs="宋体"/>
          <w:i/>
          <w:color w:val="auto"/>
          <w:kern w:val="0"/>
          <w:sz w:val="24"/>
          <w:highlight w:val="none"/>
          <w:u w:val="single"/>
        </w:rPr>
        <w:t>（企业名称）</w:t>
      </w:r>
      <w:r>
        <w:rPr>
          <w:rFonts w:hint="eastAsia" w:ascii="宋体" w:hAnsi="宋体" w:cs="宋体"/>
          <w:color w:val="auto"/>
          <w:kern w:val="0"/>
          <w:sz w:val="24"/>
          <w:highlight w:val="none"/>
        </w:rPr>
        <w:t>，从业人员</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人，营业收入为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万元，资产总额为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万元，属于</w:t>
      </w:r>
      <w:r>
        <w:rPr>
          <w:rFonts w:hint="eastAsia" w:ascii="宋体" w:hAnsi="宋体" w:cs="宋体"/>
          <w:i/>
          <w:color w:val="auto"/>
          <w:kern w:val="0"/>
          <w:sz w:val="24"/>
          <w:highlight w:val="none"/>
          <w:u w:val="single"/>
        </w:rPr>
        <w:t>（中型企业、 小型企业、微型企业）</w:t>
      </w:r>
      <w:r>
        <w:rPr>
          <w:rFonts w:hint="eastAsia" w:ascii="宋体" w:hAnsi="宋体" w:cs="宋体"/>
          <w:color w:val="auto"/>
          <w:kern w:val="0"/>
          <w:sz w:val="24"/>
          <w:highlight w:val="none"/>
        </w:rPr>
        <w:t xml:space="preserve">； </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以上企业，不属于大企业的分支机构，不存在控股股东为大企业的情形，也不存在与大企业的负责人为同一人的情形。本企业对上述声明内容的真实性负责。如有虚假，将依法承担相应责任。 </w:t>
      </w:r>
    </w:p>
    <w:p>
      <w:pPr>
        <w:pStyle w:val="13"/>
        <w:rPr>
          <w:rFonts w:ascii="宋体" w:hAnsi="宋体" w:cs="宋体"/>
          <w:color w:val="auto"/>
          <w:kern w:val="0"/>
          <w:szCs w:val="21"/>
          <w:highlight w:val="none"/>
        </w:rPr>
      </w:pPr>
      <w:r>
        <w:rPr>
          <w:rFonts w:hint="eastAsia" w:ascii="宋体" w:hAnsi="宋体" w:cs="宋体"/>
          <w:color w:val="auto"/>
          <w:kern w:val="0"/>
          <w:szCs w:val="21"/>
          <w:highlight w:val="none"/>
        </w:rPr>
        <w:t>注：从业人员、营业收入、资产总额填报上一年度数据，无上一年度数据的新成立企业可不填报。</w:t>
      </w:r>
    </w:p>
    <w:p>
      <w:pPr>
        <w:pStyle w:val="13"/>
        <w:rPr>
          <w:color w:val="auto"/>
          <w:highlight w:val="none"/>
        </w:rPr>
      </w:pPr>
    </w:p>
    <w:p>
      <w:pPr>
        <w:widowControl/>
        <w:spacing w:line="360" w:lineRule="auto"/>
        <w:jc w:val="center"/>
        <w:rPr>
          <w:rFonts w:ascii="宋体" w:hAnsi="宋体" w:cs="宋体"/>
          <w:color w:val="auto"/>
          <w:kern w:val="0"/>
          <w:sz w:val="24"/>
          <w:highlight w:val="none"/>
        </w:rPr>
      </w:pPr>
    </w:p>
    <w:p>
      <w:pPr>
        <w:widowControl/>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 xml:space="preserve">                                企业名称（盖章）： </w:t>
      </w:r>
    </w:p>
    <w:p>
      <w:pPr>
        <w:widowControl/>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 xml:space="preserve">                     日 期：</w:t>
      </w:r>
    </w:p>
    <w:p>
      <w:pPr>
        <w:pStyle w:val="22"/>
        <w:spacing w:line="360" w:lineRule="auto"/>
        <w:jc w:val="center"/>
        <w:outlineLvl w:val="1"/>
        <w:rPr>
          <w:rFonts w:hAnsi="宋体" w:cs="Times New Roman"/>
          <w:b/>
          <w:color w:val="auto"/>
          <w:sz w:val="32"/>
          <w:szCs w:val="32"/>
          <w:highlight w:val="none"/>
          <w:lang w:val="en-GB"/>
        </w:rPr>
      </w:pPr>
    </w:p>
    <w:p>
      <w:pPr>
        <w:pStyle w:val="22"/>
        <w:spacing w:line="360" w:lineRule="auto"/>
        <w:jc w:val="center"/>
        <w:outlineLvl w:val="1"/>
        <w:rPr>
          <w:rFonts w:hAnsi="宋体"/>
          <w:b/>
          <w:color w:val="auto"/>
          <w:sz w:val="32"/>
          <w:szCs w:val="32"/>
          <w:highlight w:val="none"/>
          <w:lang w:val="en-GB"/>
        </w:rPr>
      </w:pPr>
    </w:p>
    <w:p>
      <w:pPr>
        <w:pStyle w:val="22"/>
        <w:spacing w:line="360" w:lineRule="auto"/>
        <w:jc w:val="center"/>
        <w:outlineLvl w:val="1"/>
        <w:rPr>
          <w:rFonts w:hAnsi="宋体"/>
          <w:b/>
          <w:color w:val="auto"/>
          <w:sz w:val="32"/>
          <w:szCs w:val="32"/>
          <w:highlight w:val="none"/>
          <w:lang w:val="en-GB"/>
        </w:rPr>
      </w:pPr>
    </w:p>
    <w:p>
      <w:pPr>
        <w:widowControl/>
        <w:spacing w:line="360" w:lineRule="auto"/>
        <w:jc w:val="left"/>
        <w:rPr>
          <w:rFonts w:ascii="宋体" w:hAnsi="宋体"/>
          <w:b/>
          <w:color w:val="auto"/>
          <w:sz w:val="32"/>
          <w:szCs w:val="32"/>
          <w:highlight w:val="none"/>
          <w:lang w:val="en-GB"/>
        </w:rPr>
        <w:sectPr>
          <w:pgSz w:w="11906" w:h="16838"/>
          <w:pgMar w:top="1440" w:right="1800" w:bottom="1440" w:left="1800" w:header="851" w:footer="992" w:gutter="0"/>
          <w:pgNumType w:fmt="numberInDash"/>
          <w:cols w:space="720" w:num="1"/>
          <w:docGrid w:type="lines" w:linePitch="312" w:charSpace="0"/>
        </w:sectPr>
      </w:pPr>
    </w:p>
    <w:p>
      <w:pPr>
        <w:pStyle w:val="22"/>
        <w:spacing w:line="360" w:lineRule="auto"/>
        <w:jc w:val="center"/>
        <w:outlineLvl w:val="1"/>
        <w:rPr>
          <w:rFonts w:hAnsi="宋体"/>
          <w:b/>
          <w:color w:val="auto"/>
          <w:sz w:val="32"/>
          <w:szCs w:val="32"/>
          <w:highlight w:val="none"/>
          <w:lang w:val="en-GB"/>
        </w:rPr>
      </w:pPr>
      <w:r>
        <w:rPr>
          <w:rFonts w:hint="eastAsia" w:hAnsi="宋体"/>
          <w:b/>
          <w:color w:val="auto"/>
          <w:sz w:val="32"/>
          <w:szCs w:val="32"/>
          <w:highlight w:val="none"/>
          <w:lang w:val="en-GB"/>
        </w:rPr>
        <w:t>残疾人福利性单位声明函</w:t>
      </w:r>
    </w:p>
    <w:p>
      <w:pPr>
        <w:spacing w:line="588" w:lineRule="exact"/>
        <w:ind w:firstLine="504" w:firstLineChars="200"/>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pPr>
        <w:tabs>
          <w:tab w:val="left" w:pos="4860"/>
        </w:tabs>
        <w:spacing w:line="588" w:lineRule="exact"/>
        <w:ind w:right="1560" w:firstLine="504" w:firstLineChars="200"/>
        <w:jc w:val="center"/>
        <w:rPr>
          <w:rFonts w:ascii="宋体" w:hAnsi="宋体"/>
          <w:color w:val="auto"/>
          <w:spacing w:val="6"/>
          <w:sz w:val="24"/>
          <w:highlight w:val="none"/>
        </w:rPr>
      </w:pPr>
    </w:p>
    <w:p>
      <w:pPr>
        <w:tabs>
          <w:tab w:val="left" w:pos="4860"/>
        </w:tabs>
        <w:spacing w:line="588" w:lineRule="exact"/>
        <w:ind w:right="1560" w:firstLine="504" w:firstLineChars="200"/>
        <w:jc w:val="center"/>
        <w:rPr>
          <w:rFonts w:ascii="宋体" w:hAnsi="宋体"/>
          <w:color w:val="auto"/>
          <w:spacing w:val="6"/>
          <w:sz w:val="24"/>
          <w:highlight w:val="none"/>
        </w:rPr>
      </w:pPr>
      <w:r>
        <w:rPr>
          <w:rFonts w:hint="eastAsia" w:ascii="宋体" w:hAnsi="宋体"/>
          <w:color w:val="auto"/>
          <w:spacing w:val="6"/>
          <w:sz w:val="24"/>
          <w:highlight w:val="none"/>
        </w:rPr>
        <w:t xml:space="preserve">             单位名称（盖章）：</w:t>
      </w:r>
    </w:p>
    <w:p>
      <w:pPr>
        <w:tabs>
          <w:tab w:val="left" w:pos="4860"/>
        </w:tabs>
        <w:spacing w:line="588" w:lineRule="exact"/>
        <w:ind w:right="1560" w:firstLine="504" w:firstLineChars="200"/>
        <w:jc w:val="center"/>
        <w:rPr>
          <w:rFonts w:ascii="宋体" w:hAnsi="宋体"/>
          <w:color w:val="auto"/>
          <w:sz w:val="24"/>
          <w:highlight w:val="none"/>
        </w:rPr>
      </w:pPr>
      <w:r>
        <w:rPr>
          <w:rFonts w:hint="eastAsia" w:ascii="宋体" w:hAnsi="宋体"/>
          <w:color w:val="auto"/>
          <w:spacing w:val="6"/>
          <w:sz w:val="24"/>
          <w:highlight w:val="none"/>
        </w:rPr>
        <w:t xml:space="preserve">       日  期：</w:t>
      </w:r>
    </w:p>
    <w:p>
      <w:pPr>
        <w:pStyle w:val="61"/>
        <w:spacing w:line="360" w:lineRule="auto"/>
        <w:rPr>
          <w:rFonts w:ascii="宋体" w:hAnsi="宋体"/>
          <w:b/>
          <w:color w:val="auto"/>
          <w:sz w:val="28"/>
          <w:szCs w:val="28"/>
          <w:highlight w:val="none"/>
        </w:rPr>
      </w:pPr>
    </w:p>
    <w:p>
      <w:pPr>
        <w:pStyle w:val="61"/>
        <w:spacing w:line="360" w:lineRule="auto"/>
        <w:rPr>
          <w:rFonts w:ascii="宋体" w:hAnsi="宋体"/>
          <w:b/>
          <w:color w:val="auto"/>
          <w:sz w:val="28"/>
          <w:szCs w:val="28"/>
          <w:highlight w:val="none"/>
        </w:rPr>
      </w:pPr>
    </w:p>
    <w:p>
      <w:pPr>
        <w:spacing w:line="360" w:lineRule="auto"/>
        <w:ind w:right="-110"/>
        <w:jc w:val="center"/>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iss Sherlock" w:date="2022-05-19T16:06:00Z" w:initials="">
    <w:p w14:paraId="01FE66CC">
      <w:pPr>
        <w:pStyle w:val="15"/>
      </w:pPr>
      <w:r>
        <w:rPr>
          <w:rFonts w:hint="eastAsia"/>
        </w:rPr>
        <w:t>样品是否不必暗标</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1FE66C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auto"/>
    <w:pitch w:val="default"/>
    <w:sig w:usb0="00000000" w:usb1="00000000" w:usb2="00000012"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86435" cy="147955"/>
              <wp:effectExtent l="0" t="0" r="12065" b="0"/>
              <wp:wrapNone/>
              <wp:docPr id="1" name="文本框 10"/>
              <wp:cNvGraphicFramePr/>
              <a:graphic xmlns:a="http://schemas.openxmlformats.org/drawingml/2006/main">
                <a:graphicData uri="http://schemas.microsoft.com/office/word/2010/wordprocessingShape">
                  <wps:wsp>
                    <wps:cNvSpPr txBox="1"/>
                    <wps:spPr>
                      <a:xfrm>
                        <a:off x="0" y="0"/>
                        <a:ext cx="686435" cy="147955"/>
                      </a:xfrm>
                      <a:prstGeom prst="rect">
                        <a:avLst/>
                      </a:prstGeom>
                      <a:noFill/>
                      <a:ln w="6350">
                        <a:noFill/>
                      </a:ln>
                      <a:effectLst/>
                    </wps:spPr>
                    <wps:txbx>
                      <w:txbxContent>
                        <w:p>
                          <w:pPr>
                            <w:pStyle w:val="25"/>
                            <w:ind w:firstLine="360"/>
                            <w:rPr>
                              <w:highlight w:val="yellow"/>
                            </w:rPr>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1.65pt;width:54.05pt;mso-position-horizontal:center;mso-position-horizontal-relative:margin;mso-wrap-style:none;z-index:251659264;mso-width-relative:page;mso-height-relative:page;" filled="f" stroked="f" coordsize="21600,21600" o:gfxdata="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qR6aLSAAAABAEAAA8AAAAAAAAAAQAgAAAAIgAAAGRycy9kb3ducmV2LnhtbFBL&#10;AQIUABQAAAAIAIdO4kDSs1pTNQIAAGIEAAAOAAAAAAAAAAEAIAAAACEBAABkcnMvZTJvRG9jLnht&#10;bFBLBQYAAAAABgAGAFkBAADIBQAAAAA=&#10;">
              <v:fill on="f" focussize="0,0"/>
              <v:stroke on="f" weight="0.5pt"/>
              <v:imagedata o:title=""/>
              <o:lock v:ext="edit" aspectratio="f"/>
              <v:textbox inset="0mm,0mm,0mm,0mm" style="mso-fit-shape-to-text:t;">
                <w:txbxContent>
                  <w:p>
                    <w:pPr>
                      <w:pStyle w:val="25"/>
                      <w:ind w:firstLine="360"/>
                      <w:rPr>
                        <w:highlight w:val="yellow"/>
                      </w:rPr>
                    </w:pPr>
                    <w:r>
                      <w:fldChar w:fldCharType="begin"/>
                    </w:r>
                    <w:r>
                      <w:instrText xml:space="preserve"> PAGE  \* MERGEFORMAT </w:instrText>
                    </w:r>
                    <w:r>
                      <w:fldChar w:fldCharType="separate"/>
                    </w:r>
                    <w:r>
                      <w:t>- 55 -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b/>
        <w:i/>
        <w:color w:val="000000" w:themeColor="text1"/>
        <w:kern w:val="0"/>
        <w:sz w:val="18"/>
        <w:u w:val="single"/>
        <w14:textFill>
          <w14:solidFill>
            <w14:schemeClr w14:val="tx1"/>
          </w14:solidFill>
        </w14:textFill>
      </w:rPr>
      <w:t>采购招标文件</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- 6 -</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55</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36BD6"/>
    <w:multiLevelType w:val="singleLevel"/>
    <w:tmpl w:val="82236BD6"/>
    <w:lvl w:ilvl="0" w:tentative="0">
      <w:start w:val="1"/>
      <w:numFmt w:val="decimal"/>
      <w:suff w:val="nothing"/>
      <w:lvlText w:val="%1、"/>
      <w:lvlJc w:val="left"/>
      <w:pPr>
        <w:ind w:left="-129"/>
      </w:pPr>
    </w:lvl>
  </w:abstractNum>
  <w:abstractNum w:abstractNumId="1">
    <w:nsid w:val="90EC5043"/>
    <w:multiLevelType w:val="singleLevel"/>
    <w:tmpl w:val="90EC5043"/>
    <w:lvl w:ilvl="0" w:tentative="0">
      <w:start w:val="2"/>
      <w:numFmt w:val="decimal"/>
      <w:lvlText w:val="%1."/>
      <w:lvlJc w:val="left"/>
      <w:pPr>
        <w:tabs>
          <w:tab w:val="left" w:pos="312"/>
        </w:tabs>
      </w:pPr>
    </w:lvl>
  </w:abstractNum>
  <w:abstractNum w:abstractNumId="2">
    <w:nsid w:val="98E81C73"/>
    <w:multiLevelType w:val="singleLevel"/>
    <w:tmpl w:val="98E81C73"/>
    <w:lvl w:ilvl="0" w:tentative="0">
      <w:start w:val="1"/>
      <w:numFmt w:val="decimal"/>
      <w:suff w:val="nothing"/>
      <w:lvlText w:val="%1、"/>
      <w:lvlJc w:val="left"/>
    </w:lvl>
  </w:abstractNum>
  <w:abstractNum w:abstractNumId="3">
    <w:nsid w:val="9FC77B98"/>
    <w:multiLevelType w:val="singleLevel"/>
    <w:tmpl w:val="9FC77B98"/>
    <w:lvl w:ilvl="0" w:tentative="0">
      <w:start w:val="1"/>
      <w:numFmt w:val="chineseCounting"/>
      <w:suff w:val="nothing"/>
      <w:lvlText w:val="%1、"/>
      <w:lvlJc w:val="left"/>
      <w:rPr>
        <w:rFonts w:hint="eastAsia"/>
      </w:rPr>
    </w:lvl>
  </w:abstractNum>
  <w:abstractNum w:abstractNumId="4">
    <w:nsid w:val="A7051260"/>
    <w:multiLevelType w:val="singleLevel"/>
    <w:tmpl w:val="A7051260"/>
    <w:lvl w:ilvl="0" w:tentative="0">
      <w:start w:val="3"/>
      <w:numFmt w:val="decimal"/>
      <w:suff w:val="nothing"/>
      <w:lvlText w:val="（%1）"/>
      <w:lvlJc w:val="left"/>
    </w:lvl>
  </w:abstractNum>
  <w:abstractNum w:abstractNumId="5">
    <w:nsid w:val="AE2D8F7B"/>
    <w:multiLevelType w:val="multilevel"/>
    <w:tmpl w:val="AE2D8F7B"/>
    <w:lvl w:ilvl="0" w:tentative="0">
      <w:start w:val="1"/>
      <w:numFmt w:val="decimal"/>
      <w:pStyle w:val="12"/>
      <w:lvlText w:val="%1."/>
      <w:lvlJc w:val="left"/>
      <w:pPr>
        <w:tabs>
          <w:tab w:val="left" w:pos="360"/>
        </w:tabs>
        <w:ind w:left="360" w:hanging="360"/>
      </w:pPr>
    </w:lvl>
    <w:lvl w:ilvl="1" w:tentative="0">
      <w:start w:val="8"/>
      <w:numFmt w:val="decimal"/>
      <w:isLgl/>
      <w:lvlText w:val="%1.%2"/>
      <w:lvlJc w:val="left"/>
      <w:pPr>
        <w:ind w:left="840" w:hanging="360"/>
      </w:pPr>
      <w:rPr>
        <w:rFonts w:hint="default"/>
      </w:rPr>
    </w:lvl>
    <w:lvl w:ilvl="2" w:tentative="0">
      <w:start w:val="1"/>
      <w:numFmt w:val="decimal"/>
      <w:isLgl/>
      <w:lvlText w:val="%1.%2.%3"/>
      <w:lvlJc w:val="left"/>
      <w:pPr>
        <w:ind w:left="168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3000" w:hanging="1080"/>
      </w:pPr>
      <w:rPr>
        <w:rFonts w:hint="default"/>
      </w:rPr>
    </w:lvl>
    <w:lvl w:ilvl="5" w:tentative="0">
      <w:start w:val="1"/>
      <w:numFmt w:val="decimal"/>
      <w:isLgl/>
      <w:lvlText w:val="%1.%2.%3.%4.%5.%6"/>
      <w:lvlJc w:val="left"/>
      <w:pPr>
        <w:ind w:left="3840" w:hanging="1440"/>
      </w:pPr>
      <w:rPr>
        <w:rFonts w:hint="default"/>
      </w:rPr>
    </w:lvl>
    <w:lvl w:ilvl="6" w:tentative="0">
      <w:start w:val="1"/>
      <w:numFmt w:val="decimal"/>
      <w:isLgl/>
      <w:lvlText w:val="%1.%2.%3.%4.%5.%6.%7"/>
      <w:lvlJc w:val="left"/>
      <w:pPr>
        <w:ind w:left="4680" w:hanging="1800"/>
      </w:pPr>
      <w:rPr>
        <w:rFonts w:hint="default"/>
      </w:rPr>
    </w:lvl>
    <w:lvl w:ilvl="7" w:tentative="0">
      <w:start w:val="1"/>
      <w:numFmt w:val="decimal"/>
      <w:isLgl/>
      <w:lvlText w:val="%1.%2.%3.%4.%5.%6.%7.%8"/>
      <w:lvlJc w:val="left"/>
      <w:pPr>
        <w:ind w:left="5160" w:hanging="1800"/>
      </w:pPr>
      <w:rPr>
        <w:rFonts w:hint="default"/>
      </w:rPr>
    </w:lvl>
    <w:lvl w:ilvl="8" w:tentative="0">
      <w:start w:val="1"/>
      <w:numFmt w:val="decimal"/>
      <w:isLgl/>
      <w:lvlText w:val="%1.%2.%3.%4.%5.%6.%7.%8.%9"/>
      <w:lvlJc w:val="left"/>
      <w:pPr>
        <w:ind w:left="6000" w:hanging="2160"/>
      </w:pPr>
      <w:rPr>
        <w:rFonts w:hint="default"/>
      </w:rPr>
    </w:lvl>
  </w:abstractNum>
  <w:abstractNum w:abstractNumId="6">
    <w:nsid w:val="B3D4544A"/>
    <w:multiLevelType w:val="singleLevel"/>
    <w:tmpl w:val="B3D4544A"/>
    <w:lvl w:ilvl="0" w:tentative="0">
      <w:start w:val="1"/>
      <w:numFmt w:val="decimal"/>
      <w:suff w:val="nothing"/>
      <w:lvlText w:val="%1、"/>
      <w:lvlJc w:val="left"/>
    </w:lvl>
  </w:abstractNum>
  <w:abstractNum w:abstractNumId="7">
    <w:nsid w:val="B49AFF90"/>
    <w:multiLevelType w:val="singleLevel"/>
    <w:tmpl w:val="B49AFF90"/>
    <w:lvl w:ilvl="0" w:tentative="0">
      <w:start w:val="1"/>
      <w:numFmt w:val="decimal"/>
      <w:suff w:val="space"/>
      <w:lvlText w:val="%1."/>
      <w:lvlJc w:val="left"/>
    </w:lvl>
  </w:abstractNum>
  <w:abstractNum w:abstractNumId="8">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9">
    <w:nsid w:val="D1AB8C1C"/>
    <w:multiLevelType w:val="singleLevel"/>
    <w:tmpl w:val="D1AB8C1C"/>
    <w:lvl w:ilvl="0" w:tentative="0">
      <w:start w:val="1"/>
      <w:numFmt w:val="decimal"/>
      <w:suff w:val="nothing"/>
      <w:lvlText w:val="%1、"/>
      <w:lvlJc w:val="left"/>
    </w:lvl>
  </w:abstractNum>
  <w:abstractNum w:abstractNumId="10">
    <w:nsid w:val="17CE76C7"/>
    <w:multiLevelType w:val="multilevel"/>
    <w:tmpl w:val="17CE76C7"/>
    <w:lvl w:ilvl="0" w:tentative="0">
      <w:start w:val="1"/>
      <w:numFmt w:val="japaneseCounting"/>
      <w:lvlText w:val="%1、"/>
      <w:lvlJc w:val="left"/>
      <w:pPr>
        <w:ind w:left="761" w:hanging="6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C7EF514"/>
    <w:multiLevelType w:val="singleLevel"/>
    <w:tmpl w:val="1C7EF514"/>
    <w:lvl w:ilvl="0" w:tentative="0">
      <w:start w:val="3"/>
      <w:numFmt w:val="chineseCounting"/>
      <w:suff w:val="nothing"/>
      <w:lvlText w:val="（%1）"/>
      <w:lvlJc w:val="left"/>
      <w:rPr>
        <w:rFonts w:hint="eastAsia"/>
      </w:rPr>
    </w:lvl>
  </w:abstractNum>
  <w:abstractNum w:abstractNumId="12">
    <w:nsid w:val="2090184C"/>
    <w:multiLevelType w:val="singleLevel"/>
    <w:tmpl w:val="2090184C"/>
    <w:lvl w:ilvl="0" w:tentative="0">
      <w:start w:val="1"/>
      <w:numFmt w:val="decimal"/>
      <w:suff w:val="nothing"/>
      <w:lvlText w:val="%1、"/>
      <w:lvlJc w:val="left"/>
      <w:rPr>
        <w:rFonts w:hint="default"/>
        <w:sz w:val="24"/>
        <w:szCs w:val="24"/>
      </w:rPr>
    </w:lvl>
  </w:abstractNum>
  <w:abstractNum w:abstractNumId="13">
    <w:nsid w:val="2AD24942"/>
    <w:multiLevelType w:val="singleLevel"/>
    <w:tmpl w:val="2AD24942"/>
    <w:lvl w:ilvl="0" w:tentative="0">
      <w:start w:val="5"/>
      <w:numFmt w:val="decimal"/>
      <w:lvlText w:val="%1."/>
      <w:lvlJc w:val="left"/>
      <w:pPr>
        <w:tabs>
          <w:tab w:val="left" w:pos="312"/>
        </w:tabs>
      </w:pPr>
    </w:lvl>
  </w:abstractNum>
  <w:abstractNum w:abstractNumId="14">
    <w:nsid w:val="41D128D2"/>
    <w:multiLevelType w:val="singleLevel"/>
    <w:tmpl w:val="41D128D2"/>
    <w:lvl w:ilvl="0" w:tentative="0">
      <w:start w:val="1"/>
      <w:numFmt w:val="chineseCounting"/>
      <w:suff w:val="nothing"/>
      <w:lvlText w:val="（%1）"/>
      <w:lvlJc w:val="left"/>
      <w:pPr>
        <w:ind w:left="-262"/>
      </w:pPr>
      <w:rPr>
        <w:rFonts w:hint="eastAsia"/>
      </w:rPr>
    </w:lvl>
  </w:abstractNum>
  <w:abstractNum w:abstractNumId="15">
    <w:nsid w:val="461E5E94"/>
    <w:multiLevelType w:val="singleLevel"/>
    <w:tmpl w:val="461E5E94"/>
    <w:lvl w:ilvl="0" w:tentative="0">
      <w:start w:val="2"/>
      <w:numFmt w:val="chineseCounting"/>
      <w:suff w:val="space"/>
      <w:lvlText w:val="第%1章"/>
      <w:lvlJc w:val="left"/>
      <w:rPr>
        <w:rFonts w:hint="eastAsia"/>
      </w:rPr>
    </w:lvl>
  </w:abstractNum>
  <w:abstractNum w:abstractNumId="16">
    <w:nsid w:val="471E06A1"/>
    <w:multiLevelType w:val="singleLevel"/>
    <w:tmpl w:val="471E06A1"/>
    <w:lvl w:ilvl="0" w:tentative="0">
      <w:start w:val="1"/>
      <w:numFmt w:val="japaneseCounting"/>
      <w:lvlText w:val="%1、"/>
      <w:lvlJc w:val="left"/>
      <w:pPr>
        <w:tabs>
          <w:tab w:val="left" w:pos="2159"/>
        </w:tabs>
        <w:ind w:left="2159" w:hanging="600"/>
      </w:pPr>
      <w:rPr>
        <w:rFonts w:hint="eastAsia"/>
        <w:lang w:val="en-US"/>
      </w:rPr>
    </w:lvl>
  </w:abstractNum>
  <w:abstractNum w:abstractNumId="17">
    <w:nsid w:val="71282CF5"/>
    <w:multiLevelType w:val="singleLevel"/>
    <w:tmpl w:val="71282CF5"/>
    <w:lvl w:ilvl="0" w:tentative="0">
      <w:start w:val="1"/>
      <w:numFmt w:val="decimal"/>
      <w:suff w:val="nothing"/>
      <w:lvlText w:val="%1、"/>
      <w:lvlJc w:val="left"/>
      <w:pPr>
        <w:ind w:left="210"/>
      </w:pPr>
      <w:rPr>
        <w:rFonts w:hint="default"/>
        <w:color w:val="auto"/>
        <w:highlight w:val="cyan"/>
      </w:rPr>
    </w:lvl>
  </w:abstractNum>
  <w:num w:numId="1">
    <w:abstractNumId w:val="5"/>
  </w:num>
  <w:num w:numId="2">
    <w:abstractNumId w:val="16"/>
  </w:num>
  <w:num w:numId="3">
    <w:abstractNumId w:val="3"/>
  </w:num>
  <w:num w:numId="4">
    <w:abstractNumId w:val="15"/>
  </w:num>
  <w:num w:numId="5">
    <w:abstractNumId w:val="8"/>
  </w:num>
  <w:num w:numId="6">
    <w:abstractNumId w:val="14"/>
  </w:num>
  <w:num w:numId="7">
    <w:abstractNumId w:val="12"/>
  </w:num>
  <w:num w:numId="8">
    <w:abstractNumId w:val="10"/>
  </w:num>
  <w:num w:numId="9">
    <w:abstractNumId w:val="6"/>
  </w:num>
  <w:num w:numId="10">
    <w:abstractNumId w:val="17"/>
  </w:num>
  <w:num w:numId="11">
    <w:abstractNumId w:val="4"/>
  </w:num>
  <w:num w:numId="12">
    <w:abstractNumId w:val="11"/>
  </w:num>
  <w:num w:numId="13">
    <w:abstractNumId w:val="1"/>
  </w:num>
  <w:num w:numId="14">
    <w:abstractNumId w:val="2"/>
  </w:num>
  <w:num w:numId="15">
    <w:abstractNumId w:val="13"/>
  </w:num>
  <w:num w:numId="16">
    <w:abstractNumId w:val="0"/>
  </w:num>
  <w:num w:numId="17">
    <w:abstractNumId w:val="9"/>
  </w:num>
  <w:num w:numId="1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ss Sherlock">
    <w15:presenceInfo w15:providerId="None" w15:userId="Miss Sherlo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jNDc4ZmI3MTY1NTFkYjFiMTY5ODUzMmIxZjViZjMifQ=="/>
  </w:docVars>
  <w:rsids>
    <w:rsidRoot w:val="0E970358"/>
    <w:rsid w:val="00000A1F"/>
    <w:rsid w:val="000012EE"/>
    <w:rsid w:val="00002B91"/>
    <w:rsid w:val="00004407"/>
    <w:rsid w:val="000179A6"/>
    <w:rsid w:val="00023EC8"/>
    <w:rsid w:val="00025500"/>
    <w:rsid w:val="000324EE"/>
    <w:rsid w:val="00034A5D"/>
    <w:rsid w:val="00036EB7"/>
    <w:rsid w:val="00037D40"/>
    <w:rsid w:val="00040F7E"/>
    <w:rsid w:val="000411B5"/>
    <w:rsid w:val="0004278A"/>
    <w:rsid w:val="00042F56"/>
    <w:rsid w:val="0004485D"/>
    <w:rsid w:val="000462DE"/>
    <w:rsid w:val="00054DFA"/>
    <w:rsid w:val="00055A66"/>
    <w:rsid w:val="0006294D"/>
    <w:rsid w:val="00062AB3"/>
    <w:rsid w:val="00063A0C"/>
    <w:rsid w:val="00067D20"/>
    <w:rsid w:val="00081D5D"/>
    <w:rsid w:val="00085264"/>
    <w:rsid w:val="000860EE"/>
    <w:rsid w:val="00093A6A"/>
    <w:rsid w:val="00094EC0"/>
    <w:rsid w:val="00097196"/>
    <w:rsid w:val="000975EF"/>
    <w:rsid w:val="000A267A"/>
    <w:rsid w:val="000A2F82"/>
    <w:rsid w:val="000B492F"/>
    <w:rsid w:val="000C1187"/>
    <w:rsid w:val="000C7B93"/>
    <w:rsid w:val="000D2FA7"/>
    <w:rsid w:val="000D742E"/>
    <w:rsid w:val="000E57DA"/>
    <w:rsid w:val="000E6703"/>
    <w:rsid w:val="000F112C"/>
    <w:rsid w:val="000F64DB"/>
    <w:rsid w:val="0010241D"/>
    <w:rsid w:val="00107BF6"/>
    <w:rsid w:val="001101D9"/>
    <w:rsid w:val="00117E9B"/>
    <w:rsid w:val="001271B9"/>
    <w:rsid w:val="00131F54"/>
    <w:rsid w:val="00137471"/>
    <w:rsid w:val="00142789"/>
    <w:rsid w:val="00147E99"/>
    <w:rsid w:val="00156972"/>
    <w:rsid w:val="00157617"/>
    <w:rsid w:val="00165F2A"/>
    <w:rsid w:val="001675C9"/>
    <w:rsid w:val="00180F2C"/>
    <w:rsid w:val="00182316"/>
    <w:rsid w:val="00183948"/>
    <w:rsid w:val="001845AB"/>
    <w:rsid w:val="00184FFD"/>
    <w:rsid w:val="00197A9B"/>
    <w:rsid w:val="001A4CFB"/>
    <w:rsid w:val="001A5F7E"/>
    <w:rsid w:val="001A7C2A"/>
    <w:rsid w:val="001B13E5"/>
    <w:rsid w:val="001B4896"/>
    <w:rsid w:val="001D2294"/>
    <w:rsid w:val="001E21D9"/>
    <w:rsid w:val="001F1A45"/>
    <w:rsid w:val="001F591C"/>
    <w:rsid w:val="001F7B03"/>
    <w:rsid w:val="00201D62"/>
    <w:rsid w:val="002036AD"/>
    <w:rsid w:val="002107B6"/>
    <w:rsid w:val="0021318F"/>
    <w:rsid w:val="00213A85"/>
    <w:rsid w:val="00216708"/>
    <w:rsid w:val="002208A0"/>
    <w:rsid w:val="00221F01"/>
    <w:rsid w:val="002342F4"/>
    <w:rsid w:val="00243095"/>
    <w:rsid w:val="0024785A"/>
    <w:rsid w:val="00252867"/>
    <w:rsid w:val="002542FC"/>
    <w:rsid w:val="00254ED6"/>
    <w:rsid w:val="002622FF"/>
    <w:rsid w:val="0026707C"/>
    <w:rsid w:val="00267D72"/>
    <w:rsid w:val="0027022A"/>
    <w:rsid w:val="00272065"/>
    <w:rsid w:val="0027310E"/>
    <w:rsid w:val="00273FC5"/>
    <w:rsid w:val="00273FDD"/>
    <w:rsid w:val="00277160"/>
    <w:rsid w:val="002778CC"/>
    <w:rsid w:val="00287053"/>
    <w:rsid w:val="0029463B"/>
    <w:rsid w:val="00297EEF"/>
    <w:rsid w:val="002A1620"/>
    <w:rsid w:val="002B1184"/>
    <w:rsid w:val="002B1EB9"/>
    <w:rsid w:val="002C60A1"/>
    <w:rsid w:val="002D01AA"/>
    <w:rsid w:val="002D31FE"/>
    <w:rsid w:val="002F109C"/>
    <w:rsid w:val="002F4191"/>
    <w:rsid w:val="002F556B"/>
    <w:rsid w:val="00306BFC"/>
    <w:rsid w:val="003102FB"/>
    <w:rsid w:val="0031338C"/>
    <w:rsid w:val="003166FE"/>
    <w:rsid w:val="00324A16"/>
    <w:rsid w:val="0033170B"/>
    <w:rsid w:val="00331F05"/>
    <w:rsid w:val="00332E30"/>
    <w:rsid w:val="003337C2"/>
    <w:rsid w:val="003451F4"/>
    <w:rsid w:val="0035596F"/>
    <w:rsid w:val="00356DC0"/>
    <w:rsid w:val="003575C0"/>
    <w:rsid w:val="00363E40"/>
    <w:rsid w:val="00377A88"/>
    <w:rsid w:val="00384E5C"/>
    <w:rsid w:val="003944D3"/>
    <w:rsid w:val="0039612E"/>
    <w:rsid w:val="003A2D6C"/>
    <w:rsid w:val="003A66B4"/>
    <w:rsid w:val="003A7196"/>
    <w:rsid w:val="003B53DF"/>
    <w:rsid w:val="003C5E00"/>
    <w:rsid w:val="003D5072"/>
    <w:rsid w:val="003D539D"/>
    <w:rsid w:val="003F11E6"/>
    <w:rsid w:val="003F4490"/>
    <w:rsid w:val="003F595C"/>
    <w:rsid w:val="003F723C"/>
    <w:rsid w:val="003F78E0"/>
    <w:rsid w:val="00402F87"/>
    <w:rsid w:val="004040C2"/>
    <w:rsid w:val="0040449F"/>
    <w:rsid w:val="00406045"/>
    <w:rsid w:val="0041251C"/>
    <w:rsid w:val="004153B8"/>
    <w:rsid w:val="00420378"/>
    <w:rsid w:val="00423623"/>
    <w:rsid w:val="004254CB"/>
    <w:rsid w:val="00432077"/>
    <w:rsid w:val="00441FAE"/>
    <w:rsid w:val="00442C98"/>
    <w:rsid w:val="004435F8"/>
    <w:rsid w:val="00446CEF"/>
    <w:rsid w:val="004503D1"/>
    <w:rsid w:val="004531A2"/>
    <w:rsid w:val="004607C0"/>
    <w:rsid w:val="00460C1E"/>
    <w:rsid w:val="004610FC"/>
    <w:rsid w:val="004618FD"/>
    <w:rsid w:val="00464864"/>
    <w:rsid w:val="0046588B"/>
    <w:rsid w:val="00474D5F"/>
    <w:rsid w:val="00484FEC"/>
    <w:rsid w:val="00491459"/>
    <w:rsid w:val="00491BDF"/>
    <w:rsid w:val="00495885"/>
    <w:rsid w:val="004A1AC9"/>
    <w:rsid w:val="004A2700"/>
    <w:rsid w:val="004A4AAB"/>
    <w:rsid w:val="004B1663"/>
    <w:rsid w:val="004B38BE"/>
    <w:rsid w:val="004B4165"/>
    <w:rsid w:val="004B58C6"/>
    <w:rsid w:val="004C13DF"/>
    <w:rsid w:val="004C3A97"/>
    <w:rsid w:val="004D27DB"/>
    <w:rsid w:val="004E1E28"/>
    <w:rsid w:val="004E300F"/>
    <w:rsid w:val="004E32A5"/>
    <w:rsid w:val="004F252C"/>
    <w:rsid w:val="004F4484"/>
    <w:rsid w:val="004F55B1"/>
    <w:rsid w:val="005019EF"/>
    <w:rsid w:val="00503ED5"/>
    <w:rsid w:val="0050703E"/>
    <w:rsid w:val="0051189A"/>
    <w:rsid w:val="00517957"/>
    <w:rsid w:val="00520E9A"/>
    <w:rsid w:val="005259DF"/>
    <w:rsid w:val="0052783C"/>
    <w:rsid w:val="005307B2"/>
    <w:rsid w:val="00541B64"/>
    <w:rsid w:val="00547DA9"/>
    <w:rsid w:val="00553EB4"/>
    <w:rsid w:val="00554AE6"/>
    <w:rsid w:val="00554B41"/>
    <w:rsid w:val="005576EA"/>
    <w:rsid w:val="00565754"/>
    <w:rsid w:val="005711C3"/>
    <w:rsid w:val="0059262A"/>
    <w:rsid w:val="00593E09"/>
    <w:rsid w:val="00596269"/>
    <w:rsid w:val="005D053F"/>
    <w:rsid w:val="005D091B"/>
    <w:rsid w:val="005D3C85"/>
    <w:rsid w:val="005D5FEE"/>
    <w:rsid w:val="005E11F2"/>
    <w:rsid w:val="005E2B1F"/>
    <w:rsid w:val="005E6389"/>
    <w:rsid w:val="005F3941"/>
    <w:rsid w:val="00602664"/>
    <w:rsid w:val="00607F05"/>
    <w:rsid w:val="00616E31"/>
    <w:rsid w:val="0062552F"/>
    <w:rsid w:val="00632ADB"/>
    <w:rsid w:val="00633EB3"/>
    <w:rsid w:val="00635533"/>
    <w:rsid w:val="0064292E"/>
    <w:rsid w:val="00643B65"/>
    <w:rsid w:val="0064589F"/>
    <w:rsid w:val="00655E3C"/>
    <w:rsid w:val="0065692F"/>
    <w:rsid w:val="00664258"/>
    <w:rsid w:val="00666037"/>
    <w:rsid w:val="0066667C"/>
    <w:rsid w:val="00666A22"/>
    <w:rsid w:val="00674C42"/>
    <w:rsid w:val="00677C02"/>
    <w:rsid w:val="006846AD"/>
    <w:rsid w:val="00692EE3"/>
    <w:rsid w:val="00693638"/>
    <w:rsid w:val="006B631C"/>
    <w:rsid w:val="006C44D8"/>
    <w:rsid w:val="006C4FA8"/>
    <w:rsid w:val="006D1134"/>
    <w:rsid w:val="006D77EB"/>
    <w:rsid w:val="006E04A5"/>
    <w:rsid w:val="006E1082"/>
    <w:rsid w:val="006E3914"/>
    <w:rsid w:val="006E5C7E"/>
    <w:rsid w:val="006F47B5"/>
    <w:rsid w:val="006F4DFE"/>
    <w:rsid w:val="006F6A03"/>
    <w:rsid w:val="007029EF"/>
    <w:rsid w:val="0071353E"/>
    <w:rsid w:val="00716B82"/>
    <w:rsid w:val="007171B8"/>
    <w:rsid w:val="0072140C"/>
    <w:rsid w:val="007319D9"/>
    <w:rsid w:val="00742512"/>
    <w:rsid w:val="00742530"/>
    <w:rsid w:val="00744975"/>
    <w:rsid w:val="0074545E"/>
    <w:rsid w:val="00745D9F"/>
    <w:rsid w:val="00750E30"/>
    <w:rsid w:val="007568CC"/>
    <w:rsid w:val="00761020"/>
    <w:rsid w:val="007627E4"/>
    <w:rsid w:val="0078297B"/>
    <w:rsid w:val="007954B3"/>
    <w:rsid w:val="007A1062"/>
    <w:rsid w:val="007A2629"/>
    <w:rsid w:val="007B2E48"/>
    <w:rsid w:val="007B59B8"/>
    <w:rsid w:val="007C0D59"/>
    <w:rsid w:val="007C1005"/>
    <w:rsid w:val="007C3036"/>
    <w:rsid w:val="007C53C4"/>
    <w:rsid w:val="007D0DA6"/>
    <w:rsid w:val="007D461F"/>
    <w:rsid w:val="007E6164"/>
    <w:rsid w:val="007E64EA"/>
    <w:rsid w:val="007F25B7"/>
    <w:rsid w:val="007F4C4D"/>
    <w:rsid w:val="00802325"/>
    <w:rsid w:val="00804D84"/>
    <w:rsid w:val="008124FD"/>
    <w:rsid w:val="0081782E"/>
    <w:rsid w:val="00820E0C"/>
    <w:rsid w:val="00823D14"/>
    <w:rsid w:val="00831F74"/>
    <w:rsid w:val="00836212"/>
    <w:rsid w:val="008379C8"/>
    <w:rsid w:val="00843D2E"/>
    <w:rsid w:val="00847BE5"/>
    <w:rsid w:val="00866189"/>
    <w:rsid w:val="00866534"/>
    <w:rsid w:val="00867908"/>
    <w:rsid w:val="0088066B"/>
    <w:rsid w:val="008928B3"/>
    <w:rsid w:val="00893240"/>
    <w:rsid w:val="008962E7"/>
    <w:rsid w:val="008966EE"/>
    <w:rsid w:val="008A1344"/>
    <w:rsid w:val="008A5CD2"/>
    <w:rsid w:val="008A6B8A"/>
    <w:rsid w:val="008C12A7"/>
    <w:rsid w:val="008C2A5D"/>
    <w:rsid w:val="008D0189"/>
    <w:rsid w:val="008D2BF2"/>
    <w:rsid w:val="008E040E"/>
    <w:rsid w:val="008E3FD4"/>
    <w:rsid w:val="008E7A9E"/>
    <w:rsid w:val="008F28E6"/>
    <w:rsid w:val="008F3149"/>
    <w:rsid w:val="008F515D"/>
    <w:rsid w:val="00901C1A"/>
    <w:rsid w:val="00910006"/>
    <w:rsid w:val="00912983"/>
    <w:rsid w:val="00912B5A"/>
    <w:rsid w:val="00913B03"/>
    <w:rsid w:val="00923F81"/>
    <w:rsid w:val="00925B52"/>
    <w:rsid w:val="00925D02"/>
    <w:rsid w:val="009321C2"/>
    <w:rsid w:val="00937437"/>
    <w:rsid w:val="009435E4"/>
    <w:rsid w:val="00943F6C"/>
    <w:rsid w:val="00945123"/>
    <w:rsid w:val="009700BA"/>
    <w:rsid w:val="00970BCC"/>
    <w:rsid w:val="00981951"/>
    <w:rsid w:val="00984085"/>
    <w:rsid w:val="00986042"/>
    <w:rsid w:val="00986698"/>
    <w:rsid w:val="00992EED"/>
    <w:rsid w:val="00994986"/>
    <w:rsid w:val="009A0C81"/>
    <w:rsid w:val="009A0DB9"/>
    <w:rsid w:val="009A50EE"/>
    <w:rsid w:val="009A7C4B"/>
    <w:rsid w:val="009B3E22"/>
    <w:rsid w:val="009B65CE"/>
    <w:rsid w:val="009B79BC"/>
    <w:rsid w:val="009C0219"/>
    <w:rsid w:val="009C571B"/>
    <w:rsid w:val="009C65B2"/>
    <w:rsid w:val="009D7AF6"/>
    <w:rsid w:val="009E33AD"/>
    <w:rsid w:val="009E7BE7"/>
    <w:rsid w:val="009F1F54"/>
    <w:rsid w:val="009F314A"/>
    <w:rsid w:val="009F3459"/>
    <w:rsid w:val="009F503B"/>
    <w:rsid w:val="00A01FC4"/>
    <w:rsid w:val="00A046FE"/>
    <w:rsid w:val="00A1276F"/>
    <w:rsid w:val="00A15388"/>
    <w:rsid w:val="00A17C2A"/>
    <w:rsid w:val="00A2069B"/>
    <w:rsid w:val="00A30B75"/>
    <w:rsid w:val="00A43AD1"/>
    <w:rsid w:val="00A45775"/>
    <w:rsid w:val="00A5273F"/>
    <w:rsid w:val="00A5296A"/>
    <w:rsid w:val="00A643F5"/>
    <w:rsid w:val="00A722C5"/>
    <w:rsid w:val="00A730CA"/>
    <w:rsid w:val="00A73235"/>
    <w:rsid w:val="00A81F26"/>
    <w:rsid w:val="00A8332F"/>
    <w:rsid w:val="00A934F6"/>
    <w:rsid w:val="00A942FA"/>
    <w:rsid w:val="00A94FED"/>
    <w:rsid w:val="00AA77BB"/>
    <w:rsid w:val="00AB5BD7"/>
    <w:rsid w:val="00AC4DC2"/>
    <w:rsid w:val="00AC602B"/>
    <w:rsid w:val="00AD0601"/>
    <w:rsid w:val="00AD670C"/>
    <w:rsid w:val="00AD797E"/>
    <w:rsid w:val="00AE26B1"/>
    <w:rsid w:val="00AE4F22"/>
    <w:rsid w:val="00AF0332"/>
    <w:rsid w:val="00AF634F"/>
    <w:rsid w:val="00B1425E"/>
    <w:rsid w:val="00B15902"/>
    <w:rsid w:val="00B20006"/>
    <w:rsid w:val="00B27BF4"/>
    <w:rsid w:val="00B31221"/>
    <w:rsid w:val="00B323E3"/>
    <w:rsid w:val="00B45AA3"/>
    <w:rsid w:val="00B466AF"/>
    <w:rsid w:val="00B4751C"/>
    <w:rsid w:val="00B569F5"/>
    <w:rsid w:val="00B56ECF"/>
    <w:rsid w:val="00B61496"/>
    <w:rsid w:val="00B63877"/>
    <w:rsid w:val="00B70711"/>
    <w:rsid w:val="00B71328"/>
    <w:rsid w:val="00B86BD6"/>
    <w:rsid w:val="00B87585"/>
    <w:rsid w:val="00BA53C8"/>
    <w:rsid w:val="00BA63AC"/>
    <w:rsid w:val="00BB245E"/>
    <w:rsid w:val="00BC4F46"/>
    <w:rsid w:val="00BD5108"/>
    <w:rsid w:val="00BD6AD7"/>
    <w:rsid w:val="00BF3315"/>
    <w:rsid w:val="00BF6342"/>
    <w:rsid w:val="00C117CC"/>
    <w:rsid w:val="00C1744B"/>
    <w:rsid w:val="00C305C0"/>
    <w:rsid w:val="00C33BF9"/>
    <w:rsid w:val="00C36079"/>
    <w:rsid w:val="00C422FA"/>
    <w:rsid w:val="00C43769"/>
    <w:rsid w:val="00C50152"/>
    <w:rsid w:val="00C52E14"/>
    <w:rsid w:val="00C623C9"/>
    <w:rsid w:val="00C65728"/>
    <w:rsid w:val="00C65B85"/>
    <w:rsid w:val="00C65FFC"/>
    <w:rsid w:val="00C7249A"/>
    <w:rsid w:val="00C738ED"/>
    <w:rsid w:val="00C767D4"/>
    <w:rsid w:val="00C80A63"/>
    <w:rsid w:val="00C8359C"/>
    <w:rsid w:val="00C94719"/>
    <w:rsid w:val="00CA5FD7"/>
    <w:rsid w:val="00CA6401"/>
    <w:rsid w:val="00CA6EE9"/>
    <w:rsid w:val="00CB2C5C"/>
    <w:rsid w:val="00CB38A0"/>
    <w:rsid w:val="00CB717E"/>
    <w:rsid w:val="00CB78AC"/>
    <w:rsid w:val="00CC009A"/>
    <w:rsid w:val="00CC232E"/>
    <w:rsid w:val="00CC69F5"/>
    <w:rsid w:val="00CD1804"/>
    <w:rsid w:val="00CE1F1D"/>
    <w:rsid w:val="00CF3E88"/>
    <w:rsid w:val="00CF57AD"/>
    <w:rsid w:val="00CF5F65"/>
    <w:rsid w:val="00D00953"/>
    <w:rsid w:val="00D05408"/>
    <w:rsid w:val="00D05438"/>
    <w:rsid w:val="00D133C3"/>
    <w:rsid w:val="00D15657"/>
    <w:rsid w:val="00D15E7E"/>
    <w:rsid w:val="00D17C0D"/>
    <w:rsid w:val="00D4621C"/>
    <w:rsid w:val="00D55B6B"/>
    <w:rsid w:val="00D56DBA"/>
    <w:rsid w:val="00D60A62"/>
    <w:rsid w:val="00D70DA4"/>
    <w:rsid w:val="00D73F2C"/>
    <w:rsid w:val="00D81DEA"/>
    <w:rsid w:val="00D82E2D"/>
    <w:rsid w:val="00D86328"/>
    <w:rsid w:val="00D86CE8"/>
    <w:rsid w:val="00D91FF6"/>
    <w:rsid w:val="00D93227"/>
    <w:rsid w:val="00D96DCD"/>
    <w:rsid w:val="00DB1742"/>
    <w:rsid w:val="00DB43BB"/>
    <w:rsid w:val="00DB5CF0"/>
    <w:rsid w:val="00DC3C4B"/>
    <w:rsid w:val="00DD33E3"/>
    <w:rsid w:val="00DD51EB"/>
    <w:rsid w:val="00DE4DA0"/>
    <w:rsid w:val="00DE651D"/>
    <w:rsid w:val="00DF0AC9"/>
    <w:rsid w:val="00DF75A0"/>
    <w:rsid w:val="00DF7827"/>
    <w:rsid w:val="00E017E1"/>
    <w:rsid w:val="00E027A8"/>
    <w:rsid w:val="00E10555"/>
    <w:rsid w:val="00E11093"/>
    <w:rsid w:val="00E1554C"/>
    <w:rsid w:val="00E319E7"/>
    <w:rsid w:val="00E356FD"/>
    <w:rsid w:val="00E40A83"/>
    <w:rsid w:val="00E412DC"/>
    <w:rsid w:val="00E46879"/>
    <w:rsid w:val="00E46BBF"/>
    <w:rsid w:val="00E55978"/>
    <w:rsid w:val="00E64767"/>
    <w:rsid w:val="00E72C84"/>
    <w:rsid w:val="00E7769D"/>
    <w:rsid w:val="00E77804"/>
    <w:rsid w:val="00E81909"/>
    <w:rsid w:val="00E86D5C"/>
    <w:rsid w:val="00E92CA1"/>
    <w:rsid w:val="00E936F8"/>
    <w:rsid w:val="00E96871"/>
    <w:rsid w:val="00E96D7B"/>
    <w:rsid w:val="00EA76F8"/>
    <w:rsid w:val="00EB4631"/>
    <w:rsid w:val="00EB6475"/>
    <w:rsid w:val="00ED0E77"/>
    <w:rsid w:val="00ED1AE8"/>
    <w:rsid w:val="00ED362A"/>
    <w:rsid w:val="00EF2797"/>
    <w:rsid w:val="00EF50B7"/>
    <w:rsid w:val="00EF51AE"/>
    <w:rsid w:val="00F0010A"/>
    <w:rsid w:val="00F019AD"/>
    <w:rsid w:val="00F069F5"/>
    <w:rsid w:val="00F10BC1"/>
    <w:rsid w:val="00F127FF"/>
    <w:rsid w:val="00F24C9C"/>
    <w:rsid w:val="00F3099D"/>
    <w:rsid w:val="00F44969"/>
    <w:rsid w:val="00F57489"/>
    <w:rsid w:val="00F7133B"/>
    <w:rsid w:val="00F71D82"/>
    <w:rsid w:val="00F857B9"/>
    <w:rsid w:val="00F955AA"/>
    <w:rsid w:val="00FB283E"/>
    <w:rsid w:val="00FB35A2"/>
    <w:rsid w:val="00FC3306"/>
    <w:rsid w:val="00FC4319"/>
    <w:rsid w:val="00FD0715"/>
    <w:rsid w:val="00FD384F"/>
    <w:rsid w:val="00FE2036"/>
    <w:rsid w:val="00FE3FA4"/>
    <w:rsid w:val="00FF58C4"/>
    <w:rsid w:val="017F54C9"/>
    <w:rsid w:val="01935887"/>
    <w:rsid w:val="01C8787F"/>
    <w:rsid w:val="01ED6097"/>
    <w:rsid w:val="020866C9"/>
    <w:rsid w:val="04CC341D"/>
    <w:rsid w:val="05137CD7"/>
    <w:rsid w:val="053E1375"/>
    <w:rsid w:val="060B26E0"/>
    <w:rsid w:val="068D7CE7"/>
    <w:rsid w:val="07784620"/>
    <w:rsid w:val="08D44BB4"/>
    <w:rsid w:val="0A9B318E"/>
    <w:rsid w:val="0C1E2BA0"/>
    <w:rsid w:val="0C765CB2"/>
    <w:rsid w:val="0C9135A2"/>
    <w:rsid w:val="0D8363F3"/>
    <w:rsid w:val="0E492EB6"/>
    <w:rsid w:val="0E863D61"/>
    <w:rsid w:val="0E970358"/>
    <w:rsid w:val="0EEC722A"/>
    <w:rsid w:val="0F895C37"/>
    <w:rsid w:val="10392EAE"/>
    <w:rsid w:val="10706EC2"/>
    <w:rsid w:val="10BF4BAA"/>
    <w:rsid w:val="115617D0"/>
    <w:rsid w:val="11B60EE2"/>
    <w:rsid w:val="126E79AB"/>
    <w:rsid w:val="12807280"/>
    <w:rsid w:val="136D3EEE"/>
    <w:rsid w:val="148463E6"/>
    <w:rsid w:val="14D20D9B"/>
    <w:rsid w:val="153907F5"/>
    <w:rsid w:val="15A72BED"/>
    <w:rsid w:val="1621170E"/>
    <w:rsid w:val="170A0CBB"/>
    <w:rsid w:val="176B76AF"/>
    <w:rsid w:val="181E495F"/>
    <w:rsid w:val="187A3323"/>
    <w:rsid w:val="18B91D2B"/>
    <w:rsid w:val="18C40414"/>
    <w:rsid w:val="1A6A6D44"/>
    <w:rsid w:val="1A817123"/>
    <w:rsid w:val="1C093ECB"/>
    <w:rsid w:val="1C1C383E"/>
    <w:rsid w:val="1C2E1CF3"/>
    <w:rsid w:val="1CE4433A"/>
    <w:rsid w:val="1DAB1B09"/>
    <w:rsid w:val="1EE84AA8"/>
    <w:rsid w:val="1FAF7B7A"/>
    <w:rsid w:val="204F69BE"/>
    <w:rsid w:val="20626A40"/>
    <w:rsid w:val="20F623E3"/>
    <w:rsid w:val="211B7C1C"/>
    <w:rsid w:val="21AD2085"/>
    <w:rsid w:val="228447E5"/>
    <w:rsid w:val="22E31918"/>
    <w:rsid w:val="22F05AF6"/>
    <w:rsid w:val="23424F53"/>
    <w:rsid w:val="236E14E2"/>
    <w:rsid w:val="261131BE"/>
    <w:rsid w:val="261D6E25"/>
    <w:rsid w:val="263C3CB4"/>
    <w:rsid w:val="275B19A0"/>
    <w:rsid w:val="275D512C"/>
    <w:rsid w:val="27755208"/>
    <w:rsid w:val="2859493D"/>
    <w:rsid w:val="292F0E60"/>
    <w:rsid w:val="29CB12E0"/>
    <w:rsid w:val="29D148D0"/>
    <w:rsid w:val="29FB6C4C"/>
    <w:rsid w:val="2A286E6B"/>
    <w:rsid w:val="2A461B11"/>
    <w:rsid w:val="2A867302"/>
    <w:rsid w:val="2AC803DC"/>
    <w:rsid w:val="2B724B78"/>
    <w:rsid w:val="2CB950D5"/>
    <w:rsid w:val="2E2C396C"/>
    <w:rsid w:val="2E900C87"/>
    <w:rsid w:val="2F046151"/>
    <w:rsid w:val="3008763A"/>
    <w:rsid w:val="30143D85"/>
    <w:rsid w:val="31752B09"/>
    <w:rsid w:val="32C75101"/>
    <w:rsid w:val="33D851B7"/>
    <w:rsid w:val="341548E3"/>
    <w:rsid w:val="3496343F"/>
    <w:rsid w:val="34FC2B7C"/>
    <w:rsid w:val="353E5265"/>
    <w:rsid w:val="37712A39"/>
    <w:rsid w:val="39A03FBB"/>
    <w:rsid w:val="39BE20D6"/>
    <w:rsid w:val="3AE50133"/>
    <w:rsid w:val="3B345EA5"/>
    <w:rsid w:val="3CF45622"/>
    <w:rsid w:val="3DB531EC"/>
    <w:rsid w:val="3DC80855"/>
    <w:rsid w:val="401B7113"/>
    <w:rsid w:val="405E3F93"/>
    <w:rsid w:val="40E60642"/>
    <w:rsid w:val="41022598"/>
    <w:rsid w:val="412F5503"/>
    <w:rsid w:val="4299450D"/>
    <w:rsid w:val="43036342"/>
    <w:rsid w:val="43CE762F"/>
    <w:rsid w:val="4563730C"/>
    <w:rsid w:val="464B1458"/>
    <w:rsid w:val="4669448D"/>
    <w:rsid w:val="47E66134"/>
    <w:rsid w:val="48694FA0"/>
    <w:rsid w:val="488E768B"/>
    <w:rsid w:val="48E40DF2"/>
    <w:rsid w:val="49F41D5E"/>
    <w:rsid w:val="4B1E31F7"/>
    <w:rsid w:val="4BCB3573"/>
    <w:rsid w:val="4BCC3F4A"/>
    <w:rsid w:val="4C0A5953"/>
    <w:rsid w:val="4CE75373"/>
    <w:rsid w:val="4D6016CE"/>
    <w:rsid w:val="4D8D03D2"/>
    <w:rsid w:val="4E1A4E14"/>
    <w:rsid w:val="4ECA6EC3"/>
    <w:rsid w:val="4F2F7D09"/>
    <w:rsid w:val="50FB3C65"/>
    <w:rsid w:val="51717839"/>
    <w:rsid w:val="534D1624"/>
    <w:rsid w:val="535254ED"/>
    <w:rsid w:val="53DD723A"/>
    <w:rsid w:val="545860EF"/>
    <w:rsid w:val="54B92EF5"/>
    <w:rsid w:val="566D4B95"/>
    <w:rsid w:val="572656D4"/>
    <w:rsid w:val="57815330"/>
    <w:rsid w:val="59AD06A4"/>
    <w:rsid w:val="5A08683D"/>
    <w:rsid w:val="5A4D586D"/>
    <w:rsid w:val="5A6249B0"/>
    <w:rsid w:val="5AA212E4"/>
    <w:rsid w:val="5C1811A1"/>
    <w:rsid w:val="5C4A7767"/>
    <w:rsid w:val="5CB87DDC"/>
    <w:rsid w:val="5EA0562A"/>
    <w:rsid w:val="5EA177CB"/>
    <w:rsid w:val="5EE84C68"/>
    <w:rsid w:val="5F975218"/>
    <w:rsid w:val="6137591E"/>
    <w:rsid w:val="621D5BA4"/>
    <w:rsid w:val="624B03BF"/>
    <w:rsid w:val="63251B8E"/>
    <w:rsid w:val="635B6748"/>
    <w:rsid w:val="63947A95"/>
    <w:rsid w:val="65741555"/>
    <w:rsid w:val="67004944"/>
    <w:rsid w:val="67B167D1"/>
    <w:rsid w:val="685F1C50"/>
    <w:rsid w:val="68C53CC0"/>
    <w:rsid w:val="699022E9"/>
    <w:rsid w:val="69CA10F4"/>
    <w:rsid w:val="6A5E2961"/>
    <w:rsid w:val="6A714498"/>
    <w:rsid w:val="6C0C7CAF"/>
    <w:rsid w:val="6D792BC6"/>
    <w:rsid w:val="6DF82FDB"/>
    <w:rsid w:val="6EFD3264"/>
    <w:rsid w:val="6F7E486E"/>
    <w:rsid w:val="723830F9"/>
    <w:rsid w:val="733429A1"/>
    <w:rsid w:val="73545AC4"/>
    <w:rsid w:val="73744288"/>
    <w:rsid w:val="745919C6"/>
    <w:rsid w:val="74702A9A"/>
    <w:rsid w:val="749A609F"/>
    <w:rsid w:val="758A1998"/>
    <w:rsid w:val="761C2BBB"/>
    <w:rsid w:val="761D6562"/>
    <w:rsid w:val="765036D1"/>
    <w:rsid w:val="776A1DE8"/>
    <w:rsid w:val="785D00CA"/>
    <w:rsid w:val="78D17096"/>
    <w:rsid w:val="791A6622"/>
    <w:rsid w:val="7A667F42"/>
    <w:rsid w:val="7A863D8A"/>
    <w:rsid w:val="7CC44ED1"/>
    <w:rsid w:val="7DDD6CEA"/>
    <w:rsid w:val="7E636E14"/>
    <w:rsid w:val="7EC83A66"/>
    <w:rsid w:val="7F8B36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qFormat="1" w:unhideWhenUsed="0" w:uiPriority="39"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outlineLvl w:val="0"/>
    </w:pPr>
    <w:rPr>
      <w:color w:val="000000"/>
      <w:kern w:val="0"/>
      <w:sz w:val="20"/>
      <w:shd w:val="clear" w:color="auto" w:fill="FFFFFF"/>
    </w:rPr>
  </w:style>
  <w:style w:type="paragraph" w:styleId="4">
    <w:name w:val="heading 2"/>
    <w:basedOn w:val="1"/>
    <w:next w:val="1"/>
    <w:link w:val="46"/>
    <w:qFormat/>
    <w:uiPriority w:val="0"/>
    <w:pPr>
      <w:keepNext/>
      <w:keepLines/>
      <w:widowControl/>
      <w:spacing w:before="260" w:after="260" w:line="416" w:lineRule="auto"/>
      <w:jc w:val="left"/>
      <w:outlineLvl w:val="1"/>
    </w:pPr>
    <w:rPr>
      <w:rFonts w:ascii="Arial" w:hAnsi="Arial" w:eastAsia="黑体"/>
      <w:b/>
      <w:bCs/>
      <w:sz w:val="32"/>
      <w:szCs w:val="32"/>
    </w:rPr>
  </w:style>
  <w:style w:type="paragraph" w:styleId="5">
    <w:name w:val="heading 3"/>
    <w:basedOn w:val="1"/>
    <w:next w:val="1"/>
    <w:link w:val="86"/>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4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85"/>
    <w:unhideWhenUsed/>
    <w:qFormat/>
    <w:uiPriority w:val="0"/>
    <w:pPr>
      <w:keepNext/>
      <w:keepLines/>
      <w:spacing w:before="280" w:after="290" w:line="376" w:lineRule="auto"/>
      <w:outlineLvl w:val="4"/>
    </w:pPr>
    <w:rPr>
      <w:b/>
      <w:bCs/>
      <w:sz w:val="28"/>
      <w:szCs w:val="28"/>
    </w:rPr>
  </w:style>
  <w:style w:type="paragraph" w:styleId="8">
    <w:name w:val="heading 6"/>
    <w:next w:val="1"/>
    <w:link w:val="93"/>
    <w:unhideWhenUsed/>
    <w:qFormat/>
    <w:uiPriority w:val="0"/>
    <w:pPr>
      <w:keepNext/>
      <w:keepLines/>
      <w:spacing w:line="360" w:lineRule="auto"/>
      <w:outlineLvl w:val="5"/>
    </w:pPr>
    <w:rPr>
      <w:rFonts w:ascii="Times New Roman" w:hAnsi="Times New Roman" w:eastAsia="宋体" w:cs="Times New Roman"/>
      <w:b/>
      <w:sz w:val="24"/>
      <w:lang w:val="en-US" w:eastAsia="zh-CN" w:bidi="ar-SA"/>
    </w:rPr>
  </w:style>
  <w:style w:type="paragraph" w:styleId="9">
    <w:name w:val="heading 7"/>
    <w:basedOn w:val="1"/>
    <w:next w:val="1"/>
    <w:link w:val="90"/>
    <w:unhideWhenUsed/>
    <w:qFormat/>
    <w:uiPriority w:val="0"/>
    <w:pPr>
      <w:keepNext/>
      <w:keepLines/>
      <w:spacing w:before="240" w:after="64" w:line="320" w:lineRule="auto"/>
      <w:outlineLvl w:val="6"/>
    </w:pPr>
    <w:rPr>
      <w:b/>
      <w:bCs/>
      <w:sz w:val="24"/>
    </w:rPr>
  </w:style>
  <w:style w:type="paragraph" w:styleId="10">
    <w:name w:val="heading 8"/>
    <w:next w:val="1"/>
    <w:link w:val="94"/>
    <w:semiHidden/>
    <w:unhideWhenUsed/>
    <w:qFormat/>
    <w:uiPriority w:val="0"/>
    <w:pPr>
      <w:keepNext/>
      <w:keepLines/>
      <w:spacing w:line="360" w:lineRule="auto"/>
      <w:outlineLvl w:val="7"/>
    </w:pPr>
    <w:rPr>
      <w:rFonts w:ascii="Times New Roman" w:hAnsi="Times New Roman" w:eastAsia="宋体" w:cs="Times New Roman"/>
      <w:b/>
      <w:sz w:val="24"/>
      <w:lang w:val="en-US" w:eastAsia="zh-CN" w:bidi="ar-SA"/>
    </w:rPr>
  </w:style>
  <w:style w:type="paragraph" w:styleId="11">
    <w:name w:val="heading 9"/>
    <w:basedOn w:val="1"/>
    <w:next w:val="1"/>
    <w:link w:val="95"/>
    <w:semiHidden/>
    <w:unhideWhenUsed/>
    <w:qFormat/>
    <w:uiPriority w:val="0"/>
    <w:pPr>
      <w:keepNext/>
      <w:keepLines/>
      <w:spacing w:before="240" w:after="64" w:line="317" w:lineRule="auto"/>
      <w:ind w:left="1583"/>
      <w:outlineLvl w:val="8"/>
    </w:pPr>
    <w:rPr>
      <w:rFonts w:ascii="Arial" w:hAnsi="Arial" w:eastAsia="黑体" w:cstheme="minorBidi"/>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2">
    <w:name w:val="Title"/>
    <w:basedOn w:val="1"/>
    <w:next w:val="1"/>
    <w:link w:val="77"/>
    <w:qFormat/>
    <w:uiPriority w:val="0"/>
    <w:pPr>
      <w:spacing w:before="240" w:after="60"/>
      <w:jc w:val="center"/>
      <w:outlineLvl w:val="0"/>
    </w:pPr>
    <w:rPr>
      <w:rFonts w:ascii="等线 Light" w:hAnsi="等线 Light"/>
      <w:b/>
      <w:bCs/>
      <w:sz w:val="32"/>
      <w:szCs w:val="32"/>
    </w:rPr>
  </w:style>
  <w:style w:type="paragraph" w:styleId="12">
    <w:name w:val="List Number"/>
    <w:basedOn w:val="1"/>
    <w:qFormat/>
    <w:uiPriority w:val="0"/>
    <w:pPr>
      <w:numPr>
        <w:ilvl w:val="0"/>
        <w:numId w:val="1"/>
      </w:numPr>
    </w:pPr>
  </w:style>
  <w:style w:type="paragraph" w:styleId="13">
    <w:name w:val="Normal Indent"/>
    <w:basedOn w:val="1"/>
    <w:next w:val="1"/>
    <w:link w:val="102"/>
    <w:qFormat/>
    <w:uiPriority w:val="0"/>
    <w:pPr>
      <w:ind w:firstLine="420"/>
    </w:pPr>
    <w:rPr>
      <w:szCs w:val="20"/>
    </w:rPr>
  </w:style>
  <w:style w:type="paragraph" w:styleId="14">
    <w:name w:val="Document Map"/>
    <w:basedOn w:val="1"/>
    <w:link w:val="68"/>
    <w:semiHidden/>
    <w:qFormat/>
    <w:uiPriority w:val="99"/>
    <w:pPr>
      <w:shd w:val="clear" w:color="auto" w:fill="000080"/>
    </w:pPr>
    <w:rPr>
      <w:kern w:val="0"/>
      <w:sz w:val="2"/>
    </w:rPr>
  </w:style>
  <w:style w:type="paragraph" w:styleId="15">
    <w:name w:val="annotation text"/>
    <w:basedOn w:val="1"/>
    <w:link w:val="63"/>
    <w:qFormat/>
    <w:uiPriority w:val="0"/>
    <w:pPr>
      <w:jc w:val="left"/>
    </w:pPr>
  </w:style>
  <w:style w:type="paragraph" w:styleId="16">
    <w:name w:val="Closing"/>
    <w:basedOn w:val="1"/>
    <w:semiHidden/>
    <w:qFormat/>
    <w:uiPriority w:val="0"/>
    <w:pPr>
      <w:ind w:left="4320"/>
    </w:pPr>
    <w:rPr>
      <w:kern w:val="1"/>
    </w:rPr>
  </w:style>
  <w:style w:type="paragraph" w:styleId="17">
    <w:name w:val="Body Text"/>
    <w:basedOn w:val="1"/>
    <w:next w:val="16"/>
    <w:link w:val="73"/>
    <w:qFormat/>
    <w:uiPriority w:val="0"/>
    <w:pPr>
      <w:spacing w:line="360" w:lineRule="exact"/>
    </w:pPr>
    <w:rPr>
      <w:sz w:val="24"/>
    </w:rPr>
  </w:style>
  <w:style w:type="paragraph" w:styleId="18">
    <w:name w:val="Body Text Indent"/>
    <w:basedOn w:val="1"/>
    <w:next w:val="19"/>
    <w:link w:val="66"/>
    <w:qFormat/>
    <w:uiPriority w:val="0"/>
    <w:pPr>
      <w:spacing w:after="120"/>
      <w:ind w:left="420" w:leftChars="200"/>
    </w:pPr>
  </w:style>
  <w:style w:type="paragraph" w:styleId="19">
    <w:name w:val="Body Text First Indent 2"/>
    <w:basedOn w:val="18"/>
    <w:next w:val="1"/>
    <w:unhideWhenUsed/>
    <w:qFormat/>
    <w:uiPriority w:val="99"/>
    <w:pPr>
      <w:ind w:firstLine="420" w:firstLineChars="200"/>
    </w:pPr>
  </w:style>
  <w:style w:type="paragraph" w:styleId="20">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hAnsi="Calibri"/>
      <w:color w:val="000000"/>
      <w:kern w:val="0"/>
      <w:sz w:val="24"/>
    </w:rPr>
  </w:style>
  <w:style w:type="paragraph" w:styleId="21">
    <w:name w:val="toc 3"/>
    <w:next w:val="1"/>
    <w:qFormat/>
    <w:uiPriority w:val="0"/>
    <w:pPr>
      <w:ind w:left="840" w:leftChars="400"/>
    </w:pPr>
    <w:rPr>
      <w:rFonts w:ascii="Times New Roman" w:hAnsi="Times New Roman" w:eastAsia="宋体" w:cs="Times New Roman"/>
      <w:sz w:val="24"/>
      <w:lang w:val="en-US" w:eastAsia="zh-CN" w:bidi="ar-SA"/>
    </w:rPr>
  </w:style>
  <w:style w:type="paragraph" w:styleId="22">
    <w:name w:val="Plain Text"/>
    <w:basedOn w:val="1"/>
    <w:next w:val="23"/>
    <w:link w:val="81"/>
    <w:qFormat/>
    <w:uiPriority w:val="0"/>
    <w:rPr>
      <w:rFonts w:ascii="宋体" w:hAnsi="Courier New" w:cstheme="minorBidi"/>
    </w:rPr>
  </w:style>
  <w:style w:type="paragraph" w:styleId="23">
    <w:name w:val="Date"/>
    <w:basedOn w:val="1"/>
    <w:next w:val="1"/>
    <w:qFormat/>
    <w:uiPriority w:val="0"/>
    <w:pPr>
      <w:ind w:left="2500" w:leftChars="2500"/>
    </w:pPr>
    <w:rPr>
      <w:rFonts w:eastAsia="楷体_GB2312" w:asciiTheme="minorHAnsi" w:hAnsiTheme="minorHAnsi" w:cstheme="minorBidi"/>
      <w:sz w:val="32"/>
      <w:szCs w:val="22"/>
    </w:rPr>
  </w:style>
  <w:style w:type="paragraph" w:styleId="24">
    <w:name w:val="Balloon Text"/>
    <w:basedOn w:val="1"/>
    <w:link w:val="65"/>
    <w:qFormat/>
    <w:uiPriority w:val="0"/>
    <w:rPr>
      <w:sz w:val="18"/>
      <w:szCs w:val="18"/>
    </w:rPr>
  </w:style>
  <w:style w:type="paragraph" w:styleId="25">
    <w:name w:val="footer"/>
    <w:basedOn w:val="1"/>
    <w:link w:val="70"/>
    <w:qFormat/>
    <w:uiPriority w:val="0"/>
    <w:pPr>
      <w:tabs>
        <w:tab w:val="center" w:pos="4153"/>
        <w:tab w:val="right" w:pos="8306"/>
      </w:tabs>
      <w:snapToGrid w:val="0"/>
      <w:jc w:val="left"/>
    </w:pPr>
    <w:rPr>
      <w:sz w:val="18"/>
    </w:rPr>
  </w:style>
  <w:style w:type="paragraph" w:styleId="26">
    <w:name w:val="header"/>
    <w:basedOn w:val="1"/>
    <w:link w:val="6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7">
    <w:name w:val="toc 1"/>
    <w:basedOn w:val="1"/>
    <w:next w:val="1"/>
    <w:qFormat/>
    <w:uiPriority w:val="0"/>
    <w:rPr>
      <w:sz w:val="24"/>
    </w:rPr>
  </w:style>
  <w:style w:type="paragraph" w:styleId="28">
    <w:name w:val="Subtitle"/>
    <w:basedOn w:val="1"/>
    <w:next w:val="1"/>
    <w:link w:val="78"/>
    <w:qFormat/>
    <w:uiPriority w:val="0"/>
    <w:pPr>
      <w:spacing w:before="240" w:after="60" w:line="312" w:lineRule="auto"/>
      <w:jc w:val="center"/>
      <w:outlineLvl w:val="1"/>
    </w:pPr>
    <w:rPr>
      <w:rFonts w:ascii="等线 Light" w:hAnsi="等线 Light"/>
      <w:b/>
      <w:bCs/>
      <w:kern w:val="28"/>
      <w:sz w:val="32"/>
      <w:szCs w:val="32"/>
    </w:rPr>
  </w:style>
  <w:style w:type="paragraph" w:styleId="29">
    <w:name w:val="toc 6"/>
    <w:basedOn w:val="1"/>
    <w:next w:val="1"/>
    <w:qFormat/>
    <w:uiPriority w:val="39"/>
    <w:pPr>
      <w:ind w:left="1050"/>
      <w:jc w:val="left"/>
    </w:pPr>
    <w:rPr>
      <w:rFonts w:ascii="Calibri" w:hAnsi="Calibri" w:cs="Calibri"/>
      <w:sz w:val="18"/>
      <w:szCs w:val="18"/>
    </w:rPr>
  </w:style>
  <w:style w:type="paragraph" w:styleId="30">
    <w:name w:val="toc 2"/>
    <w:next w:val="1"/>
    <w:qFormat/>
    <w:uiPriority w:val="0"/>
    <w:pPr>
      <w:ind w:left="420" w:leftChars="200"/>
    </w:pPr>
    <w:rPr>
      <w:rFonts w:ascii="Times New Roman" w:hAnsi="Times New Roman" w:eastAsia="宋体" w:cs="Times New Roman"/>
      <w:sz w:val="24"/>
      <w:lang w:val="en-US" w:eastAsia="zh-CN" w:bidi="ar-SA"/>
    </w:rPr>
  </w:style>
  <w:style w:type="paragraph" w:styleId="31">
    <w:name w:val="HTML Preformatted"/>
    <w:basedOn w:val="1"/>
    <w:link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33">
    <w:name w:val="annotation subject"/>
    <w:basedOn w:val="15"/>
    <w:next w:val="15"/>
    <w:link w:val="64"/>
    <w:qFormat/>
    <w:uiPriority w:val="0"/>
    <w:rPr>
      <w:b/>
      <w:bCs/>
    </w:rPr>
  </w:style>
  <w:style w:type="paragraph" w:styleId="34">
    <w:name w:val="Body Text First Indent"/>
    <w:basedOn w:val="17"/>
    <w:next w:val="27"/>
    <w:link w:val="89"/>
    <w:qFormat/>
    <w:uiPriority w:val="0"/>
    <w:pPr>
      <w:spacing w:after="120" w:line="240" w:lineRule="auto"/>
      <w:ind w:firstLine="420" w:firstLineChars="100"/>
    </w:pPr>
    <w:rPr>
      <w:sz w:val="21"/>
    </w:rPr>
  </w:style>
  <w:style w:type="table" w:styleId="36">
    <w:name w:val="Table Grid"/>
    <w:basedOn w:val="35"/>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basedOn w:val="37"/>
    <w:qFormat/>
    <w:uiPriority w:val="0"/>
  </w:style>
  <w:style w:type="character" w:styleId="40">
    <w:name w:val="FollowedHyperlink"/>
    <w:qFormat/>
    <w:uiPriority w:val="0"/>
    <w:rPr>
      <w:color w:val="800080"/>
      <w:u w:val="none"/>
    </w:rPr>
  </w:style>
  <w:style w:type="character" w:styleId="41">
    <w:name w:val="Emphasis"/>
    <w:qFormat/>
    <w:uiPriority w:val="0"/>
    <w:rPr>
      <w:i/>
      <w:iCs/>
    </w:rPr>
  </w:style>
  <w:style w:type="character" w:styleId="42">
    <w:name w:val="Hyperlink"/>
    <w:qFormat/>
    <w:uiPriority w:val="0"/>
    <w:rPr>
      <w:color w:val="0000FF"/>
      <w:u w:val="single"/>
    </w:rPr>
  </w:style>
  <w:style w:type="character" w:styleId="43">
    <w:name w:val="annotation reference"/>
    <w:basedOn w:val="37"/>
    <w:qFormat/>
    <w:uiPriority w:val="0"/>
    <w:rPr>
      <w:sz w:val="21"/>
      <w:szCs w:val="21"/>
    </w:rPr>
  </w:style>
  <w:style w:type="paragraph" w:customStyle="1" w:styleId="44">
    <w:name w:val="无间隔1"/>
    <w:qFormat/>
    <w:uiPriority w:val="99"/>
    <w:pPr>
      <w:adjustRightInd w:val="0"/>
      <w:snapToGrid w:val="0"/>
    </w:pPr>
    <w:rPr>
      <w:rFonts w:ascii="Tahoma" w:hAnsi="Tahoma" w:eastAsia="微软雅黑" w:cstheme="minorBidi"/>
      <w:sz w:val="22"/>
      <w:szCs w:val="22"/>
      <w:lang w:val="en-US" w:eastAsia="zh-CN" w:bidi="ar-SA"/>
    </w:rPr>
  </w:style>
  <w:style w:type="character" w:customStyle="1" w:styleId="45">
    <w:name w:val="标题 4 字符"/>
    <w:basedOn w:val="37"/>
    <w:link w:val="6"/>
    <w:qFormat/>
    <w:uiPriority w:val="0"/>
    <w:rPr>
      <w:rFonts w:asciiTheme="majorHAnsi" w:hAnsiTheme="majorHAnsi" w:eastAsiaTheme="majorEastAsia" w:cstheme="majorBidi"/>
      <w:b/>
      <w:bCs/>
      <w:kern w:val="2"/>
      <w:sz w:val="28"/>
      <w:szCs w:val="28"/>
    </w:rPr>
  </w:style>
  <w:style w:type="character" w:customStyle="1" w:styleId="46">
    <w:name w:val="标题 2 字符"/>
    <w:basedOn w:val="37"/>
    <w:link w:val="4"/>
    <w:qFormat/>
    <w:uiPriority w:val="0"/>
    <w:rPr>
      <w:rFonts w:ascii="Arial" w:hAnsi="Arial" w:eastAsia="黑体"/>
      <w:b/>
      <w:bCs/>
      <w:kern w:val="2"/>
      <w:sz w:val="32"/>
      <w:szCs w:val="32"/>
    </w:rPr>
  </w:style>
  <w:style w:type="paragraph" w:customStyle="1" w:styleId="47">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48">
    <w:name w:val="List Paragraph"/>
    <w:basedOn w:val="1"/>
    <w:link w:val="87"/>
    <w:qFormat/>
    <w:uiPriority w:val="34"/>
    <w:pPr>
      <w:ind w:firstLine="420" w:firstLineChars="200"/>
    </w:pPr>
    <w:rPr>
      <w:rFonts w:ascii="Calibri" w:hAnsi="Calibri"/>
      <w:szCs w:val="22"/>
    </w:rPr>
  </w:style>
  <w:style w:type="paragraph" w:customStyle="1" w:styleId="49">
    <w:name w:val="列出段落1"/>
    <w:basedOn w:val="1"/>
    <w:qFormat/>
    <w:uiPriority w:val="34"/>
    <w:pPr>
      <w:ind w:firstLine="420" w:firstLineChars="200"/>
    </w:pPr>
    <w:rPr>
      <w:rFonts w:ascii="Calibri" w:hAnsi="Calibri"/>
      <w:kern w:val="0"/>
      <w:szCs w:val="20"/>
    </w:rPr>
  </w:style>
  <w:style w:type="paragraph" w:customStyle="1" w:styleId="50">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5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正文_14"/>
    <w:qFormat/>
    <w:uiPriority w:val="0"/>
    <w:rPr>
      <w:rFonts w:ascii="Times New Roman" w:hAnsi="Times New Roman" w:eastAsia="宋体" w:cs="Times New Roman"/>
      <w:sz w:val="21"/>
      <w:szCs w:val="22"/>
      <w:lang w:val="en-US" w:eastAsia="zh-CN" w:bidi="ar-SA"/>
    </w:rPr>
  </w:style>
  <w:style w:type="paragraph" w:customStyle="1" w:styleId="5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纯文本_3"/>
    <w:basedOn w:val="56"/>
    <w:qFormat/>
    <w:uiPriority w:val="0"/>
    <w:pPr>
      <w:widowControl/>
      <w:jc w:val="left"/>
    </w:pPr>
    <w:rPr>
      <w:rFonts w:ascii="宋体" w:hAnsi="Courier New" w:eastAsiaTheme="minorEastAsia" w:cstheme="minorBidi"/>
      <w:szCs w:val="21"/>
    </w:rPr>
  </w:style>
  <w:style w:type="paragraph" w:customStyle="1" w:styleId="58">
    <w:name w:val="纯文本_0_1"/>
    <w:basedOn w:val="1"/>
    <w:qFormat/>
    <w:uiPriority w:val="0"/>
    <w:pPr>
      <w:widowControl/>
      <w:jc w:val="left"/>
    </w:pPr>
    <w:rPr>
      <w:rFonts w:ascii="宋体" w:hAnsi="Courier New" w:eastAsiaTheme="minorEastAsia" w:cstheme="minorBidi"/>
      <w:szCs w:val="21"/>
    </w:rPr>
  </w:style>
  <w:style w:type="paragraph" w:customStyle="1" w:styleId="5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批注文字 字符1"/>
    <w:basedOn w:val="37"/>
    <w:link w:val="15"/>
    <w:qFormat/>
    <w:uiPriority w:val="0"/>
    <w:rPr>
      <w:rFonts w:ascii="Times New Roman" w:hAnsi="Times New Roman" w:eastAsia="宋体" w:cs="Times New Roman"/>
      <w:kern w:val="2"/>
      <w:sz w:val="21"/>
      <w:szCs w:val="24"/>
    </w:rPr>
  </w:style>
  <w:style w:type="character" w:customStyle="1" w:styleId="64">
    <w:name w:val="批注主题 字符"/>
    <w:basedOn w:val="63"/>
    <w:link w:val="33"/>
    <w:qFormat/>
    <w:uiPriority w:val="0"/>
    <w:rPr>
      <w:rFonts w:ascii="Times New Roman" w:hAnsi="Times New Roman" w:eastAsia="宋体" w:cs="Times New Roman"/>
      <w:b/>
      <w:bCs/>
      <w:kern w:val="2"/>
      <w:sz w:val="21"/>
      <w:szCs w:val="24"/>
    </w:rPr>
  </w:style>
  <w:style w:type="character" w:customStyle="1" w:styleId="65">
    <w:name w:val="批注框文本 字符1"/>
    <w:basedOn w:val="37"/>
    <w:link w:val="24"/>
    <w:qFormat/>
    <w:uiPriority w:val="0"/>
    <w:rPr>
      <w:rFonts w:ascii="Times New Roman" w:hAnsi="Times New Roman" w:eastAsia="宋体" w:cs="Times New Roman"/>
      <w:kern w:val="2"/>
      <w:sz w:val="18"/>
      <w:szCs w:val="18"/>
    </w:rPr>
  </w:style>
  <w:style w:type="character" w:customStyle="1" w:styleId="66">
    <w:name w:val="正文文本缩进 字符"/>
    <w:basedOn w:val="37"/>
    <w:link w:val="18"/>
    <w:qFormat/>
    <w:uiPriority w:val="0"/>
    <w:rPr>
      <w:kern w:val="2"/>
      <w:sz w:val="21"/>
      <w:szCs w:val="24"/>
    </w:rPr>
  </w:style>
  <w:style w:type="character" w:customStyle="1" w:styleId="67">
    <w:name w:val="标题 1 字符1"/>
    <w:basedOn w:val="37"/>
    <w:link w:val="3"/>
    <w:qFormat/>
    <w:uiPriority w:val="0"/>
    <w:rPr>
      <w:color w:val="000000"/>
      <w:szCs w:val="24"/>
    </w:rPr>
  </w:style>
  <w:style w:type="character" w:customStyle="1" w:styleId="68">
    <w:name w:val="文档结构图 字符"/>
    <w:basedOn w:val="37"/>
    <w:link w:val="14"/>
    <w:semiHidden/>
    <w:qFormat/>
    <w:uiPriority w:val="99"/>
    <w:rPr>
      <w:sz w:val="2"/>
      <w:szCs w:val="24"/>
      <w:shd w:val="clear" w:color="auto" w:fill="000080"/>
    </w:rPr>
  </w:style>
  <w:style w:type="character" w:customStyle="1" w:styleId="69">
    <w:name w:val="页眉 字符"/>
    <w:link w:val="26"/>
    <w:qFormat/>
    <w:locked/>
    <w:uiPriority w:val="0"/>
    <w:rPr>
      <w:kern w:val="2"/>
      <w:sz w:val="18"/>
      <w:szCs w:val="24"/>
    </w:rPr>
  </w:style>
  <w:style w:type="character" w:customStyle="1" w:styleId="70">
    <w:name w:val="页脚 字符"/>
    <w:link w:val="25"/>
    <w:qFormat/>
    <w:locked/>
    <w:uiPriority w:val="0"/>
    <w:rPr>
      <w:kern w:val="2"/>
      <w:sz w:val="18"/>
      <w:szCs w:val="24"/>
    </w:rPr>
  </w:style>
  <w:style w:type="paragraph" w:customStyle="1" w:styleId="71">
    <w:name w:val="图"/>
    <w:basedOn w:val="1"/>
    <w:qFormat/>
    <w:uiPriority w:val="99"/>
    <w:pPr>
      <w:keepNext/>
      <w:adjustRightInd w:val="0"/>
      <w:snapToGrid w:val="0"/>
      <w:spacing w:before="60" w:after="60" w:line="300" w:lineRule="auto"/>
      <w:jc w:val="center"/>
    </w:pPr>
    <w:rPr>
      <w:spacing w:val="20"/>
      <w:kern w:val="0"/>
      <w:sz w:val="24"/>
      <w:szCs w:val="20"/>
    </w:rPr>
  </w:style>
  <w:style w:type="paragraph" w:customStyle="1" w:styleId="72">
    <w:name w:val="[Normal]"/>
    <w:next w:val="1"/>
    <w:qFormat/>
    <w:uiPriority w:val="99"/>
    <w:pPr>
      <w:widowControl w:val="0"/>
      <w:autoSpaceDE w:val="0"/>
      <w:autoSpaceDN w:val="0"/>
      <w:adjustRightInd w:val="0"/>
    </w:pPr>
    <w:rPr>
      <w:rFonts w:ascii="Arial" w:hAnsi="Arial" w:eastAsia="宋体" w:cs="Arial"/>
      <w:sz w:val="24"/>
      <w:szCs w:val="24"/>
      <w:shd w:val="clear" w:color="auto" w:fill="FFFFFF"/>
      <w:lang w:val="de-DE" w:eastAsia="zh-CN" w:bidi="ar-SA"/>
    </w:rPr>
  </w:style>
  <w:style w:type="character" w:customStyle="1" w:styleId="73">
    <w:name w:val="正文文本 字符"/>
    <w:link w:val="17"/>
    <w:qFormat/>
    <w:locked/>
    <w:uiPriority w:val="99"/>
    <w:rPr>
      <w:kern w:val="2"/>
      <w:sz w:val="24"/>
      <w:szCs w:val="24"/>
    </w:rPr>
  </w:style>
  <w:style w:type="paragraph" w:customStyle="1" w:styleId="74">
    <w:name w:val="KTG"/>
    <w:next w:val="1"/>
    <w:qFormat/>
    <w:uiPriority w:val="99"/>
    <w:pPr>
      <w:widowControl w:val="0"/>
      <w:tabs>
        <w:tab w:val="left" w:pos="1134"/>
      </w:tabs>
      <w:autoSpaceDE w:val="0"/>
      <w:autoSpaceDN w:val="0"/>
      <w:adjustRightInd w:val="0"/>
    </w:pPr>
    <w:rPr>
      <w:rFonts w:ascii="Arial" w:hAnsi="Arial" w:eastAsia="宋体" w:cs="Times New Roman"/>
      <w:sz w:val="22"/>
      <w:szCs w:val="22"/>
      <w:lang w:val="de-DE" w:eastAsia="zh-CN" w:bidi="ar-SA"/>
    </w:rPr>
  </w:style>
  <w:style w:type="paragraph" w:customStyle="1" w:styleId="7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6">
    <w:name w:val="_Style 2"/>
    <w:basedOn w:val="1"/>
    <w:qFormat/>
    <w:uiPriority w:val="99"/>
    <w:pPr>
      <w:ind w:firstLine="420" w:firstLineChars="200"/>
    </w:pPr>
  </w:style>
  <w:style w:type="character" w:customStyle="1" w:styleId="77">
    <w:name w:val="标题 字符"/>
    <w:basedOn w:val="37"/>
    <w:link w:val="2"/>
    <w:qFormat/>
    <w:uiPriority w:val="0"/>
    <w:rPr>
      <w:rFonts w:ascii="等线 Light" w:hAnsi="等线 Light"/>
      <w:b/>
      <w:bCs/>
      <w:kern w:val="2"/>
      <w:sz w:val="32"/>
      <w:szCs w:val="32"/>
    </w:rPr>
  </w:style>
  <w:style w:type="character" w:customStyle="1" w:styleId="78">
    <w:name w:val="副标题 字符"/>
    <w:basedOn w:val="37"/>
    <w:link w:val="28"/>
    <w:qFormat/>
    <w:uiPriority w:val="0"/>
    <w:rPr>
      <w:rFonts w:ascii="等线 Light" w:hAnsi="等线 Light"/>
      <w:b/>
      <w:bCs/>
      <w:kern w:val="28"/>
      <w:sz w:val="32"/>
      <w:szCs w:val="32"/>
    </w:rPr>
  </w:style>
  <w:style w:type="table" w:customStyle="1" w:styleId="79">
    <w:name w:val="网格型1"/>
    <w:basedOn w:val="35"/>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HTML 预设格式 字符"/>
    <w:basedOn w:val="37"/>
    <w:link w:val="31"/>
    <w:qFormat/>
    <w:uiPriority w:val="0"/>
    <w:rPr>
      <w:rFonts w:ascii="黑体" w:hAnsi="Courier New" w:eastAsia="黑体" w:cs="Courier New"/>
    </w:rPr>
  </w:style>
  <w:style w:type="character" w:customStyle="1" w:styleId="81">
    <w:name w:val="纯文本 字符"/>
    <w:basedOn w:val="37"/>
    <w:link w:val="22"/>
    <w:qFormat/>
    <w:uiPriority w:val="0"/>
    <w:rPr>
      <w:rFonts w:ascii="宋体" w:hAnsi="Courier New" w:cstheme="minorBidi"/>
      <w:kern w:val="2"/>
      <w:sz w:val="21"/>
      <w:szCs w:val="24"/>
    </w:rPr>
  </w:style>
  <w:style w:type="paragraph" w:customStyle="1" w:styleId="82">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宋体" w:cs="Times New Roman"/>
      <w:color w:val="000000"/>
      <w:kern w:val="2"/>
      <w:sz w:val="21"/>
      <w:szCs w:val="21"/>
      <w:lang w:val="en-US" w:eastAsia="zh-CN" w:bidi="ar-SA"/>
    </w:rPr>
  </w:style>
  <w:style w:type="paragraph" w:customStyle="1" w:styleId="83">
    <w:name w:val="my正文"/>
    <w:basedOn w:val="1"/>
    <w:qFormat/>
    <w:uiPriority w:val="0"/>
    <w:pPr>
      <w:widowControl/>
      <w:ind w:firstLine="480"/>
    </w:pPr>
    <w:rPr>
      <w:rFonts w:ascii="Calibri" w:hAnsi="Calibri"/>
      <w:lang w:val="zh-CN"/>
    </w:rPr>
  </w:style>
  <w:style w:type="table" w:customStyle="1" w:styleId="84">
    <w:name w:val="网格型3"/>
    <w:basedOn w:val="35"/>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5">
    <w:name w:val="标题 5 字符"/>
    <w:basedOn w:val="37"/>
    <w:link w:val="7"/>
    <w:qFormat/>
    <w:uiPriority w:val="0"/>
    <w:rPr>
      <w:b/>
      <w:bCs/>
      <w:kern w:val="2"/>
      <w:sz w:val="28"/>
      <w:szCs w:val="28"/>
    </w:rPr>
  </w:style>
  <w:style w:type="character" w:customStyle="1" w:styleId="86">
    <w:name w:val="标题 3 字符"/>
    <w:basedOn w:val="37"/>
    <w:link w:val="5"/>
    <w:qFormat/>
    <w:uiPriority w:val="0"/>
    <w:rPr>
      <w:b/>
      <w:bCs/>
      <w:kern w:val="2"/>
      <w:sz w:val="32"/>
      <w:szCs w:val="32"/>
    </w:rPr>
  </w:style>
  <w:style w:type="character" w:customStyle="1" w:styleId="87">
    <w:name w:val="列表段落 字符"/>
    <w:link w:val="48"/>
    <w:qFormat/>
    <w:locked/>
    <w:uiPriority w:val="34"/>
    <w:rPr>
      <w:rFonts w:ascii="Calibri" w:hAnsi="Calibri"/>
      <w:kern w:val="2"/>
      <w:sz w:val="21"/>
      <w:szCs w:val="22"/>
    </w:rPr>
  </w:style>
  <w:style w:type="paragraph" w:customStyle="1" w:styleId="88">
    <w:name w:val="列出段落2"/>
    <w:basedOn w:val="1"/>
    <w:qFormat/>
    <w:uiPriority w:val="99"/>
    <w:pPr>
      <w:ind w:firstLine="420" w:firstLineChars="200"/>
    </w:pPr>
    <w:rPr>
      <w:rFonts w:ascii="Calibri" w:hAnsi="Calibri"/>
      <w:szCs w:val="22"/>
    </w:rPr>
  </w:style>
  <w:style w:type="character" w:customStyle="1" w:styleId="89">
    <w:name w:val="正文文本首行缩进 字符"/>
    <w:basedOn w:val="73"/>
    <w:link w:val="34"/>
    <w:qFormat/>
    <w:uiPriority w:val="0"/>
    <w:rPr>
      <w:kern w:val="2"/>
      <w:sz w:val="21"/>
      <w:szCs w:val="24"/>
    </w:rPr>
  </w:style>
  <w:style w:type="character" w:customStyle="1" w:styleId="90">
    <w:name w:val="标题 7 字符"/>
    <w:basedOn w:val="37"/>
    <w:link w:val="9"/>
    <w:qFormat/>
    <w:uiPriority w:val="0"/>
    <w:rPr>
      <w:b/>
      <w:bCs/>
      <w:kern w:val="2"/>
      <w:sz w:val="24"/>
      <w:szCs w:val="24"/>
    </w:rPr>
  </w:style>
  <w:style w:type="paragraph" w:customStyle="1" w:styleId="91">
    <w:name w:val="*正文"/>
    <w:basedOn w:val="1"/>
    <w:link w:val="92"/>
    <w:qFormat/>
    <w:uiPriority w:val="0"/>
    <w:pPr>
      <w:spacing w:line="360" w:lineRule="auto"/>
      <w:ind w:firstLine="560" w:firstLineChars="200"/>
    </w:pPr>
    <w:rPr>
      <w:rFonts w:eastAsia="仿宋_GB2312"/>
      <w:color w:val="000000"/>
      <w:sz w:val="28"/>
      <w:szCs w:val="28"/>
      <w:lang w:val="zh-CN"/>
    </w:rPr>
  </w:style>
  <w:style w:type="character" w:customStyle="1" w:styleId="92">
    <w:name w:val="*正文 Char"/>
    <w:link w:val="91"/>
    <w:qFormat/>
    <w:uiPriority w:val="0"/>
    <w:rPr>
      <w:rFonts w:eastAsia="仿宋_GB2312"/>
      <w:color w:val="000000"/>
      <w:kern w:val="2"/>
      <w:sz w:val="28"/>
      <w:szCs w:val="28"/>
      <w:lang w:val="zh-CN"/>
    </w:rPr>
  </w:style>
  <w:style w:type="character" w:customStyle="1" w:styleId="93">
    <w:name w:val="标题 6 字符"/>
    <w:basedOn w:val="37"/>
    <w:link w:val="8"/>
    <w:qFormat/>
    <w:uiPriority w:val="0"/>
    <w:rPr>
      <w:b/>
      <w:sz w:val="24"/>
    </w:rPr>
  </w:style>
  <w:style w:type="character" w:customStyle="1" w:styleId="94">
    <w:name w:val="标题 8 字符"/>
    <w:basedOn w:val="37"/>
    <w:link w:val="10"/>
    <w:semiHidden/>
    <w:qFormat/>
    <w:uiPriority w:val="0"/>
    <w:rPr>
      <w:b/>
      <w:sz w:val="24"/>
    </w:rPr>
  </w:style>
  <w:style w:type="character" w:customStyle="1" w:styleId="95">
    <w:name w:val="标题 9 字符"/>
    <w:basedOn w:val="37"/>
    <w:link w:val="11"/>
    <w:semiHidden/>
    <w:qFormat/>
    <w:uiPriority w:val="0"/>
    <w:rPr>
      <w:rFonts w:ascii="Arial" w:hAnsi="Arial" w:eastAsia="黑体" w:cstheme="minorBidi"/>
      <w:kern w:val="2"/>
      <w:sz w:val="21"/>
      <w:szCs w:val="24"/>
    </w:rPr>
  </w:style>
  <w:style w:type="paragraph" w:customStyle="1" w:styleId="96">
    <w:name w:val="表格文字"/>
    <w:next w:val="17"/>
    <w:qFormat/>
    <w:uiPriority w:val="0"/>
    <w:pPr>
      <w:adjustRightInd w:val="0"/>
      <w:spacing w:line="420" w:lineRule="atLeast"/>
      <w:textAlignment w:val="baseline"/>
    </w:pPr>
    <w:rPr>
      <w:rFonts w:ascii="Times New Roman" w:hAnsi="Times New Roman" w:eastAsia="宋体" w:cs="Times New Roman"/>
      <w:lang w:val="en-US" w:eastAsia="zh-CN" w:bidi="ar-SA"/>
    </w:rPr>
  </w:style>
  <w:style w:type="table" w:customStyle="1" w:styleId="97">
    <w:name w:val="网格型2"/>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
    <w:name w:val="_Style 94"/>
    <w:next w:val="1"/>
    <w:qFormat/>
    <w:uiPriority w:val="0"/>
    <w:pPr>
      <w:ind w:left="420" w:leftChars="200"/>
    </w:pPr>
    <w:rPr>
      <w:rFonts w:ascii="Times New Roman" w:hAnsi="Times New Roman" w:eastAsia="宋体" w:cs="Times New Roman"/>
      <w:sz w:val="24"/>
      <w:lang w:val="en-US" w:eastAsia="zh-CN" w:bidi="ar-SA"/>
    </w:rPr>
  </w:style>
  <w:style w:type="character" w:customStyle="1" w:styleId="99">
    <w:name w:val="标题 1 字符"/>
    <w:qFormat/>
    <w:uiPriority w:val="0"/>
    <w:rPr>
      <w:rFonts w:ascii="Calibri" w:hAnsi="Calibri" w:eastAsia="宋体"/>
      <w:b/>
      <w:kern w:val="44"/>
      <w:sz w:val="30"/>
    </w:rPr>
  </w:style>
  <w:style w:type="character" w:customStyle="1" w:styleId="100">
    <w:name w:val="批注框文本 字符"/>
    <w:qFormat/>
    <w:uiPriority w:val="0"/>
    <w:rPr>
      <w:rFonts w:cs="Times New Roman"/>
      <w:kern w:val="2"/>
      <w:sz w:val="18"/>
      <w:szCs w:val="18"/>
    </w:rPr>
  </w:style>
  <w:style w:type="character" w:customStyle="1" w:styleId="101">
    <w:name w:val="批注文字 字符"/>
    <w:qFormat/>
    <w:uiPriority w:val="0"/>
    <w:rPr>
      <w:rFonts w:cs="Times New Roman"/>
      <w:kern w:val="2"/>
      <w:sz w:val="24"/>
      <w:szCs w:val="24"/>
    </w:rPr>
  </w:style>
  <w:style w:type="character" w:customStyle="1" w:styleId="102">
    <w:name w:val="正文缩进 字符"/>
    <w:link w:val="13"/>
    <w:qFormat/>
    <w:locked/>
    <w:uiPriority w:val="0"/>
    <w:rPr>
      <w:kern w:val="2"/>
      <w:sz w:val="21"/>
    </w:rPr>
  </w:style>
  <w:style w:type="character" w:customStyle="1" w:styleId="103">
    <w:name w:val="纯文本 字符1"/>
    <w:semiHidden/>
    <w:qFormat/>
    <w:locked/>
    <w:uiPriority w:val="0"/>
    <w:rPr>
      <w:rFonts w:ascii="宋体" w:hAnsi="Courier New"/>
      <w:kern w:val="2"/>
      <w:sz w:val="21"/>
      <w:szCs w:val="24"/>
      <w:lang w:val="zh-CN" w:eastAsia="zh-CN"/>
    </w:rPr>
  </w:style>
  <w:style w:type="paragraph" w:customStyle="1" w:styleId="104">
    <w:name w:val="_Style 941"/>
    <w:next w:val="1"/>
    <w:qFormat/>
    <w:uiPriority w:val="0"/>
    <w:pPr>
      <w:ind w:left="420" w:leftChars="200"/>
    </w:pPr>
    <w:rPr>
      <w:rFonts w:ascii="Times New Roman" w:hAnsi="Times New Roman" w:eastAsia="宋体" w:cs="Times New Roman"/>
      <w:sz w:val="24"/>
      <w:lang w:val="en-US" w:eastAsia="zh-CN" w:bidi="ar-SA"/>
    </w:rPr>
  </w:style>
  <w:style w:type="paragraph" w:customStyle="1" w:styleId="105">
    <w:name w:val="正文空格"/>
    <w:basedOn w:val="1"/>
    <w:next w:val="1"/>
    <w:qFormat/>
    <w:uiPriority w:val="0"/>
    <w:pPr>
      <w:spacing w:line="400" w:lineRule="exact"/>
      <w:ind w:firstLine="200" w:firstLineChars="200"/>
    </w:pPr>
    <w:rPr>
      <w:rFonts w:asciiTheme="minorHAnsi" w:hAnsiTheme="minorHAnsi" w:eastAsiaTheme="minorEastAsia" w:cstheme="minorBidi"/>
      <w:szCs w:val="22"/>
    </w:rPr>
  </w:style>
  <w:style w:type="paragraph" w:customStyle="1" w:styleId="106">
    <w:name w:val="纯文本11"/>
    <w:basedOn w:val="1"/>
    <w:qFormat/>
    <w:uiPriority w:val="0"/>
    <w:rPr>
      <w:rFonts w:ascii="宋体" w:hAnsi="Courier New"/>
    </w:rPr>
  </w:style>
  <w:style w:type="paragraph" w:customStyle="1" w:styleId="10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8">
    <w:name w:val="font11"/>
    <w:basedOn w:val="37"/>
    <w:qFormat/>
    <w:uiPriority w:val="0"/>
    <w:rPr>
      <w:rFonts w:hint="eastAsia" w:ascii="宋体" w:hAnsi="宋体" w:eastAsia="宋体" w:cs="宋体"/>
      <w:color w:val="000000"/>
      <w:sz w:val="21"/>
      <w:szCs w:val="21"/>
      <w:u w:val="none"/>
    </w:rPr>
  </w:style>
  <w:style w:type="character" w:customStyle="1" w:styleId="109">
    <w:name w:val="font41"/>
    <w:basedOn w:val="37"/>
    <w:qFormat/>
    <w:uiPriority w:val="0"/>
    <w:rPr>
      <w:rFonts w:hint="eastAsia" w:ascii="宋体" w:hAnsi="宋体" w:eastAsia="宋体" w:cs="宋体"/>
      <w:color w:val="000000"/>
      <w:sz w:val="21"/>
      <w:szCs w:val="21"/>
      <w:u w:val="none"/>
    </w:rPr>
  </w:style>
  <w:style w:type="character" w:customStyle="1" w:styleId="110">
    <w:name w:val="标题 4 字符1"/>
    <w:basedOn w:val="37"/>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2A60CD-3195-4BD1-A8F9-C635EE20850D}">
  <ds:schemaRefs/>
</ds:datastoreItem>
</file>

<file path=docProps/app.xml><?xml version="1.0" encoding="utf-8"?>
<Properties xmlns="http://schemas.openxmlformats.org/officeDocument/2006/extended-properties" xmlns:vt="http://schemas.openxmlformats.org/officeDocument/2006/docPropsVTypes">
  <Template>Normal</Template>
  <Pages>98</Pages>
  <Words>43377</Words>
  <Characters>49423</Characters>
  <Lines>394</Lines>
  <Paragraphs>111</Paragraphs>
  <TotalTime>31</TotalTime>
  <ScaleCrop>false</ScaleCrop>
  <LinksUpToDate>false</LinksUpToDate>
  <CharactersWithSpaces>51520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2022-03-30T03:11:00Z</dcterms:created>
  <dc:creator>Administrator</dc:creator>
  <cp:lastModifiedBy>Miss Sherlock</cp:lastModifiedBy>
  <cp:lastPrinted>2022-04-19T08:22:00Z</cp:lastPrinted>
  <dcterms:modified xsi:type="dcterms:W3CDTF">2022-08-09T08:08:04Z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1AE2548F55E64FE19E0E833EEA025C85</vt:lpwstr>
  </property>
</Properties>
</file>