
<file path=[Content_Types].xml><?xml version="1.0" encoding="utf-8"?>
<Types xmlns="http://schemas.openxmlformats.org/package/2006/content-types">
  <Default ContentType="image/jpeg" Extension="jpeg"/>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 xml:space="preserve"> </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s="宋体"/>
          <w:b/>
          <w:color w:val="auto"/>
          <w:kern w:val="0"/>
          <w:sz w:val="52"/>
          <w:szCs w:val="5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台州市政府采购招标文件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采购编号：台财采确</w:t>
      </w:r>
      <w:r>
        <w:rPr>
          <w:rFonts w:hint="eastAsia" w:ascii="宋体" w:hAnsi="宋体" w:cs="宋体"/>
          <w:color w:val="auto"/>
          <w:kern w:val="0"/>
          <w:sz w:val="28"/>
          <w:szCs w:val="28"/>
          <w:highlight w:val="none"/>
          <w:lang w:eastAsia="zh-CN"/>
        </w:rPr>
        <w:t>临</w:t>
      </w:r>
      <w:r>
        <w:rPr>
          <w:rFonts w:hint="eastAsia" w:ascii="宋体" w:hAnsi="宋体" w:cs="宋体"/>
          <w:color w:val="auto"/>
          <w:kern w:val="0"/>
          <w:sz w:val="28"/>
          <w:szCs w:val="28"/>
          <w:highlight w:val="none"/>
        </w:rPr>
        <w:t>[2022]</w:t>
      </w:r>
      <w:r>
        <w:rPr>
          <w:rFonts w:hint="eastAsia" w:ascii="宋体" w:hAnsi="宋体" w:cs="宋体"/>
          <w:color w:val="auto"/>
          <w:kern w:val="0"/>
          <w:sz w:val="28"/>
          <w:szCs w:val="28"/>
          <w:highlight w:val="none"/>
          <w:lang w:val="en-US" w:eastAsia="zh-CN"/>
        </w:rPr>
        <w:t>9333</w:t>
      </w:r>
      <w:r>
        <w:rPr>
          <w:rFonts w:hint="eastAsia" w:ascii="宋体" w:hAnsi="宋体" w:cs="宋体"/>
          <w:color w:val="auto"/>
          <w:kern w:val="0"/>
          <w:sz w:val="28"/>
          <w:szCs w:val="28"/>
          <w:highlight w:val="none"/>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jc w:val="center"/>
        <w:rPr>
          <w:rFonts w:ascii="宋体" w:hAnsi="宋体" w:cs="宋体"/>
          <w:b/>
          <w:color w:val="auto"/>
          <w:kern w:val="0"/>
          <w:sz w:val="32"/>
          <w:highlight w:val="none"/>
        </w:rPr>
      </w:pPr>
      <w:r>
        <w:rPr>
          <w:rFonts w:hint="eastAsia" w:ascii="宋体" w:hAnsi="宋体" w:cs="宋体"/>
          <w:b/>
          <w:color w:val="auto"/>
          <w:sz w:val="36"/>
          <w:highlight w:val="none"/>
        </w:rPr>
        <w:t>（线上电子招投标）</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color w:val="auto"/>
          <w:kern w:val="0"/>
          <w:sz w:val="24"/>
          <w:highlight w:val="none"/>
        </w:rPr>
      </w:pPr>
    </w:p>
    <w:p>
      <w:pPr>
        <w:autoSpaceDE w:val="0"/>
        <w:autoSpaceDN w:val="0"/>
        <w:adjustRightInd w:val="0"/>
        <w:spacing w:line="360" w:lineRule="auto"/>
        <w:rPr>
          <w:rFonts w:ascii="宋体" w:hAnsi="宋体" w:cs="宋体"/>
          <w:b/>
          <w:color w:val="auto"/>
          <w:kern w:val="0"/>
          <w:sz w:val="52"/>
          <w:szCs w:val="52"/>
          <w:highlight w:val="none"/>
        </w:rPr>
      </w:pPr>
    </w:p>
    <w:p>
      <w:pPr>
        <w:autoSpaceDE w:val="0"/>
        <w:autoSpaceDN w:val="0"/>
        <w:adjustRightInd w:val="0"/>
        <w:spacing w:line="360" w:lineRule="auto"/>
        <w:ind w:firstLine="1797" w:firstLineChars="642"/>
        <w:jc w:val="left"/>
        <w:rPr>
          <w:rFonts w:ascii="宋体" w:hAnsi="宋体" w:cs="宋体"/>
          <w:color w:val="auto"/>
          <w:kern w:val="0"/>
          <w:sz w:val="28"/>
          <w:highlight w:val="none"/>
        </w:rPr>
      </w:pPr>
    </w:p>
    <w:p>
      <w:pPr>
        <w:autoSpaceDE w:val="0"/>
        <w:autoSpaceDN w:val="0"/>
        <w:adjustRightInd w:val="0"/>
        <w:spacing w:line="360" w:lineRule="auto"/>
        <w:jc w:val="left"/>
        <w:rPr>
          <w:rFonts w:ascii="宋体" w:hAnsi="宋体" w:cs="宋体"/>
          <w:color w:val="auto"/>
          <w:kern w:val="0"/>
          <w:sz w:val="28"/>
          <w:highlight w:val="none"/>
        </w:rPr>
      </w:pPr>
    </w:p>
    <w:p>
      <w:pPr>
        <w:autoSpaceDE w:val="0"/>
        <w:autoSpaceDN w:val="0"/>
        <w:adjustRightInd w:val="0"/>
        <w:spacing w:line="360" w:lineRule="auto"/>
        <w:jc w:val="left"/>
        <w:rPr>
          <w:rFonts w:ascii="宋体" w:hAnsi="宋体" w:cs="宋体"/>
          <w:color w:val="auto"/>
          <w:kern w:val="0"/>
          <w:sz w:val="28"/>
          <w:highlight w:val="none"/>
        </w:rPr>
      </w:pPr>
    </w:p>
    <w:p>
      <w:pPr>
        <w:autoSpaceDE w:val="0"/>
        <w:autoSpaceDN w:val="0"/>
        <w:adjustRightInd w:val="0"/>
        <w:spacing w:line="360" w:lineRule="auto"/>
        <w:jc w:val="left"/>
        <w:rPr>
          <w:rFonts w:ascii="宋体" w:hAnsi="宋体" w:cs="宋体"/>
          <w:color w:val="auto"/>
          <w:kern w:val="0"/>
          <w:sz w:val="28"/>
          <w:highlight w:val="none"/>
        </w:rPr>
      </w:pPr>
    </w:p>
    <w:p>
      <w:pPr>
        <w:autoSpaceDE w:val="0"/>
        <w:autoSpaceDN w:val="0"/>
        <w:adjustRightInd w:val="0"/>
        <w:spacing w:line="360" w:lineRule="auto"/>
        <w:ind w:right="-197" w:rightChars="-94"/>
        <w:jc w:val="center"/>
        <w:rPr>
          <w:rFonts w:ascii="宋体" w:hAnsi="宋体" w:cs="宋体"/>
          <w:color w:val="auto"/>
          <w:kern w:val="0"/>
          <w:sz w:val="28"/>
          <w:highlight w:val="none"/>
        </w:rPr>
      </w:pPr>
      <w:r>
        <w:rPr>
          <w:rFonts w:hint="eastAsia" w:ascii="宋体" w:hAnsi="宋体" w:cs="宋体"/>
          <w:color w:val="auto"/>
          <w:kern w:val="0"/>
          <w:sz w:val="28"/>
          <w:highlight w:val="none"/>
        </w:rPr>
        <w:t>采购项目：台州市公共视频监控服务（2022年）项目</w:t>
      </w:r>
    </w:p>
    <w:p>
      <w:pPr>
        <w:autoSpaceDE w:val="0"/>
        <w:autoSpaceDN w:val="0"/>
        <w:adjustRightInd w:val="0"/>
        <w:spacing w:line="360" w:lineRule="auto"/>
        <w:jc w:val="center"/>
        <w:rPr>
          <w:rFonts w:ascii="宋体" w:hAnsi="宋体" w:cs="宋体"/>
          <w:color w:val="auto"/>
          <w:kern w:val="0"/>
          <w:sz w:val="28"/>
          <w:highlight w:val="none"/>
        </w:rPr>
      </w:pPr>
      <w:r>
        <w:rPr>
          <w:rFonts w:hint="eastAsia" w:ascii="宋体" w:hAnsi="宋体" w:cs="宋体"/>
          <w:color w:val="auto"/>
          <w:kern w:val="0"/>
          <w:sz w:val="28"/>
          <w:highlight w:val="none"/>
        </w:rPr>
        <w:t>采购人：台州市公安局（盖章）</w:t>
      </w:r>
    </w:p>
    <w:p>
      <w:pPr>
        <w:autoSpaceDE w:val="0"/>
        <w:autoSpaceDN w:val="0"/>
        <w:adjustRightInd w:val="0"/>
        <w:spacing w:line="360" w:lineRule="auto"/>
        <w:rPr>
          <w:rFonts w:ascii="宋体" w:hAnsi="宋体" w:cs="宋体"/>
          <w:color w:val="auto"/>
          <w:kern w:val="0"/>
          <w:sz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color w:val="auto"/>
          <w:kern w:val="0"/>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hAnsi="宋体" w:cs="宋体"/>
          <w:color w:val="auto"/>
          <w:kern w:val="0"/>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hAnsi="宋体" w:cs="宋体"/>
          <w:color w:val="auto"/>
          <w:kern w:val="0"/>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浙江百和工程咨询有限公司（盖章）</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jc w:val="center"/>
        <w:rPr>
          <w:rFonts w:ascii="宋体" w:hAnsi="宋体" w:cs="宋体"/>
          <w:color w:val="auto"/>
          <w:kern w:val="0"/>
          <w:sz w:val="28"/>
          <w:szCs w:val="28"/>
          <w:highlight w:val="none"/>
        </w:rPr>
      </w:pPr>
      <w:r>
        <w:rPr>
          <w:rFonts w:hint="eastAsia" w:ascii="宋体" w:hAnsi="宋体" w:cs="宋体"/>
          <w:color w:val="auto"/>
          <w:sz w:val="28"/>
          <w:szCs w:val="28"/>
          <w:highlight w:val="none"/>
        </w:rPr>
        <w:t>2022</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11</w:t>
      </w:r>
      <w:r>
        <w:rPr>
          <w:rFonts w:hint="eastAsia" w:ascii="宋体" w:hAnsi="宋体" w:cs="宋体"/>
          <w:color w:val="auto"/>
          <w:kern w:val="0"/>
          <w:sz w:val="28"/>
          <w:szCs w:val="28"/>
          <w:highlight w:val="none"/>
        </w:rPr>
        <w:t>月</w:t>
      </w:r>
    </w:p>
    <w:p>
      <w:pPr>
        <w:spacing w:line="360" w:lineRule="auto"/>
        <w:rPr>
          <w:rFonts w:ascii="宋体" w:hAnsi="宋体" w:cs="宋体"/>
          <w:color w:val="auto"/>
          <w:highlight w:val="none"/>
        </w:rPr>
      </w:pPr>
    </w:p>
    <w:p>
      <w:pPr>
        <w:spacing w:line="360" w:lineRule="auto"/>
        <w:jc w:val="center"/>
        <w:rPr>
          <w:rFonts w:ascii="宋体" w:hAnsi="宋体" w:cs="宋体"/>
          <w:b/>
          <w:bCs/>
          <w:color w:val="auto"/>
          <w:sz w:val="36"/>
          <w:szCs w:val="36"/>
          <w:highlight w:val="none"/>
        </w:rPr>
      </w:pPr>
    </w:p>
    <w:p>
      <w:pPr>
        <w:spacing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cs="宋体"/>
          <w:b/>
          <w:color w:val="auto"/>
          <w:sz w:val="36"/>
          <w:highlight w:val="none"/>
        </w:rPr>
      </w:pPr>
    </w:p>
    <w:p>
      <w:pPr>
        <w:spacing w:line="360" w:lineRule="auto"/>
        <w:rPr>
          <w:rFonts w:ascii="宋体" w:hAnsi="宋体" w:cs="宋体"/>
          <w:color w:val="auto"/>
          <w:sz w:val="28"/>
          <w:szCs w:val="28"/>
          <w:highlight w:val="none"/>
        </w:rPr>
      </w:pPr>
    </w:p>
    <w:p>
      <w:pPr>
        <w:numPr>
          <w:ilvl w:val="0"/>
          <w:numId w:val="2"/>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公开招标采购公告</w:t>
      </w:r>
    </w:p>
    <w:p>
      <w:pPr>
        <w:numPr>
          <w:ilvl w:val="0"/>
          <w:numId w:val="2"/>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投标人须知</w:t>
      </w:r>
    </w:p>
    <w:p>
      <w:pPr>
        <w:numPr>
          <w:ilvl w:val="0"/>
          <w:numId w:val="2"/>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评标办法及评分标准</w:t>
      </w:r>
    </w:p>
    <w:p>
      <w:pPr>
        <w:numPr>
          <w:ilvl w:val="0"/>
          <w:numId w:val="2"/>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公开招标需求</w:t>
      </w:r>
    </w:p>
    <w:p>
      <w:pPr>
        <w:numPr>
          <w:ilvl w:val="0"/>
          <w:numId w:val="2"/>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政府采购合同主要条款指引</w:t>
      </w:r>
    </w:p>
    <w:p>
      <w:pPr>
        <w:numPr>
          <w:ilvl w:val="0"/>
          <w:numId w:val="2"/>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投标文件格式附件</w:t>
      </w: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kern w:val="0"/>
          <w:sz w:val="36"/>
          <w:szCs w:val="36"/>
          <w:highlight w:val="none"/>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tabs>
          <w:tab w:val="left" w:pos="180"/>
          <w:tab w:val="left" w:pos="360"/>
          <w:tab w:val="left" w:pos="540"/>
          <w:tab w:val="left" w:pos="8280"/>
        </w:tabs>
        <w:autoSpaceDE w:val="0"/>
        <w:autoSpaceDN w:val="0"/>
        <w:adjustRightInd w:val="0"/>
        <w:spacing w:after="156" w:afterLines="50" w:line="360" w:lineRule="auto"/>
        <w:ind w:right="23"/>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第一章  公开</w:t>
      </w:r>
      <w:r>
        <w:rPr>
          <w:rFonts w:hint="eastAsia" w:ascii="宋体" w:hAnsi="宋体" w:cs="宋体"/>
          <w:b/>
          <w:color w:val="auto"/>
          <w:sz w:val="36"/>
          <w:szCs w:val="36"/>
          <w:highlight w:val="none"/>
        </w:rPr>
        <w:t>招标采购公告</w:t>
      </w:r>
    </w:p>
    <w:p>
      <w:pPr>
        <w:tabs>
          <w:tab w:val="left" w:pos="180"/>
          <w:tab w:val="left" w:pos="360"/>
          <w:tab w:val="left" w:pos="540"/>
          <w:tab w:val="left" w:pos="8280"/>
        </w:tabs>
        <w:autoSpaceDE w:val="0"/>
        <w:autoSpaceDN w:val="0"/>
        <w:adjustRightInd w:val="0"/>
        <w:spacing w:line="360" w:lineRule="auto"/>
        <w:ind w:right="23" w:firstLine="539"/>
        <w:jc w:val="left"/>
        <w:rPr>
          <w:rFonts w:ascii="宋体" w:hAnsi="宋体" w:cs="宋体"/>
          <w:color w:val="auto"/>
          <w:kern w:val="0"/>
          <w:sz w:val="24"/>
          <w:highlight w:val="none"/>
        </w:rPr>
      </w:pPr>
      <w:r>
        <w:rPr>
          <w:rFonts w:hint="eastAsia" w:ascii="宋体" w:hAnsi="宋体" w:cs="宋体"/>
          <w:color w:val="auto"/>
          <w:kern w:val="0"/>
          <w:sz w:val="24"/>
          <w:highlight w:val="none"/>
        </w:rPr>
        <w:t>根据《中华人民共和国政府采购法》、《中华人民共和国政府采购法实施条例》和财政部令第87号《政府采购货物和服务招标投标管理办法》等有关规定, 受采购人委托，现就</w:t>
      </w:r>
      <w:r>
        <w:rPr>
          <w:rFonts w:hint="eastAsia" w:ascii="宋体" w:hAnsi="宋体" w:cs="宋体"/>
          <w:color w:val="auto"/>
          <w:sz w:val="24"/>
          <w:highlight w:val="none"/>
          <w:u w:val="single"/>
        </w:rPr>
        <w:t>台州市公安局</w:t>
      </w:r>
      <w:r>
        <w:rPr>
          <w:rFonts w:hint="eastAsia" w:ascii="宋体" w:hAnsi="宋体" w:cs="宋体"/>
          <w:color w:val="auto"/>
          <w:sz w:val="24"/>
          <w:highlight w:val="none"/>
        </w:rPr>
        <w:t>（单位名称）</w:t>
      </w:r>
      <w:r>
        <w:rPr>
          <w:rFonts w:hint="eastAsia" w:ascii="宋体" w:hAnsi="宋体" w:cs="宋体"/>
          <w:color w:val="auto"/>
          <w:kern w:val="0"/>
          <w:sz w:val="24"/>
          <w:highlight w:val="none"/>
        </w:rPr>
        <w:t>的</w:t>
      </w:r>
      <w:r>
        <w:rPr>
          <w:rFonts w:hint="eastAsia" w:ascii="宋体" w:hAnsi="宋体" w:cs="宋体"/>
          <w:color w:val="auto"/>
          <w:sz w:val="24"/>
          <w:highlight w:val="none"/>
          <w:u w:val="single"/>
        </w:rPr>
        <w:t>台州市公共视频监控服务（2022年）项目</w:t>
      </w:r>
      <w:r>
        <w:rPr>
          <w:rFonts w:hint="eastAsia" w:ascii="宋体" w:hAnsi="宋体" w:cs="宋体"/>
          <w:color w:val="auto"/>
          <w:sz w:val="24"/>
          <w:highlight w:val="none"/>
        </w:rPr>
        <w:t>（项目名称）</w:t>
      </w:r>
      <w:r>
        <w:rPr>
          <w:rFonts w:hint="eastAsia" w:ascii="宋体" w:hAnsi="宋体" w:cs="宋体"/>
          <w:color w:val="auto"/>
          <w:kern w:val="0"/>
          <w:sz w:val="24"/>
          <w:highlight w:val="none"/>
        </w:rPr>
        <w:t>进行公开招标采购，欢迎合格供应商前来投标。</w:t>
      </w:r>
    </w:p>
    <w:p>
      <w:pPr>
        <w:numPr>
          <w:ilvl w:val="0"/>
          <w:numId w:val="3"/>
        </w:numPr>
        <w:tabs>
          <w:tab w:val="left" w:pos="180"/>
          <w:tab w:val="left" w:pos="360"/>
          <w:tab w:val="left" w:pos="540"/>
          <w:tab w:val="left" w:pos="8280"/>
        </w:tabs>
        <w:autoSpaceDE w:val="0"/>
        <w:autoSpaceDN w:val="0"/>
        <w:adjustRightInd w:val="0"/>
        <w:spacing w:line="360" w:lineRule="auto"/>
        <w:ind w:left="539" w:right="23"/>
        <w:jc w:val="left"/>
        <w:rPr>
          <w:rFonts w:ascii="宋体" w:hAnsi="宋体" w:cs="宋体"/>
          <w:b/>
          <w:color w:val="auto"/>
          <w:kern w:val="0"/>
          <w:sz w:val="24"/>
          <w:highlight w:val="none"/>
        </w:rPr>
      </w:pPr>
      <w:r>
        <w:rPr>
          <w:rFonts w:hint="eastAsia" w:ascii="宋体" w:hAnsi="宋体" w:cs="宋体"/>
          <w:b/>
          <w:color w:val="auto"/>
          <w:kern w:val="0"/>
          <w:sz w:val="24"/>
          <w:highlight w:val="none"/>
        </w:rPr>
        <w:t>项目编号：采购编号：台财采确临[2022]9333号</w:t>
      </w:r>
    </w:p>
    <w:tbl>
      <w:tblPr>
        <w:tblStyle w:val="35"/>
        <w:tblpPr w:leftFromText="180" w:rightFromText="180" w:vertAnchor="text" w:horzAnchor="page" w:tblpX="1577" w:tblpY="452"/>
        <w:tblOverlap w:val="never"/>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734"/>
        <w:gridCol w:w="906"/>
        <w:gridCol w:w="624"/>
        <w:gridCol w:w="684"/>
        <w:gridCol w:w="1516"/>
        <w:gridCol w:w="145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96"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标段号</w:t>
            </w:r>
          </w:p>
        </w:tc>
        <w:tc>
          <w:tcPr>
            <w:tcW w:w="1734" w:type="dxa"/>
            <w:vAlign w:val="center"/>
          </w:tcPr>
          <w:p>
            <w:pPr>
              <w:tabs>
                <w:tab w:val="left" w:pos="8280"/>
              </w:tabs>
              <w:autoSpaceDE w:val="0"/>
              <w:autoSpaceDN w:val="0"/>
              <w:adjustRightInd w:val="0"/>
              <w:spacing w:line="360" w:lineRule="auto"/>
              <w:ind w:right="25" w:firstLine="120" w:firstLineChars="50"/>
              <w:jc w:val="center"/>
              <w:rPr>
                <w:rFonts w:ascii="宋体" w:hAnsi="宋体" w:cs="宋体"/>
                <w:b/>
                <w:color w:val="auto"/>
                <w:sz w:val="24"/>
                <w:highlight w:val="none"/>
              </w:rPr>
            </w:pPr>
            <w:r>
              <w:rPr>
                <w:rFonts w:hint="eastAsia" w:ascii="宋体" w:hAnsi="宋体" w:cs="宋体"/>
                <w:b/>
                <w:color w:val="auto"/>
                <w:sz w:val="24"/>
                <w:highlight w:val="none"/>
              </w:rPr>
              <w:t>采购内容</w:t>
            </w:r>
          </w:p>
        </w:tc>
        <w:tc>
          <w:tcPr>
            <w:tcW w:w="906"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具体服务内容</w:t>
            </w:r>
          </w:p>
        </w:tc>
        <w:tc>
          <w:tcPr>
            <w:tcW w:w="624"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684"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1516" w:type="dxa"/>
            <w:vAlign w:val="center"/>
          </w:tcPr>
          <w:p>
            <w:pPr>
              <w:tabs>
                <w:tab w:val="left" w:pos="8280"/>
              </w:tabs>
              <w:autoSpaceDE w:val="0"/>
              <w:autoSpaceDN w:val="0"/>
              <w:adjustRightInd w:val="0"/>
              <w:ind w:left="1" w:leftChars="-95" w:right="25" w:hanging="200" w:hangingChars="83"/>
              <w:jc w:val="center"/>
              <w:rPr>
                <w:rFonts w:ascii="宋体" w:hAnsi="宋体" w:cs="宋体"/>
                <w:b/>
                <w:color w:val="auto"/>
                <w:sz w:val="24"/>
                <w:highlight w:val="none"/>
              </w:rPr>
            </w:pPr>
            <w:r>
              <w:rPr>
                <w:rFonts w:hint="eastAsia" w:ascii="宋体" w:hAnsi="宋体" w:cs="宋体"/>
                <w:b/>
                <w:color w:val="auto"/>
                <w:sz w:val="24"/>
                <w:highlight w:val="none"/>
              </w:rPr>
              <w:t>预算</w:t>
            </w:r>
          </w:p>
          <w:p>
            <w:pPr>
              <w:tabs>
                <w:tab w:val="left" w:pos="8280"/>
              </w:tabs>
              <w:autoSpaceDE w:val="0"/>
              <w:autoSpaceDN w:val="0"/>
              <w:adjustRightInd w:val="0"/>
              <w:ind w:left="1" w:leftChars="-95" w:right="25" w:hanging="200"/>
              <w:jc w:val="center"/>
              <w:rPr>
                <w:rFonts w:ascii="宋体" w:hAnsi="宋体" w:cs="宋体"/>
                <w:b/>
                <w:color w:val="auto"/>
                <w:sz w:val="24"/>
                <w:highlight w:val="none"/>
              </w:rPr>
            </w:pPr>
            <w:r>
              <w:rPr>
                <w:rFonts w:hint="eastAsia" w:ascii="宋体" w:hAnsi="宋体" w:cs="宋体"/>
                <w:b/>
                <w:color w:val="auto"/>
                <w:sz w:val="24"/>
                <w:highlight w:val="none"/>
              </w:rPr>
              <w:t>（万元）</w:t>
            </w:r>
          </w:p>
        </w:tc>
        <w:tc>
          <w:tcPr>
            <w:tcW w:w="1450" w:type="dxa"/>
            <w:vAlign w:val="center"/>
          </w:tcPr>
          <w:p>
            <w:pPr>
              <w:tabs>
                <w:tab w:val="left" w:pos="8280"/>
              </w:tabs>
              <w:autoSpaceDE w:val="0"/>
              <w:autoSpaceDN w:val="0"/>
              <w:adjustRightInd w:val="0"/>
              <w:ind w:left="-1" w:right="25"/>
              <w:jc w:val="center"/>
              <w:rPr>
                <w:rFonts w:ascii="宋体" w:hAnsi="宋体" w:cs="宋体"/>
                <w:b/>
                <w:color w:val="auto"/>
                <w:sz w:val="24"/>
                <w:highlight w:val="none"/>
              </w:rPr>
            </w:pPr>
            <w:r>
              <w:rPr>
                <w:rFonts w:hint="eastAsia" w:ascii="宋体" w:hAnsi="宋体" w:cs="宋体"/>
                <w:b/>
                <w:color w:val="auto"/>
                <w:sz w:val="24"/>
                <w:highlight w:val="none"/>
              </w:rPr>
              <w:t>最高限价（万元）</w:t>
            </w:r>
          </w:p>
        </w:tc>
        <w:tc>
          <w:tcPr>
            <w:tcW w:w="1640" w:type="dxa"/>
            <w:vAlign w:val="center"/>
          </w:tcPr>
          <w:p>
            <w:pPr>
              <w:tabs>
                <w:tab w:val="left" w:pos="8280"/>
              </w:tabs>
              <w:autoSpaceDE w:val="0"/>
              <w:autoSpaceDN w:val="0"/>
              <w:adjustRightInd w:val="0"/>
              <w:spacing w:line="360" w:lineRule="auto"/>
              <w:ind w:right="25"/>
              <w:jc w:val="center"/>
              <w:rPr>
                <w:rFonts w:ascii="宋体" w:hAnsi="宋体" w:cs="宋体"/>
                <w:color w:val="auto"/>
                <w:sz w:val="24"/>
                <w:szCs w:val="21"/>
                <w:highlight w:val="none"/>
              </w:rPr>
            </w:pPr>
            <w:r>
              <w:rPr>
                <w:rFonts w:hint="eastAsia" w:ascii="宋体" w:hAnsi="宋体" w:cs="宋体"/>
                <w:color w:val="auto"/>
                <w:sz w:val="24"/>
                <w:szCs w:val="21"/>
                <w:highlight w:val="none"/>
              </w:rPr>
              <w:t>交付期及服务期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796" w:type="dxa"/>
            <w:vAlign w:val="center"/>
          </w:tcPr>
          <w:p>
            <w:pPr>
              <w:tabs>
                <w:tab w:val="left" w:pos="8280"/>
              </w:tabs>
              <w:autoSpaceDE w:val="0"/>
              <w:autoSpaceDN w:val="0"/>
              <w:adjustRightInd w:val="0"/>
              <w:spacing w:line="360" w:lineRule="auto"/>
              <w:ind w:right="25"/>
              <w:rPr>
                <w:rFonts w:ascii="宋体" w:hAnsi="宋体" w:cs="宋体"/>
                <w:color w:val="auto"/>
                <w:sz w:val="24"/>
                <w:highlight w:val="none"/>
              </w:rPr>
            </w:pPr>
            <w:r>
              <w:rPr>
                <w:rFonts w:hint="eastAsia" w:ascii="宋体" w:hAnsi="宋体" w:cs="宋体"/>
                <w:color w:val="auto"/>
                <w:sz w:val="24"/>
                <w:highlight w:val="none"/>
              </w:rPr>
              <w:t>1</w:t>
            </w:r>
          </w:p>
        </w:tc>
        <w:tc>
          <w:tcPr>
            <w:tcW w:w="173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台州市公共视频监控服务（2022年）项目</w:t>
            </w:r>
          </w:p>
        </w:tc>
        <w:tc>
          <w:tcPr>
            <w:tcW w:w="90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详见公开招标需求</w:t>
            </w:r>
          </w:p>
        </w:tc>
        <w:tc>
          <w:tcPr>
            <w:tcW w:w="62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68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批</w:t>
            </w:r>
          </w:p>
        </w:tc>
        <w:tc>
          <w:tcPr>
            <w:tcW w:w="1516" w:type="dxa"/>
            <w:vAlign w:val="center"/>
          </w:tcPr>
          <w:p>
            <w:pPr>
              <w:tabs>
                <w:tab w:val="left" w:pos="8280"/>
              </w:tabs>
              <w:autoSpaceDE w:val="0"/>
              <w:autoSpaceDN w:val="0"/>
              <w:adjustRightInd w:val="0"/>
              <w:ind w:right="25"/>
              <w:jc w:val="center"/>
              <w:rPr>
                <w:rFonts w:ascii="宋体" w:hAnsi="宋体" w:cs="宋体"/>
                <w:color w:val="auto"/>
                <w:sz w:val="24"/>
                <w:highlight w:val="none"/>
              </w:rPr>
            </w:pPr>
            <w:r>
              <w:rPr>
                <w:rFonts w:hint="eastAsia" w:ascii="宋体" w:hAnsi="宋体" w:cs="宋体"/>
                <w:bCs/>
                <w:color w:val="auto"/>
                <w:sz w:val="24"/>
                <w:highlight w:val="none"/>
              </w:rPr>
              <w:t>3728.602152</w:t>
            </w:r>
          </w:p>
        </w:tc>
        <w:tc>
          <w:tcPr>
            <w:tcW w:w="1450" w:type="dxa"/>
            <w:vAlign w:val="center"/>
          </w:tcPr>
          <w:p>
            <w:pPr>
              <w:tabs>
                <w:tab w:val="left" w:pos="8280"/>
              </w:tabs>
              <w:autoSpaceDE w:val="0"/>
              <w:autoSpaceDN w:val="0"/>
              <w:adjustRightInd w:val="0"/>
              <w:spacing w:line="360" w:lineRule="auto"/>
              <w:ind w:right="25"/>
              <w:jc w:val="center"/>
              <w:rPr>
                <w:rFonts w:ascii="宋体" w:hAnsi="宋体" w:cs="宋体"/>
                <w:color w:val="auto"/>
                <w:sz w:val="24"/>
                <w:highlight w:val="none"/>
              </w:rPr>
            </w:pPr>
            <w:r>
              <w:rPr>
                <w:rFonts w:hint="eastAsia" w:ascii="宋体" w:hAnsi="宋体" w:cs="宋体"/>
                <w:bCs/>
                <w:color w:val="auto"/>
                <w:sz w:val="24"/>
                <w:highlight w:val="none"/>
              </w:rPr>
              <w:t>3728.602152</w:t>
            </w:r>
          </w:p>
        </w:tc>
        <w:tc>
          <w:tcPr>
            <w:tcW w:w="1640" w:type="dxa"/>
            <w:vAlign w:val="center"/>
          </w:tcPr>
          <w:p>
            <w:pPr>
              <w:rPr>
                <w:rFonts w:ascii="宋体" w:hAnsi="宋体" w:cs="宋体"/>
                <w:color w:val="auto"/>
                <w:sz w:val="24"/>
                <w:szCs w:val="21"/>
                <w:highlight w:val="none"/>
              </w:rPr>
            </w:pPr>
            <w:r>
              <w:rPr>
                <w:rFonts w:hint="eastAsia" w:ascii="宋体" w:hAnsi="宋体" w:cs="宋体"/>
                <w:color w:val="auto"/>
                <w:sz w:val="24"/>
                <w:szCs w:val="21"/>
                <w:highlight w:val="none"/>
              </w:rPr>
              <w:t>2023年7月31日前完成所有设备上线任务并通过初验，试运行三个月后通过准入验收，</w:t>
            </w:r>
            <w:r>
              <w:rPr>
                <w:rFonts w:ascii="宋体" w:hAnsi="宋体" w:cs="宋体"/>
                <w:color w:val="auto"/>
                <w:sz w:val="24"/>
                <w:szCs w:val="21"/>
                <w:highlight w:val="none"/>
              </w:rPr>
              <w:t>36</w:t>
            </w:r>
            <w:r>
              <w:rPr>
                <w:rFonts w:hint="eastAsia" w:ascii="宋体" w:hAnsi="宋体" w:cs="宋体"/>
                <w:color w:val="auto"/>
                <w:sz w:val="24"/>
                <w:szCs w:val="21"/>
                <w:highlight w:val="none"/>
              </w:rPr>
              <w:t>个月运维服务期结束后完成终验，详见公开招标需求</w:t>
            </w:r>
          </w:p>
        </w:tc>
      </w:tr>
    </w:tbl>
    <w:p>
      <w:pPr>
        <w:tabs>
          <w:tab w:val="left" w:pos="180"/>
          <w:tab w:val="left" w:pos="360"/>
          <w:tab w:val="left" w:pos="540"/>
          <w:tab w:val="left" w:pos="8280"/>
        </w:tabs>
        <w:autoSpaceDE w:val="0"/>
        <w:autoSpaceDN w:val="0"/>
        <w:adjustRightInd w:val="0"/>
        <w:spacing w:line="360" w:lineRule="auto"/>
        <w:ind w:right="23" w:firstLine="482" w:firstLineChars="200"/>
        <w:jc w:val="left"/>
        <w:rPr>
          <w:rFonts w:ascii="宋体" w:hAnsi="宋体" w:cs="宋体"/>
          <w:color w:val="auto"/>
          <w:sz w:val="24"/>
          <w:highlight w:val="none"/>
        </w:rPr>
      </w:pPr>
      <w:r>
        <w:rPr>
          <w:rFonts w:hint="eastAsia" w:ascii="宋体" w:hAnsi="宋体" w:cs="宋体"/>
          <w:b/>
          <w:color w:val="auto"/>
          <w:kern w:val="0"/>
          <w:sz w:val="24"/>
          <w:highlight w:val="none"/>
        </w:rPr>
        <w:t>二、招标项目概况：</w:t>
      </w:r>
    </w:p>
    <w:p>
      <w:pPr>
        <w:tabs>
          <w:tab w:val="left" w:pos="180"/>
          <w:tab w:val="left" w:pos="360"/>
          <w:tab w:val="left" w:pos="540"/>
          <w:tab w:val="left" w:pos="8280"/>
        </w:tabs>
        <w:autoSpaceDE w:val="0"/>
        <w:autoSpaceDN w:val="0"/>
        <w:adjustRightInd w:val="0"/>
        <w:spacing w:line="360" w:lineRule="auto"/>
        <w:ind w:left="539" w:right="23"/>
        <w:jc w:val="left"/>
        <w:rPr>
          <w:rFonts w:ascii="宋体" w:hAnsi="宋体" w:cs="宋体"/>
          <w:b/>
          <w:color w:val="auto"/>
          <w:kern w:val="0"/>
          <w:sz w:val="24"/>
          <w:highlight w:val="none"/>
        </w:rPr>
      </w:pPr>
      <w:r>
        <w:rPr>
          <w:rFonts w:hint="eastAsia" w:ascii="宋体" w:hAnsi="宋体" w:cs="宋体"/>
          <w:b/>
          <w:color w:val="auto"/>
          <w:sz w:val="24"/>
          <w:highlight w:val="none"/>
        </w:rPr>
        <w:t>三、合格投标人的资格条件：</w:t>
      </w:r>
    </w:p>
    <w:p>
      <w:pPr>
        <w:pStyle w:val="49"/>
        <w:adjustRightInd w:val="0"/>
        <w:spacing w:before="0" w:line="360" w:lineRule="auto"/>
        <w:ind w:left="102" w:right="102" w:firstLine="480"/>
        <w:rPr>
          <w:rFonts w:ascii="宋体" w:eastAsia="宋体" w:cs="宋体"/>
          <w:color w:val="auto"/>
          <w:sz w:val="24"/>
          <w:szCs w:val="24"/>
          <w:highlight w:val="none"/>
        </w:rPr>
      </w:pPr>
      <w:r>
        <w:rPr>
          <w:rFonts w:hint="eastAsia" w:ascii="宋体" w:eastAsia="宋体" w:cs="宋体"/>
          <w:color w:val="auto"/>
          <w:sz w:val="24"/>
          <w:szCs w:val="24"/>
          <w:highlight w:val="none"/>
        </w:rPr>
        <w:t>（一）符合《中华人民共和国政府采购法》第二十二条规定的投标人资格条件。</w:t>
      </w:r>
    </w:p>
    <w:p>
      <w:pPr>
        <w:pStyle w:val="49"/>
        <w:adjustRightInd w:val="0"/>
        <w:spacing w:before="0" w:line="360" w:lineRule="auto"/>
        <w:ind w:left="102" w:right="102" w:firstLine="480"/>
        <w:rPr>
          <w:rFonts w:ascii="宋体" w:eastAsia="宋体" w:cs="宋体"/>
          <w:color w:val="auto"/>
          <w:sz w:val="24"/>
          <w:szCs w:val="24"/>
          <w:highlight w:val="none"/>
        </w:rPr>
      </w:pPr>
      <w:r>
        <w:rPr>
          <w:rFonts w:hint="eastAsia" w:ascii="宋体" w:eastAsia="宋体" w:cs="宋体"/>
          <w:color w:val="auto"/>
          <w:sz w:val="24"/>
          <w:szCs w:val="24"/>
          <w:highlight w:val="none"/>
        </w:rPr>
        <w:t>（二）未被“信用中国”（www.creditchina.gov.cn）、中国政府采购网（www.ccgp.gov.cn）列入失信被执行人、重大税收违法失信主体、政府采购严重违法失信行为记录名单。</w:t>
      </w:r>
    </w:p>
    <w:p>
      <w:pPr>
        <w:tabs>
          <w:tab w:val="left" w:pos="180"/>
          <w:tab w:val="left" w:pos="360"/>
          <w:tab w:val="left" w:pos="540"/>
          <w:tab w:val="left" w:pos="8280"/>
        </w:tabs>
        <w:autoSpaceDE w:val="0"/>
        <w:autoSpaceDN w:val="0"/>
        <w:adjustRightInd w:val="0"/>
        <w:spacing w:line="360" w:lineRule="auto"/>
        <w:ind w:right="23"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（三）本项目供应商特定条件：</w:t>
      </w:r>
    </w:p>
    <w:p>
      <w:pPr>
        <w:pStyle w:val="2"/>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1、具有基础电信业务经营许可证的通信运营商或具有电子与智能化工程专业承包一级资质；</w:t>
      </w:r>
    </w:p>
    <w:p>
      <w:pPr>
        <w:tabs>
          <w:tab w:val="left" w:pos="180"/>
          <w:tab w:val="left" w:pos="360"/>
          <w:tab w:val="left" w:pos="540"/>
          <w:tab w:val="left" w:pos="8280"/>
        </w:tabs>
        <w:autoSpaceDE w:val="0"/>
        <w:autoSpaceDN w:val="0"/>
        <w:adjustRightInd w:val="0"/>
        <w:spacing w:line="360" w:lineRule="auto"/>
        <w:ind w:right="23"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（四）本项目不接受联合体投标。</w:t>
      </w:r>
    </w:p>
    <w:p>
      <w:pPr>
        <w:tabs>
          <w:tab w:val="left" w:pos="180"/>
          <w:tab w:val="left" w:pos="360"/>
          <w:tab w:val="left" w:pos="540"/>
          <w:tab w:val="left" w:pos="8280"/>
        </w:tabs>
        <w:autoSpaceDE w:val="0"/>
        <w:autoSpaceDN w:val="0"/>
        <w:adjustRightInd w:val="0"/>
        <w:spacing w:line="360" w:lineRule="auto"/>
        <w:ind w:right="23"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四、招标文件获取的方式、时间：</w:t>
      </w:r>
    </w:p>
    <w:p>
      <w:pPr>
        <w:widowControl/>
        <w:spacing w:line="360" w:lineRule="auto"/>
        <w:ind w:firstLine="420"/>
        <w:jc w:val="left"/>
        <w:rPr>
          <w:rFonts w:ascii="宋体" w:hAnsi="宋体" w:cs="宋体"/>
          <w:color w:val="auto"/>
          <w:kern w:val="0"/>
          <w:sz w:val="27"/>
          <w:szCs w:val="27"/>
          <w:highlight w:val="none"/>
        </w:rPr>
      </w:pPr>
      <w:r>
        <w:rPr>
          <w:rFonts w:hint="eastAsia" w:ascii="宋体" w:hAnsi="宋体" w:cs="宋体"/>
          <w:color w:val="auto"/>
          <w:kern w:val="0"/>
          <w:sz w:val="24"/>
          <w:highlight w:val="none"/>
        </w:rPr>
        <w:t>1、本项目招标文件实行“政府采购云平台”在线获取，不提供招标文件纸质版。供应商获取招标文件前应先完成“政府采购云平台”的账号注册；</w:t>
      </w:r>
    </w:p>
    <w:p>
      <w:pPr>
        <w:widowControl/>
        <w:spacing w:line="360" w:lineRule="auto"/>
        <w:ind w:firstLine="480"/>
        <w:jc w:val="left"/>
        <w:rPr>
          <w:rFonts w:ascii="宋体" w:hAnsi="宋体" w:cs="宋体"/>
          <w:color w:val="auto"/>
          <w:kern w:val="0"/>
          <w:sz w:val="27"/>
          <w:szCs w:val="27"/>
          <w:highlight w:val="none"/>
        </w:rPr>
      </w:pPr>
      <w:r>
        <w:rPr>
          <w:rFonts w:hint="eastAsia" w:ascii="宋体" w:hAnsi="宋体" w:cs="宋体"/>
          <w:color w:val="auto"/>
          <w:kern w:val="0"/>
          <w:sz w:val="24"/>
          <w:highlight w:val="none"/>
        </w:rPr>
        <w:t>2、地点：</w:t>
      </w:r>
    </w:p>
    <w:p>
      <w:pPr>
        <w:widowControl/>
        <w:tabs>
          <w:tab w:val="right" w:pos="8306"/>
        </w:tabs>
        <w:spacing w:line="360" w:lineRule="auto"/>
        <w:ind w:firstLine="480"/>
        <w:jc w:val="left"/>
        <w:rPr>
          <w:rFonts w:ascii="宋体" w:hAnsi="宋体" w:cs="宋体"/>
          <w:color w:val="auto"/>
          <w:kern w:val="0"/>
          <w:sz w:val="27"/>
          <w:szCs w:val="27"/>
          <w:highlight w:val="none"/>
        </w:rPr>
      </w:pPr>
      <w:r>
        <w:rPr>
          <w:rFonts w:hint="eastAsia" w:ascii="宋体" w:hAnsi="宋体" w:cs="宋体"/>
          <w:color w:val="auto"/>
          <w:kern w:val="0"/>
          <w:sz w:val="24"/>
          <w:highlight w:val="none"/>
        </w:rPr>
        <w:t>（1）政采云平台（http://zfcg.czt.zj.gov.cn）；</w:t>
      </w:r>
      <w:r>
        <w:rPr>
          <w:rFonts w:hint="eastAsia" w:ascii="宋体" w:hAnsi="宋体" w:cs="宋体"/>
          <w:color w:val="auto"/>
          <w:kern w:val="0"/>
          <w:sz w:val="24"/>
          <w:highlight w:val="none"/>
        </w:rPr>
        <w:tab/>
      </w:r>
    </w:p>
    <w:p>
      <w:pPr>
        <w:widowControl/>
        <w:spacing w:line="360" w:lineRule="auto"/>
        <w:ind w:firstLine="480"/>
        <w:jc w:val="left"/>
        <w:rPr>
          <w:rFonts w:ascii="宋体" w:hAnsi="宋体" w:cs="宋体"/>
          <w:color w:val="auto"/>
          <w:kern w:val="0"/>
          <w:sz w:val="27"/>
          <w:szCs w:val="27"/>
          <w:highlight w:val="none"/>
        </w:rPr>
      </w:pPr>
      <w:r>
        <w:rPr>
          <w:rFonts w:hint="eastAsia" w:ascii="宋体" w:hAnsi="宋体" w:cs="宋体"/>
          <w:color w:val="auto"/>
          <w:kern w:val="0"/>
          <w:sz w:val="24"/>
          <w:highlight w:val="none"/>
        </w:rPr>
        <w:t>（2）供应商网上报名操作指南：“浙江政府采购网-办事指南-省采中心-网上报名”（http://zfcg.czt.zj.gov.cn/bs_other/2018-03-30/12002.html）。</w:t>
      </w:r>
    </w:p>
    <w:p>
      <w:pPr>
        <w:widowControl/>
        <w:spacing w:line="360" w:lineRule="auto"/>
        <w:ind w:firstLine="480"/>
        <w:jc w:val="left"/>
        <w:rPr>
          <w:rFonts w:ascii="宋体" w:hAnsi="宋体" w:cs="宋体"/>
          <w:color w:val="auto"/>
          <w:kern w:val="0"/>
          <w:sz w:val="27"/>
          <w:szCs w:val="27"/>
          <w:highlight w:val="none"/>
        </w:rPr>
      </w:pPr>
      <w:r>
        <w:rPr>
          <w:rFonts w:hint="eastAsia" w:ascii="宋体" w:hAnsi="宋体" w:cs="宋体"/>
          <w:color w:val="auto"/>
          <w:kern w:val="0"/>
          <w:sz w:val="24"/>
          <w:highlight w:val="none"/>
        </w:rPr>
        <w:t>3、方式：潜在供应商登陆政采云平台，在线申请获取招标文件（进入“项目采购”应用，在获取招标文件菜单中选择项目，申请获取招标文件，本项目招标文件不收取工本费；</w:t>
      </w:r>
      <w:r>
        <w:rPr>
          <w:rFonts w:hint="eastAsia" w:ascii="宋体" w:hAnsi="宋体" w:cs="宋体"/>
          <w:color w:val="auto"/>
          <w:kern w:val="0"/>
          <w:sz w:val="24"/>
          <w:highlight w:val="none"/>
          <w:u w:val="single"/>
        </w:rPr>
        <w:t>仅需浏览招标文件的供应商可点击“游客，浏览招标文件”直接下载招标文件浏览</w:t>
      </w:r>
      <w:r>
        <w:rPr>
          <w:rFonts w:hint="eastAsia" w:ascii="宋体" w:hAnsi="宋体" w:cs="宋体"/>
          <w:color w:val="auto"/>
          <w:kern w:val="0"/>
          <w:sz w:val="24"/>
          <w:highlight w:val="none"/>
        </w:rPr>
        <w:t>）；</w:t>
      </w:r>
    </w:p>
    <w:p>
      <w:pPr>
        <w:widowControl/>
        <w:spacing w:line="360" w:lineRule="auto"/>
        <w:ind w:firstLine="480"/>
        <w:jc w:val="left"/>
        <w:rPr>
          <w:rFonts w:ascii="宋体" w:hAnsi="宋体" w:cs="宋体"/>
          <w:color w:val="auto"/>
          <w:kern w:val="0"/>
          <w:sz w:val="27"/>
          <w:szCs w:val="27"/>
          <w:highlight w:val="none"/>
        </w:rPr>
      </w:pPr>
      <w:r>
        <w:rPr>
          <w:rFonts w:hint="eastAsia" w:ascii="宋体" w:hAnsi="宋体" w:cs="宋体"/>
          <w:color w:val="auto"/>
          <w:kern w:val="0"/>
          <w:sz w:val="24"/>
          <w:highlight w:val="none"/>
        </w:rPr>
        <w:t>4、供应商获取招标文件时须提交的文件资料：无；</w:t>
      </w:r>
    </w:p>
    <w:p>
      <w:pPr>
        <w:widowControl/>
        <w:spacing w:line="360" w:lineRule="auto"/>
        <w:ind w:firstLine="480"/>
        <w:jc w:val="left"/>
        <w:rPr>
          <w:rFonts w:ascii="宋体" w:hAnsi="宋体" w:cs="宋体"/>
          <w:color w:val="auto"/>
          <w:kern w:val="0"/>
          <w:sz w:val="27"/>
          <w:szCs w:val="27"/>
          <w:highlight w:val="none"/>
        </w:rPr>
      </w:pPr>
      <w:r>
        <w:rPr>
          <w:rFonts w:hint="eastAsia" w:ascii="宋体" w:hAnsi="宋体" w:cs="宋体"/>
          <w:color w:val="auto"/>
          <w:kern w:val="0"/>
          <w:sz w:val="24"/>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注：请供应商按上述要求获取招标文件，如未在“政采云”系统内完成相关流程，引起的投标无效责任自负。</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539"/>
        <w:jc w:val="left"/>
        <w:rPr>
          <w:rFonts w:ascii="宋体" w:hAnsi="宋体" w:cs="宋体"/>
          <w:b/>
          <w:color w:val="auto"/>
          <w:kern w:val="0"/>
          <w:sz w:val="24"/>
          <w:highlight w:val="none"/>
        </w:rPr>
      </w:pPr>
      <w:r>
        <w:rPr>
          <w:rFonts w:hint="eastAsia" w:ascii="宋体" w:hAnsi="宋体" w:cs="宋体"/>
          <w:b/>
          <w:color w:val="auto"/>
          <w:sz w:val="24"/>
          <w:highlight w:val="none"/>
        </w:rPr>
        <w:t>五、电子</w:t>
      </w:r>
      <w:r>
        <w:rPr>
          <w:rFonts w:hint="eastAsia" w:ascii="宋体" w:hAnsi="宋体" w:cs="宋体"/>
          <w:b/>
          <w:color w:val="auto"/>
          <w:kern w:val="0"/>
          <w:sz w:val="24"/>
          <w:highlight w:val="none"/>
        </w:rPr>
        <w:t>投标文件递交截止时间及开标时间、地点：</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480"/>
        <w:jc w:val="left"/>
        <w:rPr>
          <w:rFonts w:ascii="宋体" w:hAnsi="宋体" w:cs="宋体"/>
          <w:color w:val="auto"/>
          <w:sz w:val="24"/>
          <w:highlight w:val="none"/>
        </w:rPr>
      </w:pPr>
      <w:r>
        <w:rPr>
          <w:rFonts w:hint="eastAsia" w:ascii="宋体" w:hAnsi="宋体" w:cs="宋体"/>
          <w:color w:val="auto"/>
          <w:sz w:val="24"/>
          <w:highlight w:val="none"/>
        </w:rPr>
        <w:t>1、电子投标文件递交截止时间及开标时间：详见公告；</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480"/>
        <w:jc w:val="left"/>
        <w:rPr>
          <w:rFonts w:ascii="宋体" w:hAnsi="宋体" w:cs="宋体"/>
          <w:color w:val="auto"/>
          <w:sz w:val="24"/>
          <w:highlight w:val="none"/>
        </w:rPr>
      </w:pPr>
      <w:r>
        <w:rPr>
          <w:rFonts w:hint="eastAsia" w:ascii="宋体" w:hAnsi="宋体" w:cs="宋体"/>
          <w:color w:val="auto"/>
          <w:sz w:val="24"/>
          <w:highlight w:val="none"/>
        </w:rPr>
        <w:t>2、开标地点及电子投标文件提交地点：通过“政府采购云平台（www.zcygov.cn）”实行在线投标响应；</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482" w:firstLineChars="200"/>
        <w:jc w:val="left"/>
        <w:rPr>
          <w:rFonts w:ascii="宋体" w:hAnsi="宋体" w:cs="宋体"/>
          <w:color w:val="auto"/>
          <w:kern w:val="0"/>
          <w:sz w:val="24"/>
          <w:highlight w:val="none"/>
        </w:rPr>
      </w:pPr>
      <w:r>
        <w:rPr>
          <w:rFonts w:hint="eastAsia" w:ascii="宋体" w:hAnsi="宋体" w:cs="宋体"/>
          <w:b/>
          <w:bCs/>
          <w:color w:val="auto"/>
          <w:sz w:val="24"/>
          <w:highlight w:val="none"/>
        </w:rPr>
        <w:t>六、投标保证金</w:t>
      </w:r>
      <w:r>
        <w:rPr>
          <w:rFonts w:hint="eastAsia" w:ascii="宋体" w:hAnsi="宋体" w:cs="宋体"/>
          <w:b/>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无</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七、在线投标响应（电子投标）说明：</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3、投标供应商应当在投标截止时间前，将生成的“电子加密投标文件”上传递交至“政府采购云平台”。投标截止时间以后上传递交的投标文件将被“政府采购云平台”拒收。</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投标供应商在“政府采购云平台”完成“电子加密投标文件”的上传递交后，还可以（EMS邮寄或顺丰邮寄形式）在投标截止时间前递交以介质（U盘）存储的数据电文形式的“备份投标文件”，“备份投标文件”应当密封包装并在包装上标注投标项目名称、投标单位名称并加盖公章。</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八、</w:t>
      </w:r>
      <w:r>
        <w:rPr>
          <w:rFonts w:hint="eastAsia" w:ascii="宋体" w:hAnsi="宋体" w:cs="宋体"/>
          <w:b/>
          <w:color w:val="auto"/>
          <w:sz w:val="24"/>
          <w:highlight w:val="none"/>
        </w:rPr>
        <w:t>相关注意事项</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numPr>
          <w:ilvl w:val="0"/>
          <w:numId w:val="4"/>
        </w:numPr>
        <w:spacing w:line="360" w:lineRule="auto"/>
        <w:ind w:firstLine="590" w:firstLineChars="245"/>
        <w:rPr>
          <w:rFonts w:ascii="宋体" w:hAnsi="宋体" w:cs="宋体"/>
          <w:b/>
          <w:color w:val="auto"/>
          <w:sz w:val="24"/>
          <w:highlight w:val="none"/>
        </w:rPr>
      </w:pPr>
      <w:r>
        <w:rPr>
          <w:rFonts w:hint="eastAsia" w:ascii="宋体" w:hAnsi="宋体" w:cs="宋体"/>
          <w:b/>
          <w:color w:val="auto"/>
          <w:sz w:val="24"/>
          <w:highlight w:val="none"/>
        </w:rPr>
        <w:t>联系方式：</w:t>
      </w:r>
    </w:p>
    <w:p>
      <w:pPr>
        <w:pStyle w:val="29"/>
        <w:spacing w:line="360" w:lineRule="auto"/>
        <w:rPr>
          <w:rFonts w:ascii="宋体" w:hAnsi="宋体" w:cs="宋体"/>
          <w:color w:val="auto"/>
          <w:highlight w:val="none"/>
        </w:rPr>
      </w:pPr>
      <w:r>
        <w:rPr>
          <w:rFonts w:hint="eastAsia" w:ascii="宋体" w:hAnsi="宋体" w:cs="宋体"/>
          <w:b/>
          <w:bCs/>
          <w:color w:val="auto"/>
          <w:highlight w:val="none"/>
        </w:rPr>
        <w:t xml:space="preserve">（一）采购人 </w:t>
      </w:r>
    </w:p>
    <w:p>
      <w:pPr>
        <w:pStyle w:val="29"/>
        <w:spacing w:line="360" w:lineRule="auto"/>
        <w:ind w:left="0" w:leftChars="0" w:firstLine="480" w:firstLineChars="200"/>
        <w:rPr>
          <w:rFonts w:ascii="宋体" w:hAnsi="宋体" w:cs="宋体"/>
          <w:color w:val="auto"/>
          <w:highlight w:val="none"/>
        </w:rPr>
      </w:pPr>
      <w:r>
        <w:rPr>
          <w:rFonts w:hint="eastAsia" w:ascii="宋体" w:hAnsi="宋体" w:cs="宋体"/>
          <w:color w:val="auto"/>
          <w:highlight w:val="none"/>
        </w:rPr>
        <w:t>名  称：台州市公安局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联系人：李先生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联系电话：13905769738</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采购人地址：台州市椒江区机场路451号</w:t>
      </w:r>
    </w:p>
    <w:p>
      <w:pPr>
        <w:pStyle w:val="29"/>
        <w:spacing w:line="360" w:lineRule="auto"/>
        <w:rPr>
          <w:rFonts w:ascii="宋体" w:hAnsi="宋体" w:cs="宋体"/>
          <w:b/>
          <w:bCs/>
          <w:color w:val="auto"/>
          <w:highlight w:val="none"/>
        </w:rPr>
      </w:pPr>
      <w:r>
        <w:rPr>
          <w:rFonts w:hint="eastAsia" w:ascii="宋体" w:hAnsi="宋体" w:cs="宋体"/>
          <w:b/>
          <w:bCs/>
          <w:color w:val="auto"/>
          <w:highlight w:val="none"/>
        </w:rPr>
        <w:t>（二）采购组织机构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名称：浙江百和工程咨询有限公司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联系人：吴女士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联系电话：15825475513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kern w:val="0"/>
          <w:sz w:val="24"/>
          <w:highlight w:val="none"/>
        </w:rPr>
        <w:t>浙江省台州市椒江区爱华路18号新台州大厦206</w:t>
      </w:r>
    </w:p>
    <w:p>
      <w:pPr>
        <w:pStyle w:val="29"/>
        <w:spacing w:line="360" w:lineRule="auto"/>
        <w:rPr>
          <w:rFonts w:ascii="宋体" w:hAnsi="宋体" w:cs="宋体"/>
          <w:b/>
          <w:bCs/>
          <w:color w:val="auto"/>
          <w:highlight w:val="none"/>
        </w:rPr>
      </w:pPr>
      <w:r>
        <w:rPr>
          <w:rFonts w:hint="eastAsia" w:ascii="宋体" w:hAnsi="宋体" w:cs="宋体"/>
          <w:b/>
          <w:bCs/>
          <w:color w:val="auto"/>
          <w:highlight w:val="none"/>
        </w:rPr>
        <w:t>（三）质疑受理</w:t>
      </w:r>
    </w:p>
    <w:p>
      <w:pPr>
        <w:pStyle w:val="29"/>
        <w:spacing w:line="360" w:lineRule="auto"/>
        <w:rPr>
          <w:rFonts w:ascii="宋体" w:hAnsi="宋体" w:cs="宋体"/>
          <w:color w:val="auto"/>
          <w:highlight w:val="none"/>
        </w:rPr>
      </w:pPr>
      <w:r>
        <w:rPr>
          <w:rFonts w:hint="eastAsia" w:ascii="宋体" w:hAnsi="宋体" w:cs="宋体"/>
          <w:color w:val="auto"/>
          <w:highlight w:val="none"/>
        </w:rPr>
        <w:t>采购人书面质疑接收人：杨警官</w:t>
      </w:r>
    </w:p>
    <w:p>
      <w:pPr>
        <w:pStyle w:val="29"/>
        <w:spacing w:line="360" w:lineRule="auto"/>
        <w:rPr>
          <w:rFonts w:ascii="宋体" w:hAnsi="宋体" w:cs="宋体"/>
          <w:color w:val="auto"/>
          <w:highlight w:val="none"/>
        </w:rPr>
      </w:pPr>
      <w:r>
        <w:rPr>
          <w:rFonts w:hint="eastAsia" w:ascii="宋体" w:hAnsi="宋体" w:cs="宋体"/>
          <w:color w:val="auto"/>
          <w:highlight w:val="none"/>
        </w:rPr>
        <w:t>联系电话：0576-88212531　</w:t>
      </w:r>
    </w:p>
    <w:p>
      <w:pPr>
        <w:pStyle w:val="29"/>
        <w:spacing w:line="360" w:lineRule="auto"/>
        <w:rPr>
          <w:rFonts w:ascii="宋体" w:hAnsi="宋体" w:cs="宋体"/>
          <w:color w:val="auto"/>
          <w:highlight w:val="none"/>
        </w:rPr>
      </w:pPr>
      <w:r>
        <w:rPr>
          <w:rFonts w:hint="eastAsia" w:ascii="宋体" w:hAnsi="宋体" w:cs="宋体"/>
          <w:color w:val="auto"/>
          <w:highlight w:val="none"/>
        </w:rPr>
        <w:t>书面质疑接收地址：浙江省台州市椒江区康平路2号　</w:t>
      </w:r>
    </w:p>
    <w:p>
      <w:pPr>
        <w:pStyle w:val="29"/>
        <w:spacing w:line="360" w:lineRule="auto"/>
        <w:rPr>
          <w:rFonts w:ascii="宋体" w:hAnsi="宋体" w:cs="宋体"/>
          <w:color w:val="auto"/>
          <w:highlight w:val="none"/>
        </w:rPr>
      </w:pPr>
      <w:r>
        <w:rPr>
          <w:rFonts w:hint="eastAsia" w:ascii="宋体" w:hAnsi="宋体" w:cs="宋体"/>
          <w:color w:val="auto"/>
          <w:highlight w:val="none"/>
        </w:rPr>
        <w:t>代理机构质疑受理联系人：徐工</w:t>
      </w:r>
    </w:p>
    <w:p>
      <w:pPr>
        <w:pStyle w:val="29"/>
        <w:spacing w:line="360" w:lineRule="auto"/>
        <w:rPr>
          <w:rFonts w:ascii="宋体" w:hAnsi="宋体" w:cs="宋体"/>
          <w:color w:val="auto"/>
          <w:highlight w:val="none"/>
        </w:rPr>
      </w:pPr>
      <w:r>
        <w:rPr>
          <w:rFonts w:hint="eastAsia" w:ascii="宋体" w:hAnsi="宋体" w:cs="宋体"/>
          <w:color w:val="auto"/>
          <w:highlight w:val="none"/>
        </w:rPr>
        <w:t>联系电话：13566655825</w:t>
      </w:r>
    </w:p>
    <w:p>
      <w:pPr>
        <w:pStyle w:val="29"/>
        <w:spacing w:line="360" w:lineRule="auto"/>
        <w:rPr>
          <w:rFonts w:ascii="宋体" w:hAnsi="宋体" w:cs="宋体"/>
          <w:color w:val="auto"/>
          <w:highlight w:val="none"/>
        </w:rPr>
      </w:pPr>
      <w:r>
        <w:rPr>
          <w:rFonts w:hint="eastAsia" w:ascii="宋体" w:hAnsi="宋体" w:cs="宋体"/>
          <w:color w:val="auto"/>
          <w:highlight w:val="none"/>
        </w:rPr>
        <w:t>书面质疑接收地址：浙江省台州市椒江区爱华路18号新台州大厦206</w:t>
      </w:r>
    </w:p>
    <w:p>
      <w:pPr>
        <w:pStyle w:val="29"/>
        <w:spacing w:line="360" w:lineRule="auto"/>
        <w:rPr>
          <w:rFonts w:ascii="宋体" w:hAnsi="宋体" w:cs="宋体"/>
          <w:b/>
          <w:bCs/>
          <w:color w:val="auto"/>
          <w:highlight w:val="none"/>
        </w:rPr>
      </w:pPr>
      <w:r>
        <w:rPr>
          <w:rFonts w:hint="eastAsia" w:ascii="宋体" w:hAnsi="宋体" w:cs="宋体"/>
          <w:b/>
          <w:bCs/>
          <w:color w:val="auto"/>
          <w:highlight w:val="none"/>
        </w:rPr>
        <w:t>（四）同级政府采购监管机构</w:t>
      </w:r>
    </w:p>
    <w:p>
      <w:pPr>
        <w:pStyle w:val="29"/>
        <w:spacing w:line="360" w:lineRule="auto"/>
        <w:rPr>
          <w:rFonts w:ascii="宋体" w:hAnsi="宋体" w:cs="宋体"/>
          <w:color w:val="auto"/>
          <w:highlight w:val="none"/>
        </w:rPr>
      </w:pPr>
      <w:r>
        <w:rPr>
          <w:rFonts w:hint="eastAsia" w:ascii="宋体" w:hAnsi="宋体" w:cs="宋体"/>
          <w:color w:val="auto"/>
          <w:highlight w:val="none"/>
        </w:rPr>
        <w:t>名 称：台州市财政局政府采监处 　</w:t>
      </w:r>
    </w:p>
    <w:p>
      <w:pPr>
        <w:pStyle w:val="29"/>
        <w:spacing w:line="360" w:lineRule="auto"/>
        <w:rPr>
          <w:rFonts w:ascii="宋体" w:hAnsi="宋体" w:cs="宋体"/>
          <w:color w:val="auto"/>
          <w:highlight w:val="none"/>
        </w:rPr>
      </w:pPr>
      <w:r>
        <w:rPr>
          <w:rFonts w:hint="eastAsia" w:ascii="宋体" w:hAnsi="宋体" w:cs="宋体"/>
          <w:color w:val="auto"/>
          <w:highlight w:val="none"/>
        </w:rPr>
        <w:t>联系人：陈女士、李工</w:t>
      </w:r>
    </w:p>
    <w:p>
      <w:pPr>
        <w:pStyle w:val="29"/>
        <w:spacing w:line="360" w:lineRule="auto"/>
        <w:rPr>
          <w:rFonts w:ascii="宋体" w:hAnsi="宋体" w:cs="宋体"/>
          <w:color w:val="auto"/>
          <w:highlight w:val="none"/>
        </w:rPr>
      </w:pPr>
      <w:r>
        <w:rPr>
          <w:rFonts w:hint="eastAsia" w:ascii="宋体" w:hAnsi="宋体" w:cs="宋体"/>
          <w:color w:val="auto"/>
          <w:highlight w:val="none"/>
        </w:rPr>
        <w:t>监督投诉电话：0576-88206705、0576-88206731</w:t>
      </w:r>
    </w:p>
    <w:p>
      <w:pPr>
        <w:pStyle w:val="29"/>
        <w:spacing w:line="360" w:lineRule="auto"/>
        <w:rPr>
          <w:rFonts w:ascii="宋体" w:hAnsi="宋体" w:cs="宋体"/>
          <w:color w:val="auto"/>
          <w:highlight w:val="none"/>
        </w:rPr>
      </w:pPr>
      <w:r>
        <w:rPr>
          <w:rFonts w:hint="eastAsia" w:ascii="宋体" w:hAnsi="宋体" w:cs="宋体"/>
          <w:color w:val="auto"/>
          <w:highlight w:val="none"/>
        </w:rPr>
        <w:t xml:space="preserve">地址：台州市椒江区纬一路66号 　   　 </w:t>
      </w:r>
    </w:p>
    <w:p>
      <w:pPr>
        <w:pStyle w:val="29"/>
        <w:spacing w:line="360" w:lineRule="auto"/>
        <w:rPr>
          <w:rFonts w:ascii="宋体" w:hAnsi="宋体" w:cs="宋体"/>
          <w:b/>
          <w:bCs/>
          <w:color w:val="auto"/>
          <w:highlight w:val="none"/>
        </w:rPr>
      </w:pPr>
      <w:r>
        <w:rPr>
          <w:rFonts w:hint="eastAsia" w:ascii="宋体" w:hAnsi="宋体" w:cs="宋体"/>
          <w:b/>
          <w:bCs/>
          <w:color w:val="auto"/>
          <w:highlight w:val="none"/>
        </w:rPr>
        <w:t>（五）政采云平台</w:t>
      </w:r>
    </w:p>
    <w:p>
      <w:pPr>
        <w:pStyle w:val="29"/>
        <w:spacing w:line="360" w:lineRule="auto"/>
        <w:rPr>
          <w:rFonts w:ascii="宋体" w:hAnsi="宋体" w:cs="宋体"/>
          <w:color w:val="auto"/>
          <w:highlight w:val="none"/>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cs="宋体"/>
          <w:color w:val="auto"/>
          <w:highlight w:val="none"/>
        </w:rPr>
        <w:t>联系电话：4008817190</w:t>
      </w:r>
    </w:p>
    <w:p>
      <w:pPr>
        <w:pStyle w:val="2"/>
        <w:ind w:left="0" w:leftChars="0"/>
        <w:rPr>
          <w:color w:val="auto"/>
          <w:highlight w:val="none"/>
        </w:rPr>
      </w:pPr>
    </w:p>
    <w:p>
      <w:pPr>
        <w:numPr>
          <w:ilvl w:val="0"/>
          <w:numId w:val="5"/>
        </w:num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投标人须知</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前附表</w:t>
      </w:r>
    </w:p>
    <w:tbl>
      <w:tblPr>
        <w:tblStyle w:val="35"/>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267"/>
        <w:gridCol w:w="6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    目</w:t>
            </w:r>
          </w:p>
        </w:tc>
        <w:tc>
          <w:tcPr>
            <w:tcW w:w="6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6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6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采购人不统一组织现场踏勘，投标人自行踏勘。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投标文件的编制</w:t>
            </w:r>
          </w:p>
        </w:tc>
        <w:tc>
          <w:tcPr>
            <w:tcW w:w="6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sz w:val="24"/>
                <w:highlight w:val="none"/>
              </w:rPr>
              <w:t>一、供应商应先安装“政采云电子交易客户端”，并按照本招标文件和“政府采购云平台”的要求，通过“政采云电子交易客户端”编制并加密投标文件。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投标文件的签章</w:t>
            </w:r>
          </w:p>
        </w:tc>
        <w:tc>
          <w:tcPr>
            <w:tcW w:w="6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投标文件的形式</w:t>
            </w:r>
          </w:p>
        </w:tc>
        <w:tc>
          <w:tcPr>
            <w:tcW w:w="6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☑电子投标文件（包括“电子加密投标文件”和“备份投标文件”，在投标文件编制完成后同时生成）；</w:t>
            </w:r>
          </w:p>
          <w:p>
            <w:pPr>
              <w:spacing w:line="360" w:lineRule="auto"/>
              <w:rPr>
                <w:rFonts w:ascii="宋体" w:hAnsi="宋体" w:cs="宋体"/>
                <w:color w:val="auto"/>
                <w:sz w:val="24"/>
                <w:highlight w:val="none"/>
              </w:rPr>
            </w:pPr>
            <w:r>
              <w:rPr>
                <w:rFonts w:hint="eastAsia" w:ascii="宋体" w:hAnsi="宋体" w:cs="宋体"/>
                <w:color w:val="auto"/>
                <w:sz w:val="24"/>
                <w:highlight w:val="none"/>
              </w:rPr>
              <w:t>（1）“电子加密投标文件”是指通过“政采云电子交易客户端”完成投标文件编制后生成并加密的数据电文形式的投标文件。</w:t>
            </w:r>
          </w:p>
          <w:p>
            <w:pPr>
              <w:spacing w:line="360" w:lineRule="auto"/>
              <w:rPr>
                <w:rFonts w:ascii="宋体" w:hAnsi="宋体" w:cs="宋体"/>
                <w:color w:val="auto"/>
                <w:highlight w:val="none"/>
              </w:rPr>
            </w:pPr>
            <w:r>
              <w:rPr>
                <w:rFonts w:hint="eastAsia" w:ascii="宋体" w:hAnsi="宋体" w:cs="宋体"/>
                <w:color w:val="auto"/>
                <w:sz w:val="24"/>
                <w:highlight w:val="none"/>
              </w:rPr>
              <w:t>（2）“备份投标文件”是指与“电子加密投标文件”同时生成的数据电文形式的电子文件（备份标书），其他方式编制的备份投标文件视为无效备份投标文件。</w:t>
            </w:r>
          </w:p>
          <w:p>
            <w:pPr>
              <w:spacing w:line="360" w:lineRule="auto"/>
              <w:rPr>
                <w:rFonts w:ascii="宋体" w:hAnsi="宋体" w:cs="宋体"/>
                <w:color w:val="auto"/>
                <w:highlight w:val="none"/>
              </w:rPr>
            </w:pPr>
            <w:r>
              <w:rPr>
                <w:rFonts w:hint="eastAsia" w:ascii="宋体" w:hAnsi="宋体" w:cs="宋体"/>
                <w:color w:val="auto"/>
                <w:sz w:val="24"/>
                <w:highlight w:val="none"/>
              </w:rPr>
              <w:t>（3）中标后需提供纸质投标文件给招标代理机构作为备案存档，纸质投标文件系电子投标文件纸质版，两者内容应一致；数量为：资格证明文件</w:t>
            </w:r>
            <w:r>
              <w:rPr>
                <w:rFonts w:hint="eastAsia" w:ascii="宋体" w:hAnsi="宋体" w:cs="宋体"/>
                <w:b/>
                <w:bCs/>
                <w:color w:val="auto"/>
                <w:sz w:val="24"/>
                <w:highlight w:val="none"/>
              </w:rPr>
              <w:t>1</w:t>
            </w:r>
            <w:r>
              <w:rPr>
                <w:rFonts w:hint="eastAsia" w:ascii="宋体" w:hAnsi="宋体" w:cs="宋体"/>
                <w:color w:val="auto"/>
                <w:sz w:val="24"/>
                <w:highlight w:val="none"/>
              </w:rPr>
              <w:t>份；商务与技术文件</w:t>
            </w:r>
            <w:r>
              <w:rPr>
                <w:rFonts w:hint="eastAsia" w:ascii="宋体" w:hAnsi="宋体" w:cs="宋体"/>
                <w:b/>
                <w:bCs/>
                <w:color w:val="auto"/>
                <w:sz w:val="24"/>
                <w:highlight w:val="none"/>
              </w:rPr>
              <w:t>1</w:t>
            </w:r>
            <w:r>
              <w:rPr>
                <w:rFonts w:hint="eastAsia" w:ascii="宋体" w:hAnsi="宋体" w:cs="宋体"/>
                <w:color w:val="auto"/>
                <w:sz w:val="24"/>
                <w:highlight w:val="none"/>
              </w:rPr>
              <w:t>份；报价文件</w:t>
            </w:r>
            <w:r>
              <w:rPr>
                <w:rFonts w:hint="eastAsia" w:ascii="宋体" w:hAnsi="宋体" w:cs="宋体"/>
                <w:b/>
                <w:bCs/>
                <w:color w:val="auto"/>
                <w:sz w:val="24"/>
                <w:highlight w:val="none"/>
              </w:rPr>
              <w:t>1</w:t>
            </w:r>
            <w:r>
              <w:rPr>
                <w:rFonts w:hint="eastAsia" w:ascii="宋体" w:hAnsi="宋体" w:cs="宋体"/>
                <w:color w:val="auto"/>
                <w:sz w:val="24"/>
                <w:highlight w:val="none"/>
              </w:rPr>
              <w:t>份。邮寄到浙江省台州市椒江区爱华路18号新台州大厦206。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投标文件份数</w:t>
            </w:r>
          </w:p>
        </w:tc>
        <w:tc>
          <w:tcPr>
            <w:tcW w:w="6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（1）“电子加密投标文件”：在线上传递交、一份。</w:t>
            </w:r>
          </w:p>
          <w:p>
            <w:pPr>
              <w:spacing w:line="360" w:lineRule="auto"/>
              <w:rPr>
                <w:rFonts w:ascii="宋体" w:hAnsi="宋体" w:cs="宋体"/>
                <w:color w:val="auto"/>
                <w:highlight w:val="none"/>
              </w:rPr>
            </w:pPr>
            <w:r>
              <w:rPr>
                <w:rFonts w:hint="eastAsia" w:ascii="宋体" w:hAnsi="宋体" w:cs="宋体"/>
                <w:color w:val="auto"/>
                <w:sz w:val="24"/>
                <w:highlight w:val="none"/>
              </w:rPr>
              <w:t>（2） “备份投标文件”：密封包装后于投标截止时间前邮寄至招标代理处一份。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投标文件的上传和递交</w:t>
            </w:r>
          </w:p>
        </w:tc>
        <w:tc>
          <w:tcPr>
            <w:tcW w:w="6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（1）“电子加密投标文件”的上传、递交：</w:t>
            </w:r>
          </w:p>
          <w:p>
            <w:pPr>
              <w:spacing w:line="360" w:lineRule="auto"/>
              <w:rPr>
                <w:rFonts w:ascii="宋体" w:hAnsi="宋体" w:cs="宋体"/>
                <w:color w:val="auto"/>
                <w:sz w:val="24"/>
                <w:highlight w:val="none"/>
              </w:rPr>
            </w:pPr>
            <w:r>
              <w:rPr>
                <w:rFonts w:hint="eastAsia" w:ascii="宋体" w:hAnsi="宋体" w:cs="宋体"/>
                <w:color w:val="auto"/>
                <w:sz w:val="24"/>
                <w:highlight w:val="none"/>
              </w:rPr>
              <w:t>a.投标供应商应在投标截止时间前将“电子加密投标文件”成功上传递交至“政府采购云平台”，否则投标无效。</w:t>
            </w:r>
          </w:p>
          <w:p>
            <w:pPr>
              <w:spacing w:line="360" w:lineRule="auto"/>
              <w:rPr>
                <w:rFonts w:ascii="宋体" w:hAnsi="宋体" w:cs="宋体"/>
                <w:color w:val="auto"/>
                <w:sz w:val="24"/>
                <w:highlight w:val="none"/>
              </w:rPr>
            </w:pPr>
            <w:r>
              <w:rPr>
                <w:rFonts w:hint="eastAsia" w:ascii="宋体" w:hAnsi="宋体" w:cs="宋体"/>
                <w:color w:val="auto"/>
                <w:sz w:val="24"/>
                <w:highlight w:val="none"/>
              </w:rPr>
              <w:t>b.“电子加密投标文件”成功上传递交后，供应商可自行打印投标文件接收回执。</w:t>
            </w:r>
          </w:p>
          <w:p>
            <w:pPr>
              <w:spacing w:line="360" w:lineRule="auto"/>
              <w:rPr>
                <w:rFonts w:ascii="宋体" w:hAnsi="宋体" w:cs="宋体"/>
                <w:color w:val="auto"/>
                <w:sz w:val="24"/>
                <w:highlight w:val="none"/>
              </w:rPr>
            </w:pPr>
            <w:r>
              <w:rPr>
                <w:rFonts w:hint="eastAsia" w:ascii="宋体" w:hAnsi="宋体" w:cs="宋体"/>
                <w:color w:val="auto"/>
                <w:sz w:val="24"/>
                <w:highlight w:val="none"/>
              </w:rPr>
              <w:t>（2）“备份投标文件”的密封包装、递交：</w:t>
            </w:r>
          </w:p>
          <w:p>
            <w:pPr>
              <w:spacing w:line="360" w:lineRule="auto"/>
              <w:rPr>
                <w:rFonts w:ascii="宋体" w:hAnsi="宋体" w:cs="宋体"/>
                <w:color w:val="auto"/>
                <w:sz w:val="24"/>
                <w:highlight w:val="none"/>
              </w:rPr>
            </w:pPr>
            <w:r>
              <w:rPr>
                <w:rFonts w:hint="eastAsia" w:ascii="宋体" w:hAnsi="宋体" w:cs="宋体"/>
                <w:color w:val="auto"/>
                <w:sz w:val="24"/>
                <w:highlight w:val="none"/>
              </w:rPr>
              <w:t>a. “备份投标文件”以U盘的形式存储，并密封包装，在包装上标注投标项目名称、投标单位名称并加盖公章。没有密封包装或者（以收到邮件时间为准）逾期邮寄送达至投标地点的将不予接收；</w:t>
            </w:r>
          </w:p>
          <w:p>
            <w:pPr>
              <w:spacing w:line="360" w:lineRule="auto"/>
              <w:rPr>
                <w:rFonts w:ascii="宋体" w:hAnsi="宋体" w:cs="宋体"/>
                <w:color w:val="auto"/>
                <w:sz w:val="24"/>
                <w:highlight w:val="none"/>
              </w:rPr>
            </w:pPr>
            <w:r>
              <w:rPr>
                <w:rFonts w:hint="eastAsia" w:ascii="宋体" w:hAnsi="宋体" w:cs="宋体"/>
                <w:color w:val="auto"/>
                <w:sz w:val="24"/>
                <w:highlight w:val="none"/>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注： </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邮寄地址：浙江省台州市椒江区爱华路18号新台州大厦206；</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收件人：吴女士</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联系电话：15825475513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电子加密投标文件的解密和异常情况处理</w:t>
            </w:r>
          </w:p>
          <w:p>
            <w:pPr>
              <w:spacing w:line="360" w:lineRule="auto"/>
              <w:jc w:val="center"/>
              <w:rPr>
                <w:rFonts w:ascii="宋体" w:hAnsi="宋体" w:cs="宋体"/>
                <w:color w:val="auto"/>
                <w:sz w:val="24"/>
                <w:highlight w:val="none"/>
              </w:rPr>
            </w:pPr>
          </w:p>
        </w:tc>
        <w:tc>
          <w:tcPr>
            <w:tcW w:w="6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（1）开标后，采购组织机构将向各投标供应商发出“电子加密投标文件”的解密通知，各投标供应商代表应当在接到解密通知后30分钟内自行完成“电子加密投标文件”的在线解密。</w:t>
            </w:r>
          </w:p>
          <w:p>
            <w:pPr>
              <w:spacing w:line="360" w:lineRule="auto"/>
              <w:rPr>
                <w:rFonts w:ascii="宋体" w:hAnsi="宋体" w:cs="宋体"/>
                <w:color w:val="auto"/>
                <w:sz w:val="24"/>
                <w:highlight w:val="none"/>
              </w:rPr>
            </w:pPr>
            <w:r>
              <w:rPr>
                <w:rFonts w:hint="eastAsia" w:ascii="宋体" w:hAnsi="宋体" w:cs="宋体"/>
                <w:color w:val="auto"/>
                <w:sz w:val="24"/>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360" w:lineRule="auto"/>
              <w:rPr>
                <w:rFonts w:ascii="宋体" w:hAnsi="宋体" w:cs="宋体"/>
                <w:color w:val="auto"/>
                <w:sz w:val="24"/>
                <w:highlight w:val="none"/>
              </w:rPr>
            </w:pPr>
            <w:r>
              <w:rPr>
                <w:rFonts w:hint="eastAsia" w:ascii="宋体" w:hAnsi="宋体" w:cs="宋体"/>
                <w:color w:val="auto"/>
                <w:sz w:val="24"/>
                <w:highlight w:val="none"/>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6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投标有效期为开标后90天，</w:t>
            </w:r>
            <w:r>
              <w:rPr>
                <w:rFonts w:hint="eastAsia" w:ascii="宋体" w:hAnsi="宋体" w:cs="宋体"/>
                <w:color w:val="auto"/>
                <w:kern w:val="0"/>
                <w:sz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投标文件递交</w:t>
            </w:r>
          </w:p>
        </w:tc>
        <w:tc>
          <w:tcPr>
            <w:tcW w:w="6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开标时间及地点</w:t>
            </w:r>
          </w:p>
        </w:tc>
        <w:tc>
          <w:tcPr>
            <w:tcW w:w="6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投标保证金</w:t>
            </w:r>
          </w:p>
        </w:tc>
        <w:tc>
          <w:tcPr>
            <w:tcW w:w="6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6209" w:type="dxa"/>
            <w:tcBorders>
              <w:top w:val="single" w:color="auto" w:sz="4" w:space="0"/>
              <w:left w:val="single" w:color="auto" w:sz="4" w:space="0"/>
              <w:bottom w:val="single" w:color="auto" w:sz="4" w:space="0"/>
              <w:right w:val="single" w:color="auto" w:sz="4" w:space="0"/>
            </w:tcBorders>
            <w:vAlign w:val="center"/>
          </w:tcPr>
          <w:p>
            <w:pPr>
              <w:pStyle w:val="15"/>
              <w:rPr>
                <w:rFonts w:ascii="宋体" w:hAnsi="宋体" w:cs="宋体"/>
                <w:color w:val="auto"/>
                <w:sz w:val="24"/>
                <w:highlight w:val="none"/>
              </w:rPr>
            </w:pPr>
            <w:r>
              <w:rPr>
                <w:rFonts w:hint="eastAsia" w:ascii="宋体" w:hAnsi="宋体" w:cs="宋体"/>
                <w:color w:val="auto"/>
                <w:sz w:val="24"/>
                <w:highlight w:val="none"/>
              </w:rPr>
              <w:t>履约保证金为合同金额的1%，签订合同后 3 个工作日内向采购人提交（履约保证金可采用支票、汇票、保函、担保等形式），准入验收通过后5个工作日无息退还。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22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实质性条款</w:t>
            </w:r>
          </w:p>
        </w:tc>
        <w:tc>
          <w:tcPr>
            <w:tcW w:w="62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带“</w:t>
            </w:r>
            <w:r>
              <w:rPr>
                <w:rFonts w:hint="eastAsia" w:ascii="宋体" w:hAnsi="宋体" w:cs="宋体"/>
                <w:bCs/>
                <w:color w:val="auto"/>
                <w:sz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中小企业适用行业</w:t>
            </w:r>
          </w:p>
        </w:tc>
        <w:tc>
          <w:tcPr>
            <w:tcW w:w="62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根据《关于印发中小企业划型标准规定的通知》（公信联企业﹝2011﹞300号），本项目属于软件和信息技术服务业。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16</w:t>
            </w:r>
          </w:p>
        </w:tc>
        <w:tc>
          <w:tcPr>
            <w:tcW w:w="22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解释权</w:t>
            </w:r>
          </w:p>
        </w:tc>
        <w:tc>
          <w:tcPr>
            <w:tcW w:w="62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本招标文件解释权属于采购人和采购代理机构。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17</w:t>
            </w:r>
          </w:p>
        </w:tc>
        <w:tc>
          <w:tcPr>
            <w:tcW w:w="22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招标代理服务费</w:t>
            </w:r>
          </w:p>
        </w:tc>
        <w:tc>
          <w:tcPr>
            <w:tcW w:w="62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sz w:val="24"/>
                <w:highlight w:val="none"/>
              </w:rPr>
            </w:pPr>
            <w:r>
              <w:rPr>
                <w:rFonts w:hint="eastAsia" w:asciiTheme="majorEastAsia" w:hAnsiTheme="majorEastAsia" w:eastAsiaTheme="majorEastAsia" w:cstheme="majorEastAsia"/>
                <w:color w:val="auto"/>
                <w:sz w:val="24"/>
                <w:highlight w:val="none"/>
              </w:rPr>
              <w:t>以中标价为基数，按计价格〔2002〕1980号文件、发改办价格〔2003〕857号、发改价格〔2011〕534号收费标准的68%计取，不足6000元的，按6000元计取。由中标人在领取中标通知书时一次性支付给招标代理机构。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18</w:t>
            </w:r>
          </w:p>
        </w:tc>
        <w:tc>
          <w:tcPr>
            <w:tcW w:w="22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其他事项</w:t>
            </w:r>
          </w:p>
        </w:tc>
        <w:tc>
          <w:tcPr>
            <w:tcW w:w="62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中标供应商如有融资需求，可使用以下银行的政采贷服务。</w:t>
            </w:r>
          </w:p>
          <w:tbl>
            <w:tblPr>
              <w:tblStyle w:val="36"/>
              <w:tblW w:w="5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1227"/>
              <w:gridCol w:w="1090"/>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2182" w:type="dxa"/>
                  <w:vAlign w:val="center"/>
                </w:tcPr>
                <w:p>
                  <w:pPr>
                    <w:jc w:val="center"/>
                    <w:rPr>
                      <w:rFonts w:ascii="宋体" w:hAnsi="宋体" w:cs="宋体"/>
                      <w:color w:val="auto"/>
                      <w:szCs w:val="21"/>
                      <w:highlight w:val="none"/>
                    </w:rPr>
                  </w:pPr>
                </w:p>
              </w:tc>
              <w:tc>
                <w:tcPr>
                  <w:tcW w:w="122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贷款年利率</w:t>
                  </w:r>
                </w:p>
              </w:tc>
              <w:tc>
                <w:tcPr>
                  <w:tcW w:w="109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149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8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中国工商银行</w:t>
                  </w:r>
                </w:p>
              </w:tc>
              <w:tc>
                <w:tcPr>
                  <w:tcW w:w="122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3.8%起</w:t>
                  </w:r>
                </w:p>
              </w:tc>
              <w:tc>
                <w:tcPr>
                  <w:tcW w:w="109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王霖</w:t>
                  </w:r>
                </w:p>
              </w:tc>
              <w:tc>
                <w:tcPr>
                  <w:tcW w:w="149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218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中国农业银行</w:t>
                  </w:r>
                </w:p>
              </w:tc>
              <w:tc>
                <w:tcPr>
                  <w:tcW w:w="122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3.8%起</w:t>
                  </w:r>
                </w:p>
              </w:tc>
              <w:tc>
                <w:tcPr>
                  <w:tcW w:w="109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龚盛</w:t>
                  </w:r>
                </w:p>
              </w:tc>
              <w:tc>
                <w:tcPr>
                  <w:tcW w:w="149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218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中国建设银行</w:t>
                  </w:r>
                </w:p>
              </w:tc>
              <w:tc>
                <w:tcPr>
                  <w:tcW w:w="122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3.8%起</w:t>
                  </w:r>
                </w:p>
              </w:tc>
              <w:tc>
                <w:tcPr>
                  <w:tcW w:w="109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梅晶晶</w:t>
                  </w:r>
                </w:p>
              </w:tc>
              <w:tc>
                <w:tcPr>
                  <w:tcW w:w="149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88525339</w:t>
                  </w:r>
                </w:p>
                <w:p>
                  <w:pPr>
                    <w:jc w:val="center"/>
                    <w:rPr>
                      <w:rFonts w:ascii="宋体" w:hAnsi="宋体" w:cs="宋体"/>
                      <w:color w:val="auto"/>
                      <w:szCs w:val="21"/>
                      <w:highlight w:val="none"/>
                    </w:rPr>
                  </w:pPr>
                  <w:r>
                    <w:rPr>
                      <w:rFonts w:hint="eastAsia" w:ascii="宋体" w:hAnsi="宋体" w:cs="宋体"/>
                      <w:color w:val="auto"/>
                      <w:szCs w:val="21"/>
                      <w:highlight w:val="none"/>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218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中国银行</w:t>
                  </w:r>
                </w:p>
              </w:tc>
              <w:tc>
                <w:tcPr>
                  <w:tcW w:w="122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3.75%起</w:t>
                  </w:r>
                </w:p>
              </w:tc>
              <w:tc>
                <w:tcPr>
                  <w:tcW w:w="109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任茜</w:t>
                  </w:r>
                </w:p>
              </w:tc>
              <w:tc>
                <w:tcPr>
                  <w:tcW w:w="149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218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浦发银行台州分行</w:t>
                  </w:r>
                </w:p>
              </w:tc>
              <w:tc>
                <w:tcPr>
                  <w:tcW w:w="122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4.05%起</w:t>
                  </w:r>
                </w:p>
              </w:tc>
              <w:tc>
                <w:tcPr>
                  <w:tcW w:w="109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王渊</w:t>
                  </w:r>
                </w:p>
              </w:tc>
              <w:tc>
                <w:tcPr>
                  <w:tcW w:w="149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18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浦发银行椒江分行</w:t>
                  </w:r>
                </w:p>
              </w:tc>
              <w:tc>
                <w:tcPr>
                  <w:tcW w:w="122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4.05%起</w:t>
                  </w:r>
                </w:p>
              </w:tc>
              <w:tc>
                <w:tcPr>
                  <w:tcW w:w="109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孙瑞华</w:t>
                  </w:r>
                </w:p>
              </w:tc>
              <w:tc>
                <w:tcPr>
                  <w:tcW w:w="149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218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交通银行台州分行</w:t>
                  </w:r>
                </w:p>
              </w:tc>
              <w:tc>
                <w:tcPr>
                  <w:tcW w:w="122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3.75%起</w:t>
                  </w:r>
                </w:p>
              </w:tc>
              <w:tc>
                <w:tcPr>
                  <w:tcW w:w="109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周翔宇</w:t>
                  </w:r>
                </w:p>
              </w:tc>
              <w:tc>
                <w:tcPr>
                  <w:tcW w:w="149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 w:hRule="atLeast"/>
              </w:trPr>
              <w:tc>
                <w:tcPr>
                  <w:tcW w:w="218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招商银行台州分行</w:t>
                  </w:r>
                </w:p>
              </w:tc>
              <w:tc>
                <w:tcPr>
                  <w:tcW w:w="122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4.32%起</w:t>
                  </w:r>
                </w:p>
              </w:tc>
              <w:tc>
                <w:tcPr>
                  <w:tcW w:w="109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王海玲</w:t>
                  </w:r>
                </w:p>
              </w:tc>
              <w:tc>
                <w:tcPr>
                  <w:tcW w:w="149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218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浙商银行台州分行</w:t>
                  </w:r>
                </w:p>
              </w:tc>
              <w:tc>
                <w:tcPr>
                  <w:tcW w:w="122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5.01%起</w:t>
                  </w:r>
                </w:p>
              </w:tc>
              <w:tc>
                <w:tcPr>
                  <w:tcW w:w="109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章涉漪</w:t>
                  </w:r>
                </w:p>
              </w:tc>
              <w:tc>
                <w:tcPr>
                  <w:tcW w:w="149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81880185</w:t>
                  </w:r>
                </w:p>
                <w:p>
                  <w:pPr>
                    <w:jc w:val="center"/>
                    <w:rPr>
                      <w:rFonts w:ascii="宋体" w:hAnsi="宋体" w:cs="宋体"/>
                      <w:color w:val="auto"/>
                      <w:szCs w:val="21"/>
                      <w:highlight w:val="none"/>
                    </w:rPr>
                  </w:pPr>
                  <w:r>
                    <w:rPr>
                      <w:rFonts w:hint="eastAsia" w:ascii="宋体" w:hAnsi="宋体" w:cs="宋体"/>
                      <w:color w:val="auto"/>
                      <w:szCs w:val="21"/>
                      <w:highlight w:val="none"/>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218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中信银行台州分行</w:t>
                  </w:r>
                </w:p>
              </w:tc>
              <w:tc>
                <w:tcPr>
                  <w:tcW w:w="122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4.15%起</w:t>
                  </w:r>
                </w:p>
              </w:tc>
              <w:tc>
                <w:tcPr>
                  <w:tcW w:w="109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陈金园</w:t>
                  </w:r>
                </w:p>
              </w:tc>
              <w:tc>
                <w:tcPr>
                  <w:tcW w:w="149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218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华夏银行台州分行</w:t>
                  </w:r>
                </w:p>
              </w:tc>
              <w:tc>
                <w:tcPr>
                  <w:tcW w:w="122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4.5%起</w:t>
                  </w:r>
                </w:p>
              </w:tc>
              <w:tc>
                <w:tcPr>
                  <w:tcW w:w="109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邱明达</w:t>
                  </w:r>
                </w:p>
              </w:tc>
              <w:tc>
                <w:tcPr>
                  <w:tcW w:w="149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81871518</w:t>
                  </w:r>
                </w:p>
                <w:p>
                  <w:pPr>
                    <w:jc w:val="center"/>
                    <w:rPr>
                      <w:rFonts w:ascii="宋体" w:hAnsi="宋体" w:cs="宋体"/>
                      <w:color w:val="auto"/>
                      <w:szCs w:val="21"/>
                      <w:highlight w:val="none"/>
                    </w:rPr>
                  </w:pPr>
                  <w:r>
                    <w:rPr>
                      <w:rFonts w:hint="eastAsia" w:ascii="宋体" w:hAnsi="宋体" w:cs="宋体"/>
                      <w:color w:val="auto"/>
                      <w:szCs w:val="21"/>
                      <w:highlight w:val="none"/>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218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泰隆银行开发区支行</w:t>
                  </w:r>
                </w:p>
              </w:tc>
              <w:tc>
                <w:tcPr>
                  <w:tcW w:w="122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5.6%起</w:t>
                  </w:r>
                </w:p>
              </w:tc>
              <w:tc>
                <w:tcPr>
                  <w:tcW w:w="109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梁宛莉</w:t>
                  </w:r>
                </w:p>
              </w:tc>
              <w:tc>
                <w:tcPr>
                  <w:tcW w:w="149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18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民泰银行椒江支行</w:t>
                  </w:r>
                </w:p>
              </w:tc>
              <w:tc>
                <w:tcPr>
                  <w:tcW w:w="122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5.8%起</w:t>
                  </w:r>
                </w:p>
              </w:tc>
              <w:tc>
                <w:tcPr>
                  <w:tcW w:w="109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陈慧珠</w:t>
                  </w:r>
                </w:p>
              </w:tc>
              <w:tc>
                <w:tcPr>
                  <w:tcW w:w="149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218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绍兴银行台州分行</w:t>
                  </w:r>
                </w:p>
              </w:tc>
              <w:tc>
                <w:tcPr>
                  <w:tcW w:w="122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5.1%起</w:t>
                  </w:r>
                </w:p>
              </w:tc>
              <w:tc>
                <w:tcPr>
                  <w:tcW w:w="109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郭庭斌</w:t>
                  </w:r>
                </w:p>
              </w:tc>
              <w:tc>
                <w:tcPr>
                  <w:tcW w:w="149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218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温州银行台州分行</w:t>
                  </w:r>
                </w:p>
              </w:tc>
              <w:tc>
                <w:tcPr>
                  <w:tcW w:w="122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4.55%起</w:t>
                  </w:r>
                </w:p>
              </w:tc>
              <w:tc>
                <w:tcPr>
                  <w:tcW w:w="109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王晓波</w:t>
                  </w:r>
                </w:p>
              </w:tc>
              <w:tc>
                <w:tcPr>
                  <w:tcW w:w="149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18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平安银行台州分行</w:t>
                  </w:r>
                </w:p>
              </w:tc>
              <w:tc>
                <w:tcPr>
                  <w:tcW w:w="122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6.53%起</w:t>
                  </w:r>
                </w:p>
              </w:tc>
              <w:tc>
                <w:tcPr>
                  <w:tcW w:w="109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李俊丽</w:t>
                  </w:r>
                </w:p>
              </w:tc>
              <w:tc>
                <w:tcPr>
                  <w:tcW w:w="149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218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宁波银行台州分行</w:t>
                  </w:r>
                </w:p>
              </w:tc>
              <w:tc>
                <w:tcPr>
                  <w:tcW w:w="122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4.35%起</w:t>
                  </w:r>
                </w:p>
              </w:tc>
              <w:tc>
                <w:tcPr>
                  <w:tcW w:w="109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戴莉丽</w:t>
                  </w:r>
                </w:p>
              </w:tc>
              <w:tc>
                <w:tcPr>
                  <w:tcW w:w="149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218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金华银行台州分行</w:t>
                  </w:r>
                </w:p>
              </w:tc>
              <w:tc>
                <w:tcPr>
                  <w:tcW w:w="122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4.05%起</w:t>
                  </w:r>
                </w:p>
              </w:tc>
              <w:tc>
                <w:tcPr>
                  <w:tcW w:w="109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金雪婷</w:t>
                  </w:r>
                </w:p>
              </w:tc>
              <w:tc>
                <w:tcPr>
                  <w:tcW w:w="149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81886670</w:t>
                  </w:r>
                </w:p>
                <w:p>
                  <w:pPr>
                    <w:jc w:val="center"/>
                    <w:rPr>
                      <w:rFonts w:ascii="宋体" w:hAnsi="宋体" w:cs="宋体"/>
                      <w:color w:val="auto"/>
                      <w:szCs w:val="21"/>
                      <w:highlight w:val="none"/>
                    </w:rPr>
                  </w:pPr>
                  <w:r>
                    <w:rPr>
                      <w:rFonts w:hint="eastAsia" w:ascii="宋体" w:hAnsi="宋体" w:cs="宋体"/>
                      <w:color w:val="auto"/>
                      <w:szCs w:val="21"/>
                      <w:highlight w:val="none"/>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218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台州银行</w:t>
                  </w:r>
                </w:p>
              </w:tc>
              <w:tc>
                <w:tcPr>
                  <w:tcW w:w="122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5.6%起</w:t>
                  </w:r>
                </w:p>
              </w:tc>
              <w:tc>
                <w:tcPr>
                  <w:tcW w:w="109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洪婷</w:t>
                  </w:r>
                </w:p>
              </w:tc>
              <w:tc>
                <w:tcPr>
                  <w:tcW w:w="149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218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邮储银行台州分行</w:t>
                  </w:r>
                </w:p>
              </w:tc>
              <w:tc>
                <w:tcPr>
                  <w:tcW w:w="122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3.85%起</w:t>
                  </w:r>
                </w:p>
              </w:tc>
              <w:tc>
                <w:tcPr>
                  <w:tcW w:w="109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董庆</w:t>
                  </w:r>
                </w:p>
              </w:tc>
              <w:tc>
                <w:tcPr>
                  <w:tcW w:w="149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81888982</w:t>
                  </w:r>
                </w:p>
                <w:p>
                  <w:pPr>
                    <w:jc w:val="center"/>
                    <w:rPr>
                      <w:rFonts w:ascii="宋体" w:hAnsi="宋体" w:cs="宋体"/>
                      <w:color w:val="auto"/>
                      <w:szCs w:val="21"/>
                      <w:highlight w:val="none"/>
                    </w:rPr>
                  </w:pPr>
                  <w:r>
                    <w:rPr>
                      <w:rFonts w:hint="eastAsia" w:ascii="宋体" w:hAnsi="宋体" w:cs="宋体"/>
                      <w:color w:val="auto"/>
                      <w:szCs w:val="21"/>
                      <w:highlight w:val="none"/>
                    </w:rPr>
                    <w:t>18957683735</w:t>
                  </w:r>
                </w:p>
              </w:tc>
            </w:tr>
          </w:tbl>
          <w:p>
            <w:pPr>
              <w:rPr>
                <w:rFonts w:ascii="宋体" w:hAnsi="宋体" w:cs="宋体"/>
                <w:color w:val="auto"/>
                <w:sz w:val="32"/>
                <w:szCs w:val="32"/>
                <w:highlight w:val="none"/>
              </w:rPr>
            </w:pPr>
            <w:r>
              <w:rPr>
                <w:rFonts w:hint="eastAsia" w:ascii="宋体" w:hAnsi="宋体" w:cs="宋体"/>
                <w:color w:val="auto"/>
                <w:sz w:val="24"/>
                <w:highlight w:val="none"/>
              </w:rPr>
              <w:t>中标供应商如有合同履约保函需求，可使用以下联系方式：</w:t>
            </w:r>
          </w:p>
          <w:tbl>
            <w:tblPr>
              <w:tblStyle w:val="3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15"/>
              <w:gridCol w:w="1500"/>
              <w:gridCol w:w="867"/>
              <w:gridCol w:w="11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47" w:hRule="atLeast"/>
              </w:trPr>
              <w:tc>
                <w:tcPr>
                  <w:tcW w:w="241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保险公司名称</w:t>
                  </w:r>
                </w:p>
              </w:tc>
              <w:tc>
                <w:tcPr>
                  <w:tcW w:w="150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保费率</w:t>
                  </w:r>
                </w:p>
              </w:tc>
              <w:tc>
                <w:tcPr>
                  <w:tcW w:w="86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111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3" w:hRule="atLeast"/>
              </w:trPr>
              <w:tc>
                <w:tcPr>
                  <w:tcW w:w="2415" w:type="dxa"/>
                </w:tcPr>
                <w:p>
                  <w:pPr>
                    <w:rPr>
                      <w:rFonts w:ascii="宋体" w:hAnsi="宋体" w:cs="宋体"/>
                      <w:color w:val="auto"/>
                      <w:szCs w:val="21"/>
                      <w:highlight w:val="none"/>
                    </w:rPr>
                  </w:pPr>
                  <w:r>
                    <w:rPr>
                      <w:rFonts w:hint="eastAsia" w:ascii="宋体" w:hAnsi="宋体" w:cs="宋体"/>
                      <w:color w:val="auto"/>
                      <w:szCs w:val="21"/>
                      <w:highlight w:val="none"/>
                    </w:rPr>
                    <w:t>中国人寿财产保险股份有限公司台州中心支公司</w:t>
                  </w:r>
                </w:p>
              </w:tc>
              <w:tc>
                <w:tcPr>
                  <w:tcW w:w="1500" w:type="dxa"/>
                </w:tcPr>
                <w:p>
                  <w:pPr>
                    <w:rPr>
                      <w:rFonts w:ascii="宋体" w:hAnsi="宋体" w:cs="宋体"/>
                      <w:color w:val="auto"/>
                      <w:szCs w:val="21"/>
                      <w:highlight w:val="none"/>
                    </w:rPr>
                  </w:pPr>
                  <w:r>
                    <w:rPr>
                      <w:rFonts w:hint="eastAsia" w:ascii="宋体" w:hAnsi="宋体" w:cs="宋体"/>
                      <w:color w:val="auto"/>
                      <w:szCs w:val="21"/>
                      <w:highlight w:val="none"/>
                    </w:rPr>
                    <w:t>年费率1%，最低保费500元</w:t>
                  </w:r>
                </w:p>
              </w:tc>
              <w:tc>
                <w:tcPr>
                  <w:tcW w:w="867" w:type="dxa"/>
                </w:tcPr>
                <w:p>
                  <w:pPr>
                    <w:rPr>
                      <w:rFonts w:ascii="宋体" w:hAnsi="宋体" w:cs="宋体"/>
                      <w:color w:val="auto"/>
                      <w:szCs w:val="21"/>
                      <w:highlight w:val="none"/>
                    </w:rPr>
                  </w:pPr>
                  <w:r>
                    <w:rPr>
                      <w:rFonts w:hint="eastAsia" w:ascii="宋体" w:hAnsi="宋体" w:cs="宋体"/>
                      <w:color w:val="auto"/>
                      <w:szCs w:val="21"/>
                      <w:highlight w:val="none"/>
                    </w:rPr>
                    <w:t>徐凌</w:t>
                  </w:r>
                </w:p>
              </w:tc>
              <w:tc>
                <w:tcPr>
                  <w:tcW w:w="1117" w:type="dxa"/>
                </w:tcPr>
                <w:p>
                  <w:pPr>
                    <w:rPr>
                      <w:rFonts w:ascii="宋体" w:hAnsi="宋体" w:cs="宋体"/>
                      <w:color w:val="auto"/>
                      <w:szCs w:val="21"/>
                      <w:highlight w:val="none"/>
                    </w:rPr>
                  </w:pPr>
                  <w:r>
                    <w:rPr>
                      <w:rFonts w:hint="eastAsia" w:ascii="宋体" w:hAnsi="宋体" w:cs="宋体"/>
                      <w:color w:val="auto"/>
                      <w:szCs w:val="21"/>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93" w:hRule="atLeast"/>
              </w:trPr>
              <w:tc>
                <w:tcPr>
                  <w:tcW w:w="2415" w:type="dxa"/>
                </w:tcPr>
                <w:p>
                  <w:pPr>
                    <w:rPr>
                      <w:rFonts w:ascii="宋体" w:hAnsi="宋体" w:cs="宋体"/>
                      <w:color w:val="auto"/>
                      <w:szCs w:val="21"/>
                      <w:highlight w:val="none"/>
                    </w:rPr>
                  </w:pPr>
                  <w:r>
                    <w:rPr>
                      <w:rFonts w:hint="eastAsia" w:ascii="宋体" w:hAnsi="宋体" w:cs="宋体"/>
                      <w:color w:val="auto"/>
                      <w:szCs w:val="21"/>
                      <w:highlight w:val="none"/>
                    </w:rPr>
                    <w:t>永诚财产保险股份有限公司台州分公司</w:t>
                  </w:r>
                </w:p>
              </w:tc>
              <w:tc>
                <w:tcPr>
                  <w:tcW w:w="1500" w:type="dxa"/>
                </w:tcPr>
                <w:p>
                  <w:pPr>
                    <w:rPr>
                      <w:rFonts w:ascii="宋体" w:hAnsi="宋体" w:cs="宋体"/>
                      <w:color w:val="auto"/>
                      <w:szCs w:val="21"/>
                      <w:highlight w:val="none"/>
                    </w:rPr>
                  </w:pPr>
                  <w:r>
                    <w:rPr>
                      <w:rFonts w:hint="eastAsia" w:ascii="宋体" w:hAnsi="宋体" w:cs="宋体"/>
                      <w:color w:val="auto"/>
                      <w:szCs w:val="21"/>
                      <w:highlight w:val="none"/>
                    </w:rPr>
                    <w:t>年费率1%，最低保费1000元</w:t>
                  </w:r>
                </w:p>
              </w:tc>
              <w:tc>
                <w:tcPr>
                  <w:tcW w:w="867" w:type="dxa"/>
                </w:tcPr>
                <w:p>
                  <w:pPr>
                    <w:rPr>
                      <w:rFonts w:ascii="宋体" w:hAnsi="宋体" w:cs="宋体"/>
                      <w:color w:val="auto"/>
                      <w:szCs w:val="21"/>
                      <w:highlight w:val="none"/>
                    </w:rPr>
                  </w:pPr>
                  <w:r>
                    <w:rPr>
                      <w:rFonts w:hint="eastAsia" w:ascii="宋体" w:hAnsi="宋体" w:cs="宋体"/>
                      <w:color w:val="auto"/>
                      <w:szCs w:val="21"/>
                      <w:highlight w:val="none"/>
                    </w:rPr>
                    <w:t>尹刚强</w:t>
                  </w:r>
                </w:p>
              </w:tc>
              <w:tc>
                <w:tcPr>
                  <w:tcW w:w="1117" w:type="dxa"/>
                </w:tcPr>
                <w:p>
                  <w:pPr>
                    <w:rPr>
                      <w:rFonts w:ascii="宋体" w:hAnsi="宋体" w:cs="宋体"/>
                      <w:color w:val="auto"/>
                      <w:szCs w:val="21"/>
                      <w:highlight w:val="none"/>
                    </w:rPr>
                  </w:pPr>
                  <w:r>
                    <w:rPr>
                      <w:rFonts w:hint="eastAsia" w:ascii="宋体" w:hAnsi="宋体" w:cs="宋体"/>
                      <w:color w:val="auto"/>
                      <w:szCs w:val="21"/>
                      <w:highlight w:val="none"/>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239" w:hRule="atLeast"/>
              </w:trPr>
              <w:tc>
                <w:tcPr>
                  <w:tcW w:w="2415" w:type="dxa"/>
                </w:tcPr>
                <w:p>
                  <w:pPr>
                    <w:rPr>
                      <w:rFonts w:ascii="宋体" w:hAnsi="宋体" w:cs="宋体"/>
                      <w:color w:val="auto"/>
                      <w:szCs w:val="21"/>
                      <w:highlight w:val="none"/>
                    </w:rPr>
                  </w:pPr>
                  <w:r>
                    <w:rPr>
                      <w:rFonts w:hint="eastAsia" w:ascii="宋体" w:hAnsi="宋体" w:cs="宋体"/>
                      <w:color w:val="auto"/>
                      <w:szCs w:val="21"/>
                      <w:highlight w:val="none"/>
                    </w:rPr>
                    <w:t>华泰财产保险有限公司台州中心支公司</w:t>
                  </w:r>
                </w:p>
              </w:tc>
              <w:tc>
                <w:tcPr>
                  <w:tcW w:w="1500" w:type="dxa"/>
                </w:tcPr>
                <w:p>
                  <w:pPr>
                    <w:rPr>
                      <w:rFonts w:ascii="宋体" w:hAnsi="宋体" w:cs="宋体"/>
                      <w:color w:val="auto"/>
                      <w:szCs w:val="21"/>
                      <w:highlight w:val="none"/>
                    </w:rPr>
                  </w:pPr>
                  <w:r>
                    <w:rPr>
                      <w:rFonts w:hint="eastAsia" w:ascii="宋体" w:hAnsi="宋体" w:cs="宋体"/>
                      <w:color w:val="auto"/>
                      <w:szCs w:val="21"/>
                      <w:highlight w:val="none"/>
                    </w:rPr>
                    <w:t>年费率0.5%，最低保费1000元</w:t>
                  </w:r>
                </w:p>
              </w:tc>
              <w:tc>
                <w:tcPr>
                  <w:tcW w:w="867" w:type="dxa"/>
                </w:tcPr>
                <w:p>
                  <w:pPr>
                    <w:rPr>
                      <w:rFonts w:ascii="宋体" w:hAnsi="宋体" w:cs="宋体"/>
                      <w:color w:val="auto"/>
                      <w:szCs w:val="21"/>
                      <w:highlight w:val="none"/>
                    </w:rPr>
                  </w:pPr>
                  <w:r>
                    <w:rPr>
                      <w:rFonts w:hint="eastAsia" w:ascii="宋体" w:hAnsi="宋体" w:cs="宋体"/>
                      <w:color w:val="auto"/>
                      <w:szCs w:val="21"/>
                      <w:highlight w:val="none"/>
                    </w:rPr>
                    <w:t>王灵芳</w:t>
                  </w:r>
                </w:p>
              </w:tc>
              <w:tc>
                <w:tcPr>
                  <w:tcW w:w="1117" w:type="dxa"/>
                </w:tcPr>
                <w:p>
                  <w:pPr>
                    <w:rPr>
                      <w:rFonts w:ascii="宋体" w:hAnsi="宋体" w:cs="宋体"/>
                      <w:color w:val="auto"/>
                      <w:szCs w:val="21"/>
                      <w:highlight w:val="none"/>
                    </w:rPr>
                  </w:pPr>
                  <w:r>
                    <w:rPr>
                      <w:rFonts w:hint="eastAsia" w:ascii="宋体" w:hAnsi="宋体" w:cs="宋体"/>
                      <w:color w:val="auto"/>
                      <w:szCs w:val="21"/>
                      <w:highlight w:val="none"/>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239" w:hRule="atLeast"/>
              </w:trPr>
              <w:tc>
                <w:tcPr>
                  <w:tcW w:w="2415" w:type="dxa"/>
                </w:tcPr>
                <w:p>
                  <w:pPr>
                    <w:rPr>
                      <w:rFonts w:ascii="宋体" w:hAnsi="宋体" w:cs="宋体"/>
                      <w:color w:val="auto"/>
                      <w:szCs w:val="21"/>
                      <w:highlight w:val="none"/>
                    </w:rPr>
                  </w:pPr>
                  <w:r>
                    <w:rPr>
                      <w:rFonts w:hint="eastAsia" w:ascii="宋体" w:hAnsi="宋体" w:cs="宋体"/>
                      <w:color w:val="auto"/>
                      <w:szCs w:val="21"/>
                      <w:highlight w:val="none"/>
                    </w:rPr>
                    <w:t>中国大地财产保险股份有限公司台州中心支公司</w:t>
                  </w:r>
                </w:p>
              </w:tc>
              <w:tc>
                <w:tcPr>
                  <w:tcW w:w="1500" w:type="dxa"/>
                </w:tcPr>
                <w:p>
                  <w:pPr>
                    <w:rPr>
                      <w:rFonts w:ascii="宋体" w:hAnsi="宋体" w:cs="宋体"/>
                      <w:color w:val="auto"/>
                      <w:szCs w:val="21"/>
                      <w:highlight w:val="none"/>
                    </w:rPr>
                  </w:pPr>
                  <w:r>
                    <w:rPr>
                      <w:rFonts w:hint="eastAsia" w:ascii="宋体" w:hAnsi="宋体" w:cs="宋体"/>
                      <w:color w:val="auto"/>
                      <w:szCs w:val="21"/>
                      <w:highlight w:val="none"/>
                    </w:rPr>
                    <w:t>年费率1.5%，最低保费1000元</w:t>
                  </w:r>
                </w:p>
              </w:tc>
              <w:tc>
                <w:tcPr>
                  <w:tcW w:w="867" w:type="dxa"/>
                </w:tcPr>
                <w:p>
                  <w:pPr>
                    <w:rPr>
                      <w:rFonts w:ascii="宋体" w:hAnsi="宋体" w:cs="宋体"/>
                      <w:color w:val="auto"/>
                      <w:szCs w:val="21"/>
                      <w:highlight w:val="none"/>
                    </w:rPr>
                  </w:pPr>
                  <w:r>
                    <w:rPr>
                      <w:rFonts w:hint="eastAsia" w:ascii="宋体" w:hAnsi="宋体" w:cs="宋体"/>
                      <w:color w:val="auto"/>
                      <w:szCs w:val="21"/>
                      <w:highlight w:val="none"/>
                    </w:rPr>
                    <w:t>徐小明</w:t>
                  </w:r>
                </w:p>
              </w:tc>
              <w:tc>
                <w:tcPr>
                  <w:tcW w:w="1117" w:type="dxa"/>
                </w:tcPr>
                <w:p>
                  <w:pPr>
                    <w:rPr>
                      <w:rFonts w:ascii="宋体" w:hAnsi="宋体" w:cs="宋体"/>
                      <w:color w:val="auto"/>
                      <w:szCs w:val="21"/>
                      <w:highlight w:val="none"/>
                    </w:rPr>
                  </w:pPr>
                  <w:r>
                    <w:rPr>
                      <w:rFonts w:hint="eastAsia" w:ascii="宋体" w:hAnsi="宋体" w:cs="宋体"/>
                      <w:color w:val="auto"/>
                      <w:szCs w:val="21"/>
                      <w:highlight w:val="none"/>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93" w:hRule="atLeast"/>
              </w:trPr>
              <w:tc>
                <w:tcPr>
                  <w:tcW w:w="2415" w:type="dxa"/>
                </w:tcPr>
                <w:p>
                  <w:pPr>
                    <w:rPr>
                      <w:rFonts w:ascii="宋体" w:hAnsi="宋体" w:cs="宋体"/>
                      <w:color w:val="auto"/>
                      <w:szCs w:val="21"/>
                      <w:highlight w:val="none"/>
                    </w:rPr>
                  </w:pPr>
                  <w:r>
                    <w:rPr>
                      <w:rFonts w:hint="eastAsia" w:ascii="宋体" w:hAnsi="宋体" w:cs="宋体"/>
                      <w:color w:val="auto"/>
                      <w:szCs w:val="21"/>
                      <w:highlight w:val="none"/>
                    </w:rPr>
                    <w:t>阳光保险台州中心支公司</w:t>
                  </w:r>
                </w:p>
              </w:tc>
              <w:tc>
                <w:tcPr>
                  <w:tcW w:w="1500" w:type="dxa"/>
                </w:tcPr>
                <w:p>
                  <w:pPr>
                    <w:rPr>
                      <w:rFonts w:ascii="宋体" w:hAnsi="宋体" w:cs="宋体"/>
                      <w:color w:val="auto"/>
                      <w:szCs w:val="21"/>
                      <w:highlight w:val="none"/>
                    </w:rPr>
                  </w:pPr>
                  <w:r>
                    <w:rPr>
                      <w:rFonts w:hint="eastAsia" w:ascii="宋体" w:hAnsi="宋体" w:cs="宋体"/>
                      <w:color w:val="auto"/>
                      <w:szCs w:val="21"/>
                      <w:highlight w:val="none"/>
                    </w:rPr>
                    <w:t>年费率1%，最低保费500元</w:t>
                  </w:r>
                </w:p>
              </w:tc>
              <w:tc>
                <w:tcPr>
                  <w:tcW w:w="867" w:type="dxa"/>
                </w:tcPr>
                <w:p>
                  <w:pPr>
                    <w:rPr>
                      <w:rFonts w:ascii="宋体" w:hAnsi="宋体" w:cs="宋体"/>
                      <w:color w:val="auto"/>
                      <w:szCs w:val="21"/>
                      <w:highlight w:val="none"/>
                    </w:rPr>
                  </w:pPr>
                  <w:r>
                    <w:rPr>
                      <w:rFonts w:hint="eastAsia" w:ascii="宋体" w:hAnsi="宋体" w:cs="宋体"/>
                      <w:color w:val="auto"/>
                      <w:szCs w:val="21"/>
                      <w:highlight w:val="none"/>
                    </w:rPr>
                    <w:t>林高明</w:t>
                  </w:r>
                </w:p>
              </w:tc>
              <w:tc>
                <w:tcPr>
                  <w:tcW w:w="1117" w:type="dxa"/>
                </w:tcPr>
                <w:p>
                  <w:pPr>
                    <w:rPr>
                      <w:rFonts w:ascii="宋体" w:hAnsi="宋体" w:cs="宋体"/>
                      <w:color w:val="auto"/>
                      <w:szCs w:val="21"/>
                      <w:highlight w:val="none"/>
                    </w:rPr>
                  </w:pPr>
                  <w:r>
                    <w:rPr>
                      <w:rFonts w:hint="eastAsia" w:ascii="宋体" w:hAnsi="宋体" w:cs="宋体"/>
                      <w:color w:val="auto"/>
                      <w:szCs w:val="21"/>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93" w:hRule="atLeast"/>
              </w:trPr>
              <w:tc>
                <w:tcPr>
                  <w:tcW w:w="2415" w:type="dxa"/>
                </w:tcPr>
                <w:p>
                  <w:pPr>
                    <w:rPr>
                      <w:rFonts w:ascii="宋体" w:hAnsi="宋体" w:cs="宋体"/>
                      <w:color w:val="auto"/>
                      <w:szCs w:val="21"/>
                      <w:highlight w:val="none"/>
                    </w:rPr>
                  </w:pPr>
                  <w:r>
                    <w:rPr>
                      <w:rFonts w:hint="eastAsia" w:ascii="宋体" w:hAnsi="宋体" w:cs="宋体"/>
                      <w:color w:val="auto"/>
                      <w:szCs w:val="21"/>
                      <w:highlight w:val="none"/>
                    </w:rPr>
                    <w:t>中华联合财产保险股份有限公司台州中心支公司</w:t>
                  </w:r>
                </w:p>
              </w:tc>
              <w:tc>
                <w:tcPr>
                  <w:tcW w:w="1500" w:type="dxa"/>
                </w:tcPr>
                <w:p>
                  <w:pPr>
                    <w:rPr>
                      <w:rFonts w:ascii="宋体" w:hAnsi="宋体" w:cs="宋体"/>
                      <w:color w:val="auto"/>
                      <w:szCs w:val="21"/>
                      <w:highlight w:val="none"/>
                    </w:rPr>
                  </w:pPr>
                  <w:r>
                    <w:rPr>
                      <w:rFonts w:hint="eastAsia" w:ascii="宋体" w:hAnsi="宋体" w:cs="宋体"/>
                      <w:color w:val="auto"/>
                      <w:szCs w:val="21"/>
                      <w:highlight w:val="none"/>
                    </w:rPr>
                    <w:t>年费率2%，最低保费500元</w:t>
                  </w:r>
                </w:p>
              </w:tc>
              <w:tc>
                <w:tcPr>
                  <w:tcW w:w="867" w:type="dxa"/>
                </w:tcPr>
                <w:p>
                  <w:pPr>
                    <w:rPr>
                      <w:rFonts w:ascii="宋体" w:hAnsi="宋体" w:cs="宋体"/>
                      <w:color w:val="auto"/>
                      <w:szCs w:val="21"/>
                      <w:highlight w:val="none"/>
                    </w:rPr>
                  </w:pPr>
                  <w:r>
                    <w:rPr>
                      <w:rFonts w:hint="eastAsia" w:ascii="宋体" w:hAnsi="宋体" w:cs="宋体"/>
                      <w:color w:val="auto"/>
                      <w:szCs w:val="21"/>
                      <w:highlight w:val="none"/>
                    </w:rPr>
                    <w:t>王仙高</w:t>
                  </w:r>
                </w:p>
              </w:tc>
              <w:tc>
                <w:tcPr>
                  <w:tcW w:w="1117" w:type="dxa"/>
                </w:tcPr>
                <w:p>
                  <w:pPr>
                    <w:rPr>
                      <w:rFonts w:ascii="宋体" w:hAnsi="宋体" w:cs="宋体"/>
                      <w:color w:val="auto"/>
                      <w:szCs w:val="21"/>
                      <w:highlight w:val="none"/>
                    </w:rPr>
                  </w:pPr>
                  <w:r>
                    <w:rPr>
                      <w:rFonts w:hint="eastAsia" w:ascii="宋体" w:hAnsi="宋体" w:cs="宋体"/>
                      <w:color w:val="auto"/>
                      <w:szCs w:val="21"/>
                      <w:highlight w:val="none"/>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239" w:hRule="atLeast"/>
              </w:trPr>
              <w:tc>
                <w:tcPr>
                  <w:tcW w:w="2415" w:type="dxa"/>
                </w:tcPr>
                <w:p>
                  <w:pPr>
                    <w:rPr>
                      <w:rFonts w:ascii="宋体" w:hAnsi="宋体" w:cs="宋体"/>
                      <w:color w:val="auto"/>
                      <w:szCs w:val="21"/>
                      <w:highlight w:val="none"/>
                    </w:rPr>
                  </w:pPr>
                  <w:r>
                    <w:rPr>
                      <w:rFonts w:hint="eastAsia" w:ascii="宋体" w:hAnsi="宋体" w:cs="宋体"/>
                      <w:color w:val="auto"/>
                      <w:szCs w:val="21"/>
                      <w:highlight w:val="none"/>
                    </w:rPr>
                    <w:t>中国人民财产保险股份有限公司台州中心支公司</w:t>
                  </w:r>
                </w:p>
              </w:tc>
              <w:tc>
                <w:tcPr>
                  <w:tcW w:w="1500" w:type="dxa"/>
                </w:tcPr>
                <w:p>
                  <w:pPr>
                    <w:rPr>
                      <w:rFonts w:ascii="宋体" w:hAnsi="宋体" w:cs="宋体"/>
                      <w:color w:val="auto"/>
                      <w:szCs w:val="21"/>
                      <w:highlight w:val="none"/>
                    </w:rPr>
                  </w:pPr>
                  <w:r>
                    <w:rPr>
                      <w:rFonts w:hint="eastAsia" w:ascii="宋体" w:hAnsi="宋体" w:cs="宋体"/>
                      <w:color w:val="auto"/>
                      <w:szCs w:val="21"/>
                      <w:highlight w:val="none"/>
                    </w:rPr>
                    <w:t>年费率0.3%，最低保费1000元</w:t>
                  </w:r>
                </w:p>
              </w:tc>
              <w:tc>
                <w:tcPr>
                  <w:tcW w:w="867" w:type="dxa"/>
                </w:tcPr>
                <w:p>
                  <w:pPr>
                    <w:rPr>
                      <w:rFonts w:ascii="宋体" w:hAnsi="宋体" w:cs="宋体"/>
                      <w:color w:val="auto"/>
                      <w:szCs w:val="21"/>
                      <w:highlight w:val="none"/>
                    </w:rPr>
                  </w:pPr>
                  <w:r>
                    <w:rPr>
                      <w:rFonts w:hint="eastAsia" w:ascii="宋体" w:hAnsi="宋体" w:cs="宋体"/>
                      <w:color w:val="auto"/>
                      <w:szCs w:val="21"/>
                      <w:highlight w:val="none"/>
                    </w:rPr>
                    <w:t>王仙春</w:t>
                  </w:r>
                </w:p>
              </w:tc>
              <w:tc>
                <w:tcPr>
                  <w:tcW w:w="1117" w:type="dxa"/>
                </w:tcPr>
                <w:p>
                  <w:pPr>
                    <w:rPr>
                      <w:rFonts w:ascii="宋体" w:hAnsi="宋体" w:cs="宋体"/>
                      <w:color w:val="auto"/>
                      <w:szCs w:val="21"/>
                      <w:highlight w:val="none"/>
                    </w:rPr>
                  </w:pPr>
                  <w:r>
                    <w:rPr>
                      <w:rFonts w:hint="eastAsia" w:ascii="宋体" w:hAnsi="宋体" w:cs="宋体"/>
                      <w:color w:val="auto"/>
                      <w:szCs w:val="21"/>
                      <w:highlight w:val="none"/>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23" w:hRule="atLeast"/>
              </w:trPr>
              <w:tc>
                <w:tcPr>
                  <w:tcW w:w="2415" w:type="dxa"/>
                </w:tcPr>
                <w:p>
                  <w:pPr>
                    <w:jc w:val="left"/>
                    <w:rPr>
                      <w:rFonts w:ascii="宋体" w:hAnsi="宋体" w:cs="宋体"/>
                      <w:color w:val="auto"/>
                      <w:szCs w:val="21"/>
                      <w:highlight w:val="none"/>
                    </w:rPr>
                  </w:pPr>
                  <w:r>
                    <w:rPr>
                      <w:rFonts w:hint="eastAsia" w:ascii="宋体" w:hAnsi="宋体" w:cs="宋体"/>
                      <w:color w:val="auto"/>
                      <w:szCs w:val="21"/>
                      <w:highlight w:val="none"/>
                    </w:rPr>
                    <w:t>永安财产保险股份有限公司台州中心支公司</w:t>
                  </w:r>
                </w:p>
              </w:tc>
              <w:tc>
                <w:tcPr>
                  <w:tcW w:w="1500" w:type="dxa"/>
                </w:tcPr>
                <w:p>
                  <w:pPr>
                    <w:jc w:val="left"/>
                    <w:rPr>
                      <w:rFonts w:ascii="宋体" w:hAnsi="宋体" w:cs="宋体"/>
                      <w:color w:val="auto"/>
                      <w:szCs w:val="21"/>
                      <w:highlight w:val="none"/>
                    </w:rPr>
                  </w:pPr>
                  <w:r>
                    <w:rPr>
                      <w:rFonts w:hint="eastAsia" w:ascii="宋体" w:hAnsi="宋体" w:cs="宋体"/>
                      <w:color w:val="auto"/>
                      <w:szCs w:val="21"/>
                      <w:highlight w:val="none"/>
                    </w:rPr>
                    <w:t>年费率0.3%，最低保费1000</w:t>
                  </w:r>
                </w:p>
              </w:tc>
              <w:tc>
                <w:tcPr>
                  <w:tcW w:w="867" w:type="dxa"/>
                </w:tcPr>
                <w:p>
                  <w:pPr>
                    <w:jc w:val="left"/>
                    <w:rPr>
                      <w:rFonts w:ascii="宋体" w:hAnsi="宋体" w:cs="宋体"/>
                      <w:color w:val="auto"/>
                      <w:szCs w:val="21"/>
                      <w:highlight w:val="none"/>
                    </w:rPr>
                  </w:pPr>
                  <w:r>
                    <w:rPr>
                      <w:rFonts w:hint="eastAsia" w:ascii="宋体" w:hAnsi="宋体" w:cs="宋体"/>
                      <w:color w:val="auto"/>
                      <w:szCs w:val="21"/>
                      <w:highlight w:val="none"/>
                    </w:rPr>
                    <w:t>王春宇</w:t>
                  </w:r>
                </w:p>
              </w:tc>
              <w:tc>
                <w:tcPr>
                  <w:tcW w:w="1117" w:type="dxa"/>
                </w:tcPr>
                <w:p>
                  <w:pPr>
                    <w:jc w:val="left"/>
                    <w:rPr>
                      <w:rFonts w:ascii="宋体" w:hAnsi="宋体" w:cs="宋体"/>
                      <w:color w:val="auto"/>
                      <w:szCs w:val="21"/>
                      <w:highlight w:val="none"/>
                    </w:rPr>
                  </w:pPr>
                  <w:r>
                    <w:rPr>
                      <w:rFonts w:hint="eastAsia" w:ascii="宋体" w:hAnsi="宋体" w:cs="宋体"/>
                      <w:color w:val="auto"/>
                      <w:szCs w:val="21"/>
                      <w:highlight w:val="none"/>
                    </w:rPr>
                    <w:t>13676675331</w:t>
                  </w:r>
                </w:p>
              </w:tc>
            </w:tr>
          </w:tbl>
          <w:p>
            <w:pPr>
              <w:jc w:val="center"/>
              <w:rPr>
                <w:rFonts w:ascii="宋体" w:hAnsi="宋体" w:cs="宋体"/>
                <w:color w:val="auto"/>
                <w:sz w:val="32"/>
                <w:szCs w:val="32"/>
                <w:highlight w:val="none"/>
              </w:rPr>
            </w:pPr>
          </w:p>
          <w:p>
            <w:pPr>
              <w:rPr>
                <w:rFonts w:ascii="宋体" w:hAnsi="宋体" w:cs="宋体"/>
                <w:color w:val="auto"/>
                <w:sz w:val="32"/>
                <w:szCs w:val="32"/>
                <w:highlight w:val="none"/>
              </w:rPr>
            </w:pPr>
            <w:r>
              <w:rPr>
                <w:rFonts w:hint="eastAsia" w:ascii="宋体" w:hAnsi="宋体" w:cs="宋体"/>
                <w:color w:val="auto"/>
                <w:sz w:val="24"/>
                <w:highlight w:val="none"/>
              </w:rPr>
              <w:t>中标供应商如有预付款保函需求，可使用以下联系方式：</w:t>
            </w:r>
          </w:p>
          <w:tbl>
            <w:tblPr>
              <w:tblStyle w:val="3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04"/>
              <w:gridCol w:w="1671"/>
              <w:gridCol w:w="856"/>
              <w:gridCol w:w="10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60" w:hRule="atLeast"/>
              </w:trPr>
              <w:tc>
                <w:tcPr>
                  <w:tcW w:w="240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1671" w:type="dxa"/>
                  <w:vAlign w:val="center"/>
                </w:tcPr>
                <w:p>
                  <w:pPr>
                    <w:jc w:val="center"/>
                    <w:rPr>
                      <w:rFonts w:ascii="宋体" w:hAnsi="宋体" w:cs="宋体"/>
                      <w:color w:val="auto"/>
                      <w:highlight w:val="none"/>
                    </w:rPr>
                  </w:pPr>
                  <w:r>
                    <w:rPr>
                      <w:rFonts w:hint="eastAsia" w:ascii="宋体" w:hAnsi="宋体" w:cs="宋体"/>
                      <w:color w:val="auto"/>
                      <w:highlight w:val="none"/>
                    </w:rPr>
                    <w:t>保费率</w:t>
                  </w:r>
                </w:p>
              </w:tc>
              <w:tc>
                <w:tcPr>
                  <w:tcW w:w="856" w:type="dxa"/>
                  <w:vAlign w:val="center"/>
                </w:tcPr>
                <w:p>
                  <w:pPr>
                    <w:jc w:val="center"/>
                    <w:rPr>
                      <w:rFonts w:ascii="宋体" w:hAnsi="宋体" w:cs="宋体"/>
                      <w:color w:val="auto"/>
                      <w:highlight w:val="none"/>
                    </w:rPr>
                  </w:pPr>
                  <w:r>
                    <w:rPr>
                      <w:rFonts w:hint="eastAsia" w:ascii="宋体" w:hAnsi="宋体" w:cs="宋体"/>
                      <w:color w:val="auto"/>
                      <w:highlight w:val="none"/>
                    </w:rPr>
                    <w:t>联系人</w:t>
                  </w:r>
                </w:p>
              </w:tc>
              <w:tc>
                <w:tcPr>
                  <w:tcW w:w="1026" w:type="dxa"/>
                  <w:vAlign w:val="center"/>
                </w:tcPr>
                <w:p>
                  <w:pPr>
                    <w:jc w:val="center"/>
                    <w:rPr>
                      <w:rFonts w:ascii="宋体" w:hAnsi="宋体" w:cs="宋体"/>
                      <w:color w:val="auto"/>
                      <w:highlight w:val="none"/>
                    </w:rPr>
                  </w:pPr>
                  <w:r>
                    <w:rPr>
                      <w:rFonts w:hint="eastAsia" w:ascii="宋体" w:hAnsi="宋体" w:cs="宋体"/>
                      <w:color w:val="auto"/>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2404" w:type="dxa"/>
                </w:tcPr>
                <w:p>
                  <w:pPr>
                    <w:rPr>
                      <w:rFonts w:ascii="宋体" w:hAnsi="宋体" w:cs="宋体"/>
                      <w:color w:val="auto"/>
                      <w:highlight w:val="none"/>
                    </w:rPr>
                  </w:pPr>
                  <w:r>
                    <w:rPr>
                      <w:rFonts w:hint="eastAsia" w:ascii="宋体" w:hAnsi="宋体" w:cs="宋体"/>
                      <w:color w:val="auto"/>
                      <w:highlight w:val="none"/>
                    </w:rPr>
                    <w:t>中国人寿财产保险股份有限公司台州中心支公司</w:t>
                  </w:r>
                </w:p>
              </w:tc>
              <w:tc>
                <w:tcPr>
                  <w:tcW w:w="1671" w:type="dxa"/>
                </w:tcPr>
                <w:p>
                  <w:pPr>
                    <w:rPr>
                      <w:rFonts w:ascii="宋体" w:hAnsi="宋体" w:cs="宋体"/>
                      <w:color w:val="auto"/>
                      <w:highlight w:val="none"/>
                    </w:rPr>
                  </w:pPr>
                  <w:r>
                    <w:rPr>
                      <w:rFonts w:hint="eastAsia" w:ascii="宋体" w:hAnsi="宋体" w:cs="宋体"/>
                      <w:color w:val="auto"/>
                      <w:highlight w:val="none"/>
                    </w:rPr>
                    <w:t>年费率3%，最低保费500元</w:t>
                  </w:r>
                </w:p>
              </w:tc>
              <w:tc>
                <w:tcPr>
                  <w:tcW w:w="856" w:type="dxa"/>
                </w:tcPr>
                <w:p>
                  <w:pPr>
                    <w:rPr>
                      <w:rFonts w:ascii="宋体" w:hAnsi="宋体" w:cs="宋体"/>
                      <w:color w:val="auto"/>
                      <w:highlight w:val="none"/>
                    </w:rPr>
                  </w:pPr>
                  <w:r>
                    <w:rPr>
                      <w:rFonts w:hint="eastAsia" w:ascii="宋体" w:hAnsi="宋体" w:cs="宋体"/>
                      <w:color w:val="auto"/>
                      <w:highlight w:val="none"/>
                    </w:rPr>
                    <w:t>徐凌</w:t>
                  </w:r>
                </w:p>
              </w:tc>
              <w:tc>
                <w:tcPr>
                  <w:tcW w:w="1026" w:type="dxa"/>
                </w:tcPr>
                <w:p>
                  <w:pPr>
                    <w:rPr>
                      <w:rFonts w:ascii="宋体" w:hAnsi="宋体" w:cs="宋体"/>
                      <w:color w:val="auto"/>
                      <w:highlight w:val="none"/>
                    </w:rPr>
                  </w:pPr>
                  <w:r>
                    <w:rPr>
                      <w:rFonts w:hint="eastAsia" w:ascii="宋体" w:hAnsi="宋体" w:cs="宋体"/>
                      <w:color w:val="auto"/>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24" w:hRule="atLeast"/>
              </w:trPr>
              <w:tc>
                <w:tcPr>
                  <w:tcW w:w="2404" w:type="dxa"/>
                </w:tcPr>
                <w:p>
                  <w:pPr>
                    <w:rPr>
                      <w:rFonts w:ascii="宋体" w:hAnsi="宋体" w:cs="宋体"/>
                      <w:color w:val="auto"/>
                      <w:highlight w:val="none"/>
                    </w:rPr>
                  </w:pPr>
                  <w:r>
                    <w:rPr>
                      <w:rFonts w:hint="eastAsia" w:ascii="宋体" w:hAnsi="宋体" w:cs="宋体"/>
                      <w:color w:val="auto"/>
                      <w:highlight w:val="none"/>
                    </w:rPr>
                    <w:t>阳光保险台州中心支公司</w:t>
                  </w:r>
                </w:p>
              </w:tc>
              <w:tc>
                <w:tcPr>
                  <w:tcW w:w="1671" w:type="dxa"/>
                </w:tcPr>
                <w:p>
                  <w:pPr>
                    <w:rPr>
                      <w:rFonts w:ascii="宋体" w:hAnsi="宋体" w:cs="宋体"/>
                      <w:color w:val="auto"/>
                      <w:highlight w:val="none"/>
                    </w:rPr>
                  </w:pPr>
                  <w:r>
                    <w:rPr>
                      <w:rFonts w:hint="eastAsia" w:ascii="宋体" w:hAnsi="宋体" w:cs="宋体"/>
                      <w:color w:val="auto"/>
                      <w:highlight w:val="none"/>
                    </w:rPr>
                    <w:t>年费率1%，最低保费500元</w:t>
                  </w:r>
                </w:p>
              </w:tc>
              <w:tc>
                <w:tcPr>
                  <w:tcW w:w="856" w:type="dxa"/>
                </w:tcPr>
                <w:p>
                  <w:pPr>
                    <w:rPr>
                      <w:rFonts w:ascii="宋体" w:hAnsi="宋体" w:cs="宋体"/>
                      <w:color w:val="auto"/>
                      <w:highlight w:val="none"/>
                    </w:rPr>
                  </w:pPr>
                  <w:r>
                    <w:rPr>
                      <w:rFonts w:hint="eastAsia" w:ascii="宋体" w:hAnsi="宋体" w:cs="宋体"/>
                      <w:color w:val="auto"/>
                      <w:highlight w:val="none"/>
                    </w:rPr>
                    <w:t>林高明</w:t>
                  </w:r>
                </w:p>
              </w:tc>
              <w:tc>
                <w:tcPr>
                  <w:tcW w:w="1026" w:type="dxa"/>
                </w:tcPr>
                <w:p>
                  <w:pPr>
                    <w:rPr>
                      <w:rFonts w:ascii="宋体" w:hAnsi="宋体" w:cs="宋体"/>
                      <w:color w:val="auto"/>
                      <w:highlight w:val="none"/>
                    </w:rPr>
                  </w:pPr>
                  <w:r>
                    <w:rPr>
                      <w:rFonts w:hint="eastAsia" w:ascii="宋体" w:hAnsi="宋体" w:cs="宋体"/>
                      <w:color w:val="auto"/>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33" w:hRule="atLeast"/>
              </w:trPr>
              <w:tc>
                <w:tcPr>
                  <w:tcW w:w="2404" w:type="dxa"/>
                </w:tcPr>
                <w:p>
                  <w:pPr>
                    <w:rPr>
                      <w:rFonts w:ascii="宋体" w:hAnsi="宋体" w:cs="宋体"/>
                      <w:color w:val="auto"/>
                      <w:highlight w:val="none"/>
                    </w:rPr>
                  </w:pPr>
                  <w:r>
                    <w:rPr>
                      <w:rFonts w:hint="eastAsia" w:ascii="宋体" w:hAnsi="宋体" w:cs="宋体"/>
                      <w:color w:val="auto"/>
                      <w:highlight w:val="none"/>
                    </w:rPr>
                    <w:t>天安财产保险股份有限公司台州中心支公司</w:t>
                  </w:r>
                </w:p>
              </w:tc>
              <w:tc>
                <w:tcPr>
                  <w:tcW w:w="1671" w:type="dxa"/>
                </w:tcPr>
                <w:p>
                  <w:pPr>
                    <w:rPr>
                      <w:rFonts w:ascii="宋体" w:hAnsi="宋体" w:cs="宋体"/>
                      <w:color w:val="auto"/>
                      <w:highlight w:val="none"/>
                    </w:rPr>
                  </w:pPr>
                  <w:r>
                    <w:rPr>
                      <w:rFonts w:hint="eastAsia" w:ascii="宋体" w:hAnsi="宋体" w:cs="宋体"/>
                      <w:color w:val="auto"/>
                      <w:highlight w:val="none"/>
                    </w:rPr>
                    <w:t>年费率1%-2%，最低保费500元</w:t>
                  </w:r>
                </w:p>
              </w:tc>
              <w:tc>
                <w:tcPr>
                  <w:tcW w:w="856" w:type="dxa"/>
                </w:tcPr>
                <w:p>
                  <w:pPr>
                    <w:rPr>
                      <w:rFonts w:ascii="宋体" w:hAnsi="宋体" w:cs="宋体"/>
                      <w:color w:val="auto"/>
                      <w:highlight w:val="none"/>
                    </w:rPr>
                  </w:pPr>
                  <w:r>
                    <w:rPr>
                      <w:rFonts w:hint="eastAsia" w:ascii="宋体" w:hAnsi="宋体" w:cs="宋体"/>
                      <w:color w:val="auto"/>
                      <w:highlight w:val="none"/>
                    </w:rPr>
                    <w:t>罗赛</w:t>
                  </w:r>
                </w:p>
              </w:tc>
              <w:tc>
                <w:tcPr>
                  <w:tcW w:w="1026" w:type="dxa"/>
                </w:tcPr>
                <w:p>
                  <w:pPr>
                    <w:rPr>
                      <w:rFonts w:ascii="宋体" w:hAnsi="宋体" w:cs="宋体"/>
                      <w:color w:val="auto"/>
                      <w:highlight w:val="none"/>
                    </w:rPr>
                  </w:pPr>
                  <w:r>
                    <w:rPr>
                      <w:rFonts w:hint="eastAsia" w:ascii="宋体" w:hAnsi="宋体" w:cs="宋体"/>
                      <w:color w:val="auto"/>
                      <w:highlight w:val="none"/>
                    </w:rPr>
                    <w:t>13736605643</w:t>
                  </w:r>
                </w:p>
              </w:tc>
            </w:tr>
          </w:tbl>
          <w:p>
            <w:pPr>
              <w:rPr>
                <w:rFonts w:ascii="宋体" w:hAnsi="宋体" w:cs="宋体"/>
                <w:color w:val="auto"/>
                <w:highlight w:val="none"/>
              </w:rPr>
            </w:pPr>
          </w:p>
          <w:p>
            <w:pPr>
              <w:autoSpaceDE w:val="0"/>
              <w:autoSpaceDN w:val="0"/>
              <w:adjustRightInd w:val="0"/>
              <w:spacing w:line="360" w:lineRule="auto"/>
              <w:rPr>
                <w:rFonts w:ascii="宋体" w:hAnsi="宋体" w:cs="宋体"/>
                <w:color w:val="auto"/>
                <w:sz w:val="24"/>
                <w:highlight w:val="none"/>
              </w:rPr>
            </w:pPr>
          </w:p>
        </w:tc>
      </w:tr>
    </w:tbl>
    <w:p>
      <w:pPr>
        <w:pStyle w:val="22"/>
        <w:snapToGrid w:val="0"/>
        <w:spacing w:before="120" w:after="120" w:line="360" w:lineRule="auto"/>
        <w:rPr>
          <w:rFonts w:hAnsi="宋体" w:cs="宋体"/>
          <w:b/>
          <w:color w:val="auto"/>
          <w:sz w:val="24"/>
          <w:highlight w:val="none"/>
        </w:rPr>
      </w:pPr>
      <w:r>
        <w:rPr>
          <w:rFonts w:hint="eastAsia" w:hAnsi="宋体" w:cs="宋体"/>
          <w:b/>
          <w:color w:val="auto"/>
          <w:sz w:val="24"/>
          <w:highlight w:val="none"/>
        </w:rPr>
        <w:t>一 、总  则</w:t>
      </w:r>
    </w:p>
    <w:p>
      <w:pPr>
        <w:snapToGrid w:val="0"/>
        <w:spacing w:line="360" w:lineRule="auto"/>
        <w:ind w:firstLine="472" w:firstLineChars="196"/>
        <w:jc w:val="left"/>
        <w:outlineLvl w:val="1"/>
        <w:rPr>
          <w:rFonts w:ascii="宋体" w:hAnsi="宋体" w:cs="宋体"/>
          <w:b/>
          <w:color w:val="auto"/>
          <w:sz w:val="24"/>
          <w:highlight w:val="none"/>
        </w:rPr>
      </w:pPr>
      <w:r>
        <w:rPr>
          <w:rFonts w:hint="eastAsia" w:ascii="宋体" w:hAnsi="宋体" w:cs="宋体"/>
          <w:b/>
          <w:color w:val="auto"/>
          <w:sz w:val="24"/>
          <w:highlight w:val="none"/>
        </w:rPr>
        <w:t>（一）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w:t>
      </w:r>
      <w:r>
        <w:rPr>
          <w:rFonts w:hint="eastAsia" w:ascii="宋体" w:hAnsi="宋体" w:cs="宋体"/>
          <w:bCs/>
          <w:color w:val="auto"/>
          <w:sz w:val="24"/>
          <w:highlight w:val="none"/>
        </w:rPr>
        <w:t>本次</w:t>
      </w:r>
      <w:r>
        <w:rPr>
          <w:rFonts w:hint="eastAsia" w:ascii="宋体" w:hAnsi="宋体" w:cs="宋体"/>
          <w:color w:val="auto"/>
          <w:sz w:val="24"/>
          <w:highlight w:val="none"/>
        </w:rPr>
        <w:t>项目的招标、投标、评标、定标、验收、合同履约、付款等行为（法律、法规另有规定的，从其规定）。</w:t>
      </w:r>
    </w:p>
    <w:p>
      <w:pPr>
        <w:snapToGrid w:val="0"/>
        <w:spacing w:before="156" w:beforeLines="50" w:line="360" w:lineRule="auto"/>
        <w:ind w:firstLine="354" w:firstLineChars="147"/>
        <w:jc w:val="left"/>
        <w:outlineLvl w:val="1"/>
        <w:rPr>
          <w:rFonts w:ascii="宋体" w:hAnsi="宋体" w:cs="宋体"/>
          <w:b/>
          <w:color w:val="auto"/>
          <w:sz w:val="24"/>
          <w:highlight w:val="none"/>
        </w:rPr>
      </w:pPr>
      <w:r>
        <w:rPr>
          <w:rFonts w:hint="eastAsia" w:ascii="宋体" w:hAnsi="宋体" w:cs="宋体"/>
          <w:b/>
          <w:color w:val="auto"/>
          <w:sz w:val="24"/>
          <w:highlight w:val="none"/>
        </w:rPr>
        <w:t>（二）定义</w:t>
      </w:r>
    </w:p>
    <w:p>
      <w:pPr>
        <w:pStyle w:val="5"/>
        <w:keepNext w:val="0"/>
        <w:keepLines w:val="0"/>
        <w:tabs>
          <w:tab w:val="left" w:pos="0"/>
          <w:tab w:val="left" w:pos="851"/>
        </w:tabs>
        <w:autoSpaceDE w:val="0"/>
        <w:autoSpaceDN w:val="0"/>
        <w:adjustRightInd w:val="0"/>
        <w:snapToGrid w:val="0"/>
        <w:spacing w:before="0" w:after="0" w:line="360" w:lineRule="auto"/>
        <w:ind w:firstLine="566" w:firstLineChars="236"/>
        <w:jc w:val="left"/>
        <w:rPr>
          <w:rFonts w:ascii="宋体" w:hAnsi="宋体" w:cs="宋体"/>
          <w:b w:val="0"/>
          <w:bCs w:val="0"/>
          <w:color w:val="auto"/>
          <w:sz w:val="24"/>
          <w:szCs w:val="24"/>
          <w:highlight w:val="none"/>
        </w:rPr>
      </w:pPr>
      <w:r>
        <w:rPr>
          <w:rFonts w:hint="eastAsia" w:ascii="宋体" w:hAnsi="宋体" w:cs="宋体"/>
          <w:b w:val="0"/>
          <w:color w:val="auto"/>
          <w:sz w:val="24"/>
          <w:szCs w:val="24"/>
          <w:highlight w:val="none"/>
        </w:rPr>
        <w:t>1、</w:t>
      </w:r>
      <w:r>
        <w:rPr>
          <w:rFonts w:hint="eastAsia" w:ascii="宋体" w:hAnsi="宋体" w:cs="宋体"/>
          <w:b w:val="0"/>
          <w:bCs w:val="0"/>
          <w:color w:val="auto"/>
          <w:sz w:val="24"/>
          <w:szCs w:val="24"/>
          <w:highlight w:val="none"/>
          <w:lang w:val="zh-CN"/>
        </w:rPr>
        <w:t>“采购组织机构”指采购人委托组织招标的采购代理机构。</w:t>
      </w:r>
    </w:p>
    <w:p>
      <w:pPr>
        <w:snapToGrid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2、采购人：是指委托采购代理机构采购本次项目的国家机关、事业单位和团体组织。</w:t>
      </w:r>
    </w:p>
    <w:p>
      <w:pPr>
        <w:snapToGrid w:val="0"/>
        <w:spacing w:line="360" w:lineRule="auto"/>
        <w:ind w:left="424" w:leftChars="202" w:firstLine="141" w:firstLineChars="59"/>
        <w:jc w:val="left"/>
        <w:rPr>
          <w:rFonts w:ascii="宋体" w:hAnsi="宋体" w:cs="宋体"/>
          <w:color w:val="auto"/>
          <w:sz w:val="24"/>
          <w:highlight w:val="none"/>
        </w:rPr>
      </w:pPr>
      <w:r>
        <w:rPr>
          <w:rFonts w:hint="eastAsia" w:ascii="宋体" w:hAnsi="宋体" w:cs="宋体"/>
          <w:color w:val="auto"/>
          <w:sz w:val="24"/>
          <w:highlight w:val="none"/>
        </w:rPr>
        <w:t>3、投标人/投标供应商：是指向采购</w:t>
      </w:r>
      <w:r>
        <w:rPr>
          <w:rFonts w:hint="eastAsia" w:ascii="宋体" w:hAnsi="宋体" w:cs="宋体"/>
          <w:color w:val="auto"/>
          <w:sz w:val="24"/>
          <w:highlight w:val="none"/>
          <w:lang w:val="zh-CN"/>
        </w:rPr>
        <w:t>组织</w:t>
      </w:r>
      <w:r>
        <w:rPr>
          <w:rFonts w:hint="eastAsia" w:ascii="宋体" w:hAnsi="宋体" w:cs="宋体"/>
          <w:color w:val="auto"/>
          <w:sz w:val="24"/>
          <w:highlight w:val="none"/>
        </w:rPr>
        <w:t>机构提交投标文件的单位或个人。</w:t>
      </w:r>
    </w:p>
    <w:p>
      <w:pPr>
        <w:snapToGrid w:val="0"/>
        <w:spacing w:line="360" w:lineRule="auto"/>
        <w:ind w:left="424" w:leftChars="202" w:firstLine="143"/>
        <w:jc w:val="left"/>
        <w:rPr>
          <w:rFonts w:ascii="宋体" w:hAnsi="宋体" w:cs="宋体"/>
          <w:color w:val="auto"/>
          <w:sz w:val="24"/>
          <w:highlight w:val="none"/>
        </w:rPr>
      </w:pPr>
      <w:r>
        <w:rPr>
          <w:rFonts w:hint="eastAsia" w:ascii="宋体" w:hAnsi="宋体" w:cs="宋体"/>
          <w:color w:val="auto"/>
          <w:sz w:val="24"/>
          <w:highlight w:val="none"/>
        </w:rPr>
        <w:t>4、货物：是指各种形态和种类的物品，包括原材料、燃料、设备、产品等。</w:t>
      </w:r>
    </w:p>
    <w:p>
      <w:pPr>
        <w:snapToGrid w:val="0"/>
        <w:spacing w:line="360" w:lineRule="auto"/>
        <w:ind w:firstLine="566" w:firstLineChars="236"/>
        <w:jc w:val="left"/>
        <w:rPr>
          <w:rFonts w:ascii="宋体" w:hAnsi="宋体" w:cs="宋体"/>
          <w:b/>
          <w:color w:val="auto"/>
          <w:sz w:val="24"/>
          <w:highlight w:val="none"/>
        </w:rPr>
      </w:pPr>
      <w:r>
        <w:rPr>
          <w:rFonts w:hint="eastAsia" w:ascii="宋体" w:hAnsi="宋体" w:cs="宋体"/>
          <w:color w:val="auto"/>
          <w:sz w:val="24"/>
          <w:highlight w:val="none"/>
        </w:rPr>
        <w:t>5、服务：是指除货物和工程以外的政府采购对象，包括各类专业服务、信息网络开发服务、金融保险服务、运输服务，以及维修与维护服务等。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6、“书面形式”包括信函、传真等。</w:t>
      </w:r>
    </w:p>
    <w:p>
      <w:pPr>
        <w:snapToGrid w:val="0"/>
        <w:spacing w:line="360" w:lineRule="auto"/>
        <w:ind w:firstLine="566" w:firstLineChars="236"/>
        <w:jc w:val="left"/>
        <w:rPr>
          <w:rFonts w:ascii="宋体" w:hAnsi="宋体" w:cs="宋体"/>
          <w:color w:val="auto"/>
          <w:sz w:val="24"/>
          <w:highlight w:val="none"/>
        </w:rPr>
      </w:pPr>
      <w:r>
        <w:rPr>
          <w:rFonts w:hint="eastAsia" w:ascii="宋体" w:hAnsi="宋体" w:cs="宋体"/>
          <w:color w:val="auto"/>
          <w:sz w:val="24"/>
          <w:highlight w:val="none"/>
        </w:rPr>
        <w:t>7、“▲”系指实质性要求条款。</w:t>
      </w:r>
    </w:p>
    <w:p>
      <w:pPr>
        <w:snapToGrid w:val="0"/>
        <w:spacing w:before="156" w:beforeLines="50" w:line="360" w:lineRule="auto"/>
        <w:ind w:firstLine="472" w:firstLineChars="196"/>
        <w:jc w:val="left"/>
        <w:outlineLvl w:val="1"/>
        <w:rPr>
          <w:rFonts w:ascii="宋体" w:hAnsi="宋体" w:cs="宋体"/>
          <w:b/>
          <w:color w:val="auto"/>
          <w:sz w:val="24"/>
          <w:highlight w:val="none"/>
        </w:rPr>
      </w:pPr>
      <w:r>
        <w:rPr>
          <w:rFonts w:hint="eastAsia" w:ascii="宋体" w:hAnsi="宋体" w:cs="宋体"/>
          <w:b/>
          <w:color w:val="auto"/>
          <w:sz w:val="24"/>
          <w:highlight w:val="none"/>
        </w:rPr>
        <w:t>（三）投标费用</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不论投标结果如何，投标人均应自行承担所有与投标有关的全部费用（招标文件有相关规定除外）。</w:t>
      </w:r>
    </w:p>
    <w:p>
      <w:pPr>
        <w:pStyle w:val="22"/>
        <w:snapToGrid w:val="0"/>
        <w:spacing w:line="360" w:lineRule="auto"/>
        <w:ind w:left="2" w:leftChars="1" w:firstLine="482" w:firstLineChars="200"/>
        <w:rPr>
          <w:rFonts w:hAnsi="宋体" w:cs="宋体"/>
          <w:b/>
          <w:color w:val="auto"/>
          <w:sz w:val="24"/>
          <w:highlight w:val="none"/>
        </w:rPr>
      </w:pPr>
      <w:r>
        <w:rPr>
          <w:rFonts w:hint="eastAsia" w:hAnsi="宋体" w:cs="宋体"/>
          <w:b/>
          <w:color w:val="auto"/>
          <w:sz w:val="24"/>
          <w:highlight w:val="none"/>
        </w:rPr>
        <w:t>（四）特别说明</w:t>
      </w:r>
    </w:p>
    <w:p>
      <w:pPr>
        <w:pStyle w:val="22"/>
        <w:snapToGrid w:val="0"/>
        <w:spacing w:line="360" w:lineRule="auto"/>
        <w:ind w:left="2" w:leftChars="1" w:firstLine="480" w:firstLineChars="200"/>
        <w:rPr>
          <w:rFonts w:hAnsi="宋体" w:cs="宋体"/>
          <w:color w:val="auto"/>
          <w:sz w:val="24"/>
          <w:highlight w:val="none"/>
        </w:rPr>
      </w:pPr>
      <w:r>
        <w:rPr>
          <w:rFonts w:hint="eastAsia" w:hAnsi="宋体" w:cs="宋体"/>
          <w:color w:val="auto"/>
          <w:sz w:val="24"/>
          <w:highlight w:val="none"/>
        </w:rPr>
        <w:t>1、投标人投标所使用的资格、信誉、荣誉、业绩与企业认证必须为本法人所拥有。投标人投标所使用的采购项目实施人员必须为本法人员工（指本法人或控股公司正式员工）。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sz w:val="24"/>
          <w:highlight w:val="none"/>
        </w:rPr>
        <w:tab/>
      </w:r>
    </w:p>
    <w:p>
      <w:pPr>
        <w:pStyle w:val="50"/>
        <w:snapToGrid w:val="0"/>
        <w:spacing w:line="360"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5、为采购项目提供整体设计、规范编制或者项目管理、监理、检测等服务的供应商，不得再参加该采购项目的其他采购活动。</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6、投标文件格式中的表格式样可以根据项目差别做适当调整,但应当保持表格样式基本形态不变。</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7、单位负责人为同一人或者存在直接控股、管理关系的不同供应商，不得参加同一合同项下的政府采购活动。</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8、除非得到采购人的书面同意，供应商不得将本合同范围的货物全部或部分分包给他人供应；</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b/>
          <w:color w:val="auto"/>
          <w:kern w:val="0"/>
          <w:sz w:val="24"/>
          <w:highlight w:val="none"/>
        </w:rPr>
      </w:pPr>
      <w:r>
        <w:rPr>
          <w:rFonts w:hint="eastAsia" w:ascii="宋体" w:hAnsi="宋体" w:cs="宋体"/>
          <w:b/>
          <w:color w:val="auto"/>
          <w:kern w:val="0"/>
          <w:sz w:val="24"/>
          <w:highlight w:val="none"/>
        </w:rPr>
        <w:t>二、招标文件</w:t>
      </w:r>
    </w:p>
    <w:p>
      <w:pPr>
        <w:autoSpaceDE w:val="0"/>
        <w:autoSpaceDN w:val="0"/>
        <w:adjustRightIn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（一）招标文件由招标文件总目录所列内容组成。</w:t>
      </w:r>
    </w:p>
    <w:p>
      <w:pPr>
        <w:autoSpaceDE w:val="0"/>
        <w:autoSpaceDN w:val="0"/>
        <w:adjustRightInd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（二）招标文件的澄清或修改</w:t>
      </w:r>
    </w:p>
    <w:p>
      <w:pPr>
        <w:autoSpaceDE w:val="0"/>
        <w:autoSpaceDN w:val="0"/>
        <w:adjustRightIn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tabs>
          <w:tab w:val="left" w:pos="1418"/>
        </w:tabs>
        <w:autoSpaceDE w:val="0"/>
        <w:autoSpaceDN w:val="0"/>
        <w:adjustRightInd w:val="0"/>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 xml:space="preserve"> 三、投标文件</w:t>
      </w:r>
    </w:p>
    <w:p>
      <w:pPr>
        <w:autoSpaceDE w:val="0"/>
        <w:autoSpaceDN w:val="0"/>
        <w:adjustRightInd w:val="0"/>
        <w:spacing w:line="360" w:lineRule="auto"/>
        <w:ind w:firstLine="482" w:firstLineChars="200"/>
        <w:rPr>
          <w:rFonts w:ascii="宋体" w:hAnsi="宋体" w:cs="宋体"/>
          <w:b/>
          <w:bCs/>
          <w:color w:val="auto"/>
          <w:kern w:val="0"/>
          <w:sz w:val="24"/>
          <w:highlight w:val="none"/>
        </w:rPr>
      </w:pPr>
      <w:r>
        <w:rPr>
          <w:rFonts w:hint="eastAsia" w:ascii="宋体" w:hAnsi="宋体" w:cs="宋体"/>
          <w:b/>
          <w:color w:val="auto"/>
          <w:sz w:val="24"/>
          <w:highlight w:val="none"/>
          <w:lang w:val="zh-CN"/>
        </w:rPr>
        <w:t>（一）</w:t>
      </w:r>
      <w:r>
        <w:rPr>
          <w:rFonts w:hint="eastAsia" w:ascii="宋体" w:hAnsi="宋体" w:cs="宋体"/>
          <w:b/>
          <w:bCs/>
          <w:color w:val="auto"/>
          <w:kern w:val="0"/>
          <w:sz w:val="24"/>
          <w:highlight w:val="none"/>
        </w:rPr>
        <w:t>投标文件的组成</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kern w:val="0"/>
          <w:sz w:val="24"/>
          <w:highlight w:val="none"/>
        </w:rPr>
        <w:t xml:space="preserve">  投标人接到招标文件后，按照采购组织机构的要求提供：资格证明文件、商务与技术文件和报价文件。</w:t>
      </w:r>
    </w:p>
    <w:p>
      <w:pPr>
        <w:snapToGri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sz w:val="24"/>
          <w:highlight w:val="none"/>
        </w:rPr>
        <w:t>▲1、资格证明文件的组成：</w:t>
      </w:r>
    </w:p>
    <w:p>
      <w:pPr>
        <w:widowControl/>
        <w:spacing w:line="360" w:lineRule="auto"/>
        <w:ind w:right="60" w:firstLine="480" w:firstLineChars="200"/>
        <w:jc w:val="left"/>
        <w:outlineLvl w:val="0"/>
        <w:rPr>
          <w:rFonts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投标声明书；</w:t>
      </w:r>
    </w:p>
    <w:p>
      <w:pPr>
        <w:widowControl/>
        <w:spacing w:line="360" w:lineRule="auto"/>
        <w:ind w:right="60" w:firstLine="480" w:firstLineChars="200"/>
        <w:jc w:val="left"/>
        <w:outlineLvl w:val="0"/>
        <w:rPr>
          <w:rFonts w:ascii="宋体" w:hAnsi="宋体" w:cs="宋体"/>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授权委托书（法定代表人亲自办理投标事宜的，则无需提交）；</w:t>
      </w:r>
    </w:p>
    <w:p>
      <w:pPr>
        <w:widowControl/>
        <w:spacing w:line="360" w:lineRule="auto"/>
        <w:ind w:right="60" w:firstLine="480" w:firstLineChars="200"/>
        <w:jc w:val="left"/>
        <w:outlineLvl w:val="0"/>
        <w:rPr>
          <w:rFonts w:ascii="宋体" w:hAnsi="宋体" w:cs="宋体"/>
          <w:bCs/>
          <w:color w:val="auto"/>
          <w:sz w:val="24"/>
          <w:highlight w:val="none"/>
        </w:rPr>
      </w:pPr>
      <w:r>
        <w:rPr>
          <w:rFonts w:hint="eastAsia" w:ascii="宋体" w:hAnsi="宋体" w:cs="宋体"/>
          <w:bCs/>
          <w:color w:val="auto"/>
          <w:sz w:val="24"/>
          <w:highlight w:val="none"/>
        </w:rPr>
        <w:t>（3）法人或者其他组织的营业执照等证明文件，自然人的身份证明；</w:t>
      </w:r>
    </w:p>
    <w:p>
      <w:pPr>
        <w:widowControl/>
        <w:spacing w:line="360" w:lineRule="auto"/>
        <w:ind w:right="60" w:firstLine="480" w:firstLineChars="200"/>
        <w:jc w:val="left"/>
        <w:outlineLvl w:val="0"/>
        <w:rPr>
          <w:rFonts w:ascii="宋体" w:hAnsi="宋体" w:cs="宋体"/>
          <w:bCs/>
          <w:color w:val="auto"/>
          <w:sz w:val="24"/>
          <w:highlight w:val="none"/>
        </w:rPr>
      </w:pPr>
      <w:r>
        <w:rPr>
          <w:rFonts w:hint="eastAsia" w:ascii="宋体" w:hAnsi="宋体" w:cs="宋体"/>
          <w:bCs/>
          <w:color w:val="auto"/>
          <w:sz w:val="24"/>
          <w:highlight w:val="none"/>
        </w:rPr>
        <w:t>（4）具有良好的商业信誉和健全的财务会计制度的承诺函；</w:t>
      </w:r>
    </w:p>
    <w:p>
      <w:pPr>
        <w:widowControl/>
        <w:spacing w:line="360" w:lineRule="auto"/>
        <w:ind w:right="60" w:firstLine="480" w:firstLineChars="200"/>
        <w:jc w:val="left"/>
        <w:outlineLvl w:val="0"/>
        <w:rPr>
          <w:rFonts w:ascii="宋体" w:hAnsi="宋体" w:cs="宋体"/>
          <w:bCs/>
          <w:color w:val="auto"/>
          <w:sz w:val="24"/>
          <w:highlight w:val="none"/>
        </w:rPr>
      </w:pPr>
      <w:r>
        <w:rPr>
          <w:rFonts w:hint="eastAsia" w:ascii="宋体" w:hAnsi="宋体" w:cs="宋体"/>
          <w:bCs/>
          <w:color w:val="auto"/>
          <w:sz w:val="24"/>
          <w:highlight w:val="none"/>
        </w:rPr>
        <w:t>（5）具有依法缴纳税收和社会保障资金证明的承诺函；</w:t>
      </w:r>
    </w:p>
    <w:p>
      <w:pPr>
        <w:widowControl/>
        <w:spacing w:line="360" w:lineRule="auto"/>
        <w:ind w:right="60" w:firstLine="480" w:firstLineChars="200"/>
        <w:jc w:val="left"/>
        <w:outlineLvl w:val="0"/>
        <w:rPr>
          <w:rFonts w:ascii="宋体" w:hAnsi="宋体" w:cs="宋体"/>
          <w:bCs/>
          <w:color w:val="auto"/>
          <w:sz w:val="24"/>
          <w:highlight w:val="none"/>
        </w:rPr>
      </w:pPr>
      <w:r>
        <w:rPr>
          <w:rFonts w:hint="eastAsia" w:ascii="宋体" w:hAnsi="宋体" w:cs="宋体"/>
          <w:bCs/>
          <w:color w:val="auto"/>
          <w:sz w:val="24"/>
          <w:highlight w:val="none"/>
        </w:rPr>
        <w:t>（6）投标人没有失信记录承诺函；</w:t>
      </w:r>
    </w:p>
    <w:p>
      <w:pPr>
        <w:widowControl/>
        <w:spacing w:line="360" w:lineRule="auto"/>
        <w:ind w:right="60" w:firstLine="480" w:firstLineChars="200"/>
        <w:jc w:val="left"/>
        <w:outlineLvl w:val="0"/>
        <w:rPr>
          <w:rFonts w:ascii="宋体" w:hAnsi="宋体" w:cs="宋体"/>
          <w:bCs/>
          <w:color w:val="auto"/>
          <w:sz w:val="24"/>
          <w:highlight w:val="none"/>
        </w:rPr>
      </w:pPr>
      <w:r>
        <w:rPr>
          <w:rFonts w:hint="eastAsia" w:ascii="宋体" w:hAnsi="宋体" w:cs="宋体"/>
          <w:bCs/>
          <w:color w:val="auto"/>
          <w:sz w:val="24"/>
          <w:highlight w:val="none"/>
        </w:rPr>
        <w:t>（7）基础电信业务经营许可证扫描件或电子与智能化工程专业承包一级资质证书扫描件；</w:t>
      </w:r>
    </w:p>
    <w:p>
      <w:pPr>
        <w:snapToGrid w:val="0"/>
        <w:spacing w:line="360" w:lineRule="auto"/>
        <w:ind w:firstLine="482" w:firstLineChars="200"/>
        <w:rPr>
          <w:rFonts w:ascii="宋体" w:hAnsi="宋体" w:cs="宋体"/>
          <w:color w:val="auto"/>
          <w:sz w:val="24"/>
          <w:highlight w:val="none"/>
          <w:u w:val="single"/>
        </w:rPr>
      </w:pPr>
      <w:r>
        <w:rPr>
          <w:rFonts w:hint="eastAsia" w:ascii="宋体" w:hAnsi="宋体" w:cs="宋体"/>
          <w:b/>
          <w:color w:val="auto"/>
          <w:sz w:val="24"/>
          <w:highlight w:val="none"/>
        </w:rPr>
        <w:t>2、商务与技术文件的组成：</w:t>
      </w:r>
    </w:p>
    <w:p>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（1）供应商基本情况；</w:t>
      </w:r>
    </w:p>
    <w:p>
      <w:pPr>
        <w:pStyle w:val="46"/>
        <w:spacing w:line="360" w:lineRule="auto"/>
        <w:rPr>
          <w:rFonts w:ascii="宋体" w:hAnsi="宋体" w:eastAsia="宋体" w:cs="宋体"/>
          <w:bCs/>
          <w:color w:val="auto"/>
          <w:kern w:val="2"/>
          <w:sz w:val="24"/>
          <w:szCs w:val="24"/>
          <w:highlight w:val="none"/>
        </w:rPr>
      </w:pPr>
      <w:r>
        <w:rPr>
          <w:rFonts w:hint="eastAsia" w:ascii="宋体" w:hAnsi="宋体" w:eastAsia="宋体" w:cs="宋体"/>
          <w:bCs/>
          <w:color w:val="auto"/>
          <w:sz w:val="24"/>
          <w:highlight w:val="none"/>
        </w:rPr>
        <w:t xml:space="preserve">    </w:t>
      </w:r>
      <w:r>
        <w:rPr>
          <w:rFonts w:hint="eastAsia" w:ascii="宋体" w:hAnsi="宋体" w:eastAsia="宋体" w:cs="宋体"/>
          <w:bCs/>
          <w:color w:val="auto"/>
          <w:kern w:val="2"/>
          <w:sz w:val="24"/>
          <w:szCs w:val="24"/>
          <w:highlight w:val="none"/>
        </w:rPr>
        <w:t>（2）供货清单</w:t>
      </w:r>
    </w:p>
    <w:p>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（3）商务及技术响应表；</w:t>
      </w:r>
    </w:p>
    <w:p>
      <w:pPr>
        <w:pStyle w:val="46"/>
        <w:spacing w:line="360" w:lineRule="auto"/>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（4）其余内容根据评标办法自拟；</w:t>
      </w:r>
    </w:p>
    <w:p>
      <w:pPr>
        <w:pStyle w:val="13"/>
        <w:widowControl/>
        <w:adjustRightInd w:val="0"/>
        <w:snapToGrid w:val="0"/>
        <w:spacing w:line="360" w:lineRule="auto"/>
        <w:ind w:left="218" w:leftChars="104" w:firstLine="622" w:firstLineChars="258"/>
        <w:rPr>
          <w:rFonts w:ascii="宋体" w:hAnsi="宋体" w:cs="宋体"/>
          <w:color w:val="auto"/>
          <w:sz w:val="24"/>
          <w:szCs w:val="24"/>
          <w:highlight w:val="none"/>
        </w:rPr>
      </w:pPr>
      <w:r>
        <w:rPr>
          <w:rFonts w:hint="eastAsia" w:ascii="宋体" w:hAnsi="宋体" w:cs="宋体"/>
          <w:b/>
          <w:color w:val="auto"/>
          <w:kern w:val="0"/>
          <w:sz w:val="24"/>
          <w:highlight w:val="none"/>
        </w:rPr>
        <w:t>招标需求中要求提供的相关证明材料及根据评标办法提供的证明材料均需在投标文件中提供扫描件。</w:t>
      </w:r>
    </w:p>
    <w:p>
      <w:pPr>
        <w:autoSpaceDE w:val="0"/>
        <w:autoSpaceDN w:val="0"/>
        <w:adjustRightInd w:val="0"/>
        <w:spacing w:line="360" w:lineRule="auto"/>
        <w:ind w:left="426" w:firstLine="65" w:firstLineChars="27"/>
        <w:rPr>
          <w:rFonts w:ascii="宋体" w:hAnsi="宋体" w:cs="宋体"/>
          <w:b/>
          <w:color w:val="auto"/>
          <w:kern w:val="0"/>
          <w:sz w:val="24"/>
          <w:highlight w:val="none"/>
        </w:rPr>
      </w:pPr>
      <w:r>
        <w:rPr>
          <w:rFonts w:hint="eastAsia" w:ascii="宋体" w:hAnsi="宋体" w:cs="宋体"/>
          <w:b/>
          <w:color w:val="auto"/>
          <w:kern w:val="0"/>
          <w:sz w:val="24"/>
          <w:highlight w:val="none"/>
        </w:rPr>
        <w:t>3、报价文件的组成</w:t>
      </w:r>
    </w:p>
    <w:p>
      <w:pPr>
        <w:autoSpaceDE w:val="0"/>
        <w:autoSpaceDN w:val="0"/>
        <w:adjustRightIn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（1）报价文件由开标一览表、报价明细表（服务）、报价明细表（货物）以及供应商认为其他需要说明的内容，如《中小企业声明函》（附件1</w:t>
      </w:r>
      <w:r>
        <w:rPr>
          <w:rFonts w:ascii="宋体" w:hAnsi="宋体" w:cs="宋体"/>
          <w:b/>
          <w:color w:val="auto"/>
          <w:kern w:val="0"/>
          <w:sz w:val="24"/>
          <w:highlight w:val="none"/>
        </w:rPr>
        <w:t>6</w:t>
      </w:r>
      <w:r>
        <w:rPr>
          <w:rFonts w:hint="eastAsia" w:ascii="宋体" w:hAnsi="宋体" w:cs="宋体"/>
          <w:b/>
          <w:color w:val="auto"/>
          <w:kern w:val="0"/>
          <w:sz w:val="24"/>
          <w:highlight w:val="none"/>
        </w:rPr>
        <w:t>）等组成。</w:t>
      </w:r>
    </w:p>
    <w:p>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（2）此报价为投标人一次性报出唯一的最终价格，包含其它一切所要涉及到的费用，有选择的报价将被拒绝。</w:t>
      </w:r>
    </w:p>
    <w:p>
      <w:pPr>
        <w:autoSpaceDE w:val="0"/>
        <w:autoSpaceDN w:val="0"/>
        <w:adjustRightInd w:val="0"/>
        <w:spacing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所有产品均采用人民币报价。</w:t>
      </w:r>
      <w:r>
        <w:rPr>
          <w:rFonts w:hint="eastAsia" w:ascii="宋体" w:hAnsi="宋体" w:cs="宋体"/>
          <w:color w:val="auto"/>
          <w:kern w:val="0"/>
          <w:sz w:val="24"/>
          <w:szCs w:val="21"/>
          <w:highlight w:val="none"/>
        </w:rPr>
        <w:t>投标报价</w:t>
      </w:r>
      <w:r>
        <w:rPr>
          <w:rFonts w:hint="eastAsia" w:ascii="宋体" w:hAnsi="宋体" w:cs="宋体"/>
          <w:bCs/>
          <w:color w:val="auto"/>
          <w:sz w:val="24"/>
          <w:highlight w:val="none"/>
        </w:rPr>
        <w:t>包含实现标书的所有功能及安全保障工作，采购人不再另外增加费用，</w:t>
      </w:r>
      <w:r>
        <w:rPr>
          <w:rFonts w:hint="eastAsia" w:ascii="宋体" w:hAnsi="宋体" w:cs="宋体"/>
          <w:color w:val="auto"/>
          <w:kern w:val="0"/>
          <w:sz w:val="24"/>
          <w:szCs w:val="21"/>
          <w:highlight w:val="none"/>
        </w:rPr>
        <w:t>其应包括（但不限于）软硬件</w:t>
      </w:r>
      <w:r>
        <w:rPr>
          <w:rFonts w:hint="eastAsia" w:ascii="宋体" w:hAnsi="宋体" w:cs="宋体"/>
          <w:color w:val="auto"/>
          <w:sz w:val="24"/>
          <w:highlight w:val="none"/>
        </w:rPr>
        <w:t>、全部附件、辅材、备品备件、专用工具等整套设备及运营维护服务等，对于其他</w:t>
      </w:r>
      <w:r>
        <w:rPr>
          <w:rFonts w:hint="eastAsia" w:ascii="宋体" w:hAnsi="宋体" w:cs="宋体"/>
          <w:color w:val="auto"/>
          <w:kern w:val="0"/>
          <w:sz w:val="24"/>
          <w:szCs w:val="21"/>
          <w:highlight w:val="none"/>
        </w:rPr>
        <w:t>招标文件未列明、</w:t>
      </w:r>
      <w:r>
        <w:rPr>
          <w:rFonts w:hint="eastAsia" w:ascii="宋体" w:hAnsi="宋体" w:cs="宋体"/>
          <w:color w:val="auto"/>
          <w:sz w:val="24"/>
          <w:highlight w:val="none"/>
        </w:rPr>
        <w:t>且是设备清单配套所必需的文件、资料、设备等，或</w:t>
      </w:r>
      <w:r>
        <w:rPr>
          <w:rFonts w:hint="eastAsia" w:ascii="宋体" w:hAnsi="宋体" w:cs="宋体"/>
          <w:color w:val="auto"/>
          <w:kern w:val="0"/>
          <w:sz w:val="24"/>
          <w:szCs w:val="21"/>
          <w:highlight w:val="none"/>
        </w:rPr>
        <w:t>投标供应商认为必需的费用，</w:t>
      </w:r>
      <w:r>
        <w:rPr>
          <w:rFonts w:hint="eastAsia" w:ascii="宋体" w:hAnsi="宋体" w:cs="宋体"/>
          <w:color w:val="auto"/>
          <w:sz w:val="24"/>
          <w:highlight w:val="none"/>
        </w:rPr>
        <w:t>成交供应商也应综合考虑，包含在投标报价中。</w:t>
      </w:r>
    </w:p>
    <w:p>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（4）投标报价单不得涂改和增删，如有错漏必须修改，修改处须由同一签署人签字或盖章。由于字迹模糊或表达不清引起的后果由投标人负责。</w:t>
      </w:r>
    </w:p>
    <w:p>
      <w:p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5</w:t>
      </w:r>
      <w:r>
        <w:rPr>
          <w:rFonts w:hint="eastAsia" w:ascii="宋体" w:hAnsi="宋体" w:cs="宋体"/>
          <w:color w:val="auto"/>
          <w:sz w:val="24"/>
          <w:highlight w:val="none"/>
        </w:rPr>
        <w:t>）投标报价应按招标文件中相关附表格式填写。</w:t>
      </w:r>
    </w:p>
    <w:p>
      <w:pPr>
        <w:numPr>
          <w:ilvl w:val="0"/>
          <w:numId w:val="6"/>
        </w:numPr>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投标文件的制作、封装及递交要求</w:t>
      </w:r>
    </w:p>
    <w:p>
      <w:pPr>
        <w:autoSpaceDE w:val="0"/>
        <w:autoSpaceDN w:val="0"/>
        <w:adjustRightInd w:val="0"/>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1、投标文件的制作要求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（1）本项目通过“政府采购云平台（www.zcygov.cn）”实行在线投标响应（电子投标）。供应商应通过“政采云电子交易客户端”，并按照本招标文件和“政府采购云平台”的要求编制并加密投标文件。</w:t>
      </w:r>
    </w:p>
    <w:p>
      <w:pPr>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（2）投标供应商应当按照本章节 “投标文件组成”规定的内容及顺序在“政采云电子交易客户端”编制投标文件。其中《资格证明文件》和《商务技术文件》中不得出现本项目投标报价，如因投标人原因提前泄露投标报价，是投标人的责任。</w:t>
      </w:r>
    </w:p>
    <w:p>
      <w:pPr>
        <w:autoSpaceDE w:val="0"/>
        <w:autoSpaceDN w:val="0"/>
        <w:adjustRightInd w:val="0"/>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（3）本文件《第六章  投标文件格式附件》中有提供格式的，投标供应商须参照格式进行编制（格式中要求提供相关证明材料的还需后附相关证明材料），并按格式要求在指定位置根据要求进行电子签章，否则视为未提供；本文件《第六章  投标文件格式附件》未提供格式的，请各投标单位自行拟定格式</w:t>
      </w:r>
      <w:r>
        <w:rPr>
          <w:rFonts w:hint="eastAsia" w:ascii="宋体" w:hAnsi="宋体" w:cs="宋体"/>
          <w:color w:val="auto"/>
          <w:sz w:val="24"/>
          <w:highlight w:val="none"/>
        </w:rPr>
        <w:t>。</w:t>
      </w:r>
    </w:p>
    <w:p>
      <w:pPr>
        <w:autoSpaceDE w:val="0"/>
        <w:autoSpaceDN w:val="0"/>
        <w:adjustRightIn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sz w:val="24"/>
          <w:highlight w:val="none"/>
        </w:rPr>
        <w:t>（4）供应商应对所提供的全部资料的真实性承担法律责任。</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5</w:t>
      </w:r>
      <w:r>
        <w:rPr>
          <w:rFonts w:hint="eastAsia" w:ascii="宋体" w:hAnsi="宋体" w:cs="宋体"/>
          <w:color w:val="auto"/>
          <w:kern w:val="0"/>
          <w:sz w:val="24"/>
          <w:highlight w:val="none"/>
          <w:lang w:val="zh-CN"/>
        </w:rPr>
        <w:t>）</w:t>
      </w:r>
      <w:r>
        <w:rPr>
          <w:rFonts w:hint="eastAsia" w:ascii="宋体" w:hAnsi="宋体" w:cs="宋体"/>
          <w:color w:val="auto"/>
          <w:sz w:val="24"/>
          <w:highlight w:val="none"/>
        </w:rPr>
        <w:t>投标文件以及投标供应商与采购组织机构就有关招投标事宜的所有来往函电，均应以中文汉语书写。除签字、盖章、专用名称等特殊情形外，以中文汉语以外的文字表述的投标文件视同未提供。</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（6）投标计量单位，</w:t>
      </w:r>
      <w:r>
        <w:rPr>
          <w:rFonts w:hint="eastAsia" w:ascii="宋体" w:hAnsi="宋体" w:cs="宋体"/>
          <w:bCs/>
          <w:color w:val="auto"/>
          <w:sz w:val="24"/>
          <w:highlight w:val="none"/>
        </w:rPr>
        <w:t>采购文件</w:t>
      </w:r>
      <w:r>
        <w:rPr>
          <w:rFonts w:hint="eastAsia" w:ascii="宋体" w:hAnsi="宋体" w:cs="宋体"/>
          <w:color w:val="auto"/>
          <w:sz w:val="24"/>
          <w:highlight w:val="none"/>
        </w:rPr>
        <w:t>已有明确规定的，使用</w:t>
      </w:r>
      <w:r>
        <w:rPr>
          <w:rFonts w:hint="eastAsia" w:ascii="宋体" w:hAnsi="宋体" w:cs="宋体"/>
          <w:bCs/>
          <w:color w:val="auto"/>
          <w:sz w:val="24"/>
          <w:highlight w:val="none"/>
        </w:rPr>
        <w:t>采购文件</w:t>
      </w:r>
      <w:r>
        <w:rPr>
          <w:rFonts w:hint="eastAsia" w:ascii="宋体" w:hAnsi="宋体" w:cs="宋体"/>
          <w:color w:val="auto"/>
          <w:sz w:val="24"/>
          <w:highlight w:val="none"/>
        </w:rPr>
        <w:t>规定的计量单位；</w:t>
      </w:r>
      <w:r>
        <w:rPr>
          <w:rFonts w:hint="eastAsia" w:ascii="宋体" w:hAnsi="宋体" w:cs="宋体"/>
          <w:bCs/>
          <w:color w:val="auto"/>
          <w:sz w:val="24"/>
          <w:highlight w:val="none"/>
        </w:rPr>
        <w:t>采购文件</w:t>
      </w:r>
      <w:r>
        <w:rPr>
          <w:rFonts w:hint="eastAsia" w:ascii="宋体" w:hAnsi="宋体" w:cs="宋体"/>
          <w:color w:val="auto"/>
          <w:sz w:val="24"/>
          <w:highlight w:val="none"/>
        </w:rPr>
        <w:t>没有规定的，应采用中华人民共和国法定计量单位（货币单位：人民币元），否则视同未响应。</w:t>
      </w:r>
    </w:p>
    <w:p>
      <w:pPr>
        <w:autoSpaceDE w:val="0"/>
        <w:autoSpaceDN w:val="0"/>
        <w:adjustRightIn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（7）若投标供应商不按采购文件的要求提供资格审查材料，其风险由投标供应商自行承担。</w:t>
      </w:r>
    </w:p>
    <w:p>
      <w:pPr>
        <w:autoSpaceDE w:val="0"/>
        <w:autoSpaceDN w:val="0"/>
        <w:adjustRightInd w:val="0"/>
        <w:spacing w:line="360" w:lineRule="auto"/>
        <w:ind w:firstLine="480"/>
        <w:rPr>
          <w:rFonts w:ascii="宋体" w:hAnsi="宋体" w:cs="宋体"/>
          <w:color w:val="auto"/>
          <w:sz w:val="24"/>
          <w:highlight w:val="none"/>
        </w:rPr>
      </w:pPr>
      <w:r>
        <w:rPr>
          <w:rFonts w:hint="eastAsia" w:ascii="宋体" w:hAnsi="宋体" w:cs="宋体"/>
          <w:color w:val="auto"/>
          <w:kern w:val="0"/>
          <w:sz w:val="24"/>
          <w:highlight w:val="none"/>
        </w:rPr>
        <w:t>（8）</w:t>
      </w:r>
      <w:r>
        <w:rPr>
          <w:rFonts w:hint="eastAsia" w:ascii="宋体" w:hAnsi="宋体" w:cs="宋体"/>
          <w:color w:val="auto"/>
          <w:sz w:val="24"/>
          <w:highlight w:val="none"/>
        </w:rPr>
        <w:t>与本次投标无关的内容请不要制作在内，确保投标文件有针对性、简洁明了。</w:t>
      </w:r>
    </w:p>
    <w:p>
      <w:pPr>
        <w:autoSpaceDE w:val="0"/>
        <w:autoSpaceDN w:val="0"/>
        <w:adjustRightInd w:val="0"/>
        <w:spacing w:line="360" w:lineRule="auto"/>
        <w:ind w:firstLine="480"/>
        <w:rPr>
          <w:rFonts w:ascii="宋体" w:hAnsi="宋体" w:cs="宋体"/>
          <w:color w:val="auto"/>
          <w:sz w:val="24"/>
          <w:highlight w:val="none"/>
        </w:rPr>
      </w:pPr>
      <w:r>
        <w:rPr>
          <w:rFonts w:hint="eastAsia" w:ascii="宋体" w:hAnsi="宋体" w:cs="宋体"/>
          <w:b/>
          <w:bCs/>
          <w:color w:val="auto"/>
          <w:sz w:val="24"/>
          <w:highlight w:val="none"/>
        </w:rPr>
        <w:t>2、投标文件的签章</w:t>
      </w:r>
    </w:p>
    <w:p>
      <w:pPr>
        <w:spacing w:line="360" w:lineRule="auto"/>
        <w:ind w:firstLine="460" w:firstLineChars="192"/>
        <w:rPr>
          <w:rFonts w:ascii="宋体" w:hAnsi="宋体" w:cs="宋体"/>
          <w:bCs/>
          <w:color w:val="auto"/>
          <w:kern w:val="0"/>
          <w:sz w:val="24"/>
          <w:highlight w:val="none"/>
        </w:rPr>
      </w:pPr>
      <w:r>
        <w:rPr>
          <w:rFonts w:hint="eastAsia" w:ascii="宋体" w:hAnsi="宋体" w:cs="宋体"/>
          <w:bCs/>
          <w:color w:val="auto"/>
          <w:kern w:val="0"/>
          <w:sz w:val="24"/>
          <w:highlight w:val="none"/>
        </w:rPr>
        <w:t>（1）《投标文件》的签章：</w:t>
      </w:r>
      <w:r>
        <w:rPr>
          <w:rFonts w:hint="eastAsia" w:ascii="宋体" w:hAnsi="宋体" w:cs="宋体"/>
          <w:bCs/>
          <w:color w:val="auto"/>
          <w:sz w:val="24"/>
          <w:highlight w:val="none"/>
        </w:rPr>
        <w:t>见《前附表》；</w:t>
      </w:r>
    </w:p>
    <w:p>
      <w:pPr>
        <w:spacing w:line="360" w:lineRule="auto"/>
        <w:ind w:firstLine="460" w:firstLineChars="192"/>
        <w:rPr>
          <w:rFonts w:ascii="宋体" w:hAnsi="宋体" w:cs="宋体"/>
          <w:bCs/>
          <w:color w:val="auto"/>
          <w:kern w:val="0"/>
          <w:sz w:val="24"/>
          <w:highlight w:val="none"/>
        </w:rPr>
      </w:pPr>
      <w:r>
        <w:rPr>
          <w:rFonts w:hint="eastAsia" w:ascii="宋体" w:hAnsi="宋体" w:cs="宋体"/>
          <w:bCs/>
          <w:color w:val="auto"/>
          <w:kern w:val="0"/>
          <w:sz w:val="24"/>
          <w:highlight w:val="none"/>
        </w:rPr>
        <w:t>（2） 《投标文件》应由投标供应商法定代表人或其授权代表签字（或签章），并时加盖投标供应商公章。</w:t>
      </w:r>
    </w:p>
    <w:p>
      <w:pPr>
        <w:autoSpaceDE w:val="0"/>
        <w:autoSpaceDN w:val="0"/>
        <w:adjustRightInd w:val="0"/>
        <w:spacing w:line="360" w:lineRule="auto"/>
        <w:ind w:firstLine="480"/>
        <w:rPr>
          <w:rFonts w:ascii="宋体" w:hAnsi="宋体" w:cs="宋体"/>
          <w:color w:val="auto"/>
          <w:kern w:val="0"/>
          <w:sz w:val="24"/>
          <w:highlight w:val="none"/>
          <w:lang w:val="zh-CN"/>
        </w:rPr>
      </w:pPr>
      <w:r>
        <w:rPr>
          <w:rFonts w:hint="eastAsia" w:ascii="宋体" w:hAnsi="宋体" w:cs="宋体"/>
          <w:bCs/>
          <w:color w:val="auto"/>
          <w:kern w:val="0"/>
          <w:sz w:val="24"/>
          <w:highlight w:val="none"/>
        </w:rPr>
        <w:t>（3）电子签章操作指南详见</w:t>
      </w:r>
      <w:r>
        <w:rPr>
          <w:rFonts w:hint="eastAsia" w:ascii="宋体" w:hAnsi="宋体" w:cs="宋体"/>
          <w:bCs/>
          <w:color w:val="auto"/>
          <w:sz w:val="24"/>
          <w:highlight w:val="none"/>
        </w:rPr>
        <w:t>《供应商项目采购-电子招投标操作指南》。</w:t>
      </w:r>
    </w:p>
    <w:p>
      <w:pPr>
        <w:autoSpaceDE w:val="0"/>
        <w:autoSpaceDN w:val="0"/>
        <w:adjustRightInd w:val="0"/>
        <w:spacing w:line="360" w:lineRule="auto"/>
        <w:ind w:firstLine="480"/>
        <w:rPr>
          <w:rFonts w:ascii="宋体" w:hAnsi="宋体" w:cs="宋体"/>
          <w:b/>
          <w:color w:val="auto"/>
          <w:kern w:val="0"/>
          <w:sz w:val="24"/>
          <w:highlight w:val="none"/>
        </w:rPr>
      </w:pPr>
      <w:r>
        <w:rPr>
          <w:rFonts w:hint="eastAsia" w:ascii="宋体" w:hAnsi="宋体" w:cs="宋体"/>
          <w:b/>
          <w:color w:val="auto"/>
          <w:kern w:val="0"/>
          <w:sz w:val="24"/>
          <w:highlight w:val="none"/>
        </w:rPr>
        <w:t>3、投标文件的形式</w:t>
      </w:r>
    </w:p>
    <w:p>
      <w:pPr>
        <w:spacing w:line="360" w:lineRule="auto"/>
        <w:ind w:firstLine="422" w:firstLineChars="176"/>
        <w:rPr>
          <w:rFonts w:ascii="宋体" w:hAnsi="宋体" w:cs="宋体"/>
          <w:bCs/>
          <w:color w:val="auto"/>
          <w:sz w:val="24"/>
          <w:highlight w:val="none"/>
        </w:rPr>
      </w:pPr>
      <w:r>
        <w:rPr>
          <w:rFonts w:hint="eastAsia" w:ascii="宋体" w:hAnsi="宋体" w:cs="宋体"/>
          <w:bCs/>
          <w:color w:val="auto"/>
          <w:sz w:val="24"/>
          <w:highlight w:val="none"/>
        </w:rPr>
        <w:t>（1）投标文件的形式：见《前附表》；</w:t>
      </w:r>
    </w:p>
    <w:p>
      <w:pPr>
        <w:spacing w:line="360" w:lineRule="auto"/>
        <w:ind w:firstLine="422" w:firstLineChars="176"/>
        <w:rPr>
          <w:rFonts w:ascii="宋体" w:hAnsi="宋体" w:cs="宋体"/>
          <w:bCs/>
          <w:color w:val="auto"/>
          <w:sz w:val="24"/>
          <w:highlight w:val="none"/>
        </w:rPr>
      </w:pPr>
      <w:r>
        <w:rPr>
          <w:rFonts w:hint="eastAsia" w:ascii="宋体" w:hAnsi="宋体" w:cs="宋体"/>
          <w:bCs/>
          <w:color w:val="auto"/>
          <w:sz w:val="24"/>
          <w:highlight w:val="none"/>
        </w:rPr>
        <w:t>（2）“电子加密投标文件”：“电子加密投标文件”是指通过“政采云电子交易客户端”完成投标文件编制后生成并加密的数据电文形式的投标文件。</w:t>
      </w:r>
    </w:p>
    <w:p>
      <w:pPr>
        <w:autoSpaceDE w:val="0"/>
        <w:autoSpaceDN w:val="0"/>
        <w:adjustRightInd w:val="0"/>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（3）“备份投标文件”：“备份投标文件”是指与“电子加密投标文件”同时生成的数据电文形式的电子文件（备份标书），其他方式编制的“备份投标文件”视为无效的“备份投标文件”。</w:t>
      </w:r>
    </w:p>
    <w:p>
      <w:pPr>
        <w:autoSpaceDE w:val="0"/>
        <w:autoSpaceDN w:val="0"/>
        <w:adjustRightInd w:val="0"/>
        <w:spacing w:line="360" w:lineRule="auto"/>
        <w:ind w:firstLine="480"/>
        <w:rPr>
          <w:rFonts w:ascii="宋体" w:hAnsi="宋体" w:cs="宋体"/>
          <w:b/>
          <w:color w:val="auto"/>
          <w:kern w:val="0"/>
          <w:sz w:val="24"/>
          <w:highlight w:val="none"/>
        </w:rPr>
      </w:pPr>
      <w:r>
        <w:rPr>
          <w:rFonts w:hint="eastAsia" w:ascii="宋体" w:hAnsi="宋体" w:cs="宋体"/>
          <w:b/>
          <w:color w:val="auto"/>
          <w:kern w:val="0"/>
          <w:sz w:val="24"/>
          <w:highlight w:val="none"/>
        </w:rPr>
        <w:t>4、投标文件的份数</w:t>
      </w:r>
    </w:p>
    <w:p>
      <w:pPr>
        <w:autoSpaceDE w:val="0"/>
        <w:autoSpaceDN w:val="0"/>
        <w:adjustRightInd w:val="0"/>
        <w:spacing w:line="360" w:lineRule="auto"/>
        <w:ind w:firstLine="480"/>
        <w:rPr>
          <w:rFonts w:ascii="宋体" w:hAnsi="宋体" w:cs="宋体"/>
          <w:bCs/>
          <w:color w:val="auto"/>
          <w:kern w:val="0"/>
          <w:sz w:val="24"/>
          <w:highlight w:val="none"/>
        </w:rPr>
      </w:pPr>
      <w:r>
        <w:rPr>
          <w:rFonts w:hint="eastAsia" w:ascii="宋体" w:hAnsi="宋体" w:cs="宋体"/>
          <w:bCs/>
          <w:color w:val="auto"/>
          <w:kern w:val="0"/>
          <w:sz w:val="24"/>
          <w:highlight w:val="none"/>
        </w:rPr>
        <w:t>（1）投标文件的份数：见《前附表》。</w:t>
      </w:r>
    </w:p>
    <w:p>
      <w:pPr>
        <w:tabs>
          <w:tab w:val="left" w:pos="1898"/>
        </w:tabs>
        <w:autoSpaceDE w:val="0"/>
        <w:autoSpaceDN w:val="0"/>
        <w:adjustRightIn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5、投标文件的补充、修改和撤回。</w:t>
      </w:r>
    </w:p>
    <w:p>
      <w:pPr>
        <w:tabs>
          <w:tab w:val="left" w:pos="960"/>
          <w:tab w:val="left" w:pos="1418"/>
        </w:tabs>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tabs>
          <w:tab w:val="left" w:pos="1418"/>
        </w:tabs>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投标截止时间后，投标供应商不得撤回、修改《投标文件》。</w:t>
      </w:r>
    </w:p>
    <w:p>
      <w:pPr>
        <w:tabs>
          <w:tab w:val="left" w:pos="1898"/>
        </w:tabs>
        <w:autoSpaceDE w:val="0"/>
        <w:autoSpaceDN w:val="0"/>
        <w:adjustRightInd w:val="0"/>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（三）投标文件的有效期</w:t>
      </w:r>
    </w:p>
    <w:p>
      <w:pPr>
        <w:pStyle w:val="12"/>
        <w:tabs>
          <w:tab w:val="left" w:pos="454"/>
          <w:tab w:val="left" w:pos="720"/>
          <w:tab w:val="left" w:pos="1200"/>
        </w:tabs>
        <w:snapToGrid w:val="0"/>
        <w:spacing w:line="360" w:lineRule="auto"/>
        <w:ind w:left="0"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自投标截止日起90天投标文件应保持有效。有效期不足的投标文件将被拒绝。</w:t>
      </w:r>
    </w:p>
    <w:p>
      <w:pPr>
        <w:pStyle w:val="12"/>
        <w:tabs>
          <w:tab w:val="left" w:pos="454"/>
          <w:tab w:val="left" w:pos="720"/>
          <w:tab w:val="left" w:pos="1200"/>
        </w:tabs>
        <w:snapToGrid w:val="0"/>
        <w:spacing w:line="360" w:lineRule="auto"/>
        <w:ind w:left="0"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在特殊情况下，采购人可与投标人协商延长投标文件的有效期，这种要求和答复均以书面形式进行。</w:t>
      </w:r>
    </w:p>
    <w:p>
      <w:pPr>
        <w:pStyle w:val="12"/>
        <w:numPr>
          <w:ilvl w:val="0"/>
          <w:numId w:val="0"/>
        </w:numPr>
        <w:tabs>
          <w:tab w:val="left" w:pos="0"/>
          <w:tab w:val="left" w:pos="720"/>
          <w:tab w:val="left" w:pos="1200"/>
          <w:tab w:val="clear" w:pos="360"/>
        </w:tabs>
        <w:snapToGrid w:val="0"/>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3.成交供应商的投标文件自开标之日起至合同履行完毕均应保持有效。</w:t>
      </w:r>
    </w:p>
    <w:p>
      <w:pPr>
        <w:snapToGrid w:val="0"/>
        <w:spacing w:line="360" w:lineRule="auto"/>
        <w:jc w:val="left"/>
        <w:outlineLvl w:val="0"/>
        <w:rPr>
          <w:rFonts w:ascii="宋体" w:hAnsi="宋体" w:cs="宋体"/>
          <w:b/>
          <w:color w:val="auto"/>
          <w:kern w:val="0"/>
          <w:sz w:val="24"/>
          <w:highlight w:val="none"/>
        </w:rPr>
      </w:pPr>
      <w:r>
        <w:rPr>
          <w:rFonts w:hint="eastAsia" w:ascii="宋体" w:hAnsi="宋体" w:cs="宋体"/>
          <w:b/>
          <w:color w:val="auto"/>
          <w:kern w:val="0"/>
          <w:sz w:val="24"/>
          <w:highlight w:val="none"/>
        </w:rPr>
        <w:t>（四）投标文件的备选方案</w:t>
      </w:r>
    </w:p>
    <w:p>
      <w:pPr>
        <w:tabs>
          <w:tab w:val="left" w:pos="1418"/>
        </w:tabs>
        <w:autoSpaceDE w:val="0"/>
        <w:autoSpaceDN w:val="0"/>
        <w:adjustRightInd w:val="0"/>
        <w:spacing w:line="360" w:lineRule="auto"/>
        <w:ind w:firstLine="480" w:firstLineChars="200"/>
        <w:rPr>
          <w:rFonts w:ascii="宋体" w:hAnsi="宋体" w:cs="宋体"/>
          <w:b/>
          <w:bCs/>
          <w:color w:val="auto"/>
          <w:kern w:val="0"/>
          <w:sz w:val="24"/>
          <w:highlight w:val="none"/>
        </w:rPr>
      </w:pPr>
      <w:r>
        <w:rPr>
          <w:rFonts w:hint="eastAsia" w:ascii="宋体" w:hAnsi="宋体" w:cs="宋体"/>
          <w:color w:val="auto"/>
          <w:kern w:val="0"/>
          <w:sz w:val="24"/>
          <w:highlight w:val="none"/>
        </w:rPr>
        <w:t>1、投标供应商不得递交任何的投标备选（替代）方案，否则其投标文件将作无效标处理。</w:t>
      </w:r>
      <w:r>
        <w:rPr>
          <w:rFonts w:hint="eastAsia" w:ascii="宋体" w:hAnsi="宋体" w:cs="宋体"/>
          <w:b/>
          <w:bCs/>
          <w:color w:val="auto"/>
          <w:kern w:val="0"/>
          <w:sz w:val="24"/>
          <w:highlight w:val="none"/>
        </w:rPr>
        <w:t>与“电子加密投标文件”同时生成的“备份投标文件”不是投标备选（替代）方案。</w:t>
      </w:r>
    </w:p>
    <w:p>
      <w:pPr>
        <w:tabs>
          <w:tab w:val="left" w:pos="1418"/>
        </w:tabs>
        <w:autoSpaceDE w:val="0"/>
        <w:autoSpaceDN w:val="0"/>
        <w:adjustRightInd w:val="0"/>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四、投标保证金</w:t>
      </w:r>
    </w:p>
    <w:p>
      <w:pPr>
        <w:tabs>
          <w:tab w:val="left" w:pos="1418"/>
        </w:tabs>
        <w:autoSpaceDE w:val="0"/>
        <w:autoSpaceDN w:val="0"/>
        <w:adjustRightInd w:val="0"/>
        <w:spacing w:line="360" w:lineRule="auto"/>
        <w:rPr>
          <w:rFonts w:ascii="宋体" w:hAnsi="宋体" w:cs="宋体"/>
          <w:bCs/>
          <w:color w:val="auto"/>
          <w:sz w:val="24"/>
          <w:highlight w:val="none"/>
        </w:rPr>
      </w:pPr>
      <w:r>
        <w:rPr>
          <w:rFonts w:hint="eastAsia" w:ascii="宋体" w:hAnsi="宋体" w:cs="宋体"/>
          <w:color w:val="auto"/>
          <w:kern w:val="0"/>
          <w:sz w:val="24"/>
          <w:highlight w:val="none"/>
        </w:rPr>
        <w:t>无</w:t>
      </w:r>
    </w:p>
    <w:p>
      <w:pPr>
        <w:snapToGrid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五、开标</w:t>
      </w:r>
    </w:p>
    <w:p>
      <w:pPr>
        <w:pStyle w:val="5"/>
        <w:spacing w:before="0" w:after="0" w:line="360" w:lineRule="auto"/>
        <w:ind w:left="720" w:hanging="720"/>
        <w:rPr>
          <w:rFonts w:ascii="宋体" w:hAnsi="宋体" w:cs="宋体"/>
          <w:color w:val="auto"/>
          <w:sz w:val="24"/>
          <w:szCs w:val="24"/>
          <w:highlight w:val="none"/>
        </w:rPr>
      </w:pPr>
      <w:r>
        <w:rPr>
          <w:rFonts w:hint="eastAsia" w:ascii="宋体" w:hAnsi="宋体" w:cs="宋体"/>
          <w:color w:val="auto"/>
          <w:sz w:val="24"/>
          <w:szCs w:val="24"/>
          <w:highlight w:val="none"/>
        </w:rPr>
        <w:t>（一）开标形式</w:t>
      </w:r>
    </w:p>
    <w:p>
      <w:pPr>
        <w:spacing w:line="360" w:lineRule="auto"/>
        <w:ind w:firstLine="426" w:firstLineChars="177"/>
        <w:rPr>
          <w:rFonts w:ascii="宋体" w:hAnsi="宋体" w:cs="宋体"/>
          <w:b/>
          <w:color w:val="auto"/>
          <w:sz w:val="24"/>
          <w:highlight w:val="none"/>
        </w:rPr>
      </w:pPr>
      <w:r>
        <w:rPr>
          <w:rFonts w:hint="eastAsia" w:ascii="宋体" w:hAnsi="宋体" w:cs="宋体"/>
          <w:b/>
          <w:color w:val="auto"/>
          <w:sz w:val="24"/>
          <w:highlight w:val="none"/>
        </w:rPr>
        <w:t>1.1 采购组织机构将按照招标文件规定的时间通过“政府采购云平台”组织开标、开启投标文件，所有供应商均应当准时在线参加。</w:t>
      </w:r>
    </w:p>
    <w:p>
      <w:pPr>
        <w:pStyle w:val="5"/>
        <w:spacing w:before="0" w:after="0" w:line="360" w:lineRule="auto"/>
        <w:ind w:left="720" w:hanging="720"/>
        <w:rPr>
          <w:rFonts w:ascii="宋体" w:hAnsi="宋体" w:cs="宋体"/>
          <w:color w:val="auto"/>
          <w:sz w:val="24"/>
          <w:szCs w:val="24"/>
          <w:highlight w:val="none"/>
        </w:rPr>
      </w:pPr>
      <w:r>
        <w:rPr>
          <w:rFonts w:hint="eastAsia" w:ascii="宋体" w:hAnsi="宋体" w:cs="宋体"/>
          <w:color w:val="auto"/>
          <w:sz w:val="24"/>
          <w:szCs w:val="24"/>
          <w:highlight w:val="none"/>
        </w:rPr>
        <w:t>（二）开标说明</w:t>
      </w:r>
    </w:p>
    <w:p>
      <w:pPr>
        <w:spacing w:line="360" w:lineRule="auto"/>
        <w:ind w:firstLine="422" w:firstLineChars="176"/>
        <w:rPr>
          <w:rFonts w:ascii="宋体" w:hAnsi="宋体" w:cs="宋体"/>
          <w:color w:val="auto"/>
          <w:kern w:val="0"/>
          <w:sz w:val="24"/>
          <w:highlight w:val="none"/>
        </w:rPr>
      </w:pPr>
      <w:r>
        <w:rPr>
          <w:rFonts w:hint="eastAsia" w:ascii="宋体" w:hAnsi="宋体" w:cs="宋体"/>
          <w:color w:val="auto"/>
          <w:kern w:val="0"/>
          <w:sz w:val="24"/>
          <w:highlight w:val="none"/>
        </w:rPr>
        <w:t>2.1开标的准备工作由采购组织机构负责落实；</w:t>
      </w:r>
    </w:p>
    <w:p>
      <w:pPr>
        <w:spacing w:line="360" w:lineRule="auto"/>
        <w:ind w:firstLine="422" w:firstLineChars="176"/>
        <w:rPr>
          <w:rFonts w:ascii="宋体" w:hAnsi="宋体" w:cs="宋体"/>
          <w:color w:val="auto"/>
          <w:kern w:val="0"/>
          <w:sz w:val="24"/>
          <w:highlight w:val="none"/>
        </w:rPr>
      </w:pPr>
      <w:r>
        <w:rPr>
          <w:rFonts w:hint="eastAsia" w:ascii="宋体" w:hAnsi="宋体" w:cs="宋体"/>
          <w:color w:val="auto"/>
          <w:kern w:val="0"/>
          <w:sz w:val="24"/>
          <w:highlight w:val="none"/>
        </w:rPr>
        <w:t>2.2</w:t>
      </w:r>
      <w:r>
        <w:rPr>
          <w:rFonts w:hint="eastAsia" w:ascii="宋体" w:hAnsi="宋体" w:cs="宋体"/>
          <w:b/>
          <w:color w:val="auto"/>
          <w:sz w:val="24"/>
          <w:highlight w:val="none"/>
        </w:rPr>
        <w:t>采购组织机构将按照招标文件规定的时间通过“政府采购云平台”组织开标、开启投标文件，所有供应商均应当准时在线参加。</w:t>
      </w:r>
      <w:r>
        <w:rPr>
          <w:rFonts w:hint="eastAsia" w:ascii="宋体" w:hAnsi="宋体" w:cs="宋体"/>
          <w:b/>
          <w:color w:val="auto"/>
          <w:kern w:val="0"/>
          <w:sz w:val="24"/>
          <w:highlight w:val="none"/>
        </w:rPr>
        <w:t>投标供应商如不参加开标大会的，视同认可开标结果，事后不得对采购相关人员、开标过程和开标结果提出异议，同时投标供应商因未在线参加开标而导致投标文件无法按时解密等一切后果由供应商自己承担。</w:t>
      </w:r>
    </w:p>
    <w:p>
      <w:pPr>
        <w:pStyle w:val="5"/>
        <w:spacing w:before="0" w:after="0" w:line="360" w:lineRule="auto"/>
        <w:ind w:left="720" w:hanging="720"/>
        <w:rPr>
          <w:rFonts w:ascii="宋体" w:hAnsi="宋体" w:cs="宋体"/>
          <w:color w:val="auto"/>
          <w:sz w:val="24"/>
          <w:szCs w:val="24"/>
          <w:highlight w:val="none"/>
        </w:rPr>
      </w:pPr>
      <w:r>
        <w:rPr>
          <w:rFonts w:hint="eastAsia" w:ascii="宋体" w:hAnsi="宋体" w:cs="宋体"/>
          <w:color w:val="auto"/>
          <w:sz w:val="24"/>
          <w:szCs w:val="24"/>
          <w:highlight w:val="none"/>
        </w:rPr>
        <w:t>（三）开标流程（两阶段）</w:t>
      </w:r>
    </w:p>
    <w:p>
      <w:pPr>
        <w:spacing w:line="360" w:lineRule="auto"/>
        <w:ind w:firstLine="426" w:firstLineChars="177"/>
        <w:jc w:val="left"/>
        <w:rPr>
          <w:rFonts w:ascii="宋体" w:hAnsi="宋体" w:cs="宋体"/>
          <w:b/>
          <w:color w:val="auto"/>
          <w:kern w:val="0"/>
          <w:sz w:val="24"/>
          <w:highlight w:val="none"/>
        </w:rPr>
      </w:pPr>
      <w:r>
        <w:rPr>
          <w:rFonts w:hint="eastAsia" w:ascii="宋体" w:hAnsi="宋体" w:cs="宋体"/>
          <w:b/>
          <w:color w:val="auto"/>
          <w:kern w:val="0"/>
          <w:sz w:val="24"/>
          <w:highlight w:val="none"/>
        </w:rPr>
        <w:t>3.1开标第一阶段</w:t>
      </w:r>
    </w:p>
    <w:p>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（2）投标文件解密结束，通过邮件形式发送各投标人组织签署《政府采购活动现场确认声明书》；</w:t>
      </w:r>
    </w:p>
    <w:p>
      <w:pPr>
        <w:spacing w:line="360" w:lineRule="auto"/>
        <w:ind w:firstLine="424" w:firstLineChars="177"/>
        <w:rPr>
          <w:rFonts w:ascii="宋体" w:hAnsi="宋体" w:cs="宋体"/>
          <w:color w:val="auto"/>
          <w:kern w:val="0"/>
          <w:sz w:val="24"/>
          <w:highlight w:val="none"/>
        </w:rPr>
      </w:pPr>
      <w:r>
        <w:rPr>
          <w:rFonts w:hint="eastAsia" w:ascii="宋体" w:hAnsi="宋体" w:cs="宋体"/>
          <w:color w:val="auto"/>
          <w:kern w:val="0"/>
          <w:sz w:val="24"/>
          <w:highlight w:val="none"/>
        </w:rPr>
        <w:t>（3）开启投标文件，</w:t>
      </w:r>
      <w:r>
        <w:rPr>
          <w:rFonts w:hint="eastAsia" w:ascii="宋体" w:hAnsi="宋体" w:cs="宋体"/>
          <w:b/>
          <w:color w:val="auto"/>
          <w:kern w:val="0"/>
          <w:sz w:val="24"/>
          <w:highlight w:val="none"/>
        </w:rPr>
        <w:t>依法对投标供应商的资格进行审查</w:t>
      </w:r>
      <w:r>
        <w:rPr>
          <w:rFonts w:hint="eastAsia" w:ascii="宋体" w:hAnsi="宋体" w:cs="宋体"/>
          <w:color w:val="auto"/>
          <w:kern w:val="0"/>
          <w:sz w:val="24"/>
          <w:highlight w:val="none"/>
        </w:rPr>
        <w:t>；</w:t>
      </w:r>
      <w:r>
        <w:rPr>
          <w:rFonts w:hint="eastAsia" w:ascii="宋体" w:hAnsi="宋体" w:cs="宋体"/>
          <w:color w:val="auto"/>
          <w:sz w:val="24"/>
          <w:highlight w:val="none"/>
        </w:rPr>
        <w:t>如发现投标供应商所提交的资格证明材料不合法或与事实不符，采购人可取消其中标资格并追究投标供应商的法律责任。</w:t>
      </w:r>
      <w:r>
        <w:rPr>
          <w:rFonts w:hint="eastAsia" w:ascii="宋体" w:hAnsi="宋体" w:cs="宋体"/>
          <w:b/>
          <w:color w:val="auto"/>
          <w:sz w:val="24"/>
          <w:highlight w:val="none"/>
        </w:rPr>
        <w:t>如投标供应商提交的资格证明材料无法证明其符合招标文件规定的“投标供应商资格要求”的，则其</w:t>
      </w:r>
      <w:r>
        <w:rPr>
          <w:rFonts w:hint="eastAsia" w:ascii="宋体" w:hAnsi="宋体" w:cs="宋体"/>
          <w:b/>
          <w:color w:val="auto"/>
          <w:kern w:val="0"/>
          <w:sz w:val="24"/>
          <w:highlight w:val="none"/>
        </w:rPr>
        <w:t>资格审查不通过，按无效投标处理，并不进行后续评审。</w:t>
      </w:r>
    </w:p>
    <w:p>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（4）资格审查通过的投标供应商，由评标委员会对其商务技术文件的符合性审查、商务技术评审；</w:t>
      </w:r>
    </w:p>
    <w:p>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（5）第一阶段开标结束。</w:t>
      </w:r>
    </w:p>
    <w:p>
      <w:pPr>
        <w:spacing w:line="360" w:lineRule="auto"/>
        <w:ind w:firstLine="426" w:firstLineChars="177"/>
        <w:jc w:val="left"/>
        <w:rPr>
          <w:rFonts w:ascii="宋体" w:hAnsi="宋体" w:cs="宋体"/>
          <w:b/>
          <w:color w:val="auto"/>
          <w:kern w:val="0"/>
          <w:sz w:val="24"/>
          <w:highlight w:val="none"/>
        </w:rPr>
      </w:pPr>
      <w:r>
        <w:rPr>
          <w:rFonts w:hint="eastAsia" w:ascii="宋体" w:hAnsi="宋体" w:cs="宋体"/>
          <w:b/>
          <w:color w:val="auto"/>
          <w:kern w:val="0"/>
          <w:sz w:val="24"/>
          <w:highlight w:val="none"/>
        </w:rPr>
        <w:t>3.2开标大会第二阶段</w:t>
      </w:r>
    </w:p>
    <w:p>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（1）首先公布符合性审查、商务技术评审无效供应商名称及理由；公布经商务技术评审后有效投标供应商的名单，同时公布其商务技术部分得分情况。</w:t>
      </w:r>
    </w:p>
    <w:p>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（2）开启有效投标供应商的《报价文件》，供应商通过政采云平台对报价进行签字确认（不予确认的应说明理由，否则视为无异议）。唱标结束后，由评标委员会对报价的合理性、准确性等进行审查核实。</w:t>
      </w:r>
    </w:p>
    <w:p>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（3）评审结束后，公布中标（成交）候选供应商名单，及采购人最终确定中标或成交供应商名单的时间和公告方式等。</w:t>
      </w:r>
    </w:p>
    <w:p>
      <w:pPr>
        <w:autoSpaceDE w:val="0"/>
        <w:autoSpaceDN w:val="0"/>
        <w:adjustRightInd w:val="0"/>
        <w:spacing w:line="360" w:lineRule="auto"/>
        <w:rPr>
          <w:rFonts w:ascii="宋体" w:hAnsi="宋体" w:cs="宋体"/>
          <w:color w:val="auto"/>
          <w:sz w:val="24"/>
          <w:highlight w:val="none"/>
        </w:rPr>
      </w:pPr>
      <w:r>
        <w:rPr>
          <w:rFonts w:hint="eastAsia" w:ascii="宋体" w:hAnsi="宋体" w:cs="宋体"/>
          <w:b/>
          <w:color w:val="auto"/>
          <w:kern w:val="0"/>
          <w:sz w:val="24"/>
          <w:highlight w:val="none"/>
        </w:rPr>
        <w:t>特别说明：如遇“政府采购云平台”电子化开标或评审程序调整的，按调整后程序执行。</w:t>
      </w:r>
    </w:p>
    <w:p>
      <w:pPr>
        <w:pStyle w:val="22"/>
        <w:snapToGrid w:val="0"/>
        <w:spacing w:line="360" w:lineRule="auto"/>
        <w:outlineLvl w:val="1"/>
        <w:rPr>
          <w:rFonts w:hAnsi="宋体" w:cs="宋体"/>
          <w:b/>
          <w:color w:val="auto"/>
          <w:sz w:val="24"/>
          <w:highlight w:val="none"/>
        </w:rPr>
      </w:pPr>
      <w:r>
        <w:rPr>
          <w:rFonts w:hint="eastAsia" w:hAnsi="宋体" w:cs="宋体"/>
          <w:b/>
          <w:color w:val="auto"/>
          <w:sz w:val="24"/>
          <w:highlight w:val="none"/>
        </w:rPr>
        <w:t>六、评标</w:t>
      </w:r>
    </w:p>
    <w:p>
      <w:pPr>
        <w:pStyle w:val="22"/>
        <w:snapToGrid w:val="0"/>
        <w:spacing w:line="360" w:lineRule="auto"/>
        <w:ind w:left="720" w:leftChars="228" w:hanging="241" w:hangingChars="100"/>
        <w:rPr>
          <w:rFonts w:hAnsi="宋体" w:cs="宋体"/>
          <w:b/>
          <w:color w:val="auto"/>
          <w:sz w:val="24"/>
          <w:highlight w:val="none"/>
        </w:rPr>
      </w:pPr>
      <w:r>
        <w:rPr>
          <w:rFonts w:hint="eastAsia" w:hAnsi="宋体" w:cs="宋体"/>
          <w:b/>
          <w:color w:val="auto"/>
          <w:sz w:val="24"/>
          <w:highlight w:val="none"/>
        </w:rPr>
        <w:t>（一）组建评标委员会</w:t>
      </w:r>
    </w:p>
    <w:p>
      <w:pPr>
        <w:pStyle w:val="22"/>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本项目评标委员会由政府采购评审专家和采购人评审代表共7人组成，其中评审专家不少于成员总数的三分之二。</w:t>
      </w:r>
    </w:p>
    <w:p>
      <w:pPr>
        <w:pStyle w:val="22"/>
        <w:snapToGrid w:val="0"/>
        <w:spacing w:line="360" w:lineRule="auto"/>
        <w:ind w:left="720" w:leftChars="228" w:hanging="241" w:hangingChars="100"/>
        <w:rPr>
          <w:rFonts w:hAnsi="宋体" w:cs="宋体"/>
          <w:b/>
          <w:color w:val="auto"/>
          <w:sz w:val="24"/>
          <w:highlight w:val="none"/>
        </w:rPr>
      </w:pPr>
      <w:r>
        <w:rPr>
          <w:rFonts w:hint="eastAsia" w:hAnsi="宋体" w:cs="宋体"/>
          <w:b/>
          <w:color w:val="auto"/>
          <w:sz w:val="24"/>
          <w:highlight w:val="none"/>
        </w:rPr>
        <w:t>（二）</w:t>
      </w:r>
      <w:r>
        <w:rPr>
          <w:rFonts w:hint="eastAsia" w:hAnsi="宋体" w:cs="宋体"/>
          <w:b/>
          <w:bCs/>
          <w:color w:val="auto"/>
          <w:sz w:val="24"/>
          <w:highlight w:val="none"/>
        </w:rPr>
        <w:t>评标程序</w:t>
      </w:r>
    </w:p>
    <w:p>
      <w:pPr>
        <w:snapToGrid w:val="0"/>
        <w:spacing w:line="360" w:lineRule="auto"/>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1、资格审查</w:t>
      </w:r>
    </w:p>
    <w:p>
      <w:pPr>
        <w:pStyle w:val="31"/>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公开招标采购项目开标结束后，采购人或者采购组织机构应当依法对投标人的资格进行审查，对审查发现无效的进行必要的询标，结束后公布无效投标的投标人名单、投标无效的原因。</w:t>
      </w:r>
    </w:p>
    <w:p>
      <w:pPr>
        <w:pStyle w:val="31"/>
        <w:spacing w:before="0" w:beforeAutospacing="0" w:after="0" w:afterAutospacing="0" w:line="360" w:lineRule="auto"/>
        <w:ind w:firstLine="472" w:firstLineChars="196"/>
        <w:jc w:val="both"/>
        <w:rPr>
          <w:rFonts w:hint="default" w:cs="宋体"/>
          <w:b/>
          <w:bCs/>
          <w:color w:val="auto"/>
          <w:highlight w:val="none"/>
        </w:rPr>
      </w:pPr>
      <w:r>
        <w:rPr>
          <w:rFonts w:cs="宋体"/>
          <w:b/>
          <w:bCs/>
          <w:color w:val="auto"/>
          <w:highlight w:val="none"/>
        </w:rPr>
        <w:t>2、符合性审查</w:t>
      </w:r>
    </w:p>
    <w:p>
      <w:pPr>
        <w:pStyle w:val="31"/>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31"/>
        <w:spacing w:before="0" w:beforeAutospacing="0" w:after="0" w:afterAutospacing="0" w:line="360" w:lineRule="auto"/>
        <w:ind w:firstLine="482" w:firstLineChars="200"/>
        <w:jc w:val="both"/>
        <w:rPr>
          <w:rFonts w:hint="default" w:cs="宋体"/>
          <w:color w:val="auto"/>
          <w:highlight w:val="none"/>
        </w:rPr>
      </w:pPr>
      <w:r>
        <w:rPr>
          <w:rFonts w:cs="宋体"/>
          <w:b/>
          <w:bCs/>
          <w:color w:val="auto"/>
          <w:highlight w:val="none"/>
        </w:rPr>
        <w:t>3、综合比较与评价</w:t>
      </w:r>
    </w:p>
    <w:p>
      <w:pPr>
        <w:pStyle w:val="31"/>
        <w:spacing w:before="0" w:beforeAutospacing="0" w:after="0" w:afterAutospacing="0" w:line="360" w:lineRule="auto"/>
        <w:ind w:firstLine="360" w:firstLineChars="150"/>
        <w:jc w:val="both"/>
        <w:rPr>
          <w:rFonts w:hint="default" w:cs="宋体"/>
          <w:color w:val="auto"/>
          <w:highlight w:val="none"/>
        </w:rPr>
      </w:pPr>
      <w:r>
        <w:rPr>
          <w:rFonts w:cs="宋体"/>
          <w:color w:val="auto"/>
          <w:highlight w:val="none"/>
        </w:rPr>
        <w:t>（1）对于投标文件中含义不明确、同类问题表述不一致或者有明显文字和计算错误的内容，评标委员会应当以书面形式要求投标人作出必要的澄清、说明或者补正。</w:t>
      </w:r>
    </w:p>
    <w:p>
      <w:pPr>
        <w:pStyle w:val="31"/>
        <w:spacing w:before="0" w:beforeAutospacing="0" w:after="0" w:afterAutospacing="0" w:line="360" w:lineRule="auto"/>
        <w:ind w:firstLine="360" w:firstLineChars="150"/>
        <w:jc w:val="both"/>
        <w:rPr>
          <w:rFonts w:hint="default" w:cs="宋体"/>
          <w:color w:val="auto"/>
          <w:highlight w:val="none"/>
        </w:rPr>
      </w:pPr>
      <w:r>
        <w:rPr>
          <w:rFonts w:cs="宋体"/>
          <w:color w:val="auto"/>
          <w:highlight w:val="none"/>
        </w:rPr>
        <w:t>（2）评标委员会应当按照招标文件中规定的评标方法和标准，对符合性审查合格的投标文件进行商务和技术评估，综合比较与评价。</w:t>
      </w:r>
    </w:p>
    <w:p>
      <w:pPr>
        <w:snapToGrid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（3）评标时，评标委员会各成员应当独立对每个投标人的投标文件进行评价，并汇总每个投标人的得分。</w:t>
      </w:r>
    </w:p>
    <w:p>
      <w:pPr>
        <w:numPr>
          <w:ilvl w:val="255"/>
          <w:numId w:val="0"/>
        </w:num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4、得分确认及评审报告编写</w:t>
      </w:r>
    </w:p>
    <w:p>
      <w:pPr>
        <w:pStyle w:val="22"/>
        <w:snapToGrid w:val="0"/>
        <w:spacing w:line="360" w:lineRule="auto"/>
        <w:ind w:firstLine="420" w:firstLineChars="175"/>
        <w:rPr>
          <w:rFonts w:hAnsi="宋体" w:cs="宋体"/>
          <w:color w:val="auto"/>
          <w:sz w:val="24"/>
          <w:highlight w:val="none"/>
        </w:rPr>
      </w:pPr>
      <w:r>
        <w:rPr>
          <w:rFonts w:hint="eastAsia" w:hAnsi="宋体" w:cs="宋体"/>
          <w:color w:val="auto"/>
          <w:sz w:val="24"/>
          <w:highlight w:val="none"/>
        </w:rPr>
        <w:t>（1）评标委员会对报价文件进行复核，对于系统计算出的价格分及总得分进行确认；</w:t>
      </w:r>
    </w:p>
    <w:p>
      <w:pPr>
        <w:pStyle w:val="31"/>
        <w:spacing w:before="0" w:beforeAutospacing="0" w:after="0" w:afterAutospacing="0" w:line="360" w:lineRule="auto"/>
        <w:ind w:firstLine="420" w:firstLineChars="175"/>
        <w:jc w:val="both"/>
        <w:rPr>
          <w:rFonts w:hint="default" w:cs="宋体"/>
          <w:color w:val="auto"/>
          <w:highlight w:val="none"/>
        </w:rPr>
      </w:pPr>
      <w:r>
        <w:rPr>
          <w:rFonts w:cs="宋体"/>
          <w:color w:val="auto"/>
          <w:highlight w:val="none"/>
        </w:rPr>
        <w:t>（2）评标委员会应当按照招标文件中规定的评标方法和标准，对符合性审查合格的投标文件进行商务和技术评估，综合比较与评价。</w:t>
      </w:r>
    </w:p>
    <w:p>
      <w:pPr>
        <w:snapToGrid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rPr>
        <w:t>评标委员会</w:t>
      </w:r>
      <w:r>
        <w:rPr>
          <w:rFonts w:hint="eastAsia" w:ascii="宋体" w:hAnsi="宋体" w:cs="宋体"/>
          <w:color w:val="auto"/>
          <w:sz w:val="24"/>
          <w:highlight w:val="none"/>
        </w:rPr>
        <w:t>按评标原则及得分情况编写评审报告。</w:t>
      </w:r>
    </w:p>
    <w:p>
      <w:pPr>
        <w:numPr>
          <w:ilvl w:val="255"/>
          <w:numId w:val="0"/>
        </w:numPr>
        <w:snapToGri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5、评价</w:t>
      </w:r>
    </w:p>
    <w:p>
      <w:pPr>
        <w:snapToGrid w:val="0"/>
        <w:spacing w:line="360" w:lineRule="auto"/>
        <w:ind w:firstLine="480" w:firstLineChars="200"/>
        <w:rPr>
          <w:rFonts w:ascii="宋体" w:hAnsi="宋体" w:cs="宋体"/>
          <w:b/>
          <w:color w:val="auto"/>
          <w:kern w:val="0"/>
          <w:sz w:val="24"/>
          <w:highlight w:val="none"/>
        </w:rPr>
      </w:pPr>
      <w:r>
        <w:rPr>
          <w:rFonts w:hint="eastAsia" w:ascii="宋体" w:hAnsi="宋体" w:cs="宋体"/>
          <w:color w:val="auto"/>
          <w:sz w:val="24"/>
          <w:highlight w:val="none"/>
        </w:rPr>
        <w:t>采购组织机构对评标委员会评审专家进行评价。</w:t>
      </w:r>
    </w:p>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（三）澄清问题的形式</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投标人的澄清、说明或者补正应当采用书面形式，并加盖公章，或者由法定代理人或其授权的代表签字，并不得超出投标文件的范围或者改变投标文件的实质性内容。</w:t>
      </w:r>
    </w:p>
    <w:p>
      <w:pPr>
        <w:pStyle w:val="22"/>
        <w:snapToGrid w:val="0"/>
        <w:spacing w:line="360" w:lineRule="auto"/>
        <w:ind w:left="720" w:leftChars="228" w:hanging="241" w:hangingChars="100"/>
        <w:rPr>
          <w:rFonts w:hAnsi="宋体" w:cs="宋体"/>
          <w:b/>
          <w:color w:val="auto"/>
          <w:sz w:val="24"/>
          <w:highlight w:val="none"/>
        </w:rPr>
      </w:pPr>
      <w:r>
        <w:rPr>
          <w:rFonts w:hint="eastAsia" w:hAnsi="宋体" w:cs="宋体"/>
          <w:b/>
          <w:color w:val="auto"/>
          <w:sz w:val="24"/>
          <w:highlight w:val="none"/>
        </w:rPr>
        <w:t>（四）错误修正</w:t>
      </w:r>
    </w:p>
    <w:p>
      <w:pPr>
        <w:pStyle w:val="31"/>
        <w:spacing w:before="0" w:beforeAutospacing="0" w:after="0" w:afterAutospacing="0" w:line="360" w:lineRule="auto"/>
        <w:ind w:firstLine="360" w:firstLineChars="150"/>
        <w:jc w:val="both"/>
        <w:rPr>
          <w:rFonts w:hint="default" w:cs="宋体"/>
          <w:color w:val="auto"/>
          <w:highlight w:val="none"/>
        </w:rPr>
      </w:pPr>
      <w:r>
        <w:rPr>
          <w:rFonts w:cs="宋体"/>
          <w:color w:val="auto"/>
          <w:highlight w:val="none"/>
        </w:rPr>
        <w:t>投标文件如果出现计算或表达上的错误，修正错误的原则如下：</w:t>
      </w:r>
    </w:p>
    <w:p>
      <w:pPr>
        <w:pStyle w:val="31"/>
        <w:spacing w:before="0" w:beforeAutospacing="0" w:after="0" w:afterAutospacing="0" w:line="360" w:lineRule="auto"/>
        <w:ind w:firstLine="360" w:firstLineChars="150"/>
        <w:jc w:val="both"/>
        <w:rPr>
          <w:rFonts w:hint="default" w:cs="宋体"/>
          <w:color w:val="auto"/>
          <w:highlight w:val="none"/>
        </w:rPr>
      </w:pPr>
      <w:r>
        <w:rPr>
          <w:rFonts w:cs="宋体"/>
          <w:color w:val="auto"/>
          <w:highlight w:val="none"/>
        </w:rPr>
        <w:t>1、投标文件的大写金额和小写金额不一致的，以大写金额为准（大写金额明显错误的除外）；</w:t>
      </w:r>
    </w:p>
    <w:p>
      <w:pPr>
        <w:pStyle w:val="31"/>
        <w:spacing w:before="0" w:beforeAutospacing="0" w:after="0" w:afterAutospacing="0" w:line="360" w:lineRule="auto"/>
        <w:ind w:firstLine="360" w:firstLineChars="150"/>
        <w:jc w:val="both"/>
        <w:rPr>
          <w:rFonts w:hint="default" w:cs="宋体"/>
          <w:color w:val="auto"/>
          <w:highlight w:val="none"/>
        </w:rPr>
      </w:pPr>
      <w:r>
        <w:rPr>
          <w:rFonts w:cs="宋体"/>
          <w:color w:val="auto"/>
          <w:highlight w:val="none"/>
        </w:rPr>
        <w:t>2、对不同文字文本投标文件的解释发生异议的，以中文文本为准。</w:t>
      </w:r>
    </w:p>
    <w:p>
      <w:pPr>
        <w:pStyle w:val="31"/>
        <w:spacing w:before="0" w:beforeAutospacing="0" w:after="0" w:afterAutospacing="0" w:line="360" w:lineRule="auto"/>
        <w:ind w:firstLine="360" w:firstLineChars="150"/>
        <w:jc w:val="both"/>
        <w:rPr>
          <w:rFonts w:hint="default" w:cs="宋体"/>
          <w:color w:val="auto"/>
          <w:highlight w:val="none"/>
        </w:rPr>
      </w:pPr>
      <w:r>
        <w:rPr>
          <w:rFonts w:cs="宋体"/>
          <w:color w:val="auto"/>
          <w:highlight w:val="none"/>
        </w:rPr>
        <w:t>3、电子投标客户端的开标一览表中填报的报价与报价要求响应文件中的投标函报价不一致的，以投标函为准，修正网上报价。若网上报价无法修正的，以电子投标客户端的开标一览表中的为准，调整投标函报价与报价明细清单，以扫描件形式发送邮件至邮箱：153154789@qq.com；</w:t>
      </w:r>
    </w:p>
    <w:p>
      <w:pPr>
        <w:pStyle w:val="31"/>
        <w:spacing w:before="0" w:beforeAutospacing="0" w:after="0" w:afterAutospacing="0" w:line="360" w:lineRule="auto"/>
        <w:ind w:firstLine="360" w:firstLineChars="150"/>
        <w:jc w:val="both"/>
        <w:rPr>
          <w:rFonts w:hint="default" w:cs="宋体"/>
          <w:color w:val="auto"/>
          <w:highlight w:val="none"/>
        </w:rPr>
      </w:pPr>
      <w:r>
        <w:rPr>
          <w:rFonts w:cs="宋体"/>
          <w:color w:val="auto"/>
          <w:highlight w:val="none"/>
        </w:rPr>
        <w:t>4、投标报价清单中的全费用综合单价和合计价不一致的，以全费用综合单价为准，修正合计价；</w:t>
      </w:r>
    </w:p>
    <w:p>
      <w:pPr>
        <w:pStyle w:val="31"/>
        <w:spacing w:before="0" w:beforeAutospacing="0" w:after="0" w:afterAutospacing="0" w:line="360" w:lineRule="auto"/>
        <w:ind w:firstLine="360" w:firstLineChars="150"/>
        <w:jc w:val="both"/>
        <w:rPr>
          <w:rFonts w:hint="default" w:cs="宋体"/>
          <w:color w:val="auto"/>
          <w:highlight w:val="none"/>
        </w:rPr>
      </w:pPr>
      <w:r>
        <w:rPr>
          <w:rFonts w:cs="宋体"/>
          <w:color w:val="auto"/>
          <w:highlight w:val="none"/>
        </w:rPr>
        <w:t>5、投标报价清单中的合计价和合计汇总不一致的，以合计价为准，修正合计汇总价；</w:t>
      </w:r>
    </w:p>
    <w:p>
      <w:pPr>
        <w:pStyle w:val="31"/>
        <w:spacing w:before="0" w:beforeAutospacing="0" w:after="0" w:afterAutospacing="0" w:line="360" w:lineRule="auto"/>
        <w:ind w:firstLine="360" w:firstLineChars="150"/>
        <w:jc w:val="both"/>
        <w:rPr>
          <w:rFonts w:hint="default" w:cs="宋体"/>
          <w:color w:val="auto"/>
          <w:highlight w:val="none"/>
        </w:rPr>
      </w:pPr>
      <w:r>
        <w:rPr>
          <w:rFonts w:cs="宋体"/>
          <w:color w:val="auto"/>
          <w:highlight w:val="none"/>
        </w:rPr>
        <w:t>6、投标报价汇总表与投标报价清单的合计价格不一致的，以投标报价清单中的合计价格为准，修正投标报价汇总表；</w:t>
      </w:r>
    </w:p>
    <w:p>
      <w:pPr>
        <w:pStyle w:val="31"/>
        <w:spacing w:before="0" w:beforeAutospacing="0" w:after="0" w:afterAutospacing="0" w:line="360" w:lineRule="auto"/>
        <w:ind w:firstLine="360" w:firstLineChars="150"/>
        <w:jc w:val="both"/>
        <w:rPr>
          <w:rFonts w:hint="default" w:cs="宋体"/>
          <w:color w:val="auto"/>
          <w:highlight w:val="none"/>
        </w:rPr>
      </w:pPr>
      <w:r>
        <w:rPr>
          <w:rFonts w:cs="宋体"/>
          <w:color w:val="auto"/>
          <w:highlight w:val="none"/>
        </w:rPr>
        <w:t>7、投标函的投标报价与投标报价汇总表不一致的，以投标报价汇总表为准，修正投标函的投标报价；</w:t>
      </w:r>
    </w:p>
    <w:p>
      <w:pPr>
        <w:pStyle w:val="31"/>
        <w:spacing w:before="0" w:beforeAutospacing="0" w:after="0" w:afterAutospacing="0" w:line="360" w:lineRule="auto"/>
        <w:ind w:firstLine="360" w:firstLineChars="150"/>
        <w:jc w:val="both"/>
        <w:rPr>
          <w:rStyle w:val="42"/>
          <w:rFonts w:hint="default" w:cs="宋体"/>
          <w:color w:val="auto"/>
          <w:highlight w:val="none"/>
          <w:u w:val="none"/>
        </w:rPr>
      </w:pPr>
      <w:r>
        <w:rPr>
          <w:rFonts w:cs="宋体"/>
          <w:color w:val="auto"/>
          <w:highlight w:val="none"/>
        </w:rPr>
        <w:t>按上述修正错误的原则及方法调整或修正投标文件的投标报价，投标人同意并签字确认后，以扫描件形式发送至指定邮箱：</w:t>
      </w:r>
      <w:r>
        <w:rPr>
          <w:color w:val="auto"/>
          <w:highlight w:val="none"/>
        </w:rPr>
        <w:fldChar w:fldCharType="begin"/>
      </w:r>
      <w:r>
        <w:rPr>
          <w:color w:val="auto"/>
          <w:highlight w:val="none"/>
        </w:rPr>
        <w:instrText xml:space="preserve"> HYPERLINK "mailto:1530866146@qq.com。调整后的投标报价对投标人具有约束作用。如果投标人不接受修正后的报价，则其投标将作为无效投标处理。" </w:instrText>
      </w:r>
      <w:r>
        <w:rPr>
          <w:color w:val="auto"/>
          <w:highlight w:val="none"/>
        </w:rPr>
        <w:fldChar w:fldCharType="separate"/>
      </w:r>
      <w:r>
        <w:rPr>
          <w:rStyle w:val="42"/>
          <w:rFonts w:cs="宋体"/>
          <w:color w:val="auto"/>
          <w:highlight w:val="none"/>
          <w:u w:val="none"/>
        </w:rPr>
        <w:t>153154789@qq.com。调整后的投标报价对投标人具有约束作用。如果投标人不接受修正后的报价，则其投标将作为无效投标处理。</w:t>
      </w:r>
      <w:r>
        <w:rPr>
          <w:rStyle w:val="42"/>
          <w:rFonts w:cs="宋体"/>
          <w:color w:val="auto"/>
          <w:highlight w:val="none"/>
          <w:u w:val="none"/>
        </w:rPr>
        <w:fldChar w:fldCharType="end"/>
      </w:r>
    </w:p>
    <w:p>
      <w:pPr>
        <w:pStyle w:val="31"/>
        <w:spacing w:before="0" w:beforeAutospacing="0" w:after="0" w:afterAutospacing="0" w:line="360" w:lineRule="auto"/>
        <w:ind w:firstLine="361" w:firstLineChars="150"/>
        <w:jc w:val="both"/>
        <w:rPr>
          <w:rFonts w:hint="default" w:cs="宋体"/>
          <w:b/>
          <w:color w:val="auto"/>
          <w:highlight w:val="none"/>
        </w:rPr>
      </w:pPr>
      <w:r>
        <w:rPr>
          <w:rFonts w:cs="宋体"/>
          <w:b/>
          <w:bCs/>
          <w:color w:val="auto"/>
          <w:highlight w:val="none"/>
        </w:rPr>
        <w:t>（五）</w:t>
      </w:r>
      <w:r>
        <w:rPr>
          <w:rFonts w:cs="宋体"/>
          <w:b/>
          <w:color w:val="auto"/>
          <w:highlight w:val="none"/>
        </w:rPr>
        <w:t>投标人存在下列情况之一的，投标无效</w:t>
      </w:r>
    </w:p>
    <w:p>
      <w:pPr>
        <w:pStyle w:val="31"/>
        <w:adjustRightInd w:val="0"/>
        <w:snapToGrid w:val="0"/>
        <w:spacing w:before="0" w:beforeAutospacing="0" w:after="0" w:afterAutospacing="0" w:line="360" w:lineRule="auto"/>
        <w:ind w:firstLine="480" w:firstLineChars="200"/>
        <w:jc w:val="both"/>
        <w:rPr>
          <w:rFonts w:hint="default" w:cs="宋体"/>
          <w:b/>
          <w:bCs/>
          <w:color w:val="auto"/>
          <w:highlight w:val="none"/>
        </w:rPr>
      </w:pPr>
      <w:r>
        <w:rPr>
          <w:rFonts w:cs="宋体"/>
          <w:color w:val="auto"/>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pPr>
        <w:pStyle w:val="31"/>
        <w:tabs>
          <w:tab w:val="left" w:pos="7380"/>
        </w:tabs>
        <w:adjustRightInd w:val="0"/>
        <w:snapToGrid w:val="0"/>
        <w:spacing w:before="0" w:beforeAutospacing="0" w:after="0" w:afterAutospacing="0" w:line="360" w:lineRule="auto"/>
        <w:jc w:val="both"/>
        <w:rPr>
          <w:rFonts w:hint="default" w:cs="宋体"/>
          <w:color w:val="auto"/>
          <w:highlight w:val="none"/>
        </w:rPr>
      </w:pPr>
      <w:r>
        <w:rPr>
          <w:rFonts w:cs="宋体"/>
          <w:color w:val="auto"/>
          <w:highlight w:val="none"/>
        </w:rPr>
        <w:t>　　2、不具备招标文件中规定的资格要求的。</w:t>
      </w:r>
      <w:r>
        <w:rPr>
          <w:rFonts w:cs="宋体"/>
          <w:color w:val="auto"/>
          <w:highlight w:val="none"/>
        </w:rPr>
        <w:tab/>
      </w:r>
    </w:p>
    <w:p>
      <w:pPr>
        <w:pStyle w:val="31"/>
        <w:adjustRightInd w:val="0"/>
        <w:snapToGrid w:val="0"/>
        <w:spacing w:before="0" w:beforeAutospacing="0" w:after="0" w:afterAutospacing="0" w:line="360" w:lineRule="auto"/>
        <w:jc w:val="both"/>
        <w:rPr>
          <w:rFonts w:hint="default" w:cs="宋体"/>
          <w:color w:val="auto"/>
          <w:highlight w:val="none"/>
        </w:rPr>
      </w:pPr>
      <w:r>
        <w:rPr>
          <w:rFonts w:cs="宋体"/>
          <w:color w:val="auto"/>
          <w:highlight w:val="none"/>
        </w:rPr>
        <w:t>　  3、投标文件含有采购人不能接受的附加条件的。</w:t>
      </w:r>
    </w:p>
    <w:p>
      <w:pPr>
        <w:adjustRightInd w:val="0"/>
        <w:snapToGrid w:val="0"/>
        <w:spacing w:line="360" w:lineRule="auto"/>
        <w:ind w:firstLine="470" w:firstLineChars="196"/>
        <w:rPr>
          <w:rFonts w:ascii="宋体" w:hAnsi="宋体" w:cs="宋体"/>
          <w:bCs/>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sz w:val="24"/>
          <w:highlight w:val="none"/>
        </w:rPr>
        <w:t>、投标代表人未能出具身份证明或与法定代表人授权委托人身份不符的；</w:t>
      </w:r>
    </w:p>
    <w:p>
      <w:pPr>
        <w:pStyle w:val="31"/>
        <w:adjustRightInd w:val="0"/>
        <w:snapToGrid w:val="0"/>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1"/>
        <w:adjustRightInd w:val="0"/>
        <w:snapToGrid w:val="0"/>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 xml:space="preserve">6、报价超过招标文件中规定的预算金额/最高限价。 </w:t>
      </w:r>
    </w:p>
    <w:p>
      <w:pPr>
        <w:tabs>
          <w:tab w:val="left" w:pos="1898"/>
        </w:tabs>
        <w:autoSpaceDE w:val="0"/>
        <w:autoSpaceDN w:val="0"/>
        <w:adjustRightInd w:val="0"/>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7、投标参数未如实填写，完全复制粘贴招标参数的。</w:t>
      </w:r>
    </w:p>
    <w:p>
      <w:pPr>
        <w:tabs>
          <w:tab w:val="left" w:pos="1898"/>
        </w:tabs>
        <w:autoSpaceDE w:val="0"/>
        <w:autoSpaceDN w:val="0"/>
        <w:adjustRightInd w:val="0"/>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 xml:space="preserve">8、投标文件提供虚假材料的。 </w:t>
      </w:r>
    </w:p>
    <w:p>
      <w:pPr>
        <w:tabs>
          <w:tab w:val="left" w:pos="1898"/>
        </w:tabs>
        <w:autoSpaceDE w:val="0"/>
        <w:autoSpaceDN w:val="0"/>
        <w:adjustRightInd w:val="0"/>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9、不符合中华人民共和国财政部令第87号《政府采购货物和服务招标投标管理办法》第三十七条情形之一的，视为投标人串通投标，其投标无效，并移送采购监管部门：</w:t>
      </w:r>
    </w:p>
    <w:p>
      <w:pPr>
        <w:pStyle w:val="31"/>
        <w:spacing w:before="0" w:beforeAutospacing="0" w:after="0" w:afterAutospacing="0" w:line="360" w:lineRule="auto"/>
        <w:jc w:val="both"/>
        <w:rPr>
          <w:rFonts w:hint="default" w:cs="宋体"/>
          <w:color w:val="auto"/>
          <w:highlight w:val="none"/>
        </w:rPr>
      </w:pPr>
      <w:r>
        <w:rPr>
          <w:rFonts w:cs="宋体"/>
          <w:color w:val="auto"/>
          <w:highlight w:val="none"/>
        </w:rPr>
        <w:t>　 （1）不同投标人的投标文件由同一单位或者个人编制；</w:t>
      </w:r>
    </w:p>
    <w:p>
      <w:pPr>
        <w:pStyle w:val="31"/>
        <w:spacing w:before="0" w:beforeAutospacing="0" w:after="0" w:afterAutospacing="0" w:line="360" w:lineRule="auto"/>
        <w:jc w:val="both"/>
        <w:rPr>
          <w:rFonts w:hint="default" w:cs="宋体"/>
          <w:color w:val="auto"/>
          <w:highlight w:val="none"/>
        </w:rPr>
      </w:pPr>
      <w:r>
        <w:rPr>
          <w:rFonts w:cs="宋体"/>
          <w:color w:val="auto"/>
          <w:highlight w:val="none"/>
        </w:rPr>
        <w:t>　 （2）不同投标人委托同一单位或者个人办理投标事宜；</w:t>
      </w:r>
    </w:p>
    <w:p>
      <w:pPr>
        <w:pStyle w:val="31"/>
        <w:spacing w:before="0" w:beforeAutospacing="0" w:after="0" w:afterAutospacing="0" w:line="360" w:lineRule="auto"/>
        <w:jc w:val="both"/>
        <w:rPr>
          <w:rFonts w:hint="default" w:cs="宋体"/>
          <w:color w:val="auto"/>
          <w:highlight w:val="none"/>
        </w:rPr>
      </w:pPr>
      <w:r>
        <w:rPr>
          <w:rFonts w:cs="宋体"/>
          <w:color w:val="auto"/>
          <w:highlight w:val="none"/>
        </w:rPr>
        <w:t>　 （3）不同投标人的投标文件载明的项目管理成员或者联系人员为同一人；</w:t>
      </w:r>
    </w:p>
    <w:p>
      <w:pPr>
        <w:pStyle w:val="31"/>
        <w:spacing w:before="0" w:beforeAutospacing="0" w:after="0" w:afterAutospacing="0" w:line="360" w:lineRule="auto"/>
        <w:jc w:val="both"/>
        <w:rPr>
          <w:rFonts w:hint="default" w:cs="宋体"/>
          <w:color w:val="auto"/>
          <w:highlight w:val="none"/>
        </w:rPr>
      </w:pPr>
      <w:r>
        <w:rPr>
          <w:rFonts w:cs="宋体"/>
          <w:color w:val="auto"/>
          <w:highlight w:val="none"/>
        </w:rPr>
        <w:t>　 （4）不同投标人的投标文件异常一致或者投标报价呈规律性差异；</w:t>
      </w:r>
    </w:p>
    <w:p>
      <w:pPr>
        <w:pStyle w:val="31"/>
        <w:spacing w:before="0" w:beforeAutospacing="0" w:after="0" w:afterAutospacing="0" w:line="360" w:lineRule="auto"/>
        <w:jc w:val="both"/>
        <w:rPr>
          <w:rFonts w:hint="default" w:cs="宋体"/>
          <w:color w:val="auto"/>
          <w:highlight w:val="none"/>
        </w:rPr>
      </w:pPr>
      <w:r>
        <w:rPr>
          <w:rFonts w:cs="宋体"/>
          <w:color w:val="auto"/>
          <w:highlight w:val="none"/>
        </w:rPr>
        <w:t>　 （5）不同投标人的投标文件相互混装；</w:t>
      </w:r>
    </w:p>
    <w:p>
      <w:pPr>
        <w:pStyle w:val="31"/>
        <w:spacing w:before="0" w:beforeAutospacing="0" w:after="0" w:afterAutospacing="0" w:line="360" w:lineRule="auto"/>
        <w:jc w:val="both"/>
        <w:rPr>
          <w:rFonts w:hint="default" w:cs="宋体"/>
          <w:color w:val="auto"/>
          <w:highlight w:val="none"/>
        </w:rPr>
      </w:pPr>
      <w:r>
        <w:rPr>
          <w:rFonts w:cs="宋体"/>
          <w:color w:val="auto"/>
          <w:highlight w:val="none"/>
        </w:rPr>
        <w:t>　 10、不符合法律、法规和招标文件中规定的其他实质性要求的（招标文件</w:t>
      </w:r>
    </w:p>
    <w:p>
      <w:pPr>
        <w:tabs>
          <w:tab w:val="right" w:pos="8306"/>
        </w:tabs>
        <w:autoSpaceDE w:val="0"/>
        <w:autoSpaceDN w:val="0"/>
        <w:adjustRightIn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中打“▲”内容及被拒绝的条款）。</w:t>
      </w:r>
    </w:p>
    <w:p>
      <w:pPr>
        <w:tabs>
          <w:tab w:val="right" w:pos="8306"/>
        </w:tabs>
        <w:autoSpaceDE w:val="0"/>
        <w:autoSpaceDN w:val="0"/>
        <w:adjustRightIn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11、仅提交“备份投标文件”或电子投标文件未按时完成解密，又未提供备份电子投标文件的。</w:t>
      </w:r>
    </w:p>
    <w:p>
      <w:pPr>
        <w:autoSpaceDE w:val="0"/>
        <w:autoSpaceDN w:val="0"/>
        <w:adjustRightInd w:val="0"/>
        <w:spacing w:line="360" w:lineRule="auto"/>
        <w:ind w:left="480"/>
        <w:rPr>
          <w:rFonts w:ascii="宋体" w:hAnsi="宋体" w:cs="宋体"/>
          <w:color w:val="auto"/>
          <w:kern w:val="0"/>
          <w:sz w:val="24"/>
          <w:highlight w:val="none"/>
        </w:rPr>
      </w:pPr>
      <w:r>
        <w:rPr>
          <w:rFonts w:hint="eastAsia" w:ascii="宋体" w:hAnsi="宋体" w:cs="宋体"/>
          <w:b/>
          <w:color w:val="auto"/>
          <w:kern w:val="0"/>
          <w:sz w:val="24"/>
          <w:highlight w:val="none"/>
        </w:rPr>
        <w:t>（六）有下列情况之一的，本次招标作为废标处理</w:t>
      </w:r>
    </w:p>
    <w:p>
      <w:pPr>
        <w:pStyle w:val="31"/>
        <w:spacing w:before="0" w:beforeAutospacing="0" w:after="0" w:afterAutospacing="0" w:line="360" w:lineRule="auto"/>
        <w:ind w:firstLine="600" w:firstLineChars="250"/>
        <w:jc w:val="both"/>
        <w:rPr>
          <w:rFonts w:hint="default" w:cs="宋体"/>
          <w:color w:val="auto"/>
          <w:highlight w:val="none"/>
        </w:rPr>
      </w:pPr>
      <w:r>
        <w:rPr>
          <w:rFonts w:cs="宋体"/>
          <w:color w:val="auto"/>
          <w:highlight w:val="none"/>
        </w:rPr>
        <w:t>1、出现影响采购公正的违法、违规行为的；</w:t>
      </w:r>
    </w:p>
    <w:p>
      <w:pPr>
        <w:pStyle w:val="31"/>
        <w:spacing w:before="0" w:beforeAutospacing="0" w:after="0" w:afterAutospacing="0" w:line="360" w:lineRule="auto"/>
        <w:ind w:firstLine="600" w:firstLineChars="250"/>
        <w:jc w:val="both"/>
        <w:rPr>
          <w:rFonts w:hint="default" w:cs="宋体"/>
          <w:b/>
          <w:bCs/>
          <w:color w:val="auto"/>
          <w:highlight w:val="none"/>
        </w:rPr>
      </w:pPr>
      <w:r>
        <w:rPr>
          <w:rFonts w:cs="宋体"/>
          <w:color w:val="auto"/>
          <w:highlight w:val="none"/>
        </w:rPr>
        <w:t xml:space="preserve">2、评标委员会发现招标文件存在歧义、重大缺陷导致评标工作无法进行，或者招标文件内容违反国家有关强制性规定的； </w:t>
      </w:r>
    </w:p>
    <w:p>
      <w:pPr>
        <w:pStyle w:val="31"/>
        <w:spacing w:before="0" w:beforeAutospacing="0" w:after="0" w:afterAutospacing="0" w:line="360" w:lineRule="auto"/>
        <w:ind w:firstLine="600" w:firstLineChars="250"/>
        <w:jc w:val="both"/>
        <w:rPr>
          <w:rFonts w:hint="default" w:cs="宋体"/>
          <w:color w:val="auto"/>
          <w:highlight w:val="none"/>
        </w:rPr>
      </w:pPr>
      <w:r>
        <w:rPr>
          <w:rFonts w:cs="宋体"/>
          <w:color w:val="auto"/>
          <w:highlight w:val="none"/>
        </w:rPr>
        <w:t>3、因重大变故，采购任务取消的；</w:t>
      </w:r>
    </w:p>
    <w:p>
      <w:pPr>
        <w:pStyle w:val="31"/>
        <w:spacing w:before="0" w:beforeAutospacing="0" w:after="0" w:afterAutospacing="0" w:line="360" w:lineRule="auto"/>
        <w:ind w:firstLine="600" w:firstLineChars="250"/>
        <w:jc w:val="both"/>
        <w:rPr>
          <w:rFonts w:hint="default" w:cs="宋体"/>
          <w:color w:val="auto"/>
          <w:highlight w:val="none"/>
        </w:rPr>
      </w:pPr>
      <w:r>
        <w:rPr>
          <w:rFonts w:cs="宋体"/>
          <w:color w:val="auto"/>
          <w:highlight w:val="none"/>
        </w:rPr>
        <w:t>4、法律、法规和招标文件规定的其他导致评标结果无效的。</w:t>
      </w:r>
    </w:p>
    <w:p>
      <w:pPr>
        <w:pStyle w:val="31"/>
        <w:spacing w:before="0" w:beforeAutospacing="0" w:after="0" w:afterAutospacing="0" w:line="360" w:lineRule="auto"/>
        <w:ind w:firstLine="600" w:firstLineChars="250"/>
        <w:jc w:val="both"/>
        <w:rPr>
          <w:rFonts w:hint="default" w:cs="宋体"/>
          <w:color w:val="auto"/>
          <w:highlight w:val="none"/>
        </w:rPr>
      </w:pPr>
      <w:r>
        <w:rPr>
          <w:rFonts w:cs="宋体"/>
          <w:color w:val="auto"/>
          <w:highlight w:val="none"/>
        </w:rPr>
        <w:t>5、因电子交易平台故障无法登录、无法正常操作等导致平台无法正常运行，或者无法保证电子交易的公平、公正和安全时，采购组织机构可中止电子交易活动。</w:t>
      </w:r>
    </w:p>
    <w:p>
      <w:pPr>
        <w:pStyle w:val="22"/>
        <w:tabs>
          <w:tab w:val="left" w:pos="630"/>
        </w:tabs>
        <w:snapToGrid w:val="0"/>
        <w:spacing w:line="360" w:lineRule="auto"/>
        <w:ind w:firstLine="472" w:firstLineChars="196"/>
        <w:rPr>
          <w:rFonts w:hAnsi="宋体" w:cs="宋体"/>
          <w:b/>
          <w:color w:val="auto"/>
          <w:sz w:val="24"/>
          <w:highlight w:val="none"/>
        </w:rPr>
      </w:pPr>
    </w:p>
    <w:p>
      <w:pPr>
        <w:pStyle w:val="22"/>
        <w:tabs>
          <w:tab w:val="left" w:pos="630"/>
        </w:tabs>
        <w:snapToGrid w:val="0"/>
        <w:spacing w:line="360" w:lineRule="auto"/>
        <w:ind w:firstLine="472" w:firstLineChars="196"/>
        <w:rPr>
          <w:rFonts w:hAnsi="宋体" w:cs="宋体"/>
          <w:b/>
          <w:color w:val="auto"/>
          <w:sz w:val="24"/>
          <w:highlight w:val="none"/>
        </w:rPr>
      </w:pPr>
      <w:r>
        <w:rPr>
          <w:rFonts w:hint="eastAsia" w:hAnsi="宋体" w:cs="宋体"/>
          <w:b/>
          <w:color w:val="auto"/>
          <w:sz w:val="24"/>
          <w:highlight w:val="none"/>
        </w:rPr>
        <w:t>（七）评标原则和评标办法</w:t>
      </w:r>
    </w:p>
    <w:p>
      <w:pPr>
        <w:pStyle w:val="22"/>
        <w:snapToGrid w:val="0"/>
        <w:spacing w:line="360" w:lineRule="auto"/>
        <w:ind w:firstLine="600" w:firstLineChars="250"/>
        <w:rPr>
          <w:rFonts w:hAnsi="宋体" w:cs="宋体"/>
          <w:color w:val="auto"/>
          <w:sz w:val="24"/>
          <w:highlight w:val="none"/>
        </w:rPr>
      </w:pPr>
      <w:r>
        <w:rPr>
          <w:rFonts w:hint="eastAsia" w:hAnsi="宋体" w:cs="宋体"/>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2"/>
        <w:snapToGrid w:val="0"/>
        <w:spacing w:line="360" w:lineRule="auto"/>
        <w:ind w:firstLine="600" w:firstLineChars="250"/>
        <w:rPr>
          <w:rFonts w:hAnsi="宋体" w:cs="宋体"/>
          <w:color w:val="auto"/>
          <w:sz w:val="24"/>
          <w:highlight w:val="none"/>
        </w:rPr>
      </w:pPr>
      <w:r>
        <w:rPr>
          <w:rFonts w:hint="eastAsia" w:hAnsi="宋体" w:cs="宋体"/>
          <w:color w:val="auto"/>
          <w:sz w:val="24"/>
          <w:highlight w:val="none"/>
        </w:rPr>
        <w:t>2、评标办法。具体评标内容及评分标准等详见《第三章：评标办法及评分标准》。</w:t>
      </w:r>
    </w:p>
    <w:p>
      <w:pPr>
        <w:pStyle w:val="22"/>
        <w:snapToGrid w:val="0"/>
        <w:spacing w:line="360" w:lineRule="auto"/>
        <w:ind w:firstLine="472" w:firstLineChars="196"/>
        <w:rPr>
          <w:rFonts w:hAnsi="宋体" w:cs="宋体"/>
          <w:b/>
          <w:color w:val="auto"/>
          <w:sz w:val="24"/>
          <w:highlight w:val="none"/>
        </w:rPr>
      </w:pPr>
      <w:r>
        <w:rPr>
          <w:rFonts w:hint="eastAsia" w:hAnsi="宋体" w:cs="宋体"/>
          <w:b/>
          <w:color w:val="auto"/>
          <w:sz w:val="24"/>
          <w:highlight w:val="none"/>
        </w:rPr>
        <w:t>（八）评标过程的监控</w:t>
      </w:r>
    </w:p>
    <w:p>
      <w:pPr>
        <w:pStyle w:val="31"/>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本项目评标过程实行全程录音、录像监控，政府采购监管部门视情进行现场监督，投标人在评标过程中所进行的试图影响评标结果的不公正活动，可能导致其投标被拒绝。</w:t>
      </w:r>
    </w:p>
    <w:p>
      <w:pPr>
        <w:pStyle w:val="31"/>
        <w:spacing w:before="0" w:beforeAutospacing="0" w:after="0" w:afterAutospacing="0" w:line="360" w:lineRule="auto"/>
        <w:ind w:firstLine="361" w:firstLineChars="150"/>
        <w:jc w:val="both"/>
        <w:rPr>
          <w:rFonts w:hint="default" w:cs="宋体"/>
          <w:b/>
          <w:color w:val="auto"/>
          <w:highlight w:val="none"/>
        </w:rPr>
      </w:pPr>
      <w:r>
        <w:rPr>
          <w:rFonts w:cs="宋体"/>
          <w:b/>
          <w:color w:val="auto"/>
          <w:highlight w:val="none"/>
        </w:rPr>
        <w:t>七、定标</w:t>
      </w:r>
    </w:p>
    <w:p>
      <w:pPr>
        <w:pStyle w:val="31"/>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1、确定中标供应商。评标委员会根据采购人的《授权意见确认书》，推荐中标候选人或确定成交供应商。其中推荐中标候选人的，采购组织机构在评审结束后2个工作日内将评标报告送采购人，采购人自收到评审报告之日起5个工作日内在评审报告推荐的中标候选人中按顺序确定成交供应商。</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rPr>
        <w:t>发布</w:t>
      </w:r>
      <w:r>
        <w:rPr>
          <w:rFonts w:hint="eastAsia" w:ascii="宋体" w:hAnsi="宋体" w:cs="宋体"/>
          <w:color w:val="auto"/>
          <w:sz w:val="24"/>
          <w:highlight w:val="none"/>
        </w:rPr>
        <w:t>中标</w:t>
      </w:r>
      <w:r>
        <w:rPr>
          <w:rFonts w:hint="eastAsia" w:ascii="宋体" w:hAnsi="宋体" w:cs="宋体"/>
          <w:color w:val="auto"/>
          <w:kern w:val="0"/>
          <w:sz w:val="24"/>
          <w:highlight w:val="none"/>
        </w:rPr>
        <w:t>结果公告。采购组织机构应当自成交供应商确定之日起2个工作日内，在省级以上财政部门指定的媒体及相关网站上公告中标结果，招标文件应当随中标结果同时公告。</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3、发出中标通知书。采购组织机构在发布中标结果的同时，向成交供应商发出中标通知书。</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sz w:val="24"/>
          <w:highlight w:val="none"/>
        </w:rPr>
        <w:t>八、</w:t>
      </w:r>
      <w:r>
        <w:rPr>
          <w:rFonts w:hint="eastAsia" w:ascii="宋体" w:hAnsi="宋体" w:cs="宋体"/>
          <w:b/>
          <w:color w:val="auto"/>
          <w:kern w:val="0"/>
          <w:sz w:val="24"/>
          <w:highlight w:val="none"/>
        </w:rPr>
        <w:t>合同签订及公告</w:t>
      </w:r>
    </w:p>
    <w:p>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sz w:val="24"/>
          <w:highlight w:val="none"/>
        </w:rPr>
        <w:t>（一）签订合同</w:t>
      </w:r>
    </w:p>
    <w:p>
      <w:pPr>
        <w:pStyle w:val="31"/>
        <w:spacing w:before="0" w:beforeAutospacing="0" w:after="0" w:afterAutospacing="0" w:line="360" w:lineRule="auto"/>
        <w:ind w:firstLine="600" w:firstLineChars="250"/>
        <w:jc w:val="both"/>
        <w:rPr>
          <w:rFonts w:hint="default" w:cs="宋体"/>
          <w:color w:val="auto"/>
          <w:highlight w:val="none"/>
        </w:rPr>
      </w:pPr>
      <w:r>
        <w:rPr>
          <w:rFonts w:cs="宋体"/>
          <w:color w:val="auto"/>
          <w:highlight w:val="none"/>
        </w:rPr>
        <w:t>1、采购人应当自中标通知书发出之日起30日内，按照招标文件和成交供应商投标文件的规定，与成交供应商签订书面合同。所签订的合同不得对招标文件确定的事项和成交供应商投标文件作实质性修改。</w:t>
      </w:r>
    </w:p>
    <w:p>
      <w:pPr>
        <w:pStyle w:val="31"/>
        <w:spacing w:before="0" w:beforeAutospacing="0" w:after="0" w:afterAutospacing="0" w:line="360" w:lineRule="auto"/>
        <w:ind w:firstLine="600" w:firstLineChars="250"/>
        <w:jc w:val="both"/>
        <w:rPr>
          <w:rFonts w:hint="default" w:cs="宋体"/>
          <w:color w:val="auto"/>
          <w:highlight w:val="none"/>
        </w:rPr>
      </w:pPr>
      <w:r>
        <w:rPr>
          <w:rFonts w:cs="宋体"/>
          <w:color w:val="auto"/>
          <w:highlight w:val="none"/>
        </w:rPr>
        <w:t>2、采购人不得向成交供应商提出任何不合理的要求作为签订合同的条件。</w:t>
      </w:r>
    </w:p>
    <w:p>
      <w:pPr>
        <w:pStyle w:val="31"/>
        <w:spacing w:before="0" w:beforeAutospacing="0" w:after="0" w:afterAutospacing="0" w:line="360" w:lineRule="auto"/>
        <w:ind w:firstLine="600" w:firstLineChars="250"/>
        <w:jc w:val="both"/>
        <w:rPr>
          <w:rFonts w:hint="default" w:cs="宋体"/>
          <w:color w:val="auto"/>
          <w:highlight w:val="none"/>
        </w:rPr>
      </w:pPr>
      <w:r>
        <w:rPr>
          <w:rFonts w:cs="宋体"/>
          <w:color w:val="auto"/>
          <w:highlight w:val="none"/>
        </w:rPr>
        <w:t>3、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31"/>
        <w:spacing w:line="360" w:lineRule="auto"/>
        <w:ind w:firstLine="480" w:firstLineChars="200"/>
        <w:rPr>
          <w:rFonts w:hint="default" w:cs="宋体"/>
          <w:color w:val="auto"/>
          <w:highlight w:val="none"/>
        </w:rPr>
      </w:pPr>
      <w:r>
        <w:rPr>
          <w:rFonts w:cs="宋体"/>
          <w:color w:val="auto"/>
          <w:highlight w:val="none"/>
        </w:rPr>
        <w:t>4、询问或者质疑事项可能影响中标结果的，采购人应当暂停签订合同，已经签订合同的，应当中止履行合同（中标结果的质疑期为中标结果公告期限届满之日起七个工作日）。</w:t>
      </w:r>
    </w:p>
    <w:p>
      <w:pPr>
        <w:pStyle w:val="31"/>
        <w:spacing w:line="360" w:lineRule="auto"/>
        <w:ind w:firstLine="424" w:firstLineChars="176"/>
        <w:rPr>
          <w:rFonts w:hint="default" w:cs="宋体"/>
          <w:b/>
          <w:color w:val="auto"/>
          <w:highlight w:val="none"/>
        </w:rPr>
      </w:pPr>
      <w:r>
        <w:rPr>
          <w:rFonts w:cs="宋体"/>
          <w:b/>
          <w:color w:val="auto"/>
          <w:highlight w:val="none"/>
        </w:rPr>
        <w:t>（二）合同公告及备案</w:t>
      </w:r>
    </w:p>
    <w:p>
      <w:pPr>
        <w:pStyle w:val="2"/>
        <w:spacing w:line="360" w:lineRule="auto"/>
        <w:ind w:left="0" w:lef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1、采购人应当自政府采购合同签订之日起2个工作日内，</w:t>
      </w:r>
      <w:r>
        <w:rPr>
          <w:rFonts w:hint="eastAsia" w:ascii="宋体" w:hAnsi="宋体" w:cs="宋体"/>
          <w:color w:val="auto"/>
          <w:kern w:val="0"/>
          <w:sz w:val="24"/>
          <w:highlight w:val="none"/>
        </w:rPr>
        <w:t>在省级以上财政部门指定的政府采购信息发布媒体及相关网站上公告</w:t>
      </w:r>
      <w:r>
        <w:rPr>
          <w:rFonts w:hint="eastAsia" w:ascii="宋体" w:hAnsi="宋体" w:cs="宋体"/>
          <w:color w:val="auto"/>
          <w:sz w:val="24"/>
          <w:highlight w:val="none"/>
        </w:rPr>
        <w:t>。</w:t>
      </w:r>
    </w:p>
    <w:p>
      <w:pPr>
        <w:pStyle w:val="2"/>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2、采购人应当自政府采购合同签订之日起7个工作日内，将政府采购合同副本报同级人民政府财政部门备案以及采购组织机构存档。</w:t>
      </w:r>
    </w:p>
    <w:p>
      <w:pPr>
        <w:spacing w:line="360" w:lineRule="auto"/>
        <w:rPr>
          <w:rFonts w:ascii="宋体" w:hAnsi="宋体" w:cs="宋体"/>
          <w:b/>
          <w:color w:val="auto"/>
          <w:sz w:val="28"/>
          <w:szCs w:val="28"/>
          <w:highlight w:val="none"/>
        </w:rPr>
        <w:sectPr>
          <w:pgSz w:w="11906" w:h="16838"/>
          <w:pgMar w:top="1440" w:right="1800" w:bottom="1440" w:left="1800" w:header="851" w:footer="992" w:gutter="0"/>
          <w:pgNumType w:fmt="numberInDash"/>
          <w:cols w:space="425" w:num="1"/>
          <w:docGrid w:type="lines" w:linePitch="312" w:charSpace="0"/>
        </w:sectPr>
      </w:pPr>
    </w:p>
    <w:p>
      <w:pPr>
        <w:numPr>
          <w:ilvl w:val="0"/>
          <w:numId w:val="5"/>
        </w:num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评标办法及评分标准</w:t>
      </w:r>
    </w:p>
    <w:p>
      <w:pPr>
        <w:autoSpaceDE w:val="0"/>
        <w:autoSpaceDN w:val="0"/>
        <w:spacing w:line="360" w:lineRule="auto"/>
        <w:ind w:firstLine="480" w:firstLineChars="200"/>
        <w:rPr>
          <w:rFonts w:ascii="宋体" w:hAnsi="宋体" w:cs="宋体"/>
          <w:b/>
          <w:i/>
          <w:color w:val="auto"/>
          <w:kern w:val="0"/>
          <w:sz w:val="24"/>
          <w:highlight w:val="none"/>
        </w:rPr>
      </w:pPr>
      <w:r>
        <w:rPr>
          <w:rFonts w:hint="eastAsia" w:ascii="宋体" w:hAnsi="宋体" w:cs="宋体"/>
          <w:color w:val="auto"/>
          <w:kern w:val="0"/>
          <w:sz w:val="24"/>
          <w:highlight w:val="none"/>
        </w:rPr>
        <w:t>一、采购组织机构将组织评标委员会，对投标人提供的投标文件进行综合评审。</w:t>
      </w:r>
    </w:p>
    <w:p>
      <w:p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二、本次招标项目的评标方法为综合评分法，总计100分。评标标准按以下2项内容及分值进行评审。</w:t>
      </w:r>
    </w:p>
    <w:tbl>
      <w:tblPr>
        <w:tblStyle w:val="35"/>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8"/>
        <w:gridCol w:w="5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jc w:val="center"/>
        </w:trPr>
        <w:tc>
          <w:tcPr>
            <w:tcW w:w="3388" w:type="dxa"/>
            <w:tcBorders>
              <w:tl2br w:val="single" w:color="auto" w:sz="4" w:space="0"/>
            </w:tcBorders>
          </w:tcPr>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标段</w:t>
            </w:r>
          </w:p>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类别</w:t>
            </w:r>
          </w:p>
        </w:tc>
        <w:tc>
          <w:tcPr>
            <w:tcW w:w="5170"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1 \* CHINESENUM3</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一</w:t>
            </w:r>
            <w:r>
              <w:rPr>
                <w:rFonts w:hint="eastAsia" w:ascii="宋体" w:hAnsi="宋体" w:cs="宋体"/>
                <w:color w:val="auto"/>
                <w:sz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8"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商务与技术</w:t>
            </w:r>
          </w:p>
        </w:tc>
        <w:tc>
          <w:tcPr>
            <w:tcW w:w="5170"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388"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价格</w:t>
            </w:r>
          </w:p>
        </w:tc>
        <w:tc>
          <w:tcPr>
            <w:tcW w:w="5170" w:type="dxa"/>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20</w:t>
            </w:r>
          </w:p>
        </w:tc>
      </w:tr>
    </w:tbl>
    <w:p>
      <w:pPr>
        <w:numPr>
          <w:ilvl w:val="0"/>
          <w:numId w:val="7"/>
        </w:numPr>
        <w:autoSpaceDE w:val="0"/>
        <w:autoSpaceDN w:val="0"/>
        <w:adjustRightInd w:val="0"/>
        <w:spacing w:line="360" w:lineRule="auto"/>
        <w:ind w:right="84" w:firstLine="472"/>
        <w:rPr>
          <w:rFonts w:ascii="宋体" w:hAnsi="宋体" w:cs="宋体"/>
          <w:bCs/>
          <w:color w:val="auto"/>
          <w:sz w:val="24"/>
          <w:highlight w:val="none"/>
          <w:lang w:val="zh-CN"/>
        </w:rPr>
      </w:pPr>
      <w:r>
        <w:rPr>
          <w:rFonts w:hint="eastAsia" w:ascii="宋体" w:hAnsi="宋体" w:cs="宋体"/>
          <w:bCs/>
          <w:color w:val="auto"/>
          <w:sz w:val="24"/>
          <w:highlight w:val="none"/>
          <w:lang w:val="zh-CN"/>
        </w:rPr>
        <w:t>商务与技术文件由评标委员会独立打分。</w:t>
      </w:r>
    </w:p>
    <w:p>
      <w:pPr>
        <w:numPr>
          <w:ilvl w:val="0"/>
          <w:numId w:val="7"/>
        </w:numPr>
        <w:autoSpaceDE w:val="0"/>
        <w:autoSpaceDN w:val="0"/>
        <w:adjustRightInd w:val="0"/>
        <w:spacing w:line="360" w:lineRule="auto"/>
        <w:ind w:right="84" w:firstLine="472"/>
        <w:rPr>
          <w:rFonts w:ascii="宋体" w:hAnsi="宋体" w:cs="宋体"/>
          <w:bCs/>
          <w:color w:val="auto"/>
          <w:sz w:val="24"/>
          <w:highlight w:val="none"/>
          <w:shd w:val="clear" w:color="FFFFFF" w:fill="D9D9D9"/>
          <w:lang w:val="zh-CN"/>
        </w:rPr>
      </w:pPr>
      <w:r>
        <w:rPr>
          <w:rFonts w:hint="eastAsia" w:ascii="宋体" w:hAnsi="宋体" w:cs="宋体"/>
          <w:bCs/>
          <w:color w:val="auto"/>
          <w:sz w:val="24"/>
          <w:highlight w:val="none"/>
          <w:lang w:val="zh-CN"/>
        </w:rPr>
        <w:t>各投标人商务与技术文件</w:t>
      </w:r>
      <w:r>
        <w:rPr>
          <w:rFonts w:hint="eastAsia" w:ascii="宋体" w:hAnsi="宋体" w:cs="宋体"/>
          <w:color w:val="auto"/>
          <w:kern w:val="0"/>
          <w:sz w:val="24"/>
          <w:highlight w:val="none"/>
          <w:lang w:val="zh-CN"/>
        </w:rPr>
        <w:t>得分按照评标委员会成</w:t>
      </w:r>
      <w:r>
        <w:rPr>
          <w:rFonts w:hint="eastAsia" w:ascii="宋体" w:hAnsi="宋体" w:cs="宋体"/>
          <w:bCs/>
          <w:color w:val="auto"/>
          <w:sz w:val="24"/>
          <w:highlight w:val="none"/>
          <w:lang w:val="zh-CN"/>
        </w:rPr>
        <w:t>员的独立评分结果汇总后的算术平均分计算，计算公式为：</w:t>
      </w:r>
    </w:p>
    <w:p>
      <w:pPr>
        <w:autoSpaceDE w:val="0"/>
        <w:autoSpaceDN w:val="0"/>
        <w:adjustRightInd w:val="0"/>
        <w:spacing w:line="360" w:lineRule="auto"/>
        <w:ind w:right="84" w:firstLine="472"/>
        <w:rPr>
          <w:rFonts w:ascii="宋体" w:hAnsi="宋体" w:cs="宋体"/>
          <w:bCs/>
          <w:color w:val="auto"/>
          <w:sz w:val="24"/>
          <w:highlight w:val="none"/>
          <w:shd w:val="clear" w:color="FFFFFF" w:fill="D9D9D9"/>
          <w:lang w:val="zh-CN"/>
        </w:rPr>
      </w:pPr>
      <w:r>
        <w:rPr>
          <w:rFonts w:hint="eastAsia" w:ascii="宋体" w:hAnsi="宋体" w:cs="宋体"/>
          <w:color w:val="auto"/>
          <w:sz w:val="24"/>
          <w:highlight w:val="none"/>
        </w:rPr>
        <w:t>商务与技术文件得分</w:t>
      </w:r>
      <w:r>
        <w:rPr>
          <w:rFonts w:hint="eastAsia" w:ascii="宋体" w:hAnsi="宋体" w:cs="宋体"/>
          <w:bCs/>
          <w:color w:val="auto"/>
          <w:sz w:val="24"/>
          <w:highlight w:val="none"/>
          <w:lang w:val="zh-CN"/>
        </w:rPr>
        <w:t>=评标委员会所有成员评分合计数/评标委员会组成人员数。</w:t>
      </w:r>
    </w:p>
    <w:p>
      <w:pP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bCs/>
          <w:color w:val="auto"/>
          <w:sz w:val="24"/>
          <w:highlight w:val="none"/>
          <w:lang w:val="zh-CN"/>
        </w:rPr>
        <w:t>（三）</w:t>
      </w:r>
      <w:r>
        <w:rPr>
          <w:rFonts w:hint="eastAsia" w:ascii="宋体" w:hAnsi="宋体" w:cs="宋体"/>
          <w:color w:val="auto"/>
          <w:sz w:val="24"/>
          <w:highlight w:val="none"/>
          <w:lang w:val="zh-CN"/>
        </w:rPr>
        <w:t>投标报价得分采用低价优先法计算，即满足招标文件要求的最低投标报价为评标基准价，其报价得满分。其他投标人的投标报价得分按下列公式计算：</w:t>
      </w:r>
    </w:p>
    <w:p>
      <w:pPr>
        <w:autoSpaceDE w:val="0"/>
        <w:autoSpaceDN w:val="0"/>
        <w:adjustRightInd w:val="0"/>
        <w:spacing w:line="360" w:lineRule="auto"/>
        <w:ind w:right="85" w:firstLine="480" w:firstLineChars="200"/>
        <w:rPr>
          <w:rFonts w:ascii="宋体" w:hAnsi="宋体" w:cs="宋体"/>
          <w:color w:val="auto"/>
          <w:sz w:val="24"/>
          <w:highlight w:val="none"/>
          <w:u w:val="single"/>
        </w:rPr>
      </w:pPr>
      <w:r>
        <w:rPr>
          <w:rFonts w:hint="eastAsia" w:ascii="宋体" w:hAnsi="宋体" w:cs="宋体"/>
          <w:color w:val="auto"/>
          <w:sz w:val="24"/>
          <w:highlight w:val="none"/>
        </w:rPr>
        <w:t>投标报价得分=（评标基准价／投标报价）×20%×100 。</w:t>
      </w:r>
    </w:p>
    <w:p>
      <w:pP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w:t>
      </w:r>
      <w:r>
        <w:rPr>
          <w:rFonts w:hint="eastAsia" w:ascii="宋体" w:hAnsi="宋体" w:cs="宋体"/>
          <w:color w:val="auto"/>
          <w:sz w:val="24"/>
          <w:highlight w:val="none"/>
          <w:shd w:val="clear" w:color="auto" w:fill="FFFFFF"/>
        </w:rPr>
        <w:t>可享受价格评审优惠政策。</w:t>
      </w:r>
      <w:r>
        <w:rPr>
          <w:rFonts w:hint="eastAsia" w:ascii="宋体" w:hAnsi="宋体" w:cs="宋体"/>
          <w:color w:val="auto"/>
          <w:sz w:val="24"/>
          <w:highlight w:val="none"/>
          <w:lang w:val="zh-CN"/>
        </w:rPr>
        <w:t>小微企业投标应提供《中小企业声明函》（见附件），如投标人提供其他小微企业制造的货物，应同时在《中小企业声明函》中明确相关标的物的制造商信息；（2）监狱企业参加政府采购活动时，应当提供由省级以上监狱管理局、戒毒管理局（含新疆生产建设兵团）出具的属于监狱企业的证明文件，视同小型、微型企业，享受小微企业政府采购优惠政策；（3）残疾人福利性单位在参加政府采购活动时，应提供《残疾人福利性单位声明函》（见附件），视同小型、微型企业，享受小微企业政府采购优惠政策。</w:t>
      </w:r>
    </w:p>
    <w:p>
      <w:pP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具体优惠：</w:t>
      </w:r>
      <w:r>
        <w:rPr>
          <w:rFonts w:hint="eastAsia" w:ascii="宋体" w:hAnsi="宋体" w:cs="宋体"/>
          <w:color w:val="auto"/>
          <w:sz w:val="24"/>
          <w:highlight w:val="none"/>
          <w:lang w:val="zh-CN"/>
        </w:rPr>
        <w:t>经评标委员会核实后，对于小型微型企业的报价给予</w:t>
      </w:r>
      <w:r>
        <w:rPr>
          <w:rFonts w:hint="eastAsia" w:ascii="宋体" w:hAnsi="宋体" w:cs="宋体"/>
          <w:color w:val="auto"/>
          <w:sz w:val="24"/>
          <w:highlight w:val="none"/>
        </w:rPr>
        <w:t>20</w:t>
      </w:r>
      <w:r>
        <w:rPr>
          <w:rFonts w:hint="eastAsia" w:ascii="宋体" w:hAnsi="宋体" w:cs="宋体"/>
          <w:color w:val="auto"/>
          <w:sz w:val="24"/>
          <w:highlight w:val="none"/>
          <w:lang w:val="zh-CN"/>
        </w:rPr>
        <w:t>%的扣除，用扣除后的价格计算评标基准价和投标报价。</w:t>
      </w:r>
      <w:r>
        <w:rPr>
          <w:rFonts w:hint="eastAsia" w:ascii="宋体" w:hAnsi="宋体" w:cs="宋体"/>
          <w:color w:val="auto"/>
          <w:sz w:val="24"/>
          <w:highlight w:val="none"/>
          <w:lang w:val="zh-CN"/>
        </w:rPr>
        <w:t>同一投标人，小微企业、监狱企业、残疾人福利性单位价格扣除优惠只享受一次，不得重复享受。</w:t>
      </w:r>
    </w:p>
    <w:p>
      <w:pP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注：得分以系统计算为准，保留2位小数。</w:t>
      </w:r>
    </w:p>
    <w:p>
      <w:pP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三、在最大限度地满足招标文件实质性要求前提下，评标委员会按照招标文件中规定的各项因素进行综合评审后，以评标总得分最高的投标人为第一中标候选人，次高者为第二中标候选人。</w:t>
      </w:r>
    </w:p>
    <w:p>
      <w:pP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四、如综合得分相同，投标报价低者为先；如综合得分且投标报价相同的，货物类采购项目以技术性能得分较高者为先。</w:t>
      </w:r>
    </w:p>
    <w:p>
      <w:pPr>
        <w:spacing w:line="360" w:lineRule="auto"/>
        <w:ind w:firstLine="480" w:firstLineChars="200"/>
        <w:textAlignment w:val="baseline"/>
        <w:rPr>
          <w:color w:val="auto"/>
          <w:highlight w:val="none"/>
          <w:lang w:val="zh-CN"/>
        </w:rPr>
      </w:pPr>
      <w:r>
        <w:rPr>
          <w:rFonts w:hint="eastAsia" w:ascii="宋体" w:hAnsi="宋体" w:cs="宋体"/>
          <w:color w:val="auto"/>
          <w:kern w:val="0"/>
          <w:sz w:val="24"/>
          <w:highlight w:val="none"/>
          <w:lang w:eastAsia="zh-CN"/>
        </w:rPr>
        <w:t>五</w:t>
      </w:r>
      <w:r>
        <w:rPr>
          <w:rFonts w:hint="eastAsia" w:ascii="宋体" w:hAnsi="宋体" w:cs="宋体"/>
          <w:color w:val="auto"/>
          <w:kern w:val="0"/>
          <w:sz w:val="24"/>
          <w:highlight w:val="none"/>
        </w:rPr>
        <w:t>、本次评分具体分值细化条款</w:t>
      </w:r>
      <w:r>
        <w:rPr>
          <w:rFonts w:hint="eastAsia" w:ascii="宋体" w:hAnsi="宋体" w:cs="宋体"/>
          <w:color w:val="auto"/>
          <w:sz w:val="24"/>
          <w:highlight w:val="none"/>
        </w:rPr>
        <w:t>如下表：</w:t>
      </w:r>
    </w:p>
    <w:tbl>
      <w:tblPr>
        <w:tblStyle w:val="35"/>
        <w:tblpPr w:leftFromText="180" w:rightFromText="180" w:vertAnchor="text" w:horzAnchor="page" w:tblpX="1042" w:tblpY="671"/>
        <w:tblOverlap w:val="never"/>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801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5" w:type="dxa"/>
            <w:vAlign w:val="center"/>
          </w:tcPr>
          <w:p>
            <w:pPr>
              <w:widowControl/>
              <w:spacing w:line="360" w:lineRule="auto"/>
              <w:jc w:val="center"/>
              <w:rPr>
                <w:rFonts w:ascii="宋体" w:hAnsi="宋体" w:cs="宋体"/>
                <w:b/>
                <w:color w:val="auto"/>
                <w:sz w:val="24"/>
                <w:highlight w:val="none"/>
              </w:rPr>
            </w:pPr>
            <w:r>
              <w:rPr>
                <w:rFonts w:hint="eastAsia" w:ascii="宋体" w:hAnsi="宋体" w:cs="宋体"/>
                <w:b/>
                <w:bCs/>
                <w:color w:val="auto"/>
                <w:sz w:val="24"/>
                <w:highlight w:val="none"/>
              </w:rPr>
              <w:t>评分项目</w:t>
            </w:r>
          </w:p>
        </w:tc>
        <w:tc>
          <w:tcPr>
            <w:tcW w:w="8015" w:type="dxa"/>
            <w:vAlign w:val="center"/>
          </w:tcPr>
          <w:p>
            <w:pPr>
              <w:widowControl/>
              <w:spacing w:line="360"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评 分 细 则</w:t>
            </w:r>
          </w:p>
        </w:tc>
        <w:tc>
          <w:tcPr>
            <w:tcW w:w="750" w:type="dxa"/>
            <w:vAlign w:val="center"/>
          </w:tcPr>
          <w:p>
            <w:pPr>
              <w:widowControl/>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95" w:type="dxa"/>
            <w:vMerge w:val="restart"/>
            <w:vAlign w:val="center"/>
          </w:tcPr>
          <w:p>
            <w:pPr>
              <w:widowControl/>
              <w:spacing w:line="360" w:lineRule="auto"/>
              <w:rPr>
                <w:rFonts w:ascii="宋体" w:hAnsi="宋体" w:cs="宋体"/>
                <w:b/>
                <w:bCs/>
                <w:color w:val="auto"/>
                <w:sz w:val="24"/>
                <w:highlight w:val="none"/>
              </w:rPr>
            </w:pPr>
            <w:r>
              <w:rPr>
                <w:rFonts w:hint="eastAsia" w:ascii="宋体" w:hAnsi="宋体" w:cs="宋体"/>
                <w:b/>
                <w:bCs/>
                <w:color w:val="auto"/>
                <w:sz w:val="24"/>
                <w:highlight w:val="none"/>
              </w:rPr>
              <w:t>技术性能</w:t>
            </w:r>
          </w:p>
          <w:p>
            <w:pPr>
              <w:widowControl/>
              <w:spacing w:line="360" w:lineRule="auto"/>
              <w:rPr>
                <w:rFonts w:ascii="宋体" w:hAnsi="宋体" w:cs="宋体"/>
                <w:color w:val="auto"/>
                <w:sz w:val="24"/>
                <w:highlight w:val="none"/>
              </w:rPr>
            </w:pPr>
            <w:r>
              <w:rPr>
                <w:rFonts w:hint="eastAsia" w:ascii="宋体" w:hAnsi="宋体" w:cs="宋体"/>
                <w:color w:val="auto"/>
                <w:sz w:val="24"/>
                <w:highlight w:val="none"/>
              </w:rPr>
              <w:t>（50分）</w:t>
            </w:r>
          </w:p>
        </w:tc>
        <w:tc>
          <w:tcPr>
            <w:tcW w:w="8015" w:type="dxa"/>
            <w:vAlign w:val="center"/>
          </w:tcPr>
          <w:p>
            <w:pPr>
              <w:pStyle w:val="17"/>
              <w:spacing w:line="360" w:lineRule="auto"/>
              <w:rPr>
                <w:rFonts w:ascii="宋体" w:hAnsi="宋体" w:cs="宋体"/>
                <w:color w:val="auto"/>
                <w:highlight w:val="none"/>
              </w:rPr>
            </w:pPr>
            <w:r>
              <w:rPr>
                <w:rFonts w:hint="eastAsia" w:ascii="宋体" w:hAnsi="宋体" w:cs="宋体"/>
                <w:color w:val="auto"/>
                <w:highlight w:val="none"/>
              </w:rPr>
              <w:t>详细阐述本项目体系架构、功能模块、实现思路和关键技术，以及对功能设计、实施计划和建设方案的可行性等，分四档评分：</w:t>
            </w:r>
          </w:p>
          <w:p>
            <w:pPr>
              <w:pStyle w:val="17"/>
              <w:spacing w:line="360" w:lineRule="auto"/>
              <w:rPr>
                <w:rFonts w:ascii="宋体" w:hAnsi="宋体" w:cs="宋体"/>
                <w:color w:val="auto"/>
                <w:highlight w:val="none"/>
              </w:rPr>
            </w:pPr>
            <w:r>
              <w:rPr>
                <w:rFonts w:hint="eastAsia" w:ascii="宋体" w:hAnsi="宋体" w:cs="宋体"/>
                <w:color w:val="auto"/>
                <w:highlight w:val="none"/>
              </w:rPr>
              <w:t>第一档：体系架构完善，功能模块全面，实现思路清晰，关键技术科学先进，实施计划安排合理、实施经验丰富，整体建设方案贴合实际、可行性强，得10-8.1分；</w:t>
            </w:r>
          </w:p>
          <w:p>
            <w:pPr>
              <w:pStyle w:val="17"/>
              <w:spacing w:line="360" w:lineRule="auto"/>
              <w:rPr>
                <w:rFonts w:ascii="宋体" w:hAnsi="宋体" w:cs="宋体"/>
                <w:color w:val="auto"/>
                <w:highlight w:val="none"/>
              </w:rPr>
            </w:pPr>
            <w:r>
              <w:rPr>
                <w:rFonts w:hint="eastAsia" w:ascii="宋体" w:hAnsi="宋体" w:cs="宋体"/>
                <w:color w:val="auto"/>
                <w:highlight w:val="none"/>
              </w:rPr>
              <w:t>第二档：体系架构较完善，功能模块较全面，实现思路较清晰，关键技术较科学先进，实施计划安排较合理、实施经验较丰富，整体建设方案较实际、可行性较强，得8-5.1分；</w:t>
            </w:r>
          </w:p>
          <w:p>
            <w:pPr>
              <w:pStyle w:val="17"/>
              <w:spacing w:line="360" w:lineRule="auto"/>
              <w:rPr>
                <w:rFonts w:ascii="宋体" w:hAnsi="宋体" w:cs="宋体"/>
                <w:color w:val="auto"/>
                <w:highlight w:val="none"/>
              </w:rPr>
            </w:pPr>
            <w:r>
              <w:rPr>
                <w:rFonts w:hint="eastAsia" w:ascii="宋体" w:hAnsi="宋体" w:cs="宋体"/>
                <w:color w:val="auto"/>
                <w:highlight w:val="none"/>
              </w:rPr>
              <w:t>第三档：体系架构欠完善，功能模块欠全面，实现思路欠清晰，关键技术欠科学先进，实施计划安排欠合理，实施经验欠丰富，整体建设方案欠实际、可行性欠强，得5-3.1分；</w:t>
            </w:r>
          </w:p>
          <w:p>
            <w:pPr>
              <w:pStyle w:val="17"/>
              <w:spacing w:line="360" w:lineRule="auto"/>
              <w:rPr>
                <w:rFonts w:ascii="宋体" w:hAnsi="宋体" w:cs="宋体"/>
                <w:color w:val="auto"/>
                <w:highlight w:val="none"/>
              </w:rPr>
            </w:pPr>
            <w:r>
              <w:rPr>
                <w:rFonts w:hint="eastAsia" w:ascii="宋体" w:hAnsi="宋体" w:cs="宋体"/>
                <w:color w:val="auto"/>
                <w:highlight w:val="none"/>
              </w:rPr>
              <w:t>第四档：体系架构不完善，功能模块不全面，实现思路不清晰，关键技术不科学先进，实施计划安排不合理，实施经验不足，整体建设方案不实际、可行性不强，得3-0分。</w:t>
            </w:r>
          </w:p>
        </w:tc>
        <w:tc>
          <w:tcPr>
            <w:tcW w:w="750" w:type="dxa"/>
            <w:vAlign w:val="center"/>
          </w:tcPr>
          <w:p>
            <w:pPr>
              <w:pStyle w:val="17"/>
              <w:spacing w:line="360" w:lineRule="auto"/>
              <w:jc w:val="center"/>
              <w:rPr>
                <w:rFonts w:ascii="宋体" w:hAnsi="宋体" w:cs="宋体"/>
                <w:color w:val="auto"/>
                <w:highlight w:val="none"/>
              </w:rPr>
            </w:pPr>
            <w:r>
              <w:rPr>
                <w:rFonts w:hint="eastAsia" w:ascii="宋体" w:hAnsi="宋体" w:cs="宋体"/>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195" w:type="dxa"/>
            <w:vMerge w:val="continue"/>
            <w:vAlign w:val="center"/>
          </w:tcPr>
          <w:p>
            <w:pPr>
              <w:widowControl/>
              <w:spacing w:line="360" w:lineRule="auto"/>
              <w:ind w:firstLine="480"/>
              <w:jc w:val="center"/>
              <w:rPr>
                <w:rFonts w:ascii="宋体" w:hAnsi="宋体" w:cs="宋体"/>
                <w:color w:val="auto"/>
                <w:sz w:val="24"/>
                <w:highlight w:val="none"/>
              </w:rPr>
            </w:pPr>
          </w:p>
        </w:tc>
        <w:tc>
          <w:tcPr>
            <w:tcW w:w="8015" w:type="dxa"/>
            <w:vAlign w:val="center"/>
          </w:tcPr>
          <w:p>
            <w:pPr>
              <w:pStyle w:val="17"/>
              <w:spacing w:line="360" w:lineRule="auto"/>
              <w:jc w:val="left"/>
              <w:rPr>
                <w:rFonts w:ascii="宋体" w:hAnsi="宋体" w:cs="宋体"/>
                <w:color w:val="auto"/>
                <w:highlight w:val="none"/>
              </w:rPr>
            </w:pPr>
            <w:r>
              <w:rPr>
                <w:rFonts w:hint="eastAsia" w:ascii="宋体" w:hAnsi="宋体" w:cs="宋体"/>
                <w:color w:val="auto"/>
                <w:highlight w:val="none"/>
              </w:rPr>
              <w:t xml:space="preserve">根据投标人实地勘查后提供的前端建设点位、相关配套了解程度与优化方案，分四档评分： </w:t>
            </w:r>
          </w:p>
          <w:p>
            <w:pPr>
              <w:pStyle w:val="17"/>
              <w:spacing w:line="360" w:lineRule="auto"/>
              <w:jc w:val="left"/>
              <w:rPr>
                <w:rFonts w:ascii="宋体" w:hAnsi="宋体" w:cs="宋体"/>
                <w:color w:val="auto"/>
                <w:highlight w:val="none"/>
              </w:rPr>
            </w:pPr>
            <w:r>
              <w:rPr>
                <w:rFonts w:hint="eastAsia" w:ascii="宋体" w:hAnsi="宋体" w:cs="宋体"/>
                <w:color w:val="auto"/>
                <w:highlight w:val="none"/>
              </w:rPr>
              <w:t>第一档：点位及相关配套勘查全面、呈现方式清晰直观，建设方案优化设计合理，以及重点、难点了解深入，解决方案合理，得12-9.1分；</w:t>
            </w:r>
          </w:p>
          <w:p>
            <w:pPr>
              <w:pStyle w:val="17"/>
              <w:spacing w:line="360" w:lineRule="auto"/>
              <w:jc w:val="left"/>
              <w:rPr>
                <w:rFonts w:ascii="宋体" w:hAnsi="宋体" w:cs="宋体"/>
                <w:color w:val="auto"/>
                <w:highlight w:val="none"/>
              </w:rPr>
            </w:pPr>
            <w:r>
              <w:rPr>
                <w:rFonts w:hint="eastAsia" w:ascii="宋体" w:hAnsi="宋体" w:cs="宋体"/>
                <w:color w:val="auto"/>
                <w:highlight w:val="none"/>
              </w:rPr>
              <w:t>第二档：点位及相关配套勘查较全面、呈现方式较清晰直观，建设方案优化设计较合理，以及重点、难点了解较深入，解决方案较合理，得9-6.1分；</w:t>
            </w:r>
          </w:p>
          <w:p>
            <w:pPr>
              <w:pStyle w:val="17"/>
              <w:spacing w:line="360" w:lineRule="auto"/>
              <w:jc w:val="left"/>
              <w:rPr>
                <w:rFonts w:ascii="宋体" w:hAnsi="宋体" w:cs="宋体"/>
                <w:color w:val="auto"/>
                <w:highlight w:val="none"/>
              </w:rPr>
            </w:pPr>
            <w:r>
              <w:rPr>
                <w:rFonts w:hint="eastAsia" w:ascii="宋体" w:hAnsi="宋体" w:cs="宋体"/>
                <w:color w:val="auto"/>
                <w:highlight w:val="none"/>
              </w:rPr>
              <w:t>第三档：点位及相关配套勘查欠全面、呈现方式欠清晰直观，建设方案优化设计欠合理，以及重点、难点了解欠深入，解决方案欠合理，得6-3.1分；</w:t>
            </w:r>
          </w:p>
          <w:p>
            <w:pPr>
              <w:pStyle w:val="17"/>
              <w:spacing w:line="360" w:lineRule="auto"/>
              <w:jc w:val="left"/>
              <w:rPr>
                <w:rFonts w:ascii="宋体" w:hAnsi="宋体" w:cs="宋体"/>
                <w:color w:val="auto"/>
                <w:highlight w:val="none"/>
              </w:rPr>
            </w:pPr>
            <w:r>
              <w:rPr>
                <w:rFonts w:hint="eastAsia" w:ascii="宋体" w:hAnsi="宋体" w:cs="宋体"/>
                <w:color w:val="auto"/>
                <w:highlight w:val="none"/>
              </w:rPr>
              <w:t>第四档：点位及相关配套勘查不全面、呈现方式不清晰直观，建设方案优化设计不合理，以及重点、难点了解不深入，解决方案不合理，得3-0分。</w:t>
            </w:r>
          </w:p>
        </w:tc>
        <w:tc>
          <w:tcPr>
            <w:tcW w:w="750" w:type="dxa"/>
            <w:vAlign w:val="center"/>
          </w:tcPr>
          <w:p>
            <w:pPr>
              <w:pStyle w:val="17"/>
              <w:spacing w:line="360" w:lineRule="auto"/>
              <w:jc w:val="center"/>
              <w:rPr>
                <w:rFonts w:ascii="宋体" w:hAnsi="宋体" w:cs="宋体"/>
                <w:color w:val="auto"/>
                <w:highlight w:val="none"/>
              </w:rPr>
            </w:pPr>
            <w:r>
              <w:rPr>
                <w:rFonts w:hint="eastAsia" w:ascii="宋体" w:hAnsi="宋体" w:cs="宋体"/>
                <w:color w:val="auto"/>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1195" w:type="dxa"/>
            <w:vMerge w:val="continue"/>
            <w:vAlign w:val="center"/>
          </w:tcPr>
          <w:p>
            <w:pPr>
              <w:widowControl/>
              <w:spacing w:line="360" w:lineRule="auto"/>
              <w:ind w:firstLine="480"/>
              <w:jc w:val="center"/>
              <w:rPr>
                <w:rFonts w:ascii="宋体" w:hAnsi="宋体" w:cs="宋体"/>
                <w:color w:val="auto"/>
                <w:sz w:val="24"/>
                <w:highlight w:val="none"/>
              </w:rPr>
            </w:pPr>
          </w:p>
        </w:tc>
        <w:tc>
          <w:tcPr>
            <w:tcW w:w="8015" w:type="dxa"/>
            <w:vAlign w:val="center"/>
          </w:tcPr>
          <w:p>
            <w:pPr>
              <w:pStyle w:val="17"/>
              <w:spacing w:line="360" w:lineRule="auto"/>
              <w:jc w:val="left"/>
              <w:rPr>
                <w:rFonts w:ascii="宋体" w:hAnsi="宋体" w:cs="宋体"/>
                <w:color w:val="auto"/>
                <w:highlight w:val="none"/>
              </w:rPr>
            </w:pPr>
            <w:r>
              <w:rPr>
                <w:rFonts w:hint="eastAsia" w:ascii="宋体" w:hAnsi="宋体" w:cs="宋体"/>
                <w:color w:val="auto"/>
                <w:highlight w:val="none"/>
              </w:rPr>
              <w:t>根据所投摄像机（电警、卡口）、事件检测设备、固定测速设备、枪球联动式监控设备</w:t>
            </w:r>
            <w:r>
              <w:rPr>
                <w:rFonts w:hint="eastAsia" w:ascii="宋体" w:hAnsi="宋体" w:cs="宋体"/>
                <w:color w:val="auto"/>
                <w:highlight w:val="none"/>
              </w:rPr>
              <w:t>、</w:t>
            </w:r>
            <w:r>
              <w:rPr>
                <w:rFonts w:hint="eastAsia" w:ascii="宋体" w:hAnsi="宋体" w:cs="宋体"/>
                <w:color w:val="auto"/>
                <w:highlight w:val="none"/>
              </w:rPr>
              <w:t>存储及其配套设备的选型、技术性能，满足功能及技术参数要求情况，分五档评分：</w:t>
            </w:r>
          </w:p>
          <w:p>
            <w:pPr>
              <w:pStyle w:val="17"/>
              <w:spacing w:line="360" w:lineRule="auto"/>
              <w:jc w:val="left"/>
              <w:rPr>
                <w:rFonts w:ascii="宋体" w:hAnsi="宋体" w:cs="宋体"/>
                <w:color w:val="auto"/>
                <w:highlight w:val="none"/>
              </w:rPr>
            </w:pPr>
            <w:r>
              <w:rPr>
                <w:rFonts w:hint="eastAsia" w:ascii="宋体" w:hAnsi="宋体" w:cs="宋体"/>
                <w:color w:val="auto"/>
                <w:highlight w:val="none"/>
              </w:rPr>
              <w:t>第一档：根据所投产品设备实际技术参数和招标要求技术参数要求情况进行比对，所投产品的选型合理，技术参数都能够全部满足招标技术参数要求并优于招标技术参数要求的，得14-10.1分；</w:t>
            </w:r>
          </w:p>
          <w:p>
            <w:pPr>
              <w:pStyle w:val="17"/>
              <w:spacing w:line="360" w:lineRule="auto"/>
              <w:jc w:val="left"/>
              <w:rPr>
                <w:rFonts w:ascii="宋体" w:hAnsi="宋体" w:cs="宋体"/>
                <w:color w:val="auto"/>
                <w:highlight w:val="none"/>
              </w:rPr>
            </w:pPr>
            <w:r>
              <w:rPr>
                <w:rFonts w:hint="eastAsia" w:ascii="宋体" w:hAnsi="宋体" w:cs="宋体"/>
                <w:color w:val="auto"/>
                <w:highlight w:val="none"/>
              </w:rPr>
              <w:t>第二档：根据所投产品设备实际技术参数和招标技术要求技术参数要求情况进行比对，所投产品的选型较合理，技术参数能够全部满足招标技术参数要求的，得10-8.1分；</w:t>
            </w:r>
          </w:p>
          <w:p>
            <w:pPr>
              <w:pStyle w:val="17"/>
              <w:spacing w:line="360" w:lineRule="auto"/>
              <w:jc w:val="left"/>
              <w:rPr>
                <w:rFonts w:ascii="宋体" w:hAnsi="宋体" w:cs="宋体"/>
                <w:color w:val="auto"/>
                <w:highlight w:val="none"/>
              </w:rPr>
            </w:pPr>
            <w:r>
              <w:rPr>
                <w:rFonts w:hint="eastAsia" w:ascii="宋体" w:hAnsi="宋体" w:cs="宋体"/>
                <w:color w:val="auto"/>
                <w:highlight w:val="none"/>
              </w:rPr>
              <w:t>第三档：根据所投产品设备实际技术参数和招标技术要求技术参数要求情况进行比对，所投产品的选型基本合理，技术参数能够基本满足招标技术参数要求的，得8-5.1分；</w:t>
            </w:r>
          </w:p>
          <w:p>
            <w:pPr>
              <w:pStyle w:val="17"/>
              <w:spacing w:line="360" w:lineRule="auto"/>
              <w:jc w:val="left"/>
              <w:rPr>
                <w:rFonts w:ascii="宋体" w:hAnsi="宋体" w:cs="宋体"/>
                <w:color w:val="auto"/>
                <w:highlight w:val="none"/>
              </w:rPr>
            </w:pPr>
            <w:r>
              <w:rPr>
                <w:rFonts w:hint="eastAsia" w:ascii="宋体" w:hAnsi="宋体" w:cs="宋体"/>
                <w:color w:val="auto"/>
                <w:highlight w:val="none"/>
              </w:rPr>
              <w:t>第四档：根据所投产品设备实际技术参数和招标技术要求技术参数要求情况进行比对，所投产品的选型欠合理，技术参数基本不能够满足招标技术参数要求的，得5-3.1分；</w:t>
            </w:r>
          </w:p>
          <w:p>
            <w:pPr>
              <w:pStyle w:val="17"/>
              <w:spacing w:line="360" w:lineRule="auto"/>
              <w:jc w:val="left"/>
              <w:rPr>
                <w:rFonts w:ascii="宋体" w:hAnsi="宋体" w:cs="宋体"/>
                <w:color w:val="auto"/>
                <w:highlight w:val="none"/>
              </w:rPr>
            </w:pPr>
            <w:r>
              <w:rPr>
                <w:rFonts w:hint="eastAsia" w:ascii="宋体" w:hAnsi="宋体" w:cs="宋体"/>
                <w:color w:val="auto"/>
                <w:highlight w:val="none"/>
              </w:rPr>
              <w:t>第五档：根据所投产品设备实际技术参数和招标技术要求技术参数要求情况进行比对，所投产品的选型不合理，技术参数完全不能满足招标技术参数要求的，得3-0分。</w:t>
            </w:r>
          </w:p>
        </w:tc>
        <w:tc>
          <w:tcPr>
            <w:tcW w:w="750" w:type="dxa"/>
            <w:vAlign w:val="center"/>
          </w:tcPr>
          <w:p>
            <w:pPr>
              <w:pStyle w:val="17"/>
              <w:spacing w:line="360" w:lineRule="auto"/>
              <w:ind w:firstLine="240" w:firstLineChars="100"/>
              <w:jc w:val="left"/>
              <w:rPr>
                <w:rFonts w:ascii="宋体" w:hAnsi="宋体" w:cs="宋体"/>
                <w:color w:val="auto"/>
                <w:highlight w:val="none"/>
              </w:rPr>
            </w:pPr>
            <w:r>
              <w:rPr>
                <w:rFonts w:hint="eastAsia" w:ascii="宋体" w:hAnsi="宋体" w:cs="宋体"/>
                <w:color w:val="auto"/>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195" w:type="dxa"/>
            <w:vMerge w:val="continue"/>
            <w:vAlign w:val="center"/>
          </w:tcPr>
          <w:p>
            <w:pPr>
              <w:widowControl/>
              <w:spacing w:line="360" w:lineRule="auto"/>
              <w:ind w:firstLine="480"/>
              <w:jc w:val="center"/>
              <w:rPr>
                <w:rFonts w:ascii="宋体" w:hAnsi="宋体" w:cs="宋体"/>
                <w:color w:val="auto"/>
                <w:sz w:val="24"/>
                <w:highlight w:val="none"/>
              </w:rPr>
            </w:pPr>
          </w:p>
        </w:tc>
        <w:tc>
          <w:tcPr>
            <w:tcW w:w="8015" w:type="dxa"/>
            <w:vAlign w:val="center"/>
          </w:tcPr>
          <w:p>
            <w:pPr>
              <w:pStyle w:val="17"/>
              <w:spacing w:line="360" w:lineRule="auto"/>
              <w:jc w:val="left"/>
              <w:rPr>
                <w:rFonts w:ascii="宋体" w:hAnsi="宋体" w:cs="宋体"/>
                <w:color w:val="auto"/>
                <w:highlight w:val="none"/>
              </w:rPr>
            </w:pPr>
            <w:r>
              <w:rPr>
                <w:rFonts w:hint="eastAsia" w:ascii="宋体" w:hAnsi="宋体" w:cs="宋体"/>
                <w:color w:val="auto"/>
                <w:highlight w:val="none"/>
              </w:rPr>
              <w:t>根据投标人所投摄像机和补光设备在节能减排、绿色环保及减少道路上光污染和防眩目等情况（需提供相应资料），分四档评分：</w:t>
            </w:r>
          </w:p>
          <w:p>
            <w:pPr>
              <w:pStyle w:val="17"/>
              <w:spacing w:line="360" w:lineRule="auto"/>
              <w:jc w:val="left"/>
              <w:rPr>
                <w:rFonts w:ascii="宋体" w:hAnsi="宋体" w:cs="宋体"/>
                <w:color w:val="auto"/>
                <w:highlight w:val="none"/>
              </w:rPr>
            </w:pPr>
            <w:r>
              <w:rPr>
                <w:rFonts w:hint="eastAsia" w:ascii="宋体" w:hAnsi="宋体" w:cs="宋体"/>
                <w:color w:val="auto"/>
                <w:highlight w:val="none"/>
              </w:rPr>
              <w:t>第一档：能够详细阐述所投产品在节能环保上应用的技术原理、拥有大量相关技术专利情况以及实际落地使用情况好的，得4-3.1分；</w:t>
            </w:r>
          </w:p>
          <w:p>
            <w:pPr>
              <w:pStyle w:val="17"/>
              <w:spacing w:line="360" w:lineRule="auto"/>
              <w:jc w:val="left"/>
              <w:rPr>
                <w:rFonts w:ascii="宋体" w:hAnsi="宋体" w:cs="宋体"/>
                <w:color w:val="auto"/>
                <w:highlight w:val="none"/>
              </w:rPr>
            </w:pPr>
            <w:r>
              <w:rPr>
                <w:rFonts w:hint="eastAsia" w:ascii="宋体" w:hAnsi="宋体" w:cs="宋体"/>
                <w:color w:val="auto"/>
                <w:highlight w:val="none"/>
              </w:rPr>
              <w:t>第二档：能够大致阐述所投产品在节能环保上应用的技术原理、拥有一定相关技术专利情况以及实际落地使用情况良好的，得3-2.1分；</w:t>
            </w:r>
          </w:p>
          <w:p>
            <w:pPr>
              <w:pStyle w:val="17"/>
              <w:spacing w:line="360" w:lineRule="auto"/>
              <w:jc w:val="left"/>
              <w:rPr>
                <w:rFonts w:ascii="宋体" w:hAnsi="宋体" w:cs="宋体"/>
                <w:color w:val="auto"/>
                <w:highlight w:val="none"/>
              </w:rPr>
            </w:pPr>
            <w:r>
              <w:rPr>
                <w:rFonts w:hint="eastAsia" w:ascii="宋体" w:hAnsi="宋体" w:cs="宋体"/>
                <w:color w:val="auto"/>
                <w:highlight w:val="none"/>
              </w:rPr>
              <w:t>第三档：能够粗略阐述所投产品在节能环保上应用的技术原理、但没有相关技术专利情况以及实际落地使用情况一般的，得2-1.1分；</w:t>
            </w:r>
          </w:p>
          <w:p>
            <w:pPr>
              <w:pStyle w:val="17"/>
              <w:spacing w:line="360" w:lineRule="auto"/>
              <w:jc w:val="left"/>
              <w:rPr>
                <w:rFonts w:ascii="宋体" w:hAnsi="宋体" w:cs="宋体"/>
                <w:color w:val="auto"/>
                <w:highlight w:val="none"/>
              </w:rPr>
            </w:pPr>
            <w:r>
              <w:rPr>
                <w:rFonts w:hint="eastAsia" w:ascii="宋体" w:hAnsi="宋体" w:cs="宋体"/>
                <w:color w:val="auto"/>
                <w:highlight w:val="none"/>
              </w:rPr>
              <w:t>第四档：所投产品在节能环保上没有相对应的技术原理描述和实际落地使用情况的，得1-0分；</w:t>
            </w:r>
          </w:p>
        </w:tc>
        <w:tc>
          <w:tcPr>
            <w:tcW w:w="750" w:type="dxa"/>
            <w:vAlign w:val="center"/>
          </w:tcPr>
          <w:p>
            <w:pPr>
              <w:pStyle w:val="17"/>
              <w:spacing w:line="360" w:lineRule="auto"/>
              <w:jc w:val="center"/>
              <w:rPr>
                <w:rFonts w:ascii="宋体" w:hAnsi="宋体" w:cs="宋体"/>
                <w:color w:val="auto"/>
                <w:highlight w:val="none"/>
              </w:rPr>
            </w:pPr>
            <w:r>
              <w:rPr>
                <w:rFonts w:hint="eastAsia" w:ascii="宋体" w:hAnsi="宋体" w:cs="宋体"/>
                <w:color w:val="auto"/>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195" w:type="dxa"/>
            <w:vMerge w:val="continue"/>
            <w:vAlign w:val="center"/>
          </w:tcPr>
          <w:p>
            <w:pPr>
              <w:widowControl/>
              <w:spacing w:line="360" w:lineRule="auto"/>
              <w:ind w:firstLine="480"/>
              <w:jc w:val="center"/>
              <w:rPr>
                <w:rFonts w:ascii="宋体" w:hAnsi="宋体" w:cs="宋体"/>
                <w:color w:val="auto"/>
                <w:sz w:val="24"/>
                <w:highlight w:val="none"/>
              </w:rPr>
            </w:pPr>
          </w:p>
        </w:tc>
        <w:tc>
          <w:tcPr>
            <w:tcW w:w="8015" w:type="dxa"/>
            <w:vAlign w:val="center"/>
          </w:tcPr>
          <w:p>
            <w:pPr>
              <w:pStyle w:val="17"/>
              <w:spacing w:line="360" w:lineRule="auto"/>
              <w:jc w:val="left"/>
              <w:rPr>
                <w:rFonts w:ascii="宋体" w:hAnsi="宋体" w:cs="宋体"/>
                <w:color w:val="auto"/>
                <w:highlight w:val="none"/>
              </w:rPr>
            </w:pPr>
            <w:r>
              <w:rPr>
                <w:rFonts w:hint="eastAsia" w:ascii="宋体" w:hAnsi="宋体" w:cs="宋体"/>
                <w:color w:val="auto"/>
                <w:highlight w:val="none"/>
              </w:rPr>
              <w:t>根据投标人提供摄像机（电警、卡口）、枪球联动式监控设备接入台州交警相关业务平台的对接和技术方案情况，分五档评分。</w:t>
            </w:r>
          </w:p>
          <w:p>
            <w:pPr>
              <w:pStyle w:val="17"/>
              <w:spacing w:line="360" w:lineRule="auto"/>
              <w:jc w:val="left"/>
              <w:rPr>
                <w:rFonts w:ascii="宋体" w:hAnsi="宋体" w:cs="宋体"/>
                <w:color w:val="auto"/>
                <w:highlight w:val="none"/>
              </w:rPr>
            </w:pPr>
            <w:r>
              <w:rPr>
                <w:rFonts w:hint="eastAsia" w:ascii="宋体" w:hAnsi="宋体" w:cs="宋体"/>
                <w:color w:val="auto"/>
                <w:highlight w:val="none"/>
              </w:rPr>
              <w:t>第一档：对台州交警平台整体的数据和网络架构了解非常清晰，对台州交警视频运行管理平台了解非常深入，能对所投产品接入和技术方案做详细阐述的，得10-8.1分；</w:t>
            </w:r>
          </w:p>
          <w:p>
            <w:pPr>
              <w:pStyle w:val="17"/>
              <w:spacing w:line="360" w:lineRule="auto"/>
              <w:jc w:val="left"/>
              <w:rPr>
                <w:rFonts w:ascii="宋体" w:hAnsi="宋体" w:cs="宋体"/>
                <w:color w:val="auto"/>
                <w:highlight w:val="none"/>
              </w:rPr>
            </w:pPr>
            <w:r>
              <w:rPr>
                <w:rFonts w:hint="eastAsia" w:ascii="宋体" w:hAnsi="宋体" w:cs="宋体"/>
                <w:color w:val="auto"/>
                <w:highlight w:val="none"/>
              </w:rPr>
              <w:t>第二档：对台州交警平台整体的数据和网络架构了解比较清晰，对台州交警视频运行管理平台了解比较深入，能对所投产品接入和技术方案做较为详细阐述的，得8-6.1分；</w:t>
            </w:r>
          </w:p>
          <w:p>
            <w:pPr>
              <w:pStyle w:val="17"/>
              <w:spacing w:line="360" w:lineRule="auto"/>
              <w:jc w:val="left"/>
              <w:rPr>
                <w:rFonts w:ascii="宋体" w:hAnsi="宋体" w:cs="宋体"/>
                <w:color w:val="auto"/>
                <w:highlight w:val="none"/>
              </w:rPr>
            </w:pPr>
            <w:r>
              <w:rPr>
                <w:rFonts w:hint="eastAsia" w:ascii="宋体" w:hAnsi="宋体" w:cs="宋体"/>
                <w:color w:val="auto"/>
                <w:highlight w:val="none"/>
              </w:rPr>
              <w:t>第三档：对台州交警平台整体的数据和网络架构了解欠清晰，对台州交警视频运行管理平台了解欠深入，能对所投产品接入和技术方案做大致阐述的，得6-4.1分；</w:t>
            </w:r>
          </w:p>
          <w:p>
            <w:pPr>
              <w:pStyle w:val="17"/>
              <w:spacing w:line="360" w:lineRule="auto"/>
              <w:jc w:val="left"/>
              <w:rPr>
                <w:rFonts w:ascii="宋体" w:hAnsi="宋体" w:cs="宋体"/>
                <w:color w:val="auto"/>
                <w:highlight w:val="none"/>
              </w:rPr>
            </w:pPr>
            <w:r>
              <w:rPr>
                <w:rFonts w:hint="eastAsia" w:ascii="宋体" w:hAnsi="宋体" w:cs="宋体"/>
                <w:color w:val="auto"/>
                <w:highlight w:val="none"/>
              </w:rPr>
              <w:t>第四档：对台州交警平台整体的数据和网络架构了解不清晰，对台州交警视频运行管理平台了解不深入，能对所投产品接入和技术方案做基本阐述的，得4-2.1分；</w:t>
            </w:r>
          </w:p>
          <w:p>
            <w:pPr>
              <w:pStyle w:val="17"/>
              <w:spacing w:line="360" w:lineRule="auto"/>
              <w:jc w:val="left"/>
              <w:rPr>
                <w:rFonts w:ascii="宋体" w:hAnsi="宋体" w:cs="宋体"/>
                <w:color w:val="auto"/>
                <w:highlight w:val="none"/>
              </w:rPr>
            </w:pPr>
            <w:r>
              <w:rPr>
                <w:rFonts w:hint="eastAsia" w:ascii="宋体" w:hAnsi="宋体" w:cs="宋体"/>
                <w:color w:val="auto"/>
                <w:highlight w:val="none"/>
              </w:rPr>
              <w:t>第五档：对台州交警平台整体的数据和网络架构完全不了解，对台州交警视频运行管理平台完全不了解，所投产品接入和技术方案实际不可行的，得2-0分；</w:t>
            </w:r>
          </w:p>
        </w:tc>
        <w:tc>
          <w:tcPr>
            <w:tcW w:w="750" w:type="dxa"/>
            <w:vAlign w:val="center"/>
          </w:tcPr>
          <w:p>
            <w:pPr>
              <w:pStyle w:val="17"/>
              <w:spacing w:line="360" w:lineRule="auto"/>
              <w:jc w:val="center"/>
              <w:rPr>
                <w:rFonts w:ascii="宋体" w:hAnsi="宋体" w:cs="宋体"/>
                <w:color w:val="auto"/>
                <w:highlight w:val="none"/>
              </w:rPr>
            </w:pPr>
            <w:r>
              <w:rPr>
                <w:rFonts w:hint="eastAsia" w:ascii="宋体" w:hAnsi="宋体" w:cs="宋体"/>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195" w:type="dxa"/>
            <w:vMerge w:val="restart"/>
            <w:vAlign w:val="center"/>
          </w:tcPr>
          <w:p>
            <w:pPr>
              <w:widowControl/>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实力信誉及业绩</w:t>
            </w:r>
          </w:p>
          <w:p>
            <w:pPr>
              <w:widowControl/>
              <w:spacing w:line="360" w:lineRule="auto"/>
              <w:rPr>
                <w:rFonts w:ascii="宋体" w:hAnsi="宋体" w:cs="宋体"/>
                <w:color w:val="auto"/>
                <w:sz w:val="24"/>
                <w:highlight w:val="none"/>
              </w:rPr>
            </w:pPr>
            <w:r>
              <w:rPr>
                <w:rFonts w:hint="eastAsia" w:ascii="宋体" w:hAnsi="宋体" w:cs="宋体"/>
                <w:color w:val="auto"/>
                <w:sz w:val="24"/>
                <w:highlight w:val="none"/>
              </w:rPr>
              <w:t>（8分）</w:t>
            </w:r>
          </w:p>
        </w:tc>
        <w:tc>
          <w:tcPr>
            <w:tcW w:w="8015" w:type="dxa"/>
            <w:vAlign w:val="center"/>
          </w:tcPr>
          <w:p>
            <w:pPr>
              <w:pStyle w:val="34"/>
              <w:tabs>
                <w:tab w:val="left" w:pos="720"/>
                <w:tab w:val="left" w:pos="900"/>
                <w:tab w:val="left" w:pos="1260"/>
                <w:tab w:val="left" w:pos="2160"/>
                <w:tab w:val="left" w:pos="2880"/>
                <w:tab w:val="left" w:pos="3600"/>
                <w:tab w:val="left" w:pos="4320"/>
                <w:tab w:val="left" w:pos="5040"/>
                <w:tab w:val="left" w:pos="5760"/>
              </w:tabs>
              <w:spacing w:line="360" w:lineRule="auto"/>
              <w:ind w:left="0" w:leftChars="0" w:firstLine="480"/>
              <w:rPr>
                <w:rFonts w:ascii="宋体" w:hAnsi="宋体" w:cs="宋体"/>
                <w:color w:val="auto"/>
                <w:sz w:val="24"/>
                <w:highlight w:val="none"/>
              </w:rPr>
            </w:pPr>
            <w:r>
              <w:rPr>
                <w:rFonts w:hint="eastAsia" w:ascii="宋体" w:hAnsi="宋体" w:cs="宋体"/>
                <w:color w:val="auto"/>
                <w:sz w:val="24"/>
                <w:highlight w:val="none"/>
              </w:rPr>
              <w:t>投标人拥有环境管理体系认证证书、信息安全管理体系认证证书、信息技术服务管理体系认证证书、职业健康安全管理体系认证证书、信息系统安全等级保护认证的，每个证书得1分，最高得4分。（以上均需提供有效期内的证书扫描件，不提供不得分）</w:t>
            </w:r>
          </w:p>
        </w:tc>
        <w:tc>
          <w:tcPr>
            <w:tcW w:w="750" w:type="dxa"/>
            <w:vAlign w:val="center"/>
          </w:tcPr>
          <w:p>
            <w:pPr>
              <w:pStyle w:val="17"/>
              <w:spacing w:line="360" w:lineRule="auto"/>
              <w:jc w:val="center"/>
              <w:rPr>
                <w:rFonts w:ascii="宋体" w:hAnsi="宋体" w:cs="宋体"/>
                <w:color w:val="auto"/>
                <w:highlight w:val="none"/>
              </w:rPr>
            </w:pPr>
            <w:r>
              <w:rPr>
                <w:rFonts w:hint="eastAsia" w:ascii="宋体" w:hAnsi="宋体" w:cs="宋体"/>
                <w:color w:val="auto"/>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195" w:type="dxa"/>
            <w:vMerge w:val="continue"/>
            <w:vAlign w:val="center"/>
          </w:tcPr>
          <w:p>
            <w:pPr>
              <w:widowControl/>
              <w:spacing w:line="360" w:lineRule="auto"/>
              <w:ind w:firstLine="480"/>
              <w:jc w:val="center"/>
              <w:rPr>
                <w:rFonts w:ascii="宋体" w:hAnsi="宋体" w:cs="宋体"/>
                <w:color w:val="auto"/>
                <w:sz w:val="24"/>
                <w:highlight w:val="none"/>
              </w:rPr>
            </w:pPr>
          </w:p>
        </w:tc>
        <w:tc>
          <w:tcPr>
            <w:tcW w:w="8015" w:type="dxa"/>
            <w:vAlign w:val="center"/>
          </w:tcPr>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根据投标人提供的2019年10月1日（含）以来类似本项目的业绩评分，每个业绩得0.5分，最高得2分。（在投标文件中同时提供合同扫描件和项目验收报告扫描件，不提供或提供不全不得分</w:t>
            </w:r>
            <w:r>
              <w:rPr>
                <w:rFonts w:hint="eastAsia" w:ascii="宋体" w:hAnsi="宋体" w:cs="宋体"/>
                <w:color w:val="auto"/>
                <w:sz w:val="24"/>
                <w:highlight w:val="none"/>
              </w:rPr>
              <w:t>，业绩时间以合同签订时间为准）</w:t>
            </w:r>
          </w:p>
          <w:p>
            <w:pPr>
              <w:widowControl/>
              <w:spacing w:line="360" w:lineRule="auto"/>
              <w:jc w:val="left"/>
              <w:rPr>
                <w:rFonts w:ascii="宋体" w:hAnsi="宋体" w:cs="宋体"/>
                <w:color w:val="auto"/>
                <w:sz w:val="24"/>
                <w:highlight w:val="none"/>
              </w:rPr>
            </w:pPr>
            <w:r>
              <w:rPr>
                <w:rFonts w:hint="eastAsia" w:ascii="宋体" w:hAnsi="宋体" w:cs="宋体"/>
                <w:b/>
                <w:bCs/>
                <w:color w:val="auto"/>
                <w:kern w:val="0"/>
                <w:sz w:val="24"/>
                <w:highlight w:val="none"/>
                <w:lang w:bidi="ar"/>
              </w:rPr>
              <w:t>（类似案例是指与采购标的同品类的项目案例）</w:t>
            </w:r>
            <w:r>
              <w:rPr>
                <w:rFonts w:hint="eastAsia" w:ascii="宋体" w:hAnsi="宋体" w:cs="宋体"/>
                <w:color w:val="auto"/>
                <w:kern w:val="0"/>
                <w:sz w:val="24"/>
                <w:highlight w:val="none"/>
                <w:lang w:bidi="ar"/>
              </w:rPr>
              <w:t>。</w:t>
            </w:r>
          </w:p>
        </w:tc>
        <w:tc>
          <w:tcPr>
            <w:tcW w:w="750" w:type="dxa"/>
            <w:vAlign w:val="center"/>
          </w:tcPr>
          <w:p>
            <w:pPr>
              <w:pStyle w:val="17"/>
              <w:spacing w:line="360" w:lineRule="auto"/>
              <w:jc w:val="center"/>
              <w:rPr>
                <w:rFonts w:ascii="宋体" w:hAnsi="宋体" w:cs="宋体"/>
                <w:color w:val="auto"/>
                <w:highlight w:val="none"/>
              </w:rPr>
            </w:pPr>
            <w:r>
              <w:rPr>
                <w:rFonts w:hint="eastAsia" w:ascii="宋体" w:hAnsi="宋体" w:cs="宋体"/>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5" w:type="dxa"/>
            <w:vMerge w:val="continue"/>
            <w:vAlign w:val="center"/>
          </w:tcPr>
          <w:p>
            <w:pPr>
              <w:widowControl/>
              <w:spacing w:line="360" w:lineRule="auto"/>
              <w:ind w:firstLine="480"/>
              <w:jc w:val="center"/>
              <w:rPr>
                <w:rFonts w:ascii="宋体" w:hAnsi="宋体" w:cs="宋体"/>
                <w:color w:val="auto"/>
                <w:sz w:val="24"/>
                <w:highlight w:val="none"/>
              </w:rPr>
            </w:pPr>
          </w:p>
        </w:tc>
        <w:tc>
          <w:tcPr>
            <w:tcW w:w="8015" w:type="dxa"/>
            <w:vAlign w:val="center"/>
          </w:tcPr>
          <w:p>
            <w:pPr>
              <w:pStyle w:val="17"/>
              <w:spacing w:line="360" w:lineRule="auto"/>
              <w:rPr>
                <w:rFonts w:ascii="宋体" w:hAnsi="宋体" w:cs="宋体"/>
                <w:color w:val="auto"/>
                <w:highlight w:val="none"/>
              </w:rPr>
            </w:pPr>
            <w:r>
              <w:rPr>
                <w:rFonts w:hint="eastAsia" w:ascii="宋体" w:hAnsi="宋体" w:cs="宋体"/>
                <w:color w:val="auto"/>
                <w:highlight w:val="none"/>
              </w:rPr>
              <w:t>投标人项目组成员具有与项目实施相关的其他资质证书（强电、弱电、市政、通信、网络、项目管理、信息安全、系统集成）的每个得0.5分，最高2分。</w:t>
            </w:r>
          </w:p>
          <w:p>
            <w:pPr>
              <w:pStyle w:val="17"/>
              <w:spacing w:line="360" w:lineRule="auto"/>
              <w:rPr>
                <w:rFonts w:ascii="宋体" w:hAnsi="宋体" w:cs="宋体"/>
                <w:color w:val="auto"/>
                <w:highlight w:val="none"/>
              </w:rPr>
            </w:pPr>
            <w:r>
              <w:rPr>
                <w:rFonts w:hint="eastAsia" w:ascii="宋体" w:hAnsi="宋体" w:cs="宋体"/>
                <w:color w:val="auto"/>
                <w:highlight w:val="none"/>
              </w:rPr>
              <w:t>（以上所涉及人员除提供相关证书扫描件外，还需提供</w:t>
            </w:r>
            <w:r>
              <w:rPr>
                <w:rFonts w:hint="eastAsia" w:ascii="宋体" w:hAnsi="宋体" w:cs="宋体"/>
                <w:color w:val="auto"/>
                <w:szCs w:val="21"/>
                <w:highlight w:val="none"/>
              </w:rPr>
              <w:t>上述人员在本单位服务的外部证明，如：投标截止日之前近六个月连续的代缴个税税单、参加社会保险的《投保单》或《社会保险参保人员证明》等）</w:t>
            </w:r>
          </w:p>
        </w:tc>
        <w:tc>
          <w:tcPr>
            <w:tcW w:w="750" w:type="dxa"/>
            <w:vAlign w:val="center"/>
          </w:tcPr>
          <w:p>
            <w:pPr>
              <w:pStyle w:val="17"/>
              <w:spacing w:line="360" w:lineRule="auto"/>
              <w:jc w:val="center"/>
              <w:rPr>
                <w:rFonts w:ascii="宋体" w:hAnsi="宋体" w:cs="宋体"/>
                <w:color w:val="auto"/>
                <w:highlight w:val="none"/>
              </w:rPr>
            </w:pPr>
            <w:r>
              <w:rPr>
                <w:rFonts w:hint="eastAsia" w:ascii="宋体" w:hAnsi="宋体" w:cs="宋体"/>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95" w:type="dxa"/>
            <w:vMerge w:val="restart"/>
            <w:vAlign w:val="center"/>
          </w:tcPr>
          <w:p>
            <w:pPr>
              <w:widowControl/>
              <w:spacing w:line="360" w:lineRule="auto"/>
              <w:jc w:val="left"/>
              <w:rPr>
                <w:rFonts w:ascii="宋体" w:hAnsi="宋体" w:cs="宋体"/>
                <w:color w:val="auto"/>
                <w:sz w:val="24"/>
                <w:highlight w:val="none"/>
              </w:rPr>
            </w:pPr>
            <w:r>
              <w:rPr>
                <w:rFonts w:hint="eastAsia" w:ascii="宋体" w:hAnsi="宋体" w:cs="宋体"/>
                <w:b/>
                <w:bCs/>
                <w:color w:val="auto"/>
                <w:sz w:val="24"/>
                <w:highlight w:val="none"/>
              </w:rPr>
              <w:t>运维服务</w:t>
            </w:r>
            <w:r>
              <w:rPr>
                <w:rFonts w:hint="eastAsia" w:ascii="宋体" w:hAnsi="宋体" w:cs="宋体"/>
                <w:color w:val="auto"/>
                <w:sz w:val="24"/>
                <w:highlight w:val="none"/>
              </w:rPr>
              <w:t>（22分）</w:t>
            </w:r>
          </w:p>
        </w:tc>
        <w:tc>
          <w:tcPr>
            <w:tcW w:w="8015" w:type="dxa"/>
            <w:vAlign w:val="center"/>
          </w:tcPr>
          <w:p>
            <w:pPr>
              <w:pStyle w:val="17"/>
              <w:spacing w:line="360" w:lineRule="auto"/>
              <w:rPr>
                <w:rFonts w:ascii="宋体" w:hAnsi="宋体" w:cs="宋体"/>
                <w:color w:val="auto"/>
                <w:highlight w:val="none"/>
              </w:rPr>
            </w:pPr>
            <w:r>
              <w:rPr>
                <w:rFonts w:hint="eastAsia" w:ascii="宋体" w:hAnsi="宋体" w:cs="宋体"/>
                <w:color w:val="auto"/>
                <w:highlight w:val="none"/>
              </w:rPr>
              <w:t>根据投标人有效类似业绩的运行维护情况进行综合比较（如监控相机每日工作情况报表、项目每月运行维护报告、设备故障修复响应时间等相关证明材料），分四档评分。</w:t>
            </w:r>
          </w:p>
          <w:p>
            <w:pPr>
              <w:pStyle w:val="17"/>
              <w:spacing w:line="360" w:lineRule="auto"/>
              <w:rPr>
                <w:rFonts w:ascii="宋体" w:hAnsi="宋体" w:cs="宋体"/>
                <w:color w:val="auto"/>
                <w:highlight w:val="none"/>
              </w:rPr>
            </w:pPr>
            <w:r>
              <w:rPr>
                <w:rFonts w:hint="eastAsia" w:ascii="宋体" w:hAnsi="宋体" w:cs="宋体"/>
                <w:color w:val="auto"/>
                <w:highlight w:val="none"/>
              </w:rPr>
              <w:t>第一档：每日工作情况优秀、项目每月运行维护优秀、设备故障修复响应及时得8-6.1分；</w:t>
            </w:r>
          </w:p>
          <w:p>
            <w:pPr>
              <w:pStyle w:val="17"/>
              <w:spacing w:line="360" w:lineRule="auto"/>
              <w:rPr>
                <w:rFonts w:ascii="宋体" w:hAnsi="宋体" w:cs="宋体"/>
                <w:color w:val="auto"/>
                <w:highlight w:val="none"/>
              </w:rPr>
            </w:pPr>
            <w:r>
              <w:rPr>
                <w:rFonts w:hint="eastAsia" w:ascii="宋体" w:hAnsi="宋体" w:cs="宋体"/>
                <w:color w:val="auto"/>
                <w:highlight w:val="none"/>
              </w:rPr>
              <w:t>第二档：每日工作情况良好、项目每月运行维护良好、设备故障修复响应较及时得6-4.1分；</w:t>
            </w:r>
          </w:p>
          <w:p>
            <w:pPr>
              <w:pStyle w:val="17"/>
              <w:spacing w:line="360" w:lineRule="auto"/>
              <w:rPr>
                <w:rFonts w:ascii="宋体" w:hAnsi="宋体" w:cs="宋体"/>
                <w:color w:val="auto"/>
                <w:highlight w:val="none"/>
              </w:rPr>
            </w:pPr>
            <w:r>
              <w:rPr>
                <w:rFonts w:hint="eastAsia" w:ascii="宋体" w:hAnsi="宋体" w:cs="宋体"/>
                <w:color w:val="auto"/>
                <w:highlight w:val="none"/>
              </w:rPr>
              <w:t>第三档：每日工作情况一般、项目每月运行维护一般、设备故障修复响应欠及时得4-2.1分；</w:t>
            </w:r>
          </w:p>
          <w:p>
            <w:pPr>
              <w:pStyle w:val="17"/>
              <w:spacing w:line="360" w:lineRule="auto"/>
              <w:rPr>
                <w:rFonts w:ascii="宋体" w:hAnsi="宋体" w:cs="宋体"/>
                <w:color w:val="auto"/>
                <w:highlight w:val="none"/>
              </w:rPr>
            </w:pPr>
            <w:r>
              <w:rPr>
                <w:rFonts w:hint="eastAsia" w:ascii="宋体" w:hAnsi="宋体" w:cs="宋体"/>
                <w:color w:val="auto"/>
                <w:highlight w:val="none"/>
              </w:rPr>
              <w:t>第四档：每日工作情况差、项目每月运行维护差、设备故障修复响应不及时得2-0分。</w:t>
            </w:r>
          </w:p>
          <w:p>
            <w:pPr>
              <w:pStyle w:val="17"/>
              <w:spacing w:line="360" w:lineRule="auto"/>
              <w:rPr>
                <w:rFonts w:ascii="宋体" w:hAnsi="宋体" w:cs="宋体"/>
                <w:color w:val="auto"/>
                <w:highlight w:val="none"/>
              </w:rPr>
            </w:pPr>
            <w:r>
              <w:rPr>
                <w:rFonts w:hint="eastAsia" w:ascii="宋体" w:hAnsi="宋体" w:cs="宋体"/>
                <w:color w:val="auto"/>
                <w:highlight w:val="none"/>
              </w:rPr>
              <w:t>（在投标文件中提供上述项目的相关证明材料，并加盖项目业主的公章，不提供不得分）</w:t>
            </w:r>
          </w:p>
        </w:tc>
        <w:tc>
          <w:tcPr>
            <w:tcW w:w="750" w:type="dxa"/>
            <w:vAlign w:val="center"/>
          </w:tcPr>
          <w:p>
            <w:pPr>
              <w:pStyle w:val="17"/>
              <w:spacing w:line="360" w:lineRule="auto"/>
              <w:jc w:val="center"/>
              <w:rPr>
                <w:rFonts w:ascii="宋体" w:hAnsi="宋体" w:cs="宋体"/>
                <w:color w:val="auto"/>
                <w:highlight w:val="none"/>
              </w:rPr>
            </w:pPr>
            <w:r>
              <w:rPr>
                <w:rFonts w:hint="eastAsia" w:ascii="宋体" w:hAnsi="宋体" w:cs="宋体"/>
                <w:color w:val="auto"/>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195" w:type="dxa"/>
            <w:vMerge w:val="continue"/>
            <w:vAlign w:val="center"/>
          </w:tcPr>
          <w:p>
            <w:pPr>
              <w:widowControl/>
              <w:spacing w:line="360" w:lineRule="auto"/>
              <w:ind w:firstLine="480"/>
              <w:jc w:val="left"/>
              <w:rPr>
                <w:rFonts w:ascii="宋体" w:hAnsi="宋体" w:cs="宋体"/>
                <w:color w:val="auto"/>
                <w:sz w:val="24"/>
                <w:highlight w:val="none"/>
              </w:rPr>
            </w:pPr>
          </w:p>
        </w:tc>
        <w:tc>
          <w:tcPr>
            <w:tcW w:w="8015" w:type="dxa"/>
            <w:vAlign w:val="center"/>
          </w:tcPr>
          <w:p>
            <w:pPr>
              <w:pStyle w:val="17"/>
              <w:spacing w:line="360" w:lineRule="auto"/>
              <w:rPr>
                <w:rFonts w:ascii="宋体" w:hAnsi="宋体" w:cs="宋体"/>
                <w:color w:val="auto"/>
                <w:highlight w:val="none"/>
              </w:rPr>
            </w:pPr>
            <w:r>
              <w:rPr>
                <w:rFonts w:hint="eastAsia" w:ascii="宋体" w:hAnsi="宋体" w:cs="宋体"/>
                <w:color w:val="auto"/>
                <w:highlight w:val="none"/>
              </w:rPr>
              <w:t>根据投标人提供针对本项目运营维护期间的运行维护计划、故障修复方案，以及类似项目运维经验，分四档评分。</w:t>
            </w:r>
          </w:p>
          <w:p>
            <w:pPr>
              <w:pStyle w:val="17"/>
              <w:spacing w:line="360" w:lineRule="auto"/>
              <w:rPr>
                <w:rFonts w:ascii="宋体" w:hAnsi="宋体" w:cs="宋体"/>
                <w:color w:val="auto"/>
                <w:highlight w:val="none"/>
              </w:rPr>
            </w:pPr>
            <w:r>
              <w:rPr>
                <w:rFonts w:hint="eastAsia" w:ascii="宋体" w:hAnsi="宋体" w:cs="宋体"/>
                <w:color w:val="auto"/>
                <w:highlight w:val="none"/>
              </w:rPr>
              <w:t>第一档：运行维护计划详细、故障修复方案完善，类似项目运维经验丰富，得8-6.1分；</w:t>
            </w:r>
          </w:p>
          <w:p>
            <w:pPr>
              <w:pStyle w:val="17"/>
              <w:spacing w:line="360" w:lineRule="auto"/>
              <w:rPr>
                <w:rFonts w:ascii="宋体" w:hAnsi="宋体" w:cs="宋体"/>
                <w:color w:val="auto"/>
                <w:highlight w:val="none"/>
              </w:rPr>
            </w:pPr>
            <w:r>
              <w:rPr>
                <w:rFonts w:hint="eastAsia" w:ascii="宋体" w:hAnsi="宋体" w:cs="宋体"/>
                <w:color w:val="auto"/>
                <w:highlight w:val="none"/>
              </w:rPr>
              <w:t>第二档：运行维护计划较详细、故障修复方案较完善，类似项目运维经验较丰富，得6-4.1分；</w:t>
            </w:r>
          </w:p>
          <w:p>
            <w:pPr>
              <w:pStyle w:val="17"/>
              <w:spacing w:line="360" w:lineRule="auto"/>
              <w:rPr>
                <w:rFonts w:ascii="宋体" w:hAnsi="宋体" w:cs="宋体"/>
                <w:color w:val="auto"/>
                <w:highlight w:val="none"/>
              </w:rPr>
            </w:pPr>
            <w:r>
              <w:rPr>
                <w:rFonts w:hint="eastAsia" w:ascii="宋体" w:hAnsi="宋体" w:cs="宋体"/>
                <w:color w:val="auto"/>
                <w:highlight w:val="none"/>
              </w:rPr>
              <w:t>第三档：运行维护计划欠详细、故障修复方案欠完善，类似项目运维经验欠丰富，得4-2.1分；</w:t>
            </w:r>
          </w:p>
          <w:p>
            <w:pPr>
              <w:pStyle w:val="17"/>
              <w:spacing w:line="360" w:lineRule="auto"/>
              <w:rPr>
                <w:rFonts w:ascii="宋体" w:hAnsi="宋体" w:cs="宋体"/>
                <w:color w:val="auto"/>
                <w:highlight w:val="none"/>
              </w:rPr>
            </w:pPr>
            <w:r>
              <w:rPr>
                <w:rFonts w:hint="eastAsia" w:ascii="宋体" w:hAnsi="宋体" w:cs="宋体"/>
                <w:color w:val="auto"/>
                <w:highlight w:val="none"/>
              </w:rPr>
              <w:t>第四档：运行维护计划不详细、故障修复方案不完善，类似项目运维经验不足，得2-0分。</w:t>
            </w:r>
          </w:p>
        </w:tc>
        <w:tc>
          <w:tcPr>
            <w:tcW w:w="750" w:type="dxa"/>
            <w:vAlign w:val="center"/>
          </w:tcPr>
          <w:p>
            <w:pPr>
              <w:pStyle w:val="17"/>
              <w:spacing w:line="360" w:lineRule="auto"/>
              <w:jc w:val="center"/>
              <w:rPr>
                <w:rFonts w:ascii="宋体" w:hAnsi="宋体" w:cs="宋体"/>
                <w:color w:val="auto"/>
                <w:highlight w:val="none"/>
              </w:rPr>
            </w:pPr>
            <w:r>
              <w:rPr>
                <w:rFonts w:hint="eastAsia" w:ascii="宋体" w:hAnsi="宋体" w:cs="宋体"/>
                <w:color w:val="auto"/>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195" w:type="dxa"/>
            <w:vMerge w:val="continue"/>
            <w:vAlign w:val="center"/>
          </w:tcPr>
          <w:p>
            <w:pPr>
              <w:widowControl/>
              <w:spacing w:line="360" w:lineRule="auto"/>
              <w:ind w:firstLine="480"/>
              <w:jc w:val="left"/>
              <w:rPr>
                <w:rFonts w:ascii="宋体" w:hAnsi="宋体" w:cs="宋体"/>
                <w:color w:val="auto"/>
                <w:sz w:val="24"/>
                <w:highlight w:val="none"/>
              </w:rPr>
            </w:pPr>
          </w:p>
        </w:tc>
        <w:tc>
          <w:tcPr>
            <w:tcW w:w="8015" w:type="dxa"/>
            <w:vAlign w:val="center"/>
          </w:tcPr>
          <w:p>
            <w:pPr>
              <w:pStyle w:val="17"/>
              <w:spacing w:line="360" w:lineRule="auto"/>
              <w:rPr>
                <w:rFonts w:ascii="宋体" w:hAnsi="宋体" w:cs="宋体"/>
                <w:color w:val="auto"/>
                <w:highlight w:val="none"/>
              </w:rPr>
            </w:pPr>
            <w:bookmarkStart w:id="130" w:name="_GoBack"/>
            <w:r>
              <w:rPr>
                <w:rFonts w:hint="eastAsia" w:ascii="宋体" w:hAnsi="宋体" w:cs="宋体"/>
                <w:color w:val="auto"/>
                <w:highlight w:val="none"/>
              </w:rPr>
              <w:t>根据投标人服务能力（维修点或服务网点分布情况及针对本项目提供的维护车辆、维护人员安排等情况），分四档评分：</w:t>
            </w:r>
          </w:p>
          <w:p>
            <w:pPr>
              <w:pStyle w:val="17"/>
              <w:spacing w:line="360" w:lineRule="auto"/>
              <w:rPr>
                <w:rFonts w:ascii="宋体" w:hAnsi="宋体" w:cs="宋体"/>
                <w:color w:val="auto"/>
                <w:highlight w:val="none"/>
              </w:rPr>
            </w:pPr>
            <w:r>
              <w:rPr>
                <w:rFonts w:hint="eastAsia" w:ascii="宋体" w:hAnsi="宋体" w:cs="宋体"/>
                <w:color w:val="auto"/>
                <w:highlight w:val="none"/>
              </w:rPr>
              <w:t>第一档：维修点或服务网点数量多、距离近，维护车辆安排充足，维护人员数量多、资质优得6-4.5分；</w:t>
            </w:r>
          </w:p>
          <w:p>
            <w:pPr>
              <w:pStyle w:val="17"/>
              <w:spacing w:line="360" w:lineRule="auto"/>
              <w:rPr>
                <w:rFonts w:ascii="宋体" w:hAnsi="宋体" w:cs="宋体"/>
                <w:color w:val="auto"/>
                <w:highlight w:val="none"/>
              </w:rPr>
            </w:pPr>
            <w:r>
              <w:rPr>
                <w:rFonts w:hint="eastAsia" w:ascii="宋体" w:hAnsi="宋体" w:cs="宋体"/>
                <w:color w:val="auto"/>
                <w:highlight w:val="none"/>
              </w:rPr>
              <w:t>第二档：维修点或服务网点数量较多、距离较近，维护车辆安排较充足，维护人员数量较多、资质良得4.4-3分；</w:t>
            </w:r>
          </w:p>
          <w:p>
            <w:pPr>
              <w:pStyle w:val="17"/>
              <w:spacing w:line="360" w:lineRule="auto"/>
              <w:rPr>
                <w:rFonts w:ascii="宋体" w:hAnsi="宋体" w:cs="宋体"/>
                <w:color w:val="auto"/>
                <w:highlight w:val="none"/>
              </w:rPr>
            </w:pPr>
            <w:r>
              <w:rPr>
                <w:rFonts w:hint="eastAsia" w:ascii="宋体" w:hAnsi="宋体" w:cs="宋体"/>
                <w:color w:val="auto"/>
                <w:highlight w:val="none"/>
              </w:rPr>
              <w:t>第三档：维修点或服务网点数量一般、距离一般，维护车辆安排欠充足，维护人员数量一般、资质一般得2.9-1.5分；</w:t>
            </w:r>
          </w:p>
          <w:p>
            <w:pPr>
              <w:pStyle w:val="17"/>
              <w:spacing w:line="360" w:lineRule="auto"/>
              <w:rPr>
                <w:rFonts w:ascii="宋体" w:hAnsi="宋体" w:cs="宋体"/>
                <w:color w:val="auto"/>
                <w:highlight w:val="none"/>
              </w:rPr>
            </w:pPr>
            <w:r>
              <w:rPr>
                <w:rFonts w:hint="eastAsia" w:ascii="宋体" w:hAnsi="宋体" w:cs="宋体"/>
                <w:color w:val="auto"/>
                <w:highlight w:val="none"/>
              </w:rPr>
              <w:t>第四档：维修点或服务网点数量少、距离远，维护车辆安排不充足，维护人员数量少、资质差得1.4-0分。</w:t>
            </w:r>
          </w:p>
          <w:p>
            <w:pPr>
              <w:pStyle w:val="17"/>
              <w:spacing w:line="360" w:lineRule="auto"/>
              <w:rPr>
                <w:rFonts w:ascii="宋体" w:hAnsi="宋体" w:cs="宋体"/>
                <w:color w:val="auto"/>
                <w:highlight w:val="none"/>
              </w:rPr>
            </w:pPr>
            <w:r>
              <w:rPr>
                <w:rFonts w:hint="eastAsia" w:ascii="宋体" w:hAnsi="宋体" w:cs="宋体"/>
                <w:color w:val="auto"/>
                <w:highlight w:val="none"/>
              </w:rPr>
              <w:t>（需提供</w:t>
            </w:r>
            <w:r>
              <w:rPr>
                <w:rFonts w:hint="eastAsia" w:ascii="宋体" w:hAnsi="宋体" w:cs="宋体"/>
                <w:color w:val="auto"/>
                <w:szCs w:val="21"/>
                <w:highlight w:val="none"/>
              </w:rPr>
              <w:t>上述</w:t>
            </w:r>
            <w:r>
              <w:rPr>
                <w:rFonts w:hint="eastAsia" w:ascii="宋体" w:hAnsi="宋体" w:cs="宋体"/>
                <w:color w:val="auto"/>
                <w:highlight w:val="none"/>
              </w:rPr>
              <w:t>维护人员</w:t>
            </w:r>
            <w:r>
              <w:rPr>
                <w:rFonts w:hint="eastAsia" w:ascii="宋体" w:hAnsi="宋体" w:cs="宋体"/>
                <w:color w:val="auto"/>
                <w:szCs w:val="21"/>
                <w:highlight w:val="none"/>
              </w:rPr>
              <w:t>在本单位服务的外部证明，如：投标截止日之前近六个月连续的代缴个税税单、参加社会保险的《投保单》或《社会保险参保人员证明》等，</w:t>
            </w:r>
            <w:r>
              <w:rPr>
                <w:rFonts w:hint="eastAsia" w:ascii="宋体" w:hAnsi="宋体" w:cs="宋体"/>
                <w:color w:val="auto"/>
                <w:highlight w:val="none"/>
              </w:rPr>
              <w:t>维护网点须提供相关营业执照，其他服务能力视情提供相关材料。</w:t>
            </w:r>
            <w:bookmarkEnd w:id="130"/>
          </w:p>
        </w:tc>
        <w:tc>
          <w:tcPr>
            <w:tcW w:w="750" w:type="dxa"/>
            <w:vAlign w:val="center"/>
          </w:tcPr>
          <w:p>
            <w:pPr>
              <w:pStyle w:val="17"/>
              <w:spacing w:line="360" w:lineRule="auto"/>
              <w:jc w:val="center"/>
              <w:rPr>
                <w:rFonts w:ascii="宋体" w:hAnsi="宋体" w:cs="宋体"/>
                <w:color w:val="auto"/>
                <w:highlight w:val="none"/>
              </w:rPr>
            </w:pPr>
            <w:r>
              <w:rPr>
                <w:rFonts w:hint="eastAsia" w:ascii="宋体" w:hAnsi="宋体" w:cs="宋体"/>
                <w:color w:val="auto"/>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195" w:type="dxa"/>
            <w:vAlign w:val="center"/>
          </w:tcPr>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价格（20分）</w:t>
            </w:r>
          </w:p>
        </w:tc>
        <w:tc>
          <w:tcPr>
            <w:tcW w:w="8015" w:type="dxa"/>
            <w:vAlign w:val="center"/>
          </w:tcPr>
          <w:p>
            <w:pPr>
              <w:pStyle w:val="17"/>
              <w:spacing w:line="360" w:lineRule="auto"/>
              <w:rPr>
                <w:rFonts w:ascii="宋体" w:hAnsi="宋体" w:cs="宋体"/>
                <w:color w:val="auto"/>
                <w:highlight w:val="none"/>
              </w:rPr>
            </w:pPr>
            <w:r>
              <w:rPr>
                <w:rFonts w:hint="eastAsia" w:ascii="宋体" w:hAnsi="宋体" w:cs="宋体"/>
                <w:color w:val="auto"/>
                <w:highlight w:val="none"/>
              </w:rPr>
              <w:t>取投标合格供应商的投标最终报价最低价为基准价。基准价为20分。投标报价得分＝（评标基准价/最终投标报价）×20 %×100（小数点后保留2位小数）</w:t>
            </w:r>
            <w:r>
              <w:rPr>
                <w:rFonts w:hint="eastAsia" w:ascii="宋体" w:hAnsi="宋体" w:cs="宋体"/>
                <w:b/>
                <w:color w:val="auto"/>
                <w:highlight w:val="none"/>
              </w:rPr>
              <w:t>（注：对于符合小型和微型企业政策价格优惠的投标价格给予20%的扣除，用扣除后的价格参与评审）</w:t>
            </w:r>
          </w:p>
        </w:tc>
        <w:tc>
          <w:tcPr>
            <w:tcW w:w="750" w:type="dxa"/>
            <w:vAlign w:val="center"/>
          </w:tcPr>
          <w:p>
            <w:pPr>
              <w:pStyle w:val="17"/>
              <w:spacing w:line="360" w:lineRule="auto"/>
              <w:jc w:val="center"/>
              <w:rPr>
                <w:rFonts w:ascii="宋体" w:hAnsi="宋体" w:cs="宋体"/>
                <w:color w:val="auto"/>
                <w:highlight w:val="none"/>
              </w:rPr>
            </w:pPr>
            <w:r>
              <w:rPr>
                <w:rFonts w:hint="eastAsia" w:ascii="宋体" w:hAnsi="宋体" w:cs="宋体"/>
                <w:color w:val="auto"/>
                <w:highlight w:val="none"/>
              </w:rPr>
              <w:t>20</w:t>
            </w:r>
          </w:p>
        </w:tc>
      </w:tr>
    </w:tbl>
    <w:p>
      <w:pPr>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pStyle w:val="2"/>
        <w:rPr>
          <w:rFonts w:ascii="宋体" w:hAnsi="宋体" w:cs="宋体"/>
          <w:color w:val="auto"/>
          <w:sz w:val="24"/>
          <w:highlight w:val="none"/>
        </w:rPr>
      </w:pPr>
    </w:p>
    <w:p>
      <w:pPr>
        <w:rPr>
          <w:rFonts w:ascii="宋体" w:hAnsi="宋体" w:cs="宋体"/>
          <w:color w:val="auto"/>
          <w:sz w:val="24"/>
          <w:highlight w:val="none"/>
        </w:rPr>
      </w:pPr>
    </w:p>
    <w:p>
      <w:pPr>
        <w:rPr>
          <w:color w:val="auto"/>
          <w:highlight w:val="none"/>
        </w:rPr>
      </w:pPr>
      <w:r>
        <w:rPr>
          <w:rFonts w:hint="eastAsia"/>
          <w:color w:val="auto"/>
          <w:highlight w:val="none"/>
        </w:rPr>
        <w:br w:type="page"/>
      </w:r>
    </w:p>
    <w:p>
      <w:pPr>
        <w:rPr>
          <w:color w:val="auto"/>
          <w:highlight w:val="none"/>
        </w:rPr>
      </w:pPr>
    </w:p>
    <w:p>
      <w:pPr>
        <w:numPr>
          <w:ilvl w:val="0"/>
          <w:numId w:val="5"/>
        </w:num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公开招标需求</w:t>
      </w:r>
    </w:p>
    <w:p>
      <w:pPr>
        <w:pStyle w:val="50"/>
        <w:numPr>
          <w:ilvl w:val="0"/>
          <w:numId w:val="8"/>
        </w:numPr>
        <w:spacing w:line="360" w:lineRule="auto"/>
        <w:ind w:firstLineChars="0"/>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采购项目一览表</w:t>
      </w:r>
    </w:p>
    <w:p>
      <w:pPr>
        <w:tabs>
          <w:tab w:val="left" w:pos="8280"/>
        </w:tabs>
        <w:autoSpaceDE w:val="0"/>
        <w:autoSpaceDN w:val="0"/>
        <w:adjustRightInd w:val="0"/>
        <w:spacing w:line="360" w:lineRule="auto"/>
        <w:ind w:right="25" w:firstLine="280"/>
        <w:rPr>
          <w:rFonts w:ascii="宋体" w:hAnsi="宋体" w:cs="宋体"/>
          <w:color w:val="auto"/>
          <w:sz w:val="24"/>
          <w:highlight w:val="none"/>
        </w:rPr>
      </w:pPr>
      <w:r>
        <w:rPr>
          <w:rFonts w:hint="eastAsia" w:ascii="宋体" w:hAnsi="宋体" w:cs="宋体"/>
          <w:color w:val="auto"/>
          <w:sz w:val="24"/>
          <w:highlight w:val="none"/>
        </w:rPr>
        <w:t>本次招标共</w:t>
      </w:r>
      <w:r>
        <w:rPr>
          <w:rFonts w:hint="eastAsia" w:ascii="宋体" w:hAnsi="宋体" w:cs="宋体"/>
          <w:color w:val="auto"/>
          <w:sz w:val="24"/>
          <w:highlight w:val="none"/>
          <w:u w:val="single"/>
        </w:rPr>
        <w:t>1</w:t>
      </w:r>
      <w:r>
        <w:rPr>
          <w:rFonts w:hint="eastAsia" w:ascii="宋体" w:hAnsi="宋体" w:cs="宋体"/>
          <w:color w:val="auto"/>
          <w:sz w:val="24"/>
          <w:highlight w:val="none"/>
        </w:rPr>
        <w:t>个标段，具体内容如下表：</w:t>
      </w:r>
    </w:p>
    <w:tbl>
      <w:tblPr>
        <w:tblStyle w:val="35"/>
        <w:tblpPr w:leftFromText="180" w:rightFromText="180" w:vertAnchor="text" w:horzAnchor="page" w:tblpX="1577" w:tblpY="452"/>
        <w:tblOverlap w:val="never"/>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734"/>
        <w:gridCol w:w="906"/>
        <w:gridCol w:w="624"/>
        <w:gridCol w:w="684"/>
        <w:gridCol w:w="1516"/>
        <w:gridCol w:w="145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96"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标段号</w:t>
            </w:r>
          </w:p>
        </w:tc>
        <w:tc>
          <w:tcPr>
            <w:tcW w:w="1734" w:type="dxa"/>
            <w:vAlign w:val="center"/>
          </w:tcPr>
          <w:p>
            <w:pPr>
              <w:tabs>
                <w:tab w:val="left" w:pos="8280"/>
              </w:tabs>
              <w:autoSpaceDE w:val="0"/>
              <w:autoSpaceDN w:val="0"/>
              <w:adjustRightInd w:val="0"/>
              <w:spacing w:line="360" w:lineRule="auto"/>
              <w:ind w:right="25" w:firstLine="120" w:firstLineChars="50"/>
              <w:jc w:val="center"/>
              <w:rPr>
                <w:rFonts w:ascii="宋体" w:hAnsi="宋体" w:cs="宋体"/>
                <w:b/>
                <w:color w:val="auto"/>
                <w:sz w:val="24"/>
                <w:highlight w:val="none"/>
              </w:rPr>
            </w:pPr>
            <w:r>
              <w:rPr>
                <w:rFonts w:hint="eastAsia" w:ascii="宋体" w:hAnsi="宋体" w:cs="宋体"/>
                <w:b/>
                <w:color w:val="auto"/>
                <w:sz w:val="24"/>
                <w:highlight w:val="none"/>
              </w:rPr>
              <w:t>采购内容</w:t>
            </w:r>
          </w:p>
        </w:tc>
        <w:tc>
          <w:tcPr>
            <w:tcW w:w="906"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具体服务内容</w:t>
            </w:r>
          </w:p>
        </w:tc>
        <w:tc>
          <w:tcPr>
            <w:tcW w:w="624"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684"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1516" w:type="dxa"/>
            <w:vAlign w:val="center"/>
          </w:tcPr>
          <w:p>
            <w:pPr>
              <w:tabs>
                <w:tab w:val="left" w:pos="8280"/>
              </w:tabs>
              <w:autoSpaceDE w:val="0"/>
              <w:autoSpaceDN w:val="0"/>
              <w:adjustRightInd w:val="0"/>
              <w:ind w:left="1" w:leftChars="-95" w:right="25" w:hanging="200" w:hangingChars="83"/>
              <w:jc w:val="center"/>
              <w:rPr>
                <w:rFonts w:ascii="宋体" w:hAnsi="宋体" w:cs="宋体"/>
                <w:b/>
                <w:color w:val="auto"/>
                <w:sz w:val="24"/>
                <w:highlight w:val="none"/>
              </w:rPr>
            </w:pPr>
            <w:r>
              <w:rPr>
                <w:rFonts w:hint="eastAsia" w:ascii="宋体" w:hAnsi="宋体" w:cs="宋体"/>
                <w:b/>
                <w:color w:val="auto"/>
                <w:sz w:val="24"/>
                <w:highlight w:val="none"/>
              </w:rPr>
              <w:t>预算</w:t>
            </w:r>
          </w:p>
          <w:p>
            <w:pPr>
              <w:tabs>
                <w:tab w:val="left" w:pos="8280"/>
              </w:tabs>
              <w:autoSpaceDE w:val="0"/>
              <w:autoSpaceDN w:val="0"/>
              <w:adjustRightInd w:val="0"/>
              <w:ind w:left="1" w:leftChars="-95" w:right="25" w:hanging="200"/>
              <w:jc w:val="center"/>
              <w:rPr>
                <w:rFonts w:ascii="宋体" w:hAnsi="宋体" w:cs="宋体"/>
                <w:b/>
                <w:color w:val="auto"/>
                <w:sz w:val="24"/>
                <w:highlight w:val="none"/>
              </w:rPr>
            </w:pPr>
            <w:r>
              <w:rPr>
                <w:rFonts w:hint="eastAsia" w:ascii="宋体" w:hAnsi="宋体" w:cs="宋体"/>
                <w:b/>
                <w:color w:val="auto"/>
                <w:sz w:val="24"/>
                <w:highlight w:val="none"/>
              </w:rPr>
              <w:t>（万元）</w:t>
            </w:r>
          </w:p>
        </w:tc>
        <w:tc>
          <w:tcPr>
            <w:tcW w:w="1450" w:type="dxa"/>
            <w:vAlign w:val="center"/>
          </w:tcPr>
          <w:p>
            <w:pPr>
              <w:tabs>
                <w:tab w:val="left" w:pos="8280"/>
              </w:tabs>
              <w:autoSpaceDE w:val="0"/>
              <w:autoSpaceDN w:val="0"/>
              <w:adjustRightInd w:val="0"/>
              <w:ind w:left="-1" w:right="25"/>
              <w:jc w:val="center"/>
              <w:rPr>
                <w:rFonts w:ascii="宋体" w:hAnsi="宋体" w:cs="宋体"/>
                <w:b/>
                <w:color w:val="auto"/>
                <w:sz w:val="24"/>
                <w:highlight w:val="none"/>
              </w:rPr>
            </w:pPr>
            <w:r>
              <w:rPr>
                <w:rFonts w:hint="eastAsia" w:ascii="宋体" w:hAnsi="宋体" w:cs="宋体"/>
                <w:b/>
                <w:color w:val="auto"/>
                <w:sz w:val="24"/>
                <w:highlight w:val="none"/>
              </w:rPr>
              <w:t>最高限价（万元）</w:t>
            </w:r>
          </w:p>
        </w:tc>
        <w:tc>
          <w:tcPr>
            <w:tcW w:w="1640" w:type="dxa"/>
            <w:vAlign w:val="center"/>
          </w:tcPr>
          <w:p>
            <w:pPr>
              <w:tabs>
                <w:tab w:val="left" w:pos="8280"/>
              </w:tabs>
              <w:autoSpaceDE w:val="0"/>
              <w:autoSpaceDN w:val="0"/>
              <w:adjustRightInd w:val="0"/>
              <w:spacing w:line="360" w:lineRule="auto"/>
              <w:ind w:right="25"/>
              <w:jc w:val="center"/>
              <w:rPr>
                <w:rFonts w:ascii="宋体" w:hAnsi="宋体" w:cs="宋体"/>
                <w:color w:val="auto"/>
                <w:sz w:val="24"/>
                <w:szCs w:val="21"/>
                <w:highlight w:val="none"/>
              </w:rPr>
            </w:pPr>
            <w:r>
              <w:rPr>
                <w:rFonts w:hint="eastAsia" w:ascii="宋体" w:hAnsi="宋体" w:cs="宋体"/>
                <w:color w:val="auto"/>
                <w:sz w:val="24"/>
                <w:szCs w:val="21"/>
                <w:highlight w:val="none"/>
              </w:rPr>
              <w:t>交付期及服务期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796" w:type="dxa"/>
            <w:vAlign w:val="center"/>
          </w:tcPr>
          <w:p>
            <w:pPr>
              <w:tabs>
                <w:tab w:val="left" w:pos="8280"/>
              </w:tabs>
              <w:autoSpaceDE w:val="0"/>
              <w:autoSpaceDN w:val="0"/>
              <w:adjustRightInd w:val="0"/>
              <w:spacing w:line="360" w:lineRule="auto"/>
              <w:ind w:right="25"/>
              <w:rPr>
                <w:rFonts w:ascii="宋体" w:hAnsi="宋体" w:cs="宋体"/>
                <w:color w:val="auto"/>
                <w:sz w:val="24"/>
                <w:highlight w:val="none"/>
              </w:rPr>
            </w:pPr>
            <w:r>
              <w:rPr>
                <w:rFonts w:hint="eastAsia" w:ascii="宋体" w:hAnsi="宋体" w:cs="宋体"/>
                <w:color w:val="auto"/>
                <w:sz w:val="24"/>
                <w:highlight w:val="none"/>
              </w:rPr>
              <w:t>1</w:t>
            </w:r>
          </w:p>
        </w:tc>
        <w:tc>
          <w:tcPr>
            <w:tcW w:w="173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台州市公共视频监控服务（2022年）项目</w:t>
            </w:r>
          </w:p>
        </w:tc>
        <w:tc>
          <w:tcPr>
            <w:tcW w:w="90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详见公开招标需求</w:t>
            </w:r>
          </w:p>
        </w:tc>
        <w:tc>
          <w:tcPr>
            <w:tcW w:w="62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68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批</w:t>
            </w:r>
          </w:p>
        </w:tc>
        <w:tc>
          <w:tcPr>
            <w:tcW w:w="1516" w:type="dxa"/>
            <w:vAlign w:val="center"/>
          </w:tcPr>
          <w:p>
            <w:pPr>
              <w:tabs>
                <w:tab w:val="left" w:pos="8280"/>
              </w:tabs>
              <w:autoSpaceDE w:val="0"/>
              <w:autoSpaceDN w:val="0"/>
              <w:adjustRightInd w:val="0"/>
              <w:ind w:right="25"/>
              <w:jc w:val="center"/>
              <w:rPr>
                <w:rFonts w:ascii="宋体" w:hAnsi="宋体" w:cs="宋体"/>
                <w:color w:val="auto"/>
                <w:sz w:val="24"/>
                <w:highlight w:val="none"/>
              </w:rPr>
            </w:pPr>
            <w:r>
              <w:rPr>
                <w:rFonts w:hint="eastAsia" w:ascii="宋体" w:hAnsi="宋体" w:cs="宋体"/>
                <w:bCs/>
                <w:color w:val="auto"/>
                <w:sz w:val="24"/>
                <w:highlight w:val="none"/>
              </w:rPr>
              <w:t>3728.602152</w:t>
            </w:r>
          </w:p>
        </w:tc>
        <w:tc>
          <w:tcPr>
            <w:tcW w:w="1450" w:type="dxa"/>
            <w:vAlign w:val="center"/>
          </w:tcPr>
          <w:p>
            <w:pPr>
              <w:tabs>
                <w:tab w:val="left" w:pos="8280"/>
              </w:tabs>
              <w:autoSpaceDE w:val="0"/>
              <w:autoSpaceDN w:val="0"/>
              <w:adjustRightInd w:val="0"/>
              <w:spacing w:line="360" w:lineRule="auto"/>
              <w:ind w:right="25"/>
              <w:jc w:val="center"/>
              <w:rPr>
                <w:rFonts w:ascii="宋体" w:hAnsi="宋体" w:cs="宋体"/>
                <w:color w:val="auto"/>
                <w:sz w:val="24"/>
                <w:highlight w:val="none"/>
              </w:rPr>
            </w:pPr>
            <w:r>
              <w:rPr>
                <w:rFonts w:hint="eastAsia" w:ascii="宋体" w:hAnsi="宋体" w:cs="宋体"/>
                <w:bCs/>
                <w:color w:val="auto"/>
                <w:sz w:val="24"/>
                <w:highlight w:val="none"/>
              </w:rPr>
              <w:t>3728.602152</w:t>
            </w:r>
          </w:p>
        </w:tc>
        <w:tc>
          <w:tcPr>
            <w:tcW w:w="1640" w:type="dxa"/>
            <w:vAlign w:val="center"/>
          </w:tcPr>
          <w:p>
            <w:pPr>
              <w:rPr>
                <w:rFonts w:ascii="宋体" w:hAnsi="宋体" w:cs="宋体"/>
                <w:color w:val="auto"/>
                <w:sz w:val="24"/>
                <w:szCs w:val="21"/>
                <w:highlight w:val="none"/>
              </w:rPr>
            </w:pPr>
            <w:r>
              <w:rPr>
                <w:rFonts w:hint="eastAsia" w:ascii="宋体" w:hAnsi="宋体" w:cs="宋体"/>
                <w:color w:val="auto"/>
                <w:sz w:val="24"/>
                <w:szCs w:val="21"/>
                <w:highlight w:val="none"/>
              </w:rPr>
              <w:t>2023年7月31日前完成所有设备上线任务并通过初验，试运行三个月后通过准入验收，</w:t>
            </w:r>
            <w:r>
              <w:rPr>
                <w:rFonts w:ascii="宋体" w:hAnsi="宋体" w:cs="宋体"/>
                <w:color w:val="auto"/>
                <w:sz w:val="24"/>
                <w:szCs w:val="21"/>
                <w:highlight w:val="none"/>
              </w:rPr>
              <w:t>36</w:t>
            </w:r>
            <w:r>
              <w:rPr>
                <w:rFonts w:hint="eastAsia" w:ascii="宋体" w:hAnsi="宋体" w:cs="宋体"/>
                <w:color w:val="auto"/>
                <w:sz w:val="24"/>
                <w:szCs w:val="21"/>
                <w:highlight w:val="none"/>
              </w:rPr>
              <w:t>个运维服务期结束后完成终验，详见公开招标需求</w:t>
            </w:r>
          </w:p>
        </w:tc>
      </w:tr>
    </w:tbl>
    <w:p>
      <w:pPr>
        <w:pStyle w:val="19"/>
        <w:ind w:left="0"/>
        <w:rPr>
          <w:rFonts w:ascii="宋体" w:hAnsi="宋体" w:cs="宋体"/>
          <w:color w:val="auto"/>
          <w:highlight w:val="none"/>
        </w:rPr>
      </w:pPr>
    </w:p>
    <w:p>
      <w:pPr>
        <w:pStyle w:val="50"/>
        <w:numPr>
          <w:ilvl w:val="0"/>
          <w:numId w:val="8"/>
        </w:numPr>
        <w:spacing w:line="360" w:lineRule="auto"/>
        <w:ind w:firstLineChars="0"/>
        <w:rPr>
          <w:rFonts w:ascii="宋体" w:hAnsi="宋体" w:cs="宋体"/>
          <w:b/>
          <w:bCs/>
          <w:color w:val="auto"/>
          <w:kern w:val="0"/>
          <w:sz w:val="30"/>
          <w:szCs w:val="30"/>
          <w:highlight w:val="none"/>
        </w:rPr>
      </w:pPr>
      <w:bookmarkStart w:id="0" w:name="_Hlk66271521"/>
      <w:r>
        <w:rPr>
          <w:rFonts w:hint="eastAsia" w:ascii="宋体" w:hAnsi="宋体" w:cs="宋体"/>
          <w:b/>
          <w:bCs/>
          <w:color w:val="auto"/>
          <w:kern w:val="0"/>
          <w:sz w:val="30"/>
          <w:szCs w:val="30"/>
          <w:highlight w:val="none"/>
        </w:rPr>
        <w:t>采购内容及要求</w:t>
      </w:r>
    </w:p>
    <w:p>
      <w:pPr>
        <w:pStyle w:val="18"/>
        <w:ind w:firstLine="0" w:firstLineChars="0"/>
        <w:outlineLvl w:val="2"/>
        <w:rPr>
          <w:rFonts w:ascii="宋体" w:hAnsi="宋体" w:cs="宋体"/>
          <w:b/>
          <w:bCs/>
          <w:color w:val="auto"/>
          <w:sz w:val="24"/>
          <w:highlight w:val="none"/>
        </w:rPr>
      </w:pPr>
      <w:r>
        <w:rPr>
          <w:rFonts w:hint="eastAsia" w:ascii="宋体" w:hAnsi="宋体" w:cs="宋体"/>
          <w:b/>
          <w:bCs/>
          <w:color w:val="auto"/>
          <w:sz w:val="24"/>
          <w:highlight w:val="none"/>
        </w:rPr>
        <w:t>（一）具体</w:t>
      </w:r>
      <w:r>
        <w:rPr>
          <w:rFonts w:hint="eastAsia" w:ascii="宋体" w:hAnsi="宋体" w:cs="宋体"/>
          <w:b/>
          <w:bCs/>
          <w:iCs/>
          <w:color w:val="auto"/>
          <w:sz w:val="24"/>
          <w:highlight w:val="none"/>
        </w:rPr>
        <w:t>信息服务</w:t>
      </w:r>
      <w:r>
        <w:rPr>
          <w:rFonts w:hint="eastAsia" w:ascii="宋体" w:hAnsi="宋体" w:cs="宋体"/>
          <w:b/>
          <w:bCs/>
          <w:color w:val="auto"/>
          <w:sz w:val="24"/>
          <w:highlight w:val="none"/>
        </w:rPr>
        <w:t>内容</w:t>
      </w:r>
    </w:p>
    <w:tbl>
      <w:tblPr>
        <w:tblStyle w:val="35"/>
        <w:tblW w:w="8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3115"/>
        <w:gridCol w:w="1024"/>
        <w:gridCol w:w="995"/>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586" w:type="dxa"/>
            <w:gridSpan w:val="5"/>
            <w:noWrap/>
            <w:vAlign w:val="center"/>
          </w:tcPr>
          <w:p>
            <w:pPr>
              <w:widowControl/>
              <w:adjustRightInd w:val="0"/>
              <w:snapToGrid w:val="0"/>
              <w:jc w:val="center"/>
              <w:rPr>
                <w:rFonts w:ascii="宋体" w:hAnsi="宋体" w:cs="宋体"/>
                <w:b/>
                <w:bCs/>
                <w:color w:val="auto"/>
                <w:kern w:val="0"/>
                <w:sz w:val="24"/>
                <w:highlight w:val="none"/>
              </w:rPr>
            </w:pPr>
            <w:r>
              <w:rPr>
                <w:rFonts w:hint="eastAsia" w:ascii="宋体" w:hAnsi="宋体" w:cs="宋体"/>
                <w:b/>
                <w:color w:val="auto"/>
                <w:sz w:val="24"/>
                <w:highlight w:val="none"/>
              </w:rPr>
              <w:t>购买视频信息服务内容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857" w:type="dxa"/>
            <w:noWrap/>
            <w:vAlign w:val="center"/>
          </w:tcPr>
          <w:p>
            <w:pPr>
              <w:widowControl/>
              <w:adjustRightInd w:val="0"/>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115" w:type="dxa"/>
            <w:noWrap/>
            <w:vAlign w:val="center"/>
          </w:tcPr>
          <w:p>
            <w:pPr>
              <w:widowControl/>
              <w:adjustRightInd w:val="0"/>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名称</w:t>
            </w:r>
          </w:p>
        </w:tc>
        <w:tc>
          <w:tcPr>
            <w:tcW w:w="1024" w:type="dxa"/>
            <w:noWrap/>
            <w:vAlign w:val="center"/>
          </w:tcPr>
          <w:p>
            <w:pPr>
              <w:widowControl/>
              <w:adjustRightInd w:val="0"/>
              <w:snapToGrid w:val="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数量</w:t>
            </w:r>
          </w:p>
        </w:tc>
        <w:tc>
          <w:tcPr>
            <w:tcW w:w="995" w:type="dxa"/>
            <w:noWrap/>
            <w:vAlign w:val="center"/>
          </w:tcPr>
          <w:p>
            <w:pPr>
              <w:widowControl/>
              <w:adjustRightInd w:val="0"/>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单位</w:t>
            </w:r>
          </w:p>
        </w:tc>
        <w:tc>
          <w:tcPr>
            <w:tcW w:w="2595" w:type="dxa"/>
            <w:noWrap/>
            <w:vAlign w:val="center"/>
          </w:tcPr>
          <w:p>
            <w:pPr>
              <w:widowControl/>
              <w:adjustRightInd w:val="0"/>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57" w:type="dxa"/>
            <w:noWrap/>
            <w:vAlign w:val="center"/>
          </w:tcPr>
          <w:p>
            <w:pPr>
              <w:widowControl/>
              <w:adjustRightInd w:val="0"/>
              <w:snapToGrid w:val="0"/>
              <w:jc w:val="center"/>
              <w:rPr>
                <w:rFonts w:ascii="宋体" w:hAnsi="宋体" w:cs="宋体"/>
                <w:color w:val="auto"/>
                <w:kern w:val="0"/>
                <w:sz w:val="24"/>
                <w:highlight w:val="none"/>
              </w:rPr>
            </w:pPr>
            <w:r>
              <w:rPr>
                <w:rFonts w:hint="eastAsia" w:ascii="宋体" w:hAnsi="宋体" w:cs="宋体"/>
                <w:color w:val="auto"/>
                <w:sz w:val="24"/>
                <w:highlight w:val="none"/>
              </w:rPr>
              <w:t>1</w:t>
            </w:r>
          </w:p>
        </w:tc>
        <w:tc>
          <w:tcPr>
            <w:tcW w:w="3115" w:type="dxa"/>
            <w:noWrap/>
            <w:vAlign w:val="center"/>
          </w:tcPr>
          <w:p>
            <w:pPr>
              <w:adjustRightInd w:val="0"/>
              <w:snapToGrid w:val="0"/>
              <w:spacing w:line="276" w:lineRule="auto"/>
              <w:ind w:hanging="210"/>
              <w:jc w:val="center"/>
              <w:rPr>
                <w:rFonts w:ascii="宋体" w:hAnsi="宋体" w:cs="宋体"/>
                <w:iCs/>
                <w:color w:val="auto"/>
                <w:sz w:val="24"/>
                <w:highlight w:val="none"/>
              </w:rPr>
            </w:pPr>
            <w:r>
              <w:rPr>
                <w:rFonts w:hint="eastAsia" w:ascii="宋体" w:hAnsi="宋体" w:cs="宋体"/>
                <w:iCs/>
                <w:color w:val="auto"/>
                <w:sz w:val="24"/>
                <w:highlight w:val="none"/>
              </w:rPr>
              <w:t>枪机视频信息服务</w:t>
            </w:r>
          </w:p>
        </w:tc>
        <w:tc>
          <w:tcPr>
            <w:tcW w:w="1024" w:type="dxa"/>
            <w:noWrap/>
            <w:vAlign w:val="center"/>
          </w:tcPr>
          <w:p>
            <w:pPr>
              <w:adjustRightInd w:val="0"/>
              <w:snapToGrid w:val="0"/>
              <w:spacing w:line="276" w:lineRule="auto"/>
              <w:ind w:hanging="210"/>
              <w:jc w:val="center"/>
              <w:rPr>
                <w:rFonts w:ascii="宋体" w:hAnsi="宋体" w:cs="宋体"/>
                <w:iCs/>
                <w:color w:val="auto"/>
                <w:sz w:val="24"/>
                <w:highlight w:val="none"/>
              </w:rPr>
            </w:pPr>
            <w:r>
              <w:rPr>
                <w:rFonts w:hint="eastAsia" w:ascii="宋体" w:hAnsi="宋体" w:cs="宋体"/>
                <w:iCs/>
                <w:color w:val="auto"/>
                <w:sz w:val="24"/>
                <w:highlight w:val="none"/>
              </w:rPr>
              <w:t>827</w:t>
            </w:r>
          </w:p>
        </w:tc>
        <w:tc>
          <w:tcPr>
            <w:tcW w:w="995" w:type="dxa"/>
            <w:noWrap/>
            <w:vAlign w:val="center"/>
          </w:tcPr>
          <w:p>
            <w:pPr>
              <w:adjustRightInd w:val="0"/>
              <w:snapToGrid w:val="0"/>
              <w:spacing w:line="276" w:lineRule="auto"/>
              <w:ind w:hanging="210"/>
              <w:jc w:val="center"/>
              <w:rPr>
                <w:rFonts w:ascii="宋体" w:hAnsi="宋体" w:cs="宋体"/>
                <w:iCs/>
                <w:color w:val="auto"/>
                <w:sz w:val="24"/>
                <w:highlight w:val="none"/>
              </w:rPr>
            </w:pPr>
            <w:r>
              <w:rPr>
                <w:rFonts w:hint="eastAsia" w:ascii="宋体" w:hAnsi="宋体" w:cs="宋体"/>
                <w:iCs/>
                <w:color w:val="auto"/>
                <w:sz w:val="24"/>
                <w:highlight w:val="none"/>
              </w:rPr>
              <w:t>套</w:t>
            </w:r>
          </w:p>
        </w:tc>
        <w:tc>
          <w:tcPr>
            <w:tcW w:w="2595" w:type="dxa"/>
            <w:vMerge w:val="restart"/>
            <w:noWrap/>
            <w:vAlign w:val="center"/>
          </w:tcPr>
          <w:p>
            <w:pPr>
              <w:widowControl/>
              <w:adjustRightInd w:val="0"/>
              <w:snapToGrid w:val="0"/>
              <w:jc w:val="center"/>
              <w:rPr>
                <w:rStyle w:val="110"/>
                <w:rFonts w:ascii="宋体" w:hAnsi="宋体" w:eastAsia="宋体" w:cs="宋体"/>
                <w:color w:val="auto"/>
                <w:kern w:val="2"/>
                <w:sz w:val="22"/>
                <w:szCs w:val="22"/>
                <w:highlight w:val="none"/>
              </w:rPr>
            </w:pPr>
          </w:p>
          <w:p>
            <w:pPr>
              <w:adjustRightInd w:val="0"/>
              <w:snapToGrid w:val="0"/>
              <w:spacing w:line="276" w:lineRule="auto"/>
              <w:ind w:hanging="210"/>
              <w:jc w:val="center"/>
              <w:rPr>
                <w:rFonts w:ascii="宋体" w:hAnsi="宋体" w:cs="宋体"/>
                <w:iCs/>
                <w:color w:val="auto"/>
                <w:sz w:val="24"/>
                <w:highlight w:val="none"/>
              </w:rPr>
            </w:pPr>
          </w:p>
          <w:p>
            <w:pPr>
              <w:adjustRightInd w:val="0"/>
              <w:snapToGrid w:val="0"/>
              <w:spacing w:line="360" w:lineRule="auto"/>
              <w:ind w:hanging="210"/>
              <w:jc w:val="center"/>
              <w:rPr>
                <w:rFonts w:ascii="宋体" w:hAnsi="宋体" w:cs="宋体"/>
                <w:color w:val="auto"/>
                <w:kern w:val="0"/>
                <w:sz w:val="24"/>
                <w:highlight w:val="none"/>
              </w:rPr>
            </w:pPr>
            <w:r>
              <w:rPr>
                <w:rFonts w:hint="eastAsia" w:ascii="宋体" w:hAnsi="宋体" w:cs="宋体"/>
                <w:iCs/>
                <w:color w:val="auto"/>
                <w:sz w:val="24"/>
                <w:highlight w:val="none"/>
              </w:rPr>
              <w:t>服务内容包含实现本项目需求的设备租赁及运行维护服务、光纤租赁、设备用电、整个监控系统的维修维护服务及后端云存储费用等。其他要求详见公开招标需求。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57" w:type="dxa"/>
            <w:noWrap/>
            <w:vAlign w:val="center"/>
          </w:tcPr>
          <w:p>
            <w:pPr>
              <w:widowControl/>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3115" w:type="dxa"/>
            <w:noWrap/>
            <w:vAlign w:val="center"/>
          </w:tcPr>
          <w:p>
            <w:pPr>
              <w:adjustRightInd w:val="0"/>
              <w:snapToGrid w:val="0"/>
              <w:spacing w:line="276" w:lineRule="auto"/>
              <w:ind w:hanging="210"/>
              <w:jc w:val="center"/>
              <w:rPr>
                <w:rFonts w:ascii="宋体" w:hAnsi="宋体" w:cs="宋体"/>
                <w:iCs/>
                <w:color w:val="auto"/>
                <w:sz w:val="24"/>
                <w:highlight w:val="none"/>
              </w:rPr>
            </w:pPr>
            <w:r>
              <w:rPr>
                <w:rFonts w:hint="eastAsia" w:ascii="宋体" w:hAnsi="宋体" w:cs="宋体"/>
                <w:iCs/>
                <w:color w:val="auto"/>
                <w:sz w:val="24"/>
                <w:highlight w:val="none"/>
              </w:rPr>
              <w:t>违停抓拍信息服务</w:t>
            </w:r>
          </w:p>
        </w:tc>
        <w:tc>
          <w:tcPr>
            <w:tcW w:w="1024" w:type="dxa"/>
            <w:noWrap/>
            <w:vAlign w:val="center"/>
          </w:tcPr>
          <w:p>
            <w:pPr>
              <w:adjustRightInd w:val="0"/>
              <w:snapToGrid w:val="0"/>
              <w:spacing w:line="276" w:lineRule="auto"/>
              <w:ind w:hanging="210"/>
              <w:jc w:val="center"/>
              <w:rPr>
                <w:rFonts w:ascii="宋体" w:hAnsi="宋体" w:cs="宋体"/>
                <w:iCs/>
                <w:color w:val="auto"/>
                <w:sz w:val="24"/>
                <w:highlight w:val="none"/>
              </w:rPr>
            </w:pPr>
            <w:r>
              <w:rPr>
                <w:rFonts w:hint="eastAsia" w:ascii="宋体" w:hAnsi="宋体" w:cs="宋体"/>
                <w:iCs/>
                <w:color w:val="auto"/>
                <w:sz w:val="24"/>
                <w:highlight w:val="none"/>
              </w:rPr>
              <w:t>74</w:t>
            </w:r>
          </w:p>
        </w:tc>
        <w:tc>
          <w:tcPr>
            <w:tcW w:w="995" w:type="dxa"/>
            <w:noWrap/>
            <w:vAlign w:val="center"/>
          </w:tcPr>
          <w:p>
            <w:pPr>
              <w:adjustRightInd w:val="0"/>
              <w:snapToGrid w:val="0"/>
              <w:spacing w:line="276" w:lineRule="auto"/>
              <w:ind w:hanging="210"/>
              <w:jc w:val="center"/>
              <w:rPr>
                <w:rFonts w:ascii="宋体" w:hAnsi="宋体" w:cs="宋体"/>
                <w:iCs/>
                <w:color w:val="auto"/>
                <w:sz w:val="24"/>
                <w:highlight w:val="none"/>
              </w:rPr>
            </w:pPr>
            <w:r>
              <w:rPr>
                <w:rFonts w:hint="eastAsia" w:ascii="宋体" w:hAnsi="宋体" w:cs="宋体"/>
                <w:iCs/>
                <w:color w:val="auto"/>
                <w:sz w:val="24"/>
                <w:highlight w:val="none"/>
              </w:rPr>
              <w:t>套</w:t>
            </w:r>
          </w:p>
        </w:tc>
        <w:tc>
          <w:tcPr>
            <w:tcW w:w="2595" w:type="dxa"/>
            <w:vMerge w:val="continue"/>
            <w:noWrap/>
            <w:vAlign w:val="center"/>
          </w:tcPr>
          <w:p>
            <w:pPr>
              <w:widowControl/>
              <w:adjustRightInd w:val="0"/>
              <w:snapToGrid w:val="0"/>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57" w:type="dxa"/>
            <w:noWrap/>
            <w:vAlign w:val="center"/>
          </w:tcPr>
          <w:p>
            <w:pPr>
              <w:widowControl/>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3115" w:type="dxa"/>
            <w:noWrap/>
            <w:vAlign w:val="center"/>
          </w:tcPr>
          <w:p>
            <w:pPr>
              <w:adjustRightInd w:val="0"/>
              <w:snapToGrid w:val="0"/>
              <w:spacing w:line="276" w:lineRule="auto"/>
              <w:ind w:hanging="210"/>
              <w:jc w:val="center"/>
              <w:rPr>
                <w:rFonts w:ascii="宋体" w:hAnsi="宋体" w:cs="宋体"/>
                <w:iCs/>
                <w:color w:val="auto"/>
                <w:sz w:val="24"/>
                <w:highlight w:val="none"/>
              </w:rPr>
            </w:pPr>
            <w:r>
              <w:rPr>
                <w:rFonts w:hint="eastAsia" w:ascii="宋体" w:hAnsi="宋体" w:cs="宋体"/>
                <w:iCs/>
                <w:color w:val="auto"/>
                <w:sz w:val="24"/>
                <w:highlight w:val="none"/>
              </w:rPr>
              <w:t>高空视频信息服务</w:t>
            </w:r>
          </w:p>
        </w:tc>
        <w:tc>
          <w:tcPr>
            <w:tcW w:w="1024" w:type="dxa"/>
            <w:noWrap/>
            <w:vAlign w:val="center"/>
          </w:tcPr>
          <w:p>
            <w:pPr>
              <w:adjustRightInd w:val="0"/>
              <w:snapToGrid w:val="0"/>
              <w:spacing w:line="276" w:lineRule="auto"/>
              <w:ind w:hanging="210"/>
              <w:jc w:val="center"/>
              <w:rPr>
                <w:rFonts w:ascii="宋体" w:hAnsi="宋体" w:cs="宋体"/>
                <w:iCs/>
                <w:color w:val="auto"/>
                <w:sz w:val="24"/>
                <w:highlight w:val="none"/>
              </w:rPr>
            </w:pPr>
            <w:r>
              <w:rPr>
                <w:rFonts w:hint="eastAsia" w:ascii="宋体" w:hAnsi="宋体" w:cs="宋体"/>
                <w:iCs/>
                <w:color w:val="auto"/>
                <w:sz w:val="24"/>
                <w:highlight w:val="none"/>
              </w:rPr>
              <w:t>18</w:t>
            </w:r>
          </w:p>
        </w:tc>
        <w:tc>
          <w:tcPr>
            <w:tcW w:w="995" w:type="dxa"/>
            <w:noWrap/>
            <w:vAlign w:val="center"/>
          </w:tcPr>
          <w:p>
            <w:pPr>
              <w:adjustRightInd w:val="0"/>
              <w:snapToGrid w:val="0"/>
              <w:spacing w:line="276" w:lineRule="auto"/>
              <w:ind w:hanging="210"/>
              <w:jc w:val="center"/>
              <w:rPr>
                <w:rFonts w:ascii="宋体" w:hAnsi="宋体" w:cs="宋体"/>
                <w:iCs/>
                <w:color w:val="auto"/>
                <w:sz w:val="24"/>
                <w:highlight w:val="none"/>
              </w:rPr>
            </w:pPr>
            <w:r>
              <w:rPr>
                <w:rFonts w:hint="eastAsia" w:ascii="宋体" w:hAnsi="宋体" w:cs="宋体"/>
                <w:iCs/>
                <w:color w:val="auto"/>
                <w:sz w:val="24"/>
                <w:highlight w:val="none"/>
              </w:rPr>
              <w:t>套</w:t>
            </w:r>
          </w:p>
        </w:tc>
        <w:tc>
          <w:tcPr>
            <w:tcW w:w="2595" w:type="dxa"/>
            <w:vMerge w:val="continue"/>
            <w:noWrap/>
            <w:vAlign w:val="center"/>
          </w:tcPr>
          <w:p>
            <w:pPr>
              <w:widowControl/>
              <w:adjustRightInd w:val="0"/>
              <w:snapToGrid w:val="0"/>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57" w:type="dxa"/>
            <w:noWrap/>
            <w:vAlign w:val="center"/>
          </w:tcPr>
          <w:p>
            <w:pPr>
              <w:adjustRightInd w:val="0"/>
              <w:snapToGrid w:val="0"/>
              <w:spacing w:line="276" w:lineRule="auto"/>
              <w:ind w:hanging="210"/>
              <w:rPr>
                <w:rFonts w:ascii="宋体" w:hAnsi="宋体" w:cs="宋体"/>
                <w:color w:val="auto"/>
                <w:highlight w:val="none"/>
              </w:rPr>
            </w:pPr>
            <w:r>
              <w:rPr>
                <w:rFonts w:hint="eastAsia" w:ascii="宋体" w:hAnsi="宋体" w:cs="宋体"/>
                <w:color w:val="auto"/>
                <w:highlight w:val="none"/>
              </w:rPr>
              <w:t xml:space="preserve">4   </w:t>
            </w:r>
            <w:r>
              <w:rPr>
                <w:rFonts w:hint="eastAsia" w:ascii="宋体" w:hAnsi="宋体" w:cs="宋体"/>
                <w:iCs/>
                <w:color w:val="auto"/>
                <w:sz w:val="24"/>
                <w:highlight w:val="none"/>
              </w:rPr>
              <w:t>4</w:t>
            </w:r>
          </w:p>
        </w:tc>
        <w:tc>
          <w:tcPr>
            <w:tcW w:w="3115" w:type="dxa"/>
            <w:noWrap/>
            <w:vAlign w:val="center"/>
          </w:tcPr>
          <w:p>
            <w:pPr>
              <w:adjustRightInd w:val="0"/>
              <w:snapToGrid w:val="0"/>
              <w:spacing w:line="276" w:lineRule="auto"/>
              <w:ind w:hanging="210"/>
              <w:jc w:val="center"/>
              <w:rPr>
                <w:rFonts w:ascii="宋体" w:hAnsi="宋体" w:cs="宋体"/>
                <w:iCs/>
                <w:color w:val="auto"/>
                <w:sz w:val="24"/>
                <w:highlight w:val="none"/>
              </w:rPr>
            </w:pPr>
            <w:r>
              <w:rPr>
                <w:rFonts w:hint="eastAsia" w:ascii="宋体" w:hAnsi="宋体" w:cs="宋体"/>
                <w:iCs/>
                <w:color w:val="auto"/>
                <w:sz w:val="24"/>
                <w:highlight w:val="none"/>
              </w:rPr>
              <w:t>枪球视频信息服务</w:t>
            </w:r>
          </w:p>
        </w:tc>
        <w:tc>
          <w:tcPr>
            <w:tcW w:w="1024" w:type="dxa"/>
            <w:noWrap/>
            <w:vAlign w:val="center"/>
          </w:tcPr>
          <w:p>
            <w:pPr>
              <w:adjustRightInd w:val="0"/>
              <w:snapToGrid w:val="0"/>
              <w:spacing w:line="276" w:lineRule="auto"/>
              <w:ind w:hanging="210"/>
              <w:jc w:val="center"/>
              <w:rPr>
                <w:rFonts w:ascii="宋体" w:hAnsi="宋体" w:cs="宋体"/>
                <w:iCs/>
                <w:color w:val="auto"/>
                <w:sz w:val="24"/>
                <w:highlight w:val="none"/>
              </w:rPr>
            </w:pPr>
            <w:r>
              <w:rPr>
                <w:rFonts w:hint="eastAsia" w:ascii="宋体" w:hAnsi="宋体" w:cs="宋体"/>
                <w:iCs/>
                <w:color w:val="auto"/>
                <w:sz w:val="24"/>
                <w:highlight w:val="none"/>
              </w:rPr>
              <w:t>106</w:t>
            </w:r>
          </w:p>
        </w:tc>
        <w:tc>
          <w:tcPr>
            <w:tcW w:w="995" w:type="dxa"/>
            <w:noWrap/>
            <w:vAlign w:val="center"/>
          </w:tcPr>
          <w:p>
            <w:pPr>
              <w:adjustRightInd w:val="0"/>
              <w:snapToGrid w:val="0"/>
              <w:spacing w:line="276" w:lineRule="auto"/>
              <w:ind w:hanging="210"/>
              <w:jc w:val="center"/>
              <w:rPr>
                <w:rFonts w:ascii="宋体" w:hAnsi="宋体" w:cs="宋体"/>
                <w:iCs/>
                <w:color w:val="auto"/>
                <w:sz w:val="24"/>
                <w:highlight w:val="none"/>
              </w:rPr>
            </w:pPr>
            <w:r>
              <w:rPr>
                <w:rFonts w:hint="eastAsia" w:ascii="宋体" w:hAnsi="宋体" w:cs="宋体"/>
                <w:iCs/>
                <w:color w:val="auto"/>
                <w:sz w:val="24"/>
                <w:highlight w:val="none"/>
              </w:rPr>
              <w:t>套</w:t>
            </w:r>
          </w:p>
        </w:tc>
        <w:tc>
          <w:tcPr>
            <w:tcW w:w="2595" w:type="dxa"/>
            <w:vMerge w:val="continue"/>
            <w:noWrap/>
            <w:vAlign w:val="center"/>
          </w:tcPr>
          <w:p>
            <w:pPr>
              <w:widowControl/>
              <w:adjustRightInd w:val="0"/>
              <w:snapToGrid w:val="0"/>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57" w:type="dxa"/>
            <w:noWrap/>
            <w:vAlign w:val="center"/>
          </w:tcPr>
          <w:p>
            <w:pPr>
              <w:adjustRightInd w:val="0"/>
              <w:snapToGrid w:val="0"/>
              <w:spacing w:line="276" w:lineRule="auto"/>
              <w:ind w:hanging="210"/>
              <w:jc w:val="center"/>
              <w:rPr>
                <w:rFonts w:ascii="宋体" w:hAnsi="宋体" w:cs="宋体"/>
                <w:iCs/>
                <w:color w:val="auto"/>
                <w:sz w:val="24"/>
                <w:highlight w:val="none"/>
              </w:rPr>
            </w:pPr>
            <w:r>
              <w:rPr>
                <w:rFonts w:hint="eastAsia" w:ascii="宋体" w:hAnsi="宋体" w:cs="宋体"/>
                <w:iCs/>
                <w:color w:val="auto"/>
                <w:sz w:val="24"/>
                <w:highlight w:val="none"/>
              </w:rPr>
              <w:t>5</w:t>
            </w:r>
          </w:p>
        </w:tc>
        <w:tc>
          <w:tcPr>
            <w:tcW w:w="3115" w:type="dxa"/>
            <w:noWrap/>
            <w:vAlign w:val="center"/>
          </w:tcPr>
          <w:p>
            <w:pPr>
              <w:adjustRightInd w:val="0"/>
              <w:snapToGrid w:val="0"/>
              <w:spacing w:line="276" w:lineRule="auto"/>
              <w:ind w:hanging="210"/>
              <w:jc w:val="center"/>
              <w:rPr>
                <w:rFonts w:ascii="宋体" w:hAnsi="宋体" w:cs="宋体"/>
                <w:iCs/>
                <w:color w:val="auto"/>
                <w:sz w:val="24"/>
                <w:highlight w:val="none"/>
              </w:rPr>
            </w:pPr>
            <w:r>
              <w:rPr>
                <w:rFonts w:hint="eastAsia" w:ascii="宋体" w:hAnsi="宋体" w:cs="宋体"/>
                <w:iCs/>
                <w:color w:val="auto"/>
                <w:sz w:val="24"/>
                <w:highlight w:val="none"/>
              </w:rPr>
              <w:t>固定测速信息服务</w:t>
            </w:r>
          </w:p>
        </w:tc>
        <w:tc>
          <w:tcPr>
            <w:tcW w:w="1024" w:type="dxa"/>
            <w:noWrap/>
            <w:vAlign w:val="center"/>
          </w:tcPr>
          <w:p>
            <w:pPr>
              <w:adjustRightInd w:val="0"/>
              <w:snapToGrid w:val="0"/>
              <w:spacing w:line="276" w:lineRule="auto"/>
              <w:ind w:hanging="210"/>
              <w:jc w:val="center"/>
              <w:rPr>
                <w:rFonts w:ascii="宋体" w:hAnsi="宋体" w:cs="宋体"/>
                <w:iCs/>
                <w:color w:val="auto"/>
                <w:sz w:val="24"/>
                <w:highlight w:val="none"/>
              </w:rPr>
            </w:pPr>
            <w:r>
              <w:rPr>
                <w:rFonts w:hint="eastAsia" w:ascii="宋体" w:hAnsi="宋体" w:cs="宋体"/>
                <w:iCs/>
                <w:color w:val="auto"/>
                <w:sz w:val="24"/>
                <w:highlight w:val="none"/>
              </w:rPr>
              <w:t>9</w:t>
            </w:r>
          </w:p>
        </w:tc>
        <w:tc>
          <w:tcPr>
            <w:tcW w:w="995" w:type="dxa"/>
            <w:noWrap/>
            <w:vAlign w:val="center"/>
          </w:tcPr>
          <w:p>
            <w:pPr>
              <w:adjustRightInd w:val="0"/>
              <w:snapToGrid w:val="0"/>
              <w:spacing w:line="276" w:lineRule="auto"/>
              <w:ind w:hanging="210"/>
              <w:jc w:val="center"/>
              <w:rPr>
                <w:rFonts w:ascii="宋体" w:hAnsi="宋体" w:cs="宋体"/>
                <w:iCs/>
                <w:color w:val="auto"/>
                <w:sz w:val="24"/>
                <w:highlight w:val="none"/>
              </w:rPr>
            </w:pPr>
            <w:r>
              <w:rPr>
                <w:rFonts w:hint="eastAsia" w:ascii="宋体" w:hAnsi="宋体" w:cs="宋体"/>
                <w:iCs/>
                <w:color w:val="auto"/>
                <w:sz w:val="24"/>
                <w:highlight w:val="none"/>
              </w:rPr>
              <w:t>套</w:t>
            </w:r>
          </w:p>
        </w:tc>
        <w:tc>
          <w:tcPr>
            <w:tcW w:w="2595" w:type="dxa"/>
            <w:vMerge w:val="continue"/>
            <w:noWrap/>
            <w:vAlign w:val="center"/>
          </w:tcPr>
          <w:p>
            <w:pPr>
              <w:widowControl/>
              <w:adjustRightInd w:val="0"/>
              <w:snapToGrid w:val="0"/>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57" w:type="dxa"/>
            <w:noWrap/>
            <w:vAlign w:val="center"/>
          </w:tcPr>
          <w:p>
            <w:pPr>
              <w:adjustRightInd w:val="0"/>
              <w:snapToGrid w:val="0"/>
              <w:spacing w:line="276" w:lineRule="auto"/>
              <w:ind w:hanging="210"/>
              <w:jc w:val="center"/>
              <w:rPr>
                <w:rFonts w:ascii="宋体" w:hAnsi="宋体" w:cs="宋体"/>
                <w:iCs/>
                <w:color w:val="auto"/>
                <w:sz w:val="24"/>
                <w:highlight w:val="none"/>
              </w:rPr>
            </w:pPr>
            <w:r>
              <w:rPr>
                <w:rFonts w:hint="eastAsia" w:ascii="宋体" w:hAnsi="宋体" w:cs="宋体"/>
                <w:iCs/>
                <w:color w:val="auto"/>
                <w:sz w:val="24"/>
                <w:highlight w:val="none"/>
              </w:rPr>
              <w:t>6</w:t>
            </w:r>
          </w:p>
        </w:tc>
        <w:tc>
          <w:tcPr>
            <w:tcW w:w="3115" w:type="dxa"/>
            <w:noWrap/>
            <w:vAlign w:val="center"/>
          </w:tcPr>
          <w:p>
            <w:pPr>
              <w:adjustRightInd w:val="0"/>
              <w:snapToGrid w:val="0"/>
              <w:spacing w:line="276" w:lineRule="auto"/>
              <w:ind w:hanging="210"/>
              <w:jc w:val="center"/>
              <w:rPr>
                <w:rFonts w:ascii="宋体" w:hAnsi="宋体" w:cs="宋体"/>
                <w:iCs/>
                <w:color w:val="auto"/>
                <w:sz w:val="24"/>
                <w:highlight w:val="none"/>
              </w:rPr>
            </w:pPr>
            <w:r>
              <w:rPr>
                <w:rFonts w:hint="eastAsia" w:ascii="宋体" w:hAnsi="宋体" w:cs="宋体"/>
                <w:iCs/>
                <w:color w:val="auto"/>
                <w:sz w:val="24"/>
                <w:highlight w:val="none"/>
              </w:rPr>
              <w:t>匝道测速信息服务</w:t>
            </w:r>
          </w:p>
        </w:tc>
        <w:tc>
          <w:tcPr>
            <w:tcW w:w="1024" w:type="dxa"/>
            <w:noWrap/>
            <w:vAlign w:val="center"/>
          </w:tcPr>
          <w:p>
            <w:pPr>
              <w:adjustRightInd w:val="0"/>
              <w:snapToGrid w:val="0"/>
              <w:spacing w:line="276" w:lineRule="auto"/>
              <w:ind w:hanging="210"/>
              <w:jc w:val="center"/>
              <w:rPr>
                <w:rFonts w:ascii="宋体" w:hAnsi="宋体" w:cs="宋体"/>
                <w:iCs/>
                <w:color w:val="auto"/>
                <w:sz w:val="24"/>
                <w:highlight w:val="none"/>
              </w:rPr>
            </w:pPr>
            <w:r>
              <w:rPr>
                <w:rFonts w:hint="eastAsia" w:ascii="宋体" w:hAnsi="宋体" w:cs="宋体"/>
                <w:iCs/>
                <w:color w:val="auto"/>
                <w:sz w:val="24"/>
                <w:highlight w:val="none"/>
              </w:rPr>
              <w:t>22</w:t>
            </w:r>
          </w:p>
        </w:tc>
        <w:tc>
          <w:tcPr>
            <w:tcW w:w="995" w:type="dxa"/>
            <w:noWrap/>
            <w:vAlign w:val="center"/>
          </w:tcPr>
          <w:p>
            <w:pPr>
              <w:adjustRightInd w:val="0"/>
              <w:snapToGrid w:val="0"/>
              <w:spacing w:line="276" w:lineRule="auto"/>
              <w:ind w:hanging="210"/>
              <w:jc w:val="center"/>
              <w:rPr>
                <w:rFonts w:ascii="宋体" w:hAnsi="宋体" w:cs="宋体"/>
                <w:iCs/>
                <w:color w:val="auto"/>
                <w:sz w:val="24"/>
                <w:highlight w:val="none"/>
              </w:rPr>
            </w:pPr>
            <w:r>
              <w:rPr>
                <w:rFonts w:hint="eastAsia" w:ascii="宋体" w:hAnsi="宋体" w:cs="宋体"/>
                <w:iCs/>
                <w:color w:val="auto"/>
                <w:sz w:val="24"/>
                <w:highlight w:val="none"/>
              </w:rPr>
              <w:t>套</w:t>
            </w:r>
          </w:p>
        </w:tc>
        <w:tc>
          <w:tcPr>
            <w:tcW w:w="2595" w:type="dxa"/>
            <w:vMerge w:val="continue"/>
            <w:noWrap/>
            <w:vAlign w:val="center"/>
          </w:tcPr>
          <w:p>
            <w:pPr>
              <w:widowControl/>
              <w:adjustRightInd w:val="0"/>
              <w:snapToGrid w:val="0"/>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57" w:type="dxa"/>
            <w:noWrap/>
            <w:vAlign w:val="center"/>
          </w:tcPr>
          <w:p>
            <w:pPr>
              <w:adjustRightInd w:val="0"/>
              <w:snapToGrid w:val="0"/>
              <w:spacing w:line="276" w:lineRule="auto"/>
              <w:ind w:hanging="210"/>
              <w:jc w:val="center"/>
              <w:rPr>
                <w:rFonts w:ascii="宋体" w:hAnsi="宋体" w:cs="宋体"/>
                <w:iCs/>
                <w:color w:val="auto"/>
                <w:sz w:val="24"/>
                <w:highlight w:val="none"/>
              </w:rPr>
            </w:pPr>
            <w:r>
              <w:rPr>
                <w:rFonts w:hint="eastAsia" w:ascii="宋体" w:hAnsi="宋体" w:cs="宋体"/>
                <w:iCs/>
                <w:color w:val="auto"/>
                <w:sz w:val="24"/>
                <w:highlight w:val="none"/>
              </w:rPr>
              <w:t>7</w:t>
            </w:r>
          </w:p>
        </w:tc>
        <w:tc>
          <w:tcPr>
            <w:tcW w:w="3115" w:type="dxa"/>
            <w:noWrap/>
            <w:vAlign w:val="center"/>
          </w:tcPr>
          <w:p>
            <w:pPr>
              <w:adjustRightInd w:val="0"/>
              <w:snapToGrid w:val="0"/>
              <w:spacing w:line="276" w:lineRule="auto"/>
              <w:ind w:hanging="210"/>
              <w:jc w:val="center"/>
              <w:rPr>
                <w:rFonts w:ascii="宋体" w:hAnsi="宋体" w:cs="宋体"/>
                <w:iCs/>
                <w:color w:val="auto"/>
                <w:sz w:val="24"/>
                <w:highlight w:val="none"/>
              </w:rPr>
            </w:pPr>
            <w:r>
              <w:rPr>
                <w:rFonts w:hint="eastAsia" w:ascii="宋体" w:hAnsi="宋体" w:cs="宋体"/>
                <w:iCs/>
                <w:color w:val="auto"/>
                <w:sz w:val="24"/>
                <w:highlight w:val="none"/>
              </w:rPr>
              <w:t>诱导屏信息服务</w:t>
            </w:r>
          </w:p>
        </w:tc>
        <w:tc>
          <w:tcPr>
            <w:tcW w:w="1024" w:type="dxa"/>
            <w:noWrap/>
            <w:vAlign w:val="center"/>
          </w:tcPr>
          <w:p>
            <w:pPr>
              <w:adjustRightInd w:val="0"/>
              <w:snapToGrid w:val="0"/>
              <w:spacing w:line="276" w:lineRule="auto"/>
              <w:ind w:hanging="210"/>
              <w:jc w:val="center"/>
              <w:rPr>
                <w:rFonts w:ascii="宋体" w:hAnsi="宋体" w:cs="宋体"/>
                <w:iCs/>
                <w:color w:val="auto"/>
                <w:sz w:val="24"/>
                <w:highlight w:val="none"/>
              </w:rPr>
            </w:pPr>
            <w:r>
              <w:rPr>
                <w:rFonts w:hint="eastAsia" w:ascii="宋体" w:hAnsi="宋体" w:cs="宋体"/>
                <w:iCs/>
                <w:color w:val="auto"/>
                <w:sz w:val="24"/>
                <w:highlight w:val="none"/>
              </w:rPr>
              <w:t>3</w:t>
            </w:r>
          </w:p>
        </w:tc>
        <w:tc>
          <w:tcPr>
            <w:tcW w:w="995" w:type="dxa"/>
            <w:noWrap/>
            <w:vAlign w:val="center"/>
          </w:tcPr>
          <w:p>
            <w:pPr>
              <w:adjustRightInd w:val="0"/>
              <w:snapToGrid w:val="0"/>
              <w:spacing w:line="276" w:lineRule="auto"/>
              <w:ind w:hanging="210"/>
              <w:jc w:val="center"/>
              <w:rPr>
                <w:rFonts w:ascii="宋体" w:hAnsi="宋体" w:cs="宋体"/>
                <w:iCs/>
                <w:color w:val="auto"/>
                <w:sz w:val="24"/>
                <w:highlight w:val="none"/>
              </w:rPr>
            </w:pPr>
            <w:r>
              <w:rPr>
                <w:rFonts w:hint="eastAsia" w:ascii="宋体" w:hAnsi="宋体" w:cs="宋体"/>
                <w:iCs/>
                <w:color w:val="auto"/>
                <w:sz w:val="24"/>
                <w:highlight w:val="none"/>
              </w:rPr>
              <w:t>套</w:t>
            </w:r>
          </w:p>
        </w:tc>
        <w:tc>
          <w:tcPr>
            <w:tcW w:w="2595" w:type="dxa"/>
            <w:vMerge w:val="continue"/>
            <w:noWrap/>
            <w:vAlign w:val="center"/>
          </w:tcPr>
          <w:p>
            <w:pPr>
              <w:widowControl/>
              <w:adjustRightInd w:val="0"/>
              <w:snapToGrid w:val="0"/>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57" w:type="dxa"/>
            <w:noWrap/>
            <w:vAlign w:val="center"/>
          </w:tcPr>
          <w:p>
            <w:pPr>
              <w:adjustRightInd w:val="0"/>
              <w:snapToGrid w:val="0"/>
              <w:spacing w:line="276" w:lineRule="auto"/>
              <w:ind w:hanging="210"/>
              <w:jc w:val="center"/>
              <w:rPr>
                <w:rFonts w:ascii="宋体" w:hAnsi="宋体" w:cs="宋体"/>
                <w:iCs/>
                <w:color w:val="auto"/>
                <w:sz w:val="24"/>
                <w:highlight w:val="none"/>
              </w:rPr>
            </w:pPr>
            <w:r>
              <w:rPr>
                <w:rFonts w:hint="eastAsia" w:ascii="宋体" w:hAnsi="宋体" w:cs="宋体"/>
                <w:iCs/>
                <w:color w:val="auto"/>
                <w:sz w:val="24"/>
                <w:highlight w:val="none"/>
              </w:rPr>
              <w:t>8</w:t>
            </w:r>
          </w:p>
        </w:tc>
        <w:tc>
          <w:tcPr>
            <w:tcW w:w="3115" w:type="dxa"/>
            <w:noWrap/>
            <w:vAlign w:val="center"/>
          </w:tcPr>
          <w:p>
            <w:pPr>
              <w:adjustRightInd w:val="0"/>
              <w:snapToGrid w:val="0"/>
              <w:spacing w:line="276" w:lineRule="auto"/>
              <w:ind w:hanging="210"/>
              <w:jc w:val="center"/>
              <w:rPr>
                <w:rFonts w:ascii="宋体" w:hAnsi="宋体" w:cs="宋体"/>
                <w:iCs/>
                <w:color w:val="auto"/>
                <w:sz w:val="24"/>
                <w:highlight w:val="none"/>
              </w:rPr>
            </w:pPr>
            <w:r>
              <w:rPr>
                <w:rFonts w:hint="eastAsia" w:ascii="宋体" w:hAnsi="宋体" w:cs="宋体"/>
                <w:iCs/>
                <w:color w:val="auto"/>
                <w:sz w:val="24"/>
                <w:highlight w:val="none"/>
              </w:rPr>
              <w:t>异常事件检测服务</w:t>
            </w:r>
          </w:p>
        </w:tc>
        <w:tc>
          <w:tcPr>
            <w:tcW w:w="1024" w:type="dxa"/>
            <w:noWrap/>
            <w:vAlign w:val="center"/>
          </w:tcPr>
          <w:p>
            <w:pPr>
              <w:adjustRightInd w:val="0"/>
              <w:snapToGrid w:val="0"/>
              <w:spacing w:line="276" w:lineRule="auto"/>
              <w:ind w:hanging="210"/>
              <w:jc w:val="center"/>
              <w:rPr>
                <w:rFonts w:ascii="宋体" w:hAnsi="宋体" w:cs="宋体"/>
                <w:iCs/>
                <w:color w:val="auto"/>
                <w:sz w:val="24"/>
                <w:highlight w:val="none"/>
              </w:rPr>
            </w:pPr>
            <w:r>
              <w:rPr>
                <w:rFonts w:hint="eastAsia" w:ascii="宋体" w:hAnsi="宋体" w:cs="宋体"/>
                <w:iCs/>
                <w:color w:val="auto"/>
                <w:sz w:val="24"/>
                <w:highlight w:val="none"/>
              </w:rPr>
              <w:t>18</w:t>
            </w:r>
          </w:p>
        </w:tc>
        <w:tc>
          <w:tcPr>
            <w:tcW w:w="995" w:type="dxa"/>
            <w:noWrap/>
            <w:vAlign w:val="center"/>
          </w:tcPr>
          <w:p>
            <w:pPr>
              <w:adjustRightInd w:val="0"/>
              <w:snapToGrid w:val="0"/>
              <w:spacing w:line="276" w:lineRule="auto"/>
              <w:ind w:hanging="210"/>
              <w:jc w:val="center"/>
              <w:rPr>
                <w:rFonts w:ascii="宋体" w:hAnsi="宋体" w:cs="宋体"/>
                <w:iCs/>
                <w:color w:val="auto"/>
                <w:sz w:val="24"/>
                <w:highlight w:val="none"/>
              </w:rPr>
            </w:pPr>
            <w:r>
              <w:rPr>
                <w:rFonts w:hint="eastAsia" w:ascii="宋体" w:hAnsi="宋体" w:cs="宋体"/>
                <w:iCs/>
                <w:color w:val="auto"/>
                <w:sz w:val="24"/>
                <w:highlight w:val="none"/>
              </w:rPr>
              <w:t>套</w:t>
            </w:r>
          </w:p>
        </w:tc>
        <w:tc>
          <w:tcPr>
            <w:tcW w:w="2595" w:type="dxa"/>
            <w:vMerge w:val="continue"/>
            <w:noWrap/>
            <w:vAlign w:val="center"/>
          </w:tcPr>
          <w:p>
            <w:pPr>
              <w:widowControl/>
              <w:adjustRightInd w:val="0"/>
              <w:snapToGrid w:val="0"/>
              <w:jc w:val="center"/>
              <w:rPr>
                <w:rFonts w:ascii="宋体" w:hAnsi="宋体" w:cs="宋体"/>
                <w:color w:val="auto"/>
                <w:kern w:val="0"/>
                <w:sz w:val="24"/>
                <w:highlight w:val="none"/>
              </w:rPr>
            </w:pPr>
          </w:p>
        </w:tc>
      </w:tr>
    </w:tbl>
    <w:p>
      <w:pPr>
        <w:pStyle w:val="2"/>
        <w:ind w:left="0" w:leftChars="0"/>
        <w:rPr>
          <w:rFonts w:ascii="宋体" w:hAnsi="宋体" w:cs="宋体"/>
          <w:color w:val="auto"/>
          <w:highlight w:val="none"/>
        </w:rPr>
      </w:pPr>
    </w:p>
    <w:p>
      <w:pPr>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本项目属交钥匙服务项目，成交供应商要考虑实现项目需求的所有费用，对标书中未体现，但又是提供服务所必须的设备，成交供应商必须自行增加。同时，成交供应商需对服务项目建设及运营期间的安全责任问题全权负责，投标的报价包含实现标书的所有功能及安全保障工作，采购人不再另外增加费用。</w:t>
      </w:r>
    </w:p>
    <w:p>
      <w:pPr>
        <w:pStyle w:val="18"/>
        <w:ind w:firstLine="0" w:firstLineChars="0"/>
        <w:outlineLvl w:val="2"/>
        <w:rPr>
          <w:rFonts w:ascii="宋体" w:hAnsi="宋体" w:cs="宋体"/>
          <w:b/>
          <w:bCs/>
          <w:color w:val="auto"/>
          <w:sz w:val="24"/>
          <w:highlight w:val="none"/>
        </w:rPr>
      </w:pPr>
      <w:r>
        <w:rPr>
          <w:rFonts w:hint="eastAsia" w:ascii="宋体" w:hAnsi="宋体" w:cs="宋体"/>
          <w:b/>
          <w:bCs/>
          <w:color w:val="auto"/>
          <w:sz w:val="24"/>
          <w:highlight w:val="none"/>
        </w:rPr>
        <w:t>（二）信息服务上线时间及要求</w:t>
      </w:r>
    </w:p>
    <w:p>
      <w:pPr>
        <w:spacing w:line="360" w:lineRule="auto"/>
        <w:ind w:left="420"/>
        <w:outlineLvl w:val="2"/>
        <w:rPr>
          <w:rFonts w:ascii="宋体" w:hAnsi="宋体" w:cs="宋体"/>
          <w:color w:val="auto"/>
          <w:sz w:val="24"/>
          <w:highlight w:val="none"/>
        </w:rPr>
      </w:pPr>
      <w:r>
        <w:rPr>
          <w:rFonts w:hint="eastAsia" w:ascii="宋体" w:hAnsi="宋体" w:cs="宋体"/>
          <w:color w:val="auto"/>
          <w:sz w:val="24"/>
          <w:highlight w:val="none"/>
        </w:rPr>
        <w:t>▲2023年5月1日前完成200路视频上线（摄像机能抓拍过车和各类交通违法行为并符合处罚要求，其他设备开始工作）； 2023年6月1日前再完成200路视频上线（摄像机能抓拍过车和各类交通违法行为并符合处罚要求）；2023年7月1日前再完成300路视频上线（摄像机能抓拍过车和各类交通违法行为并符合处罚要求）；2023年7月31日前完成所有设备上线任务并初步验收通过（摄像机能抓拍过车和各类交通违法行为并符合处罚要求，其他设备开始工作）。若因成交供应商原因导致未按期上线或通过初步准入验收的，采购人有权在下一次支付的服务费中扣除10万元/次的违约金作为违约赔偿，同时，采购人有权视具体逾期情节上报监管部门，建议将成交供应商列入政府采购供应商“黑名单”。</w:t>
      </w:r>
    </w:p>
    <w:p>
      <w:pPr>
        <w:pStyle w:val="18"/>
        <w:ind w:firstLine="0" w:firstLineChars="0"/>
        <w:outlineLvl w:val="2"/>
        <w:rPr>
          <w:rFonts w:ascii="宋体" w:hAnsi="宋体" w:cs="宋体"/>
          <w:b/>
          <w:bCs/>
          <w:color w:val="auto"/>
          <w:sz w:val="24"/>
          <w:highlight w:val="none"/>
        </w:rPr>
      </w:pPr>
      <w:r>
        <w:rPr>
          <w:rFonts w:hint="eastAsia" w:ascii="宋体" w:hAnsi="宋体" w:cs="宋体"/>
          <w:b/>
          <w:bCs/>
          <w:color w:val="auto"/>
          <w:sz w:val="24"/>
          <w:highlight w:val="none"/>
        </w:rPr>
        <w:t>（三）总体要求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采用新建+改建+运营维护的模式,在台州市区及高速范围内进行新建电子警察设备、异常事件检测设备、固定式测速等设备及配套线缆、机箱和传输链路等。本次招标将从资格审查、认可、设计、制造、供货、运输、安装、调试、试运行、备品配件、验收、运营维护服务、维修技术力量等各个方面，对投标方进行全方位的综合考核。</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投标人所投的产品必须符合国家标准（无国家标准的应符合行业标准、国际标准）的要求。投标人必须严格按照招标文件要求提供成熟的全新原厂产品和强有力的技术支持及技术服务。投标人必须逐条响应招标文件的技术要求，提供详细的系统实现架构、网络拓扑设计，提供全部设备材料清单的品牌、型号、规格、数量。</w:t>
      </w:r>
    </w:p>
    <w:p>
      <w:pPr>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3、电子警察设备验收前必须通过浙江省计量院的检验（检测费用由成交供应商负责）。雷达测速设备每年标定工作由成交供应商负责送检。</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4、成交供应商应根据项目特点和要求，制定切实可行的采购和实施方案。在设备安装前应派员进行实地勘察，确保深化设计合理、运行可靠、维护方便。</w:t>
      </w:r>
    </w:p>
    <w:p>
      <w:pPr>
        <w:spacing w:line="360" w:lineRule="auto"/>
        <w:ind w:firstLine="480"/>
        <w:rPr>
          <w:rFonts w:ascii="宋体" w:hAnsi="宋体" w:cs="宋体"/>
          <w:b/>
          <w:bCs/>
          <w:color w:val="auto"/>
          <w:sz w:val="24"/>
          <w:highlight w:val="none"/>
        </w:rPr>
      </w:pPr>
      <w:r>
        <w:rPr>
          <w:rFonts w:hint="eastAsia" w:ascii="宋体" w:hAnsi="宋体" w:cs="宋体"/>
          <w:color w:val="auto"/>
          <w:sz w:val="24"/>
          <w:highlight w:val="none"/>
        </w:rPr>
        <w:t>5、本项目不另行组织现场勘察，投标人应自行考虑本项目的采购设备清单，保证能满足本招标文件的要求，并在投标文件中提供完整的技术资料（包括设备品牌、规格型号、生产厂家、产地及其他主要技术参数和相关文件资料）。</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6、投标人有责任对所投产品的完整性、合理性、规范性等负责。必须对采购人需求进行详细的深化设计，对设备配置的合理性进行充分论证，有偏差时进行具体说明，并制作深化设计方案，开标时供专家评审。成交供应商为实现招标要求且投标清单中未列举的设备，所增加设备涉及的所有费用由成交供应商自行负责。</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7、本项目设备所涉及的相关软件不得设置使用年限限制（使用硬件加密的，硬件加密设备应终生维护），终生免费升级。如果任何第三方提出侵权指控与采购人无关，成交供应商须与第三方交涉并承担可能发生的责任与一切费用。如采购人因此而遭致损失的，成交供应商应赔偿该损失。</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8、成交供应商提供的技术资料应是能确保系统运行所需的管理、运营及维护等有关的全套技术资料，验收前还应向采购人提供不少于以下列明的中文（或带有中文摘要的英文）技术资料,并提供货物原装品牌的证明文件或资料。</w:t>
      </w:r>
    </w:p>
    <w:p>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（1）产品技术说明书；</w:t>
      </w:r>
    </w:p>
    <w:p>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（2）安装手册；</w:t>
      </w:r>
    </w:p>
    <w:p>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（3）操作手册；</w:t>
      </w:r>
    </w:p>
    <w:p>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（4）维修手册；</w:t>
      </w:r>
    </w:p>
    <w:p>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（5）端口连接图；</w:t>
      </w:r>
    </w:p>
    <w:p>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（6）出厂明细表（装箱单）；</w:t>
      </w:r>
    </w:p>
    <w:p>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（7）产品技术标准（含验收标准）和试验方法；</w:t>
      </w:r>
    </w:p>
    <w:p>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（8）硬件产品出厂检验报告和合格证书；</w:t>
      </w:r>
    </w:p>
    <w:p>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（9）本项目各设备的公安部产品检测报告；</w:t>
      </w:r>
    </w:p>
    <w:p>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（10）提供杆件、钢材生产厂家质保书；</w:t>
      </w:r>
    </w:p>
    <w:p>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（11）提供项目拓扑图及网络配置清单；</w:t>
      </w:r>
    </w:p>
    <w:p>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（12）摄像机、前端智能交通控制终端、一体化高速球机等产品的检测报告。</w:t>
      </w:r>
    </w:p>
    <w:p>
      <w:pPr>
        <w:spacing w:line="360" w:lineRule="auto"/>
        <w:ind w:firstLine="480"/>
        <w:jc w:val="left"/>
        <w:outlineLvl w:val="3"/>
        <w:rPr>
          <w:rFonts w:ascii="宋体" w:hAnsi="宋体" w:cs="宋体"/>
          <w:color w:val="auto"/>
          <w:sz w:val="24"/>
          <w:highlight w:val="none"/>
        </w:rPr>
      </w:pPr>
      <w:r>
        <w:rPr>
          <w:rFonts w:hint="eastAsia" w:ascii="宋体" w:hAnsi="宋体" w:cs="宋体"/>
          <w:color w:val="auto"/>
          <w:sz w:val="24"/>
          <w:highlight w:val="none"/>
        </w:rPr>
        <w:t>（13）其他相关文件资料。</w:t>
      </w:r>
    </w:p>
    <w:p>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成交供应商应负责在项目验收前将系统的全部有关技术文件、资料及测试、试验报告等文档汇集成册交付采购人。</w:t>
      </w:r>
    </w:p>
    <w:p>
      <w:pPr>
        <w:pStyle w:val="22"/>
        <w:snapToGrid w:val="0"/>
        <w:spacing w:line="360" w:lineRule="auto"/>
        <w:ind w:firstLine="410" w:firstLineChars="171"/>
        <w:outlineLvl w:val="4"/>
        <w:rPr>
          <w:rFonts w:hAnsi="宋体" w:cs="宋体"/>
          <w:color w:val="auto"/>
          <w:sz w:val="24"/>
          <w:highlight w:val="none"/>
        </w:rPr>
      </w:pPr>
      <w:r>
        <w:rPr>
          <w:rFonts w:hint="eastAsia" w:hAnsi="宋体" w:cs="宋体"/>
          <w:color w:val="auto"/>
          <w:sz w:val="24"/>
          <w:highlight w:val="none"/>
        </w:rPr>
        <w:t>9、工作范围如下：</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硬件方面：所有设备涉及安装、调试、运行、维护、保修等一切工作。</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调试部分：电子警察、卡口等设备及产生的数据、高清视频与录像等必须无条件接入台州公安天网工程视频侦查作战平台、台州交警视频运行管理平台及台州交警违法录入相关平台，接入零费用。匝道测速、异常事件等必须无条件接入交警局相关业务平台，接入零费用。</w:t>
      </w:r>
    </w:p>
    <w:p>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10、本项目运营维护期内使用设备涉及有硬盘故障的，应更换新硬盘，故障硬盘交由采购方消磁处理后交还成交供应商。</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11、本次采购的网络存储设备需与</w:t>
      </w:r>
      <w:r>
        <w:rPr>
          <w:rFonts w:hint="eastAsia" w:ascii="宋体" w:hAnsi="宋体" w:cs="宋体"/>
          <w:bCs/>
          <w:color w:val="auto"/>
          <w:sz w:val="24"/>
          <w:highlight w:val="none"/>
        </w:rPr>
        <w:t>台州市公安局交通警察局</w:t>
      </w:r>
      <w:r>
        <w:rPr>
          <w:rFonts w:hint="eastAsia" w:ascii="宋体" w:hAnsi="宋体" w:cs="宋体"/>
          <w:bCs/>
          <w:color w:val="auto"/>
          <w:sz w:val="24"/>
          <w:highlight w:val="none"/>
        </w:rPr>
        <w:t>原有网络存储统一管理，其中项目内新增一、四大队的存储服务器中标后需存放运营商机房，原一大队24台利旧存储服务器中标后也需存放运营商机房（以上所需费用已包含在报价内）。</w:t>
      </w:r>
    </w:p>
    <w:p>
      <w:pPr>
        <w:pStyle w:val="112"/>
        <w:adjustRightInd w:val="0"/>
        <w:snapToGrid w:val="0"/>
        <w:spacing w:line="360" w:lineRule="auto"/>
        <w:ind w:left="420" w:firstLine="0"/>
        <w:rPr>
          <w:rFonts w:ascii="宋体" w:hAnsi="宋体" w:cs="宋体"/>
          <w:color w:val="auto"/>
          <w:sz w:val="24"/>
          <w:szCs w:val="24"/>
          <w:highlight w:val="none"/>
        </w:rPr>
      </w:pPr>
      <w:r>
        <w:rPr>
          <w:rFonts w:hint="eastAsia" w:ascii="宋体" w:hAnsi="宋体" w:cs="宋体"/>
          <w:bCs/>
          <w:color w:val="auto"/>
          <w:sz w:val="24"/>
          <w:szCs w:val="24"/>
          <w:highlight w:val="none"/>
        </w:rPr>
        <w:t>12、</w:t>
      </w:r>
      <w:r>
        <w:rPr>
          <w:rFonts w:hint="eastAsia" w:ascii="宋体" w:hAnsi="宋体" w:cs="宋体"/>
          <w:color w:val="auto"/>
          <w:sz w:val="24"/>
          <w:szCs w:val="24"/>
          <w:highlight w:val="none"/>
        </w:rPr>
        <w:t>中标单位应完全配合本项目监理单位工作，</w:t>
      </w:r>
      <w:r>
        <w:rPr>
          <w:rFonts w:hint="eastAsia" w:ascii="宋体" w:hAnsi="宋体" w:cs="宋体"/>
          <w:color w:val="auto"/>
          <w:sz w:val="24"/>
          <w:szCs w:val="24"/>
          <w:highlight w:val="none"/>
        </w:rPr>
        <w:t>对经</w:t>
      </w:r>
      <w:r>
        <w:rPr>
          <w:rFonts w:hint="eastAsia" w:ascii="宋体" w:hAnsi="宋体" w:cs="宋体"/>
          <w:color w:val="auto"/>
          <w:sz w:val="24"/>
          <w:highlight w:val="none"/>
        </w:rPr>
        <w:t>采购人（或使用人）</w:t>
      </w:r>
      <w:r>
        <w:rPr>
          <w:rFonts w:hint="eastAsia" w:ascii="宋体" w:hAnsi="宋体" w:cs="宋体"/>
          <w:color w:val="auto"/>
          <w:sz w:val="24"/>
          <w:szCs w:val="24"/>
          <w:highlight w:val="none"/>
        </w:rPr>
        <w:t>授权监理单位签发的通知单等，中标单位都应按要求予以回复及执行。</w:t>
      </w:r>
    </w:p>
    <w:p>
      <w:pPr>
        <w:pStyle w:val="112"/>
        <w:adjustRightInd w:val="0"/>
        <w:snapToGrid w:val="0"/>
        <w:spacing w:line="360" w:lineRule="auto"/>
        <w:ind w:left="210" w:firstLine="240" w:firstLineChars="1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13、中标单位应配合对改建点位设备拆除和报废工作，并提供场地用于临时堆放</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eastAsia="zh-CN"/>
        </w:rPr>
        <w:t>改建点位允许对杆件、基础和管路利旧使用，但合同履约期间的安全责任由中标单位承担。</w:t>
      </w:r>
    </w:p>
    <w:p>
      <w:pPr>
        <w:pStyle w:val="4"/>
        <w:tabs>
          <w:tab w:val="left" w:pos="8280"/>
        </w:tabs>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（四）服务考核要求和评价技术指标</w:t>
      </w:r>
    </w:p>
    <w:p>
      <w:pPr>
        <w:pStyle w:val="112"/>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在系统日常运营中，</w:t>
      </w:r>
      <w:r>
        <w:rPr>
          <w:rFonts w:hint="eastAsia" w:ascii="宋体" w:hAnsi="宋体" w:cs="宋体"/>
          <w:color w:val="auto"/>
          <w:sz w:val="24"/>
          <w:szCs w:val="24"/>
          <w:highlight w:val="none"/>
        </w:rPr>
        <w:t>台州市公安局交通警察局作为建设单位及使用人</w:t>
      </w:r>
      <w:r>
        <w:rPr>
          <w:rFonts w:hint="eastAsia" w:ascii="宋体" w:hAnsi="宋体" w:cs="宋体"/>
          <w:color w:val="auto"/>
          <w:sz w:val="24"/>
          <w:szCs w:val="24"/>
          <w:highlight w:val="none"/>
        </w:rPr>
        <w:t>主要是运用良好的视频数据、严谨的违法抓拍数据进行交通管理，台州市公安局作为视频信息服务的购买方，每月将根据运营服务质量（上线及考核：过车和违法数据以交警局城市道路智能管控平台为准、视频以台州交警视频运行管理平台为准）支付相关使用费用。主要考核如下指标：</w:t>
      </w:r>
    </w:p>
    <w:p>
      <w:pPr>
        <w:pStyle w:val="112"/>
        <w:numPr>
          <w:ilvl w:val="0"/>
          <w:numId w:val="9"/>
        </w:numPr>
        <w:adjustRightInd w:val="0"/>
        <w:snapToGrid w:val="0"/>
        <w:spacing w:line="360" w:lineRule="auto"/>
        <w:outlineLvl w:val="3"/>
        <w:rPr>
          <w:rFonts w:ascii="宋体" w:hAnsi="宋体" w:cs="宋体"/>
          <w:color w:val="auto"/>
          <w:sz w:val="24"/>
          <w:szCs w:val="24"/>
          <w:highlight w:val="none"/>
        </w:rPr>
      </w:pPr>
      <w:r>
        <w:rPr>
          <w:rFonts w:hint="eastAsia" w:ascii="宋体" w:hAnsi="宋体" w:cs="宋体"/>
          <w:color w:val="auto"/>
          <w:sz w:val="24"/>
          <w:szCs w:val="24"/>
          <w:highlight w:val="none"/>
        </w:rPr>
        <w:t>项目总体正常运行率</w:t>
      </w:r>
    </w:p>
    <w:p>
      <w:pPr>
        <w:pStyle w:val="112"/>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w:t>
      </w:r>
      <w:r>
        <w:rPr>
          <w:rFonts w:hint="eastAsia" w:ascii="宋体" w:hAnsi="宋体" w:cs="宋体"/>
          <w:color w:val="auto"/>
          <w:sz w:val="24"/>
          <w:szCs w:val="24"/>
          <w:highlight w:val="none"/>
        </w:rPr>
        <w:t>本项目要求日正常运行率</w:t>
      </w:r>
      <w:r>
        <w:rPr>
          <w:rFonts w:hint="eastAsia" w:ascii="宋体" w:hAnsi="宋体" w:cs="宋体"/>
          <w:color w:val="auto"/>
          <w:kern w:val="0"/>
          <w:sz w:val="24"/>
          <w:szCs w:val="24"/>
          <w:highlight w:val="none"/>
          <w:lang w:bidi="ar"/>
        </w:rPr>
        <w:t>≥</w:t>
      </w:r>
      <w:r>
        <w:rPr>
          <w:rFonts w:hint="eastAsia" w:ascii="宋体" w:hAnsi="宋体" w:cs="宋体"/>
          <w:color w:val="auto"/>
          <w:sz w:val="24"/>
          <w:szCs w:val="24"/>
          <w:highlight w:val="none"/>
        </w:rPr>
        <w:t>98.5%。项目每日正常运行率=项目内参与考核的单个设备日正常运行率累加/考核基数*100%；单个设备正常运行率=（1-单个设备异常小时/24小时（包括不符合视频录像考核指标、视频中有过车但未捕获、过车或违法图片不符合要求、不符合数据</w:t>
      </w:r>
      <w:r>
        <w:rPr>
          <w:rFonts w:hint="eastAsia" w:ascii="宋体" w:hAnsi="宋体" w:cs="宋体"/>
          <w:color w:val="auto"/>
          <w:sz w:val="24"/>
          <w:szCs w:val="24"/>
          <w:highlight w:val="none"/>
          <w:lang w:val="zh-CN"/>
        </w:rPr>
        <w:t>考核指标</w:t>
      </w:r>
      <w:r>
        <w:rPr>
          <w:rFonts w:hint="eastAsia" w:ascii="宋体" w:hAnsi="宋体" w:cs="宋体"/>
          <w:color w:val="auto"/>
          <w:sz w:val="24"/>
          <w:szCs w:val="24"/>
          <w:highlight w:val="none"/>
        </w:rPr>
        <w:t>））*100%。（由于停电、道路改造、人为破坏等原因造成的异常，不列入正常运行率的考核，但未按合同要求及时修复的异常列入考核）</w:t>
      </w:r>
    </w:p>
    <w:p>
      <w:pPr>
        <w:pStyle w:val="112"/>
        <w:numPr>
          <w:ilvl w:val="0"/>
          <w:numId w:val="9"/>
        </w:numPr>
        <w:adjustRightInd w:val="0"/>
        <w:snapToGrid w:val="0"/>
        <w:spacing w:line="360" w:lineRule="auto"/>
        <w:outlineLvl w:val="3"/>
        <w:rPr>
          <w:rFonts w:ascii="宋体" w:hAnsi="宋体" w:cs="宋体"/>
          <w:color w:val="auto"/>
          <w:sz w:val="24"/>
          <w:szCs w:val="24"/>
          <w:highlight w:val="none"/>
        </w:rPr>
      </w:pPr>
      <w:r>
        <w:rPr>
          <w:rFonts w:hint="eastAsia" w:ascii="宋体" w:hAnsi="宋体" w:cs="宋体"/>
          <w:color w:val="auto"/>
          <w:sz w:val="24"/>
          <w:szCs w:val="24"/>
          <w:highlight w:val="none"/>
        </w:rPr>
        <w:t>视频录像考核</w:t>
      </w:r>
    </w:p>
    <w:p>
      <w:pPr>
        <w:pStyle w:val="112"/>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视频录像考核指标是指视频录像有无缺失、视频图像质量是否正常、视频标注不规范、视频命名错误、经纬度错误</w:t>
      </w:r>
      <w:r>
        <w:rPr>
          <w:rFonts w:hint="eastAsia" w:ascii="宋体" w:hAnsi="宋体" w:cs="宋体"/>
          <w:color w:val="auto"/>
          <w:sz w:val="24"/>
          <w:szCs w:val="24"/>
          <w:highlight w:val="none"/>
          <w:lang w:val="zh-CN"/>
        </w:rPr>
        <w:t>等</w:t>
      </w:r>
      <w:r>
        <w:rPr>
          <w:rFonts w:hint="eastAsia" w:ascii="宋体" w:hAnsi="宋体" w:cs="宋体"/>
          <w:color w:val="auto"/>
          <w:sz w:val="24"/>
          <w:szCs w:val="24"/>
          <w:highlight w:val="none"/>
        </w:rPr>
        <w:t>（如因系统自检等造成的必要录像缺失时间，投标时应注明）。</w:t>
      </w:r>
    </w:p>
    <w:p>
      <w:pPr>
        <w:pStyle w:val="112"/>
        <w:adjustRightInd w:val="0"/>
        <w:snapToGrid w:val="0"/>
        <w:spacing w:line="360" w:lineRule="auto"/>
        <w:outlineLvl w:val="3"/>
        <w:rPr>
          <w:rFonts w:ascii="宋体" w:hAnsi="宋体" w:cs="宋体"/>
          <w:color w:val="auto"/>
          <w:sz w:val="24"/>
          <w:szCs w:val="24"/>
          <w:highlight w:val="none"/>
        </w:rPr>
      </w:pPr>
      <w:r>
        <w:rPr>
          <w:rFonts w:hint="eastAsia" w:ascii="宋体" w:hAnsi="宋体" w:cs="宋体"/>
          <w:color w:val="auto"/>
          <w:sz w:val="24"/>
          <w:szCs w:val="24"/>
          <w:highlight w:val="none"/>
        </w:rPr>
        <w:t>3、过车及违法数据考核</w:t>
      </w:r>
    </w:p>
    <w:p>
      <w:pPr>
        <w:pStyle w:val="112"/>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数据</w:t>
      </w:r>
      <w:r>
        <w:rPr>
          <w:rFonts w:hint="eastAsia" w:ascii="宋体" w:hAnsi="宋体" w:cs="宋体"/>
          <w:color w:val="auto"/>
          <w:sz w:val="24"/>
          <w:szCs w:val="24"/>
          <w:highlight w:val="none"/>
          <w:lang w:val="zh-CN"/>
        </w:rPr>
        <w:t>考核指标是指违法行为捕获率、违法行为记录有效率、过车捕获率、号牌识别准确率等是否符合GA/T 497-2016《道路车辆智能监测记录系统通用技术条件》要求。</w:t>
      </w:r>
    </w:p>
    <w:p>
      <w:pPr>
        <w:pStyle w:val="112"/>
        <w:adjustRightInd w:val="0"/>
        <w:snapToGrid w:val="0"/>
        <w:spacing w:line="360" w:lineRule="auto"/>
        <w:ind w:left="420" w:firstLine="0"/>
        <w:outlineLvl w:val="3"/>
        <w:rPr>
          <w:rFonts w:ascii="宋体" w:hAnsi="宋体" w:cs="宋体"/>
          <w:color w:val="auto"/>
          <w:sz w:val="24"/>
          <w:szCs w:val="24"/>
          <w:highlight w:val="none"/>
        </w:rPr>
      </w:pPr>
      <w:r>
        <w:rPr>
          <w:rFonts w:hint="eastAsia" w:ascii="宋体" w:hAnsi="宋体" w:cs="宋体"/>
          <w:color w:val="auto"/>
          <w:sz w:val="24"/>
          <w:szCs w:val="24"/>
          <w:highlight w:val="none"/>
        </w:rPr>
        <w:t>4、完整率考核</w:t>
      </w:r>
    </w:p>
    <w:p>
      <w:pPr>
        <w:pStyle w:val="112"/>
        <w:adjustRightInd w:val="0"/>
        <w:snapToGrid w:val="0"/>
        <w:spacing w:line="360" w:lineRule="auto"/>
        <w:ind w:left="420" w:firstLine="0"/>
        <w:rPr>
          <w:rFonts w:ascii="宋体" w:hAnsi="宋体" w:cs="宋体"/>
          <w:color w:val="auto"/>
          <w:sz w:val="24"/>
          <w:szCs w:val="24"/>
          <w:highlight w:val="none"/>
        </w:rPr>
      </w:pPr>
      <w:r>
        <w:rPr>
          <w:rFonts w:hint="eastAsia" w:ascii="宋体" w:hAnsi="宋体" w:cs="宋体"/>
          <w:color w:val="auto"/>
          <w:sz w:val="24"/>
          <w:szCs w:val="24"/>
          <w:highlight w:val="none"/>
        </w:rPr>
        <w:t>完整率考核指标主要对录像保存时长、图片保存时长、过车数据保存时长等</w:t>
      </w:r>
    </w:p>
    <w:p>
      <w:pPr>
        <w:pStyle w:val="112"/>
        <w:adjustRightInd w:val="0"/>
        <w:snapToGrid w:val="0"/>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是否符合要求。</w:t>
      </w:r>
    </w:p>
    <w:tbl>
      <w:tblPr>
        <w:tblStyle w:val="35"/>
        <w:tblW w:w="8297" w:type="dxa"/>
        <w:tblInd w:w="20" w:type="dxa"/>
        <w:tblLayout w:type="fixed"/>
        <w:tblCellMar>
          <w:top w:w="0" w:type="dxa"/>
          <w:left w:w="0" w:type="dxa"/>
          <w:bottom w:w="0" w:type="dxa"/>
          <w:right w:w="0" w:type="dxa"/>
        </w:tblCellMar>
      </w:tblPr>
      <w:tblGrid>
        <w:gridCol w:w="4292"/>
        <w:gridCol w:w="4005"/>
      </w:tblGrid>
      <w:tr>
        <w:trPr>
          <w:trHeight w:val="441" w:hRule="exact"/>
        </w:trPr>
        <w:tc>
          <w:tcPr>
            <w:tcW w:w="8297" w:type="dxa"/>
            <w:gridSpan w:val="2"/>
            <w:tcBorders>
              <w:top w:val="single" w:color="000000" w:sz="4" w:space="0"/>
              <w:left w:val="single" w:color="000000" w:sz="4" w:space="0"/>
              <w:bottom w:val="single" w:color="000000" w:sz="4" w:space="0"/>
              <w:right w:val="single" w:color="000000" w:sz="4" w:space="0"/>
            </w:tcBorders>
            <w:shd w:val="clear" w:color="auto" w:fill="D9D9D9"/>
          </w:tcPr>
          <w:p>
            <w:pPr>
              <w:pStyle w:val="113"/>
              <w:adjustRightInd w:val="0"/>
              <w:snapToGrid w:val="0"/>
              <w:spacing w:line="360" w:lineRule="auto"/>
              <w:ind w:firstLine="422"/>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图像存储要求</w:t>
            </w:r>
          </w:p>
        </w:tc>
      </w:tr>
      <w:tr>
        <w:tblPrEx>
          <w:tblCellMar>
            <w:top w:w="0" w:type="dxa"/>
            <w:left w:w="0" w:type="dxa"/>
            <w:bottom w:w="0" w:type="dxa"/>
            <w:right w:w="0" w:type="dxa"/>
          </w:tblCellMar>
        </w:tblPrEx>
        <w:trPr>
          <w:trHeight w:val="477" w:hRule="exact"/>
        </w:trPr>
        <w:tc>
          <w:tcPr>
            <w:tcW w:w="4292" w:type="dxa"/>
            <w:tcBorders>
              <w:top w:val="single" w:color="000000" w:sz="4" w:space="0"/>
              <w:left w:val="single" w:color="000000" w:sz="4" w:space="0"/>
              <w:bottom w:val="single" w:color="000000" w:sz="4" w:space="0"/>
              <w:right w:val="single" w:color="000000" w:sz="4" w:space="0"/>
            </w:tcBorders>
          </w:tcPr>
          <w:p>
            <w:pPr>
              <w:pStyle w:val="113"/>
              <w:adjustRightInd w:val="0"/>
              <w:snapToGrid w:val="0"/>
              <w:spacing w:line="360" w:lineRule="auto"/>
              <w:ind w:left="583" w:firstLine="480"/>
              <w:rPr>
                <w:rFonts w:ascii="宋体" w:hAnsi="宋体" w:cs="宋体"/>
                <w:color w:val="auto"/>
                <w:sz w:val="21"/>
                <w:szCs w:val="21"/>
                <w:highlight w:val="none"/>
              </w:rPr>
            </w:pPr>
            <w:r>
              <w:rPr>
                <w:rFonts w:hint="eastAsia" w:ascii="宋体" w:hAnsi="宋体" w:cs="宋体"/>
                <w:color w:val="auto"/>
                <w:sz w:val="21"/>
                <w:szCs w:val="21"/>
                <w:highlight w:val="none"/>
              </w:rPr>
              <w:t>图像编码格式</w:t>
            </w:r>
          </w:p>
        </w:tc>
        <w:tc>
          <w:tcPr>
            <w:tcW w:w="4005" w:type="dxa"/>
            <w:tcBorders>
              <w:top w:val="single" w:color="000000" w:sz="4" w:space="0"/>
              <w:left w:val="single" w:color="000000" w:sz="4" w:space="0"/>
              <w:bottom w:val="single" w:color="000000" w:sz="4" w:space="0"/>
              <w:right w:val="single" w:color="000000" w:sz="4" w:space="0"/>
            </w:tcBorders>
          </w:tcPr>
          <w:p>
            <w:pPr>
              <w:pStyle w:val="113"/>
              <w:adjustRightInd w:val="0"/>
              <w:snapToGrid w:val="0"/>
              <w:spacing w:line="360" w:lineRule="auto"/>
              <w:ind w:left="583" w:firstLine="420"/>
              <w:rPr>
                <w:rFonts w:ascii="宋体" w:hAnsi="宋体" w:cs="宋体"/>
                <w:color w:val="auto"/>
                <w:sz w:val="21"/>
                <w:szCs w:val="21"/>
                <w:highlight w:val="none"/>
              </w:rPr>
            </w:pPr>
            <w:r>
              <w:rPr>
                <w:rFonts w:hint="eastAsia" w:ascii="宋体" w:hAnsi="宋体" w:cs="宋体"/>
                <w:color w:val="auto"/>
                <w:sz w:val="21"/>
                <w:szCs w:val="21"/>
                <w:highlight w:val="none"/>
              </w:rPr>
              <w:t>JPEG</w:t>
            </w:r>
          </w:p>
        </w:tc>
      </w:tr>
      <w:tr>
        <w:tblPrEx>
          <w:tblCellMar>
            <w:top w:w="0" w:type="dxa"/>
            <w:left w:w="0" w:type="dxa"/>
            <w:bottom w:w="0" w:type="dxa"/>
            <w:right w:w="0" w:type="dxa"/>
          </w:tblCellMar>
        </w:tblPrEx>
        <w:trPr>
          <w:trHeight w:val="477" w:hRule="exact"/>
        </w:trPr>
        <w:tc>
          <w:tcPr>
            <w:tcW w:w="4292" w:type="dxa"/>
            <w:tcBorders>
              <w:top w:val="single" w:color="000000" w:sz="4" w:space="0"/>
              <w:left w:val="single" w:color="000000" w:sz="4" w:space="0"/>
              <w:bottom w:val="single" w:color="000000" w:sz="4" w:space="0"/>
              <w:right w:val="single" w:color="000000" w:sz="4" w:space="0"/>
            </w:tcBorders>
          </w:tcPr>
          <w:p>
            <w:pPr>
              <w:pStyle w:val="113"/>
              <w:adjustRightInd w:val="0"/>
              <w:snapToGrid w:val="0"/>
              <w:spacing w:line="360" w:lineRule="auto"/>
              <w:ind w:left="583" w:firstLine="48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每个路口一天图片数量</w:t>
            </w:r>
          </w:p>
        </w:tc>
        <w:tc>
          <w:tcPr>
            <w:tcW w:w="4005" w:type="dxa"/>
            <w:tcBorders>
              <w:top w:val="single" w:color="000000" w:sz="4" w:space="0"/>
              <w:left w:val="single" w:color="000000" w:sz="4" w:space="0"/>
              <w:bottom w:val="single" w:color="000000" w:sz="4" w:space="0"/>
              <w:right w:val="single" w:color="000000" w:sz="4" w:space="0"/>
            </w:tcBorders>
          </w:tcPr>
          <w:p>
            <w:pPr>
              <w:pStyle w:val="113"/>
              <w:adjustRightInd w:val="0"/>
              <w:snapToGrid w:val="0"/>
              <w:spacing w:line="360" w:lineRule="auto"/>
              <w:ind w:left="583" w:firstLine="420"/>
              <w:rPr>
                <w:rFonts w:ascii="宋体" w:hAnsi="宋体" w:cs="宋体"/>
                <w:color w:val="auto"/>
                <w:sz w:val="21"/>
                <w:szCs w:val="21"/>
                <w:highlight w:val="none"/>
              </w:rPr>
            </w:pPr>
            <w:r>
              <w:rPr>
                <w:rFonts w:hint="eastAsia" w:ascii="宋体" w:hAnsi="宋体" w:cs="宋体"/>
                <w:color w:val="auto"/>
                <w:sz w:val="21"/>
                <w:szCs w:val="21"/>
                <w:highlight w:val="none"/>
                <w:lang w:eastAsia="zh-CN"/>
              </w:rPr>
              <w:t>≤80000</w:t>
            </w:r>
          </w:p>
        </w:tc>
      </w:tr>
      <w:tr>
        <w:tblPrEx>
          <w:tblCellMar>
            <w:top w:w="0" w:type="dxa"/>
            <w:left w:w="0" w:type="dxa"/>
            <w:bottom w:w="0" w:type="dxa"/>
            <w:right w:w="0" w:type="dxa"/>
          </w:tblCellMar>
        </w:tblPrEx>
        <w:trPr>
          <w:trHeight w:val="476" w:hRule="exact"/>
        </w:trPr>
        <w:tc>
          <w:tcPr>
            <w:tcW w:w="4292" w:type="dxa"/>
            <w:tcBorders>
              <w:top w:val="single" w:color="000000" w:sz="4" w:space="0"/>
              <w:left w:val="single" w:color="000000" w:sz="4" w:space="0"/>
              <w:bottom w:val="single" w:color="000000" w:sz="4" w:space="0"/>
              <w:right w:val="single" w:color="000000" w:sz="4" w:space="0"/>
            </w:tcBorders>
            <w:vAlign w:val="center"/>
          </w:tcPr>
          <w:p>
            <w:pPr>
              <w:pStyle w:val="113"/>
              <w:adjustRightInd w:val="0"/>
              <w:snapToGrid w:val="0"/>
              <w:spacing w:line="360" w:lineRule="auto"/>
              <w:ind w:left="583" w:firstLine="480"/>
              <w:rPr>
                <w:rFonts w:ascii="宋体" w:hAnsi="宋体" w:cs="宋体"/>
                <w:color w:val="auto"/>
                <w:sz w:val="21"/>
                <w:szCs w:val="21"/>
                <w:highlight w:val="none"/>
              </w:rPr>
            </w:pPr>
            <w:r>
              <w:rPr>
                <w:rFonts w:hint="eastAsia" w:ascii="宋体" w:hAnsi="宋体" w:cs="宋体"/>
                <w:color w:val="auto"/>
                <w:sz w:val="21"/>
                <w:szCs w:val="21"/>
                <w:highlight w:val="none"/>
              </w:rPr>
              <w:t>图片保存天数</w:t>
            </w:r>
          </w:p>
        </w:tc>
        <w:tc>
          <w:tcPr>
            <w:tcW w:w="4005" w:type="dxa"/>
            <w:tcBorders>
              <w:top w:val="single" w:color="000000" w:sz="4" w:space="0"/>
              <w:left w:val="single" w:color="000000" w:sz="4" w:space="0"/>
              <w:bottom w:val="single" w:color="000000" w:sz="4" w:space="0"/>
              <w:right w:val="single" w:color="000000" w:sz="4" w:space="0"/>
            </w:tcBorders>
            <w:vAlign w:val="center"/>
          </w:tcPr>
          <w:p>
            <w:pPr>
              <w:pStyle w:val="113"/>
              <w:adjustRightInd w:val="0"/>
              <w:snapToGrid w:val="0"/>
              <w:spacing w:line="360" w:lineRule="auto"/>
              <w:ind w:left="583" w:firstLine="480"/>
              <w:rPr>
                <w:rFonts w:ascii="宋体" w:hAnsi="宋体" w:cs="宋体"/>
                <w:color w:val="auto"/>
                <w:sz w:val="21"/>
                <w:szCs w:val="21"/>
                <w:highlight w:val="none"/>
              </w:rPr>
            </w:pPr>
            <w:r>
              <w:rPr>
                <w:rFonts w:hint="eastAsia" w:ascii="宋体" w:hAnsi="宋体" w:cs="宋体"/>
                <w:color w:val="auto"/>
                <w:sz w:val="21"/>
                <w:szCs w:val="21"/>
                <w:highlight w:val="none"/>
                <w:lang w:eastAsia="zh-CN"/>
              </w:rPr>
              <w:t>≥180</w:t>
            </w:r>
            <w:r>
              <w:rPr>
                <w:rFonts w:hint="eastAsia" w:ascii="宋体" w:hAnsi="宋体" w:cs="宋体"/>
                <w:color w:val="auto"/>
                <w:sz w:val="21"/>
                <w:szCs w:val="21"/>
                <w:highlight w:val="none"/>
              </w:rPr>
              <w:t>天</w:t>
            </w:r>
          </w:p>
        </w:tc>
      </w:tr>
      <w:tr>
        <w:tblPrEx>
          <w:tblCellMar>
            <w:top w:w="0" w:type="dxa"/>
            <w:left w:w="0" w:type="dxa"/>
            <w:bottom w:w="0" w:type="dxa"/>
            <w:right w:w="0" w:type="dxa"/>
          </w:tblCellMar>
        </w:tblPrEx>
        <w:trPr>
          <w:trHeight w:val="550" w:hRule="exact"/>
        </w:trPr>
        <w:tc>
          <w:tcPr>
            <w:tcW w:w="4292" w:type="dxa"/>
            <w:tcBorders>
              <w:top w:val="single" w:color="000000" w:sz="4" w:space="0"/>
              <w:left w:val="single" w:color="000000" w:sz="4" w:space="0"/>
              <w:bottom w:val="single" w:color="000000" w:sz="4" w:space="0"/>
              <w:right w:val="single" w:color="000000" w:sz="4" w:space="0"/>
            </w:tcBorders>
            <w:vAlign w:val="center"/>
          </w:tcPr>
          <w:p>
            <w:pPr>
              <w:pStyle w:val="113"/>
              <w:adjustRightInd w:val="0"/>
              <w:snapToGrid w:val="0"/>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校对有效违法数据的短录像（≥12秒）</w:t>
            </w:r>
          </w:p>
        </w:tc>
        <w:tc>
          <w:tcPr>
            <w:tcW w:w="4005" w:type="dxa"/>
            <w:tcBorders>
              <w:top w:val="single" w:color="000000" w:sz="4" w:space="0"/>
              <w:left w:val="single" w:color="000000" w:sz="4" w:space="0"/>
              <w:bottom w:val="single" w:color="000000" w:sz="4" w:space="0"/>
              <w:right w:val="single" w:color="000000" w:sz="4" w:space="0"/>
            </w:tcBorders>
            <w:vAlign w:val="center"/>
          </w:tcPr>
          <w:p>
            <w:pPr>
              <w:pStyle w:val="113"/>
              <w:adjustRightInd w:val="0"/>
              <w:snapToGrid w:val="0"/>
              <w:spacing w:line="360" w:lineRule="auto"/>
              <w:ind w:left="583" w:firstLine="48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≥2年</w:t>
            </w:r>
          </w:p>
        </w:tc>
      </w:tr>
      <w:tr>
        <w:tblPrEx>
          <w:tblCellMar>
            <w:top w:w="0" w:type="dxa"/>
            <w:left w:w="0" w:type="dxa"/>
            <w:bottom w:w="0" w:type="dxa"/>
            <w:right w:w="0" w:type="dxa"/>
          </w:tblCellMar>
        </w:tblPrEx>
        <w:trPr>
          <w:trHeight w:val="550" w:hRule="exact"/>
        </w:trPr>
        <w:tc>
          <w:tcPr>
            <w:tcW w:w="4292" w:type="dxa"/>
            <w:tcBorders>
              <w:top w:val="single" w:color="000000" w:sz="4" w:space="0"/>
              <w:left w:val="single" w:color="000000" w:sz="4" w:space="0"/>
              <w:bottom w:val="single" w:color="000000" w:sz="4" w:space="0"/>
              <w:right w:val="single" w:color="000000" w:sz="4" w:space="0"/>
            </w:tcBorders>
            <w:vAlign w:val="center"/>
          </w:tcPr>
          <w:p>
            <w:pPr>
              <w:pStyle w:val="113"/>
              <w:tabs>
                <w:tab w:val="left" w:pos="2130"/>
              </w:tabs>
              <w:adjustRightInd w:val="0"/>
              <w:snapToGrid w:val="0"/>
              <w:spacing w:line="360" w:lineRule="auto"/>
              <w:ind w:left="583" w:firstLine="48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号牌特写图片</w:t>
            </w:r>
          </w:p>
        </w:tc>
        <w:tc>
          <w:tcPr>
            <w:tcW w:w="4005" w:type="dxa"/>
            <w:tcBorders>
              <w:top w:val="single" w:color="000000" w:sz="4" w:space="0"/>
              <w:left w:val="single" w:color="000000" w:sz="4" w:space="0"/>
              <w:bottom w:val="single" w:color="000000" w:sz="4" w:space="0"/>
              <w:right w:val="single" w:color="000000" w:sz="4" w:space="0"/>
            </w:tcBorders>
            <w:vAlign w:val="center"/>
          </w:tcPr>
          <w:p>
            <w:pPr>
              <w:pStyle w:val="113"/>
              <w:adjustRightInd w:val="0"/>
              <w:snapToGrid w:val="0"/>
              <w:spacing w:line="360" w:lineRule="auto"/>
              <w:ind w:left="583" w:firstLine="48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≥2年</w:t>
            </w:r>
          </w:p>
        </w:tc>
      </w:tr>
    </w:tbl>
    <w:p>
      <w:pPr>
        <w:widowControl/>
        <w:adjustRightInd w:val="0"/>
        <w:snapToGrid w:val="0"/>
        <w:spacing w:line="360" w:lineRule="auto"/>
        <w:ind w:firstLine="480"/>
        <w:jc w:val="left"/>
        <w:rPr>
          <w:rFonts w:ascii="宋体" w:hAnsi="宋体" w:cs="宋体"/>
          <w:color w:val="auto"/>
          <w:kern w:val="0"/>
          <w:sz w:val="24"/>
          <w:highlight w:val="none"/>
        </w:rPr>
      </w:pPr>
    </w:p>
    <w:tbl>
      <w:tblPr>
        <w:tblStyle w:val="35"/>
        <w:tblW w:w="8303" w:type="dxa"/>
        <w:jc w:val="center"/>
        <w:tblLayout w:type="fixed"/>
        <w:tblCellMar>
          <w:top w:w="0" w:type="dxa"/>
          <w:left w:w="0" w:type="dxa"/>
          <w:bottom w:w="0" w:type="dxa"/>
          <w:right w:w="0" w:type="dxa"/>
        </w:tblCellMar>
      </w:tblPr>
      <w:tblGrid>
        <w:gridCol w:w="4302"/>
        <w:gridCol w:w="4001"/>
      </w:tblGrid>
      <w:tr>
        <w:trPr>
          <w:trHeight w:val="441" w:hRule="exact"/>
          <w:jc w:val="center"/>
        </w:trPr>
        <w:tc>
          <w:tcPr>
            <w:tcW w:w="8303" w:type="dxa"/>
            <w:gridSpan w:val="2"/>
            <w:tcBorders>
              <w:top w:val="single" w:color="000000" w:sz="4" w:space="0"/>
              <w:left w:val="single" w:color="000000" w:sz="4" w:space="0"/>
              <w:bottom w:val="single" w:color="000000" w:sz="4" w:space="0"/>
              <w:right w:val="single" w:color="000000" w:sz="4" w:space="0"/>
            </w:tcBorders>
            <w:shd w:val="clear" w:color="auto" w:fill="D9D9D9"/>
          </w:tcPr>
          <w:p>
            <w:pPr>
              <w:pStyle w:val="113"/>
              <w:adjustRightInd w:val="0"/>
              <w:snapToGrid w:val="0"/>
              <w:spacing w:line="360" w:lineRule="auto"/>
              <w:ind w:firstLine="422"/>
              <w:jc w:val="center"/>
              <w:rPr>
                <w:rFonts w:ascii="宋体" w:hAnsi="宋体" w:cs="宋体"/>
                <w:color w:val="auto"/>
                <w:sz w:val="21"/>
                <w:szCs w:val="21"/>
                <w:highlight w:val="none"/>
                <w:lang w:eastAsia="zh-CN"/>
              </w:rPr>
            </w:pPr>
            <w:r>
              <w:rPr>
                <w:rFonts w:hint="eastAsia" w:ascii="宋体" w:hAnsi="宋体" w:cs="宋体"/>
                <w:b/>
                <w:bCs/>
                <w:color w:val="auto"/>
                <w:sz w:val="21"/>
                <w:szCs w:val="21"/>
                <w:highlight w:val="none"/>
              </w:rPr>
              <w:t>视频存储</w:t>
            </w:r>
            <w:r>
              <w:rPr>
                <w:rFonts w:hint="eastAsia" w:ascii="宋体" w:hAnsi="宋体" w:cs="宋体"/>
                <w:b/>
                <w:bCs/>
                <w:color w:val="auto"/>
                <w:sz w:val="21"/>
                <w:szCs w:val="21"/>
                <w:highlight w:val="none"/>
                <w:lang w:eastAsia="zh-CN"/>
              </w:rPr>
              <w:t>要求</w:t>
            </w:r>
          </w:p>
        </w:tc>
      </w:tr>
      <w:tr>
        <w:tblPrEx>
          <w:tblCellMar>
            <w:top w:w="0" w:type="dxa"/>
            <w:left w:w="0" w:type="dxa"/>
            <w:bottom w:w="0" w:type="dxa"/>
            <w:right w:w="0" w:type="dxa"/>
          </w:tblCellMar>
        </w:tblPrEx>
        <w:trPr>
          <w:trHeight w:val="477" w:hRule="exact"/>
          <w:jc w:val="center"/>
        </w:trPr>
        <w:tc>
          <w:tcPr>
            <w:tcW w:w="4302" w:type="dxa"/>
            <w:tcBorders>
              <w:top w:val="single" w:color="000000" w:sz="4" w:space="0"/>
              <w:left w:val="single" w:color="000000" w:sz="4" w:space="0"/>
              <w:bottom w:val="single" w:color="000000" w:sz="4" w:space="0"/>
              <w:right w:val="single" w:color="000000" w:sz="4" w:space="0"/>
            </w:tcBorders>
            <w:vAlign w:val="center"/>
          </w:tcPr>
          <w:p>
            <w:pPr>
              <w:pStyle w:val="113"/>
              <w:adjustRightInd w:val="0"/>
              <w:snapToGrid w:val="0"/>
              <w:spacing w:line="360" w:lineRule="auto"/>
              <w:ind w:left="583" w:firstLine="480"/>
              <w:jc w:val="center"/>
              <w:rPr>
                <w:rFonts w:ascii="宋体" w:hAnsi="宋体" w:cs="宋体"/>
                <w:color w:val="auto"/>
                <w:sz w:val="21"/>
                <w:szCs w:val="21"/>
                <w:highlight w:val="none"/>
              </w:rPr>
            </w:pPr>
            <w:r>
              <w:rPr>
                <w:rFonts w:hint="eastAsia" w:ascii="宋体" w:hAnsi="宋体" w:cs="宋体"/>
                <w:color w:val="auto"/>
                <w:sz w:val="21"/>
                <w:szCs w:val="21"/>
                <w:highlight w:val="none"/>
              </w:rPr>
              <w:t>图像编码格式</w:t>
            </w:r>
          </w:p>
        </w:tc>
        <w:tc>
          <w:tcPr>
            <w:tcW w:w="4001" w:type="dxa"/>
            <w:tcBorders>
              <w:top w:val="single" w:color="000000" w:sz="4" w:space="0"/>
              <w:left w:val="single" w:color="000000" w:sz="4" w:space="0"/>
              <w:bottom w:val="single" w:color="000000" w:sz="4" w:space="0"/>
              <w:right w:val="single" w:color="000000" w:sz="4" w:space="0"/>
            </w:tcBorders>
            <w:vAlign w:val="center"/>
          </w:tcPr>
          <w:p>
            <w:pPr>
              <w:pStyle w:val="113"/>
              <w:adjustRightInd w:val="0"/>
              <w:snapToGrid w:val="0"/>
              <w:spacing w:line="360" w:lineRule="auto"/>
              <w:ind w:left="582" w:firstLine="420"/>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H</w:t>
            </w:r>
            <w:r>
              <w:rPr>
                <w:rFonts w:hint="eastAsia" w:ascii="宋体" w:hAnsi="宋体" w:cs="宋体"/>
                <w:color w:val="auto"/>
                <w:sz w:val="21"/>
                <w:szCs w:val="21"/>
                <w:highlight w:val="none"/>
              </w:rPr>
              <w:t>.265</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H.264</w:t>
            </w:r>
            <w:r>
              <w:rPr>
                <w:rFonts w:hint="eastAsia" w:ascii="宋体" w:hAnsi="宋体" w:cs="宋体"/>
                <w:color w:val="auto"/>
                <w:sz w:val="21"/>
                <w:szCs w:val="21"/>
                <w:highlight w:val="none"/>
                <w:lang w:eastAsia="zh-CN"/>
              </w:rPr>
              <w:t>或以上</w:t>
            </w:r>
          </w:p>
        </w:tc>
      </w:tr>
      <w:tr>
        <w:tblPrEx>
          <w:tblCellMar>
            <w:top w:w="0" w:type="dxa"/>
            <w:left w:w="0" w:type="dxa"/>
            <w:bottom w:w="0" w:type="dxa"/>
            <w:right w:w="0" w:type="dxa"/>
          </w:tblCellMar>
        </w:tblPrEx>
        <w:trPr>
          <w:trHeight w:val="477" w:hRule="exact"/>
          <w:jc w:val="center"/>
        </w:trPr>
        <w:tc>
          <w:tcPr>
            <w:tcW w:w="4302" w:type="dxa"/>
            <w:tcBorders>
              <w:top w:val="single" w:color="000000" w:sz="4" w:space="0"/>
              <w:left w:val="single" w:color="000000" w:sz="4" w:space="0"/>
              <w:bottom w:val="single" w:color="000000" w:sz="4" w:space="0"/>
              <w:right w:val="single" w:color="000000" w:sz="4" w:space="0"/>
            </w:tcBorders>
            <w:vAlign w:val="center"/>
          </w:tcPr>
          <w:p>
            <w:pPr>
              <w:pStyle w:val="113"/>
              <w:adjustRightInd w:val="0"/>
              <w:snapToGrid w:val="0"/>
              <w:spacing w:line="360" w:lineRule="auto"/>
              <w:ind w:left="583" w:firstLine="480"/>
              <w:jc w:val="center"/>
              <w:rPr>
                <w:rFonts w:ascii="宋体" w:hAnsi="宋体" w:cs="宋体"/>
                <w:color w:val="auto"/>
                <w:sz w:val="21"/>
                <w:szCs w:val="21"/>
                <w:highlight w:val="none"/>
              </w:rPr>
            </w:pPr>
            <w:r>
              <w:rPr>
                <w:rFonts w:hint="eastAsia" w:ascii="宋体" w:hAnsi="宋体" w:cs="宋体"/>
                <w:color w:val="auto"/>
                <w:sz w:val="21"/>
                <w:szCs w:val="21"/>
                <w:highlight w:val="none"/>
              </w:rPr>
              <w:t>单路码流Mbps</w:t>
            </w:r>
          </w:p>
        </w:tc>
        <w:tc>
          <w:tcPr>
            <w:tcW w:w="4001" w:type="dxa"/>
            <w:tcBorders>
              <w:top w:val="single" w:color="000000" w:sz="4" w:space="0"/>
              <w:left w:val="single" w:color="000000" w:sz="4" w:space="0"/>
              <w:bottom w:val="single" w:color="000000" w:sz="4" w:space="0"/>
              <w:right w:val="single" w:color="000000" w:sz="4" w:space="0"/>
            </w:tcBorders>
            <w:vAlign w:val="center"/>
          </w:tcPr>
          <w:p>
            <w:pPr>
              <w:pStyle w:val="113"/>
              <w:adjustRightInd w:val="0"/>
              <w:snapToGrid w:val="0"/>
              <w:spacing w:line="360" w:lineRule="auto"/>
              <w:ind w:left="582" w:firstLine="420"/>
              <w:jc w:val="center"/>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≥4M</w:t>
            </w:r>
          </w:p>
        </w:tc>
      </w:tr>
      <w:tr>
        <w:tblPrEx>
          <w:tblCellMar>
            <w:top w:w="0" w:type="dxa"/>
            <w:left w:w="0" w:type="dxa"/>
            <w:bottom w:w="0" w:type="dxa"/>
            <w:right w:w="0" w:type="dxa"/>
          </w:tblCellMar>
        </w:tblPrEx>
        <w:trPr>
          <w:trHeight w:val="477" w:hRule="exact"/>
          <w:jc w:val="center"/>
        </w:trPr>
        <w:tc>
          <w:tcPr>
            <w:tcW w:w="4302" w:type="dxa"/>
            <w:tcBorders>
              <w:top w:val="single" w:color="000000" w:sz="4" w:space="0"/>
              <w:left w:val="single" w:color="000000" w:sz="4" w:space="0"/>
              <w:bottom w:val="single" w:color="000000" w:sz="4" w:space="0"/>
              <w:right w:val="single" w:color="000000" w:sz="4" w:space="0"/>
            </w:tcBorders>
            <w:vAlign w:val="center"/>
          </w:tcPr>
          <w:p>
            <w:pPr>
              <w:pStyle w:val="113"/>
              <w:adjustRightInd w:val="0"/>
              <w:snapToGrid w:val="0"/>
              <w:spacing w:line="360" w:lineRule="auto"/>
              <w:ind w:left="583" w:firstLine="480"/>
              <w:jc w:val="center"/>
              <w:rPr>
                <w:rFonts w:ascii="宋体" w:hAnsi="宋体" w:cs="宋体"/>
                <w:color w:val="auto"/>
                <w:sz w:val="21"/>
                <w:szCs w:val="21"/>
                <w:highlight w:val="none"/>
              </w:rPr>
            </w:pPr>
            <w:r>
              <w:rPr>
                <w:rFonts w:hint="eastAsia" w:ascii="宋体" w:hAnsi="宋体" w:cs="宋体"/>
                <w:color w:val="auto"/>
                <w:sz w:val="21"/>
                <w:szCs w:val="21"/>
                <w:highlight w:val="none"/>
              </w:rPr>
              <w:t>高清视频保存天数</w:t>
            </w:r>
          </w:p>
        </w:tc>
        <w:tc>
          <w:tcPr>
            <w:tcW w:w="4001" w:type="dxa"/>
            <w:tcBorders>
              <w:top w:val="single" w:color="000000" w:sz="4" w:space="0"/>
              <w:left w:val="single" w:color="000000" w:sz="4" w:space="0"/>
              <w:bottom w:val="single" w:color="000000" w:sz="4" w:space="0"/>
              <w:right w:val="single" w:color="000000" w:sz="4" w:space="0"/>
            </w:tcBorders>
            <w:vAlign w:val="center"/>
          </w:tcPr>
          <w:p>
            <w:pPr>
              <w:pStyle w:val="113"/>
              <w:adjustRightInd w:val="0"/>
              <w:snapToGrid w:val="0"/>
              <w:spacing w:line="360" w:lineRule="auto"/>
              <w:ind w:left="582" w:firstLine="480"/>
              <w:jc w:val="center"/>
              <w:rPr>
                <w:rFonts w:ascii="宋体" w:hAnsi="宋体" w:cs="宋体"/>
                <w:color w:val="auto"/>
                <w:sz w:val="21"/>
                <w:szCs w:val="21"/>
                <w:highlight w:val="none"/>
              </w:rPr>
            </w:pPr>
            <w:r>
              <w:rPr>
                <w:rFonts w:hint="eastAsia" w:ascii="宋体" w:hAnsi="宋体" w:cs="宋体"/>
                <w:color w:val="auto"/>
                <w:sz w:val="21"/>
                <w:szCs w:val="21"/>
                <w:highlight w:val="none"/>
                <w:lang w:eastAsia="zh-CN"/>
              </w:rPr>
              <w:t>≥30</w:t>
            </w:r>
            <w:r>
              <w:rPr>
                <w:rFonts w:hint="eastAsia" w:ascii="宋体" w:hAnsi="宋体" w:cs="宋体"/>
                <w:color w:val="auto"/>
                <w:sz w:val="21"/>
                <w:szCs w:val="21"/>
                <w:highlight w:val="none"/>
              </w:rPr>
              <w:t>天</w:t>
            </w:r>
          </w:p>
        </w:tc>
      </w:tr>
    </w:tbl>
    <w:p>
      <w:pPr>
        <w:widowControl/>
        <w:adjustRightInd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视频数据（实时视频、录像文件）应与台州市公安局视频作战侦查平台属地区县分平台实现有效对接，卡口数据上传要采用交警局平台分别向台州市公安局属地区县分平台上传模式。（项目履约期间如台州市公安局卡口数据上传模式进行调整，本项目也需相应调整）</w:t>
      </w:r>
    </w:p>
    <w:p>
      <w:pPr>
        <w:pStyle w:val="112"/>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5、统计报表中标单位需以日、月为考核区间对设备运行效能进行综合分析后制作报表提交业主方。</w:t>
      </w:r>
    </w:p>
    <w:p>
      <w:pPr>
        <w:pStyle w:val="5"/>
        <w:tabs>
          <w:tab w:val="left" w:pos="8280"/>
        </w:tabs>
        <w:spacing w:line="360" w:lineRule="auto"/>
        <w:ind w:firstLine="562"/>
        <w:rPr>
          <w:rFonts w:ascii="宋体" w:hAnsi="宋体" w:cs="宋体"/>
          <w:color w:val="auto"/>
          <w:sz w:val="24"/>
          <w:szCs w:val="24"/>
          <w:highlight w:val="none"/>
        </w:rPr>
      </w:pPr>
      <w:r>
        <w:rPr>
          <w:rFonts w:hint="eastAsia" w:ascii="宋体" w:hAnsi="宋体" w:cs="宋体"/>
          <w:color w:val="auto"/>
          <w:sz w:val="24"/>
          <w:szCs w:val="24"/>
          <w:highlight w:val="none"/>
        </w:rPr>
        <w:t>（五）技术规范</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《公共安全视频监控联网系统信息传输、交换、控制技术要求》（GB/T28181-2016）</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《城市监控报警联网系统技术标准》（GA/T 669系列标准）</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《公安信息通信网边界接入平台安全规范（试行）—视频接入部分》（公科信[2011]5号）</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《数据中心设计规范》（</w:t>
      </w:r>
      <w:r>
        <w:rPr>
          <w:color w:val="auto"/>
          <w:highlight w:val="none"/>
        </w:rPr>
        <w:fldChar w:fldCharType="begin"/>
      </w:r>
      <w:r>
        <w:rPr>
          <w:color w:val="auto"/>
          <w:highlight w:val="none"/>
        </w:rPr>
        <w:instrText xml:space="preserve"> HYPERLINK "https://www.baidu.com/link?url=Jbqhw0ZcBWNNc3r4S07SFEnhNwNwBcG7s4YYd6jbll7_BVpEi0jeJR4nuh4BDMbYeVdqQ0S_17xQZgs9ByG2md0O5Q88Lu8JFH_YMy3i92wjCV6vcSHqUBEl-so-7Rzq&amp;wd=&amp;eqid=afb5a7450003d558000000045e1d7a12" \t "https://www.baidu.com/_blank" </w:instrText>
      </w:r>
      <w:r>
        <w:rPr>
          <w:color w:val="auto"/>
          <w:highlight w:val="none"/>
        </w:rPr>
        <w:fldChar w:fldCharType="separate"/>
      </w:r>
      <w:r>
        <w:rPr>
          <w:rFonts w:hint="eastAsia" w:ascii="宋体" w:hAnsi="宋体" w:cs="宋体"/>
          <w:color w:val="auto"/>
          <w:sz w:val="24"/>
          <w:highlight w:val="none"/>
        </w:rPr>
        <w:t>GB50174--2017</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《公共安全视频监控数字视音频编解码技术要求 》（GB/T 25724-2017）</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《安全防范系统通用图形符号》（GA/T 74-2017）</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《安全技术防范（系统）工程检验规范 》（</w:t>
      </w:r>
      <w:r>
        <w:rPr>
          <w:color w:val="auto"/>
          <w:highlight w:val="none"/>
        </w:rPr>
        <w:fldChar w:fldCharType="begin"/>
      </w:r>
      <w:r>
        <w:rPr>
          <w:color w:val="auto"/>
          <w:highlight w:val="none"/>
        </w:rPr>
        <w:instrText xml:space="preserve"> HYPERLINK "http://www.csres.com/detail/249313.html" \t "http://www.csres.com/_blank" </w:instrText>
      </w:r>
      <w:r>
        <w:rPr>
          <w:color w:val="auto"/>
          <w:highlight w:val="none"/>
        </w:rPr>
        <w:fldChar w:fldCharType="separate"/>
      </w:r>
      <w:r>
        <w:rPr>
          <w:rFonts w:hint="eastAsia" w:ascii="宋体" w:hAnsi="宋体" w:cs="宋体"/>
          <w:color w:val="auto"/>
          <w:sz w:val="24"/>
          <w:highlight w:val="none"/>
        </w:rPr>
        <w:t>DB33/T 334-2011</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《公安交通指挥系统建设技术规范》（GA/T 445—2010）</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《道路车辆智能监测记录系统通用技术条件》（GA/T 497-2016）</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《人行横道道路交通安全违法行为监测记录系统通用技术条件》（GA/T1244-2015）</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《机动车测速仪》（GB/T21255—2019）</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《机动车区间测速技术规范》（GB/T959—2011）</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《闯红灯自动记录系统通用技术条件》（GA/T 496—2014）</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《机动车号牌图像自动识别技术规范》（GA/T 833—2016）</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《公安交通管理外场设备基础设施施工通用要求》（GA/T652—2017）</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《道路交通技术监控设备运行维护规范》（GA/1043—2013）</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《道路交通安全违法行为图像取证技术规范》（GA/T 832—2014）</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《道路交通信号灯设置与安装规范》（GB14886—2016）</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《道路交通信号控制机》（GB25280—2016）</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《道路交通信号控制方式》（GA/T 527系列标准）</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《交通技术监控成像补光装置通用技术条件》（GA/T1202—2014）</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《LED道路交通诱导可变信息标志》（GA/T 484-2018）</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《公安交通指挥系统设计规范》（GA/T 515 系列标准）</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《道路交通标志和标线》（GB5768 系列标准）</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《道路交通信号灯》（GB 14887-2011）</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《中华人民共和国机动车号牌》（GA 36-2018）</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《城市道路交通标志和标线设置规范》（GB51038—2015）</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《公安交通管理外场设备基础设施施工通用要求》（GA/T 652—2017）</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《供配电系统设计规范》（GB50052-2009）</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《低压配电系统设计规范》（GB50054-2011）</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《建筑电气工程施工质量验收规范》（GB50303-2015）</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《综合布线系统工程设计规范 》（GB50311-2016）</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《民用闭路监视电视系统工程技术规范》（GB50198-2011）</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《中华人民共和国道路交通安全法》及所有配套法律法规</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 xml:space="preserve">《公路交通安全设施施工技术规范》 </w:t>
      </w:r>
      <w:r>
        <w:rPr>
          <w:color w:val="auto"/>
          <w:highlight w:val="none"/>
        </w:rPr>
        <w:fldChar w:fldCharType="begin"/>
      </w:r>
      <w:r>
        <w:rPr>
          <w:color w:val="auto"/>
          <w:highlight w:val="none"/>
        </w:rPr>
        <w:instrText xml:space="preserve"> HYPERLINK "http://www.csres.com/detail/168012.html" \t "http://www.csres.com/_blank" </w:instrText>
      </w:r>
      <w:r>
        <w:rPr>
          <w:color w:val="auto"/>
          <w:highlight w:val="none"/>
        </w:rPr>
        <w:fldChar w:fldCharType="separate"/>
      </w:r>
      <w:r>
        <w:rPr>
          <w:rFonts w:hint="eastAsia" w:ascii="宋体" w:hAnsi="宋体" w:cs="宋体"/>
          <w:color w:val="auto"/>
          <w:sz w:val="24"/>
          <w:highlight w:val="none"/>
        </w:rPr>
        <w:t>（JTG F71-2006</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《公路交通安全设施设计规范》 （JTG D81-2017）</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《系统接地的型式及安全技术要求》 （GB14050-2008）</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《IP网络技术要求 网络性能参数与指标》 （YD/T 1171-2015）</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《公安视频图像信息应用系统》（GA/T 1400系列标准）</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《浙江省公安机关车辆大数据系统建设技术规范》</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浙江省公安厅科技信息化局《关于加强视频图像信息应用体系建设的通知》</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浙江省公安厅科技信息化局《关于开展视频信息联网（共享）平台联网升级工作的通知》</w:t>
      </w:r>
    </w:p>
    <w:p>
      <w:pPr>
        <w:spacing w:line="360" w:lineRule="auto"/>
        <w:ind w:firstLine="480"/>
        <w:rPr>
          <w:rFonts w:ascii="宋体" w:hAnsi="宋体" w:cs="宋体"/>
          <w:color w:val="auto"/>
          <w:highlight w:val="none"/>
        </w:rPr>
      </w:pPr>
      <w:r>
        <w:rPr>
          <w:rFonts w:hint="eastAsia" w:ascii="宋体" w:hAnsi="宋体" w:cs="宋体"/>
          <w:color w:val="auto"/>
          <w:sz w:val="24"/>
          <w:highlight w:val="none"/>
        </w:rPr>
        <w:t>国家、地方政府相关规定、规范和行业的标准要求等。</w:t>
      </w:r>
    </w:p>
    <w:p>
      <w:pPr>
        <w:pStyle w:val="4"/>
        <w:numPr>
          <w:ilvl w:val="0"/>
          <w:numId w:val="10"/>
        </w:numPr>
        <w:tabs>
          <w:tab w:val="left" w:pos="8280"/>
        </w:tabs>
        <w:snapToGrid w:val="0"/>
        <w:spacing w:line="360" w:lineRule="auto"/>
        <w:rPr>
          <w:rStyle w:val="114"/>
          <w:rFonts w:ascii="宋体" w:hAnsi="宋体" w:eastAsia="宋体" w:cs="宋体"/>
          <w:color w:val="auto"/>
          <w:highlight w:val="none"/>
        </w:rPr>
      </w:pPr>
      <w:r>
        <w:rPr>
          <w:rFonts w:hint="eastAsia" w:ascii="宋体" w:hAnsi="宋体" w:eastAsia="宋体" w:cs="宋体"/>
          <w:color w:val="auto"/>
          <w:sz w:val="24"/>
          <w:szCs w:val="24"/>
          <w:highlight w:val="none"/>
        </w:rPr>
        <w:t>主要系统建设技术要求</w:t>
      </w:r>
      <w:r>
        <w:rPr>
          <w:rStyle w:val="114"/>
          <w:rFonts w:hint="eastAsia" w:ascii="宋体" w:hAnsi="宋体" w:eastAsia="宋体" w:cs="宋体"/>
          <w:color w:val="auto"/>
          <w:highlight w:val="none"/>
        </w:rPr>
        <w:t>：</w:t>
      </w:r>
    </w:p>
    <w:p>
      <w:pPr>
        <w:pStyle w:val="4"/>
        <w:tabs>
          <w:tab w:val="left" w:pos="8280"/>
        </w:tabs>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1.电子警察</w:t>
      </w:r>
      <w:r>
        <w:rPr>
          <w:rStyle w:val="114"/>
          <w:rFonts w:hint="eastAsia" w:ascii="宋体" w:hAnsi="宋体" w:eastAsia="宋体" w:cs="宋体"/>
          <w:color w:val="auto"/>
          <w:highlight w:val="none"/>
        </w:rPr>
        <w:t>系统</w:t>
      </w:r>
      <w:r>
        <w:rPr>
          <w:rFonts w:hint="eastAsia" w:ascii="宋体" w:hAnsi="宋体" w:eastAsia="宋体" w:cs="宋体"/>
          <w:color w:val="auto"/>
          <w:sz w:val="24"/>
          <w:szCs w:val="24"/>
          <w:highlight w:val="none"/>
        </w:rPr>
        <w:t>要求</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通过电子警察的建设能够实现全天候抓拍闯红灯、不按导向车道行驶、路口逆行、单行线逆行、路口滞留、越线停车、左转不让直行、右转不让左转、掉头不让直行、机动车占用非机动车道、违规占用专用车道、不礼让行人、开车打电话、不系安全带、非机动车载人、非机动车逆行、闯禁令等一系列违法行为。</w:t>
      </w:r>
    </w:p>
    <w:p>
      <w:pPr>
        <w:spacing w:line="360" w:lineRule="auto"/>
        <w:ind w:firstLine="480"/>
        <w:outlineLvl w:val="4"/>
        <w:rPr>
          <w:rFonts w:ascii="宋体" w:hAnsi="宋体" w:cs="宋体"/>
          <w:b/>
          <w:bCs/>
          <w:color w:val="auto"/>
          <w:sz w:val="24"/>
          <w:highlight w:val="none"/>
        </w:rPr>
      </w:pPr>
      <w:r>
        <w:rPr>
          <w:rFonts w:hint="eastAsia" w:ascii="宋体" w:hAnsi="宋体" w:cs="宋体"/>
          <w:b/>
          <w:bCs/>
          <w:color w:val="auto"/>
          <w:sz w:val="24"/>
          <w:highlight w:val="none"/>
        </w:rPr>
        <w:t>（1）闯红灯行为捕获功能</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能对闯红灯交通违法行为进行抓拍，且必须符合《闯红灯自动记录系统通用技术条件（GA/T 496-2014）》和《道路交通安全违法行为图像取证技术规范（GA/T 832-2014）》的相关技术要求,确保违法特征要素齐全，执法证据可信、有效。</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应采用多相位红灯信号接口，可根据不同车道设置红灯信号和组合红灯信号。高清抓拍摄像机应有红灯电源同步控制功能，保证闯红灯状态下车道对应红灯相位与摄像机拍摄保持同步。红绿灯信号线要单独接出，不得多方向并线，以适应信号灯配时方案的调整。</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提供GA/T 496-2014《闯红灯自动记录系统通用技术条件》的检测报告中技术指标作为衡量是否满足要求的依据。</w:t>
      </w:r>
    </w:p>
    <w:p>
      <w:pPr>
        <w:spacing w:line="360" w:lineRule="auto"/>
        <w:ind w:firstLine="480"/>
        <w:outlineLvl w:val="4"/>
        <w:rPr>
          <w:rFonts w:ascii="宋体" w:hAnsi="宋体" w:cs="宋体"/>
          <w:b/>
          <w:bCs/>
          <w:color w:val="auto"/>
          <w:sz w:val="24"/>
          <w:highlight w:val="none"/>
        </w:rPr>
      </w:pPr>
      <w:r>
        <w:rPr>
          <w:rFonts w:hint="eastAsia" w:ascii="宋体" w:hAnsi="宋体" w:cs="宋体"/>
          <w:b/>
          <w:bCs/>
          <w:color w:val="auto"/>
          <w:sz w:val="24"/>
          <w:highlight w:val="none"/>
        </w:rPr>
        <w:t>（2）交通违法行为捕获功能</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除对闯红灯交通违法行为进行抓拍以外，电子警察还应能捕获以下类型的交通违法行为：</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1）不按导向车道行驶</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2）路口逆行、单行线逆行</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3）实线变道</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4）支持路口滞留、越线停车、左转不让直行、右转不让左转、掉头不让直行等行为抓拍</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5）机动车占用非机动车道、违法规定占用专用车道、支持不礼让行人抓拍</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6）支持开车打电话以及不系安全带违法行为的捕获，支持人脸与车牌、车辆关联显示</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7）支持二、三轮车载人、非机动车逆行、不戴安全头盔、闯红灯、越线停车等功能检测</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8）支持货车、拖拉机、农用车等车辆驶入禁行区域的抓拍；</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9）其他交通违法行为的捕获</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10）车辆捕获功能</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11）支持多拍过滤功能，在可设置的时间段内多次经过的车辆只抓拍一次</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12）支持设备安全接入功能，设备只能被管理平台控制，不能通过其他方式登录或者控制设备</w:t>
      </w:r>
    </w:p>
    <w:p>
      <w:pPr>
        <w:spacing w:line="360" w:lineRule="auto"/>
        <w:ind w:firstLine="480"/>
        <w:outlineLvl w:val="4"/>
        <w:rPr>
          <w:rFonts w:ascii="宋体" w:hAnsi="宋体" w:cs="宋体"/>
          <w:b/>
          <w:bCs/>
          <w:color w:val="auto"/>
          <w:sz w:val="24"/>
          <w:highlight w:val="none"/>
        </w:rPr>
      </w:pPr>
      <w:r>
        <w:rPr>
          <w:rFonts w:hint="eastAsia" w:ascii="宋体" w:hAnsi="宋体" w:cs="宋体"/>
          <w:b/>
          <w:bCs/>
          <w:color w:val="auto"/>
          <w:sz w:val="24"/>
          <w:highlight w:val="none"/>
        </w:rPr>
        <w:t>（3）高清照片抓拍功能</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抓拍的900万像素高清照片图片格式为JPEG/24bit。照片上应叠加时间、地点、方向、车牌号码、车牌颜色等信息。</w:t>
      </w:r>
    </w:p>
    <w:p>
      <w:pPr>
        <w:spacing w:line="360" w:lineRule="auto"/>
        <w:ind w:firstLine="480"/>
        <w:outlineLvl w:val="4"/>
        <w:rPr>
          <w:rFonts w:ascii="宋体" w:hAnsi="宋体" w:cs="宋体"/>
          <w:b/>
          <w:bCs/>
          <w:color w:val="auto"/>
          <w:sz w:val="24"/>
          <w:highlight w:val="none"/>
        </w:rPr>
      </w:pPr>
      <w:r>
        <w:rPr>
          <w:rFonts w:hint="eastAsia" w:ascii="宋体" w:hAnsi="宋体" w:cs="宋体"/>
          <w:b/>
          <w:bCs/>
          <w:color w:val="auto"/>
          <w:sz w:val="24"/>
          <w:highlight w:val="none"/>
        </w:rPr>
        <w:t>（4）驾驶人面部特征记录</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应能记录机动车闯红灯行为对应驾驶人面部特征的图片，驾驶人面部的分辨率应不小于50×50像素点（依据《闯红灯自动记录系统通用技术条件（GA/T 496-2014）》标准规定），作为认定机动车闯红灯违法驾驶人的参考资料。</w:t>
      </w:r>
    </w:p>
    <w:p>
      <w:pPr>
        <w:spacing w:line="360" w:lineRule="auto"/>
        <w:ind w:firstLine="480"/>
        <w:outlineLvl w:val="4"/>
        <w:rPr>
          <w:rFonts w:ascii="宋体" w:hAnsi="宋体" w:cs="宋体"/>
          <w:b/>
          <w:bCs/>
          <w:color w:val="auto"/>
          <w:sz w:val="24"/>
          <w:highlight w:val="none"/>
        </w:rPr>
      </w:pPr>
      <w:r>
        <w:rPr>
          <w:rFonts w:hint="eastAsia" w:ascii="宋体" w:hAnsi="宋体" w:cs="宋体"/>
          <w:b/>
          <w:bCs/>
          <w:color w:val="auto"/>
          <w:sz w:val="24"/>
          <w:highlight w:val="none"/>
        </w:rPr>
        <w:t>（5）高清照片防篡改功能</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抓拍的高清照片应叠加不可见水印的方式实现图片防篡改功能。利用水印验证工具能验证高清照片是否被篡改。</w:t>
      </w:r>
    </w:p>
    <w:p>
      <w:pPr>
        <w:spacing w:line="360" w:lineRule="auto"/>
        <w:ind w:firstLine="480"/>
        <w:outlineLvl w:val="4"/>
        <w:rPr>
          <w:rFonts w:ascii="宋体" w:hAnsi="宋体" w:cs="宋体"/>
          <w:b/>
          <w:bCs/>
          <w:color w:val="auto"/>
          <w:sz w:val="24"/>
          <w:highlight w:val="none"/>
        </w:rPr>
      </w:pPr>
      <w:r>
        <w:rPr>
          <w:rFonts w:hint="eastAsia" w:ascii="宋体" w:hAnsi="宋体" w:cs="宋体"/>
          <w:b/>
          <w:bCs/>
          <w:color w:val="auto"/>
          <w:sz w:val="24"/>
          <w:highlight w:val="none"/>
        </w:rPr>
        <w:t>（6）交通流量数据检测</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新型电子警察前端还应具备交通流量基本数据检测，通过光纤网络传输到辖区大队中心机房存储。</w:t>
      </w:r>
    </w:p>
    <w:p>
      <w:pPr>
        <w:spacing w:line="360" w:lineRule="auto"/>
        <w:ind w:firstLine="480"/>
        <w:outlineLvl w:val="4"/>
        <w:rPr>
          <w:rFonts w:ascii="宋体" w:hAnsi="宋体" w:cs="宋体"/>
          <w:b/>
          <w:bCs/>
          <w:color w:val="auto"/>
          <w:sz w:val="24"/>
          <w:highlight w:val="none"/>
        </w:rPr>
      </w:pPr>
      <w:r>
        <w:rPr>
          <w:rFonts w:hint="eastAsia" w:ascii="宋体" w:hAnsi="宋体" w:cs="宋体"/>
          <w:b/>
          <w:bCs/>
          <w:color w:val="auto"/>
          <w:sz w:val="24"/>
          <w:highlight w:val="none"/>
        </w:rPr>
        <w:t>（7）通行记录</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能够对通过监控点视频检测分析区域的机动车进行自动记录，抓拍1张照片并生成一条机动车通行记录（包括车身图片、号牌、通行时间、通行地点、方向、车型）。</w:t>
      </w:r>
    </w:p>
    <w:p>
      <w:pPr>
        <w:spacing w:line="360" w:lineRule="auto"/>
        <w:ind w:firstLine="480"/>
        <w:outlineLvl w:val="4"/>
        <w:rPr>
          <w:rFonts w:ascii="宋体" w:hAnsi="宋体" w:cs="宋体"/>
          <w:b/>
          <w:bCs/>
          <w:color w:val="auto"/>
          <w:sz w:val="24"/>
          <w:highlight w:val="none"/>
        </w:rPr>
      </w:pPr>
      <w:r>
        <w:rPr>
          <w:rFonts w:hint="eastAsia" w:ascii="宋体" w:hAnsi="宋体" w:cs="宋体"/>
          <w:b/>
          <w:bCs/>
          <w:color w:val="auto"/>
          <w:sz w:val="24"/>
          <w:highlight w:val="none"/>
        </w:rPr>
        <w:t>（8）全时录像功能</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前端设备应具备一周7×24小时的全时录像功能，实时传往中心，可以通过网络远程调阅，并可在前端缓存。</w:t>
      </w:r>
    </w:p>
    <w:p>
      <w:pPr>
        <w:spacing w:line="360" w:lineRule="auto"/>
        <w:ind w:firstLine="480"/>
        <w:outlineLvl w:val="4"/>
        <w:rPr>
          <w:rFonts w:ascii="宋体" w:hAnsi="宋体" w:cs="宋体"/>
          <w:b/>
          <w:bCs/>
          <w:color w:val="auto"/>
          <w:sz w:val="24"/>
          <w:highlight w:val="none"/>
        </w:rPr>
      </w:pPr>
      <w:r>
        <w:rPr>
          <w:rFonts w:hint="eastAsia" w:ascii="宋体" w:hAnsi="宋体" w:cs="宋体"/>
          <w:b/>
          <w:bCs/>
          <w:color w:val="auto"/>
          <w:sz w:val="24"/>
          <w:highlight w:val="none"/>
        </w:rPr>
        <w:t>（9）前端数据缓存功能</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电警、卡口前端控制主机应采用嵌入式设计，配备不少于4个SATA硬盘接口，标配硬盘容量≥4TB，最大可扩容至不少于16TB。</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高清抓拍摄像机应具备保存短期数据功能，前端摄像机存储容量≥32GB。</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电警、卡口前端控制主机应具备数据分类管理功能，可为数据信息、图片及视频独立分配存储空间。</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要求采用以下缓存机制：电警控制主机与中心系统的通信链路工作正常时，记录信息应经电警控制主机上传中心系统；当通信链路发生故障时，记录信息缓存在电警控制主机硬盘内，当通信链路恢复正常后，缓存在硬盘的记录信息应自动补录到中心系统。</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高清抓拍摄像机在抓拍高清照片的同时，应能输出高清视频码流，码流格式为H.264、H.265或以上。高清视频码流应能保存在电警前端控制主机，不允许额外添置DVR或NVR。</w:t>
      </w:r>
    </w:p>
    <w:p>
      <w:pPr>
        <w:spacing w:line="360" w:lineRule="auto"/>
        <w:ind w:firstLine="480"/>
        <w:outlineLvl w:val="4"/>
        <w:rPr>
          <w:rFonts w:ascii="宋体" w:hAnsi="宋体" w:cs="宋体"/>
          <w:b/>
          <w:bCs/>
          <w:color w:val="auto"/>
          <w:sz w:val="24"/>
          <w:highlight w:val="none"/>
        </w:rPr>
      </w:pPr>
      <w:r>
        <w:rPr>
          <w:rFonts w:hint="eastAsia" w:ascii="宋体" w:hAnsi="宋体" w:cs="宋体"/>
          <w:b/>
          <w:bCs/>
          <w:color w:val="auto"/>
          <w:sz w:val="24"/>
          <w:highlight w:val="none"/>
        </w:rPr>
        <w:t>（10）防雷抗风要求</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应具备外部和内部二级避雷措施，符合当地沿海最高等级抗风要求。</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（11）补光设备</w:t>
      </w:r>
    </w:p>
    <w:p>
      <w:pPr>
        <w:spacing w:line="360" w:lineRule="auto"/>
        <w:ind w:firstLine="482"/>
        <w:rPr>
          <w:rFonts w:ascii="宋体" w:hAnsi="宋体" w:cs="宋体"/>
          <w:b/>
          <w:color w:val="auto"/>
          <w:sz w:val="24"/>
          <w:highlight w:val="none"/>
        </w:rPr>
      </w:pPr>
      <w:r>
        <w:rPr>
          <w:rFonts w:hint="eastAsia" w:ascii="宋体" w:hAnsi="宋体" w:cs="宋体"/>
          <w:bCs/>
          <w:color w:val="auto"/>
          <w:sz w:val="24"/>
          <w:highlight w:val="none"/>
        </w:rPr>
        <w:t>电子警察抓拍的视频和图片在符合处罚要求的前提，从环保及减少光污染角度出发，建议使用环境光进行自然补光，尽量减少道路上的光污染源。</w:t>
      </w:r>
      <w:r>
        <w:rPr>
          <w:rFonts w:hint="eastAsia" w:ascii="宋体" w:hAnsi="宋体" w:cs="宋体"/>
          <w:b/>
          <w:color w:val="auto"/>
          <w:sz w:val="24"/>
          <w:highlight w:val="none"/>
        </w:rPr>
        <w:t xml:space="preserve"> </w:t>
      </w:r>
    </w:p>
    <w:p>
      <w:pPr>
        <w:spacing w:line="360" w:lineRule="auto"/>
        <w:ind w:firstLine="482"/>
        <w:rPr>
          <w:rFonts w:ascii="宋体" w:hAnsi="宋体" w:cs="宋体"/>
          <w:color w:val="auto"/>
          <w:sz w:val="24"/>
          <w:highlight w:val="none"/>
        </w:rPr>
      </w:pPr>
      <w:r>
        <w:rPr>
          <w:rFonts w:hint="eastAsia" w:ascii="宋体" w:hAnsi="宋体" w:cs="宋体"/>
          <w:b/>
          <w:color w:val="auto"/>
          <w:sz w:val="24"/>
          <w:highlight w:val="none"/>
        </w:rPr>
        <w:t>（12）</w:t>
      </w:r>
      <w:r>
        <w:rPr>
          <w:rFonts w:hint="eastAsia" w:ascii="宋体" w:hAnsi="宋体" w:cs="宋体"/>
          <w:b/>
          <w:bCs/>
          <w:color w:val="auto"/>
          <w:sz w:val="24"/>
          <w:highlight w:val="none"/>
        </w:rPr>
        <w:t>主要技术指标</w:t>
      </w:r>
    </w:p>
    <w:p>
      <w:pPr>
        <w:pStyle w:val="17"/>
        <w:rPr>
          <w:rFonts w:ascii="宋体" w:hAnsi="宋体" w:cs="宋体"/>
          <w:color w:val="auto"/>
          <w:highlight w:val="none"/>
        </w:rPr>
      </w:pPr>
    </w:p>
    <w:tbl>
      <w:tblPr>
        <w:tblStyle w:val="35"/>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42"/>
        <w:gridCol w:w="1869"/>
        <w:gridCol w:w="4163"/>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2311" w:type="dxa"/>
            <w:gridSpan w:val="2"/>
            <w:vAlign w:val="center"/>
          </w:tcPr>
          <w:p>
            <w:pPr>
              <w:pStyle w:val="17"/>
              <w:rPr>
                <w:rFonts w:ascii="宋体" w:hAnsi="宋体" w:cs="宋体"/>
                <w:b/>
                <w:bCs/>
                <w:color w:val="auto"/>
                <w:highlight w:val="none"/>
                <w:lang w:val="zh-CN"/>
              </w:rPr>
            </w:pPr>
            <w:r>
              <w:rPr>
                <w:rFonts w:hint="eastAsia" w:ascii="宋体" w:hAnsi="宋体" w:cs="宋体"/>
                <w:b/>
                <w:bCs/>
                <w:color w:val="auto"/>
                <w:highlight w:val="none"/>
                <w:lang w:val="zh-CN"/>
              </w:rPr>
              <w:t>闯红灯功能基本要求</w:t>
            </w:r>
          </w:p>
        </w:tc>
        <w:tc>
          <w:tcPr>
            <w:tcW w:w="4163" w:type="dxa"/>
            <w:vAlign w:val="center"/>
          </w:tcPr>
          <w:p>
            <w:pPr>
              <w:pStyle w:val="17"/>
              <w:rPr>
                <w:rFonts w:ascii="宋体" w:hAnsi="宋体" w:cs="宋体"/>
                <w:b/>
                <w:bCs/>
                <w:color w:val="auto"/>
                <w:highlight w:val="none"/>
                <w:lang w:val="zh-CN"/>
              </w:rPr>
            </w:pPr>
            <w:r>
              <w:rPr>
                <w:rFonts w:hint="eastAsia" w:ascii="宋体" w:hAnsi="宋体" w:cs="宋体"/>
                <w:b/>
                <w:bCs/>
                <w:color w:val="auto"/>
                <w:highlight w:val="none"/>
                <w:lang w:val="zh-CN"/>
              </w:rPr>
              <w:t>功能和性能指标</w:t>
            </w:r>
          </w:p>
        </w:tc>
        <w:tc>
          <w:tcPr>
            <w:tcW w:w="2248" w:type="dxa"/>
            <w:vAlign w:val="center"/>
          </w:tcPr>
          <w:p>
            <w:pPr>
              <w:pStyle w:val="17"/>
              <w:rPr>
                <w:rFonts w:ascii="宋体" w:hAnsi="宋体" w:cs="宋体"/>
                <w:b/>
                <w:bCs/>
                <w:color w:val="auto"/>
                <w:highlight w:val="none"/>
                <w:lang w:val="zh-CN"/>
              </w:rPr>
            </w:pPr>
            <w:r>
              <w:rPr>
                <w:rFonts w:hint="eastAsia" w:ascii="宋体" w:hAnsi="宋体" w:cs="宋体"/>
                <w:b/>
                <w:bCs/>
                <w:color w:val="auto"/>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1" w:hRule="atLeast"/>
          <w:jc w:val="center"/>
        </w:trPr>
        <w:tc>
          <w:tcPr>
            <w:tcW w:w="442" w:type="dxa"/>
            <w:vAlign w:val="center"/>
          </w:tcPr>
          <w:p>
            <w:pPr>
              <w:pStyle w:val="17"/>
              <w:rPr>
                <w:rFonts w:ascii="宋体" w:hAnsi="宋体" w:cs="宋体"/>
                <w:color w:val="auto"/>
                <w:highlight w:val="none"/>
                <w:lang w:val="zh-CN"/>
              </w:rPr>
            </w:pPr>
            <w:r>
              <w:rPr>
                <w:rFonts w:hint="eastAsia" w:ascii="宋体" w:hAnsi="宋体" w:cs="宋体"/>
                <w:color w:val="auto"/>
                <w:highlight w:val="none"/>
                <w:lang w:val="zh-CN"/>
              </w:rPr>
              <w:t>1</w:t>
            </w:r>
          </w:p>
        </w:tc>
        <w:tc>
          <w:tcPr>
            <w:tcW w:w="1869" w:type="dxa"/>
            <w:vAlign w:val="center"/>
          </w:tcPr>
          <w:p>
            <w:pPr>
              <w:pStyle w:val="17"/>
              <w:rPr>
                <w:rFonts w:ascii="宋体" w:hAnsi="宋体" w:cs="宋体"/>
                <w:color w:val="auto"/>
                <w:highlight w:val="none"/>
                <w:lang w:val="zh-CN"/>
              </w:rPr>
            </w:pPr>
            <w:r>
              <w:rPr>
                <w:rFonts w:hint="eastAsia" w:ascii="宋体" w:hAnsi="宋体" w:cs="宋体"/>
                <w:color w:val="auto"/>
                <w:highlight w:val="none"/>
                <w:lang w:val="zh-CN"/>
              </w:rPr>
              <w:t>违法行为捕获率</w:t>
            </w:r>
          </w:p>
        </w:tc>
        <w:tc>
          <w:tcPr>
            <w:tcW w:w="4163" w:type="dxa"/>
            <w:vAlign w:val="center"/>
          </w:tcPr>
          <w:p>
            <w:pPr>
              <w:pStyle w:val="17"/>
              <w:jc w:val="left"/>
              <w:rPr>
                <w:rFonts w:ascii="宋体" w:hAnsi="宋体" w:cs="宋体"/>
                <w:color w:val="auto"/>
                <w:highlight w:val="none"/>
              </w:rPr>
            </w:pPr>
            <w:r>
              <w:rPr>
                <w:rFonts w:hint="eastAsia" w:ascii="宋体" w:hAnsi="宋体" w:cs="宋体"/>
                <w:color w:val="auto"/>
                <w:highlight w:val="none"/>
              </w:rPr>
              <w:t>有效记录数</w:t>
            </w:r>
            <w:r>
              <w:rPr>
                <w:rStyle w:val="115"/>
                <w:rFonts w:hint="eastAsia" w:ascii="宋体" w:hAnsi="宋体" w:cs="宋体"/>
                <w:color w:val="auto"/>
                <w:highlight w:val="none"/>
              </w:rPr>
              <w:t>与实际闯</w:t>
            </w:r>
            <w:r>
              <w:rPr>
                <w:rFonts w:hint="eastAsia" w:ascii="宋体" w:hAnsi="宋体" w:cs="宋体"/>
                <w:color w:val="auto"/>
                <w:highlight w:val="none"/>
              </w:rPr>
              <w:t>红灯记录数之比。在标注的适用条件下，闯红灯捕获率应不小于90％。</w:t>
            </w:r>
          </w:p>
        </w:tc>
        <w:tc>
          <w:tcPr>
            <w:tcW w:w="2248" w:type="dxa"/>
            <w:vAlign w:val="center"/>
          </w:tcPr>
          <w:p>
            <w:pPr>
              <w:pStyle w:val="17"/>
              <w:rPr>
                <w:rFonts w:ascii="宋体" w:hAnsi="宋体" w:cs="宋体"/>
                <w:color w:val="auto"/>
                <w:highlight w:val="none"/>
                <w:lang w:val="zh-CN"/>
              </w:rPr>
            </w:pPr>
            <w:r>
              <w:rPr>
                <w:rFonts w:hint="eastAsia" w:ascii="宋体" w:hAnsi="宋体" w:cs="宋体"/>
                <w:color w:val="auto"/>
                <w:highlight w:val="none"/>
              </w:rPr>
              <w:t>GA/T 496–2014《闯红灯自动记录系统通用技术条件》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442" w:type="dxa"/>
            <w:vAlign w:val="center"/>
          </w:tcPr>
          <w:p>
            <w:pPr>
              <w:pStyle w:val="17"/>
              <w:rPr>
                <w:rFonts w:ascii="宋体" w:hAnsi="宋体" w:cs="宋体"/>
                <w:color w:val="auto"/>
                <w:highlight w:val="none"/>
                <w:lang w:val="zh-CN"/>
              </w:rPr>
            </w:pPr>
            <w:r>
              <w:rPr>
                <w:rFonts w:hint="eastAsia" w:ascii="宋体" w:hAnsi="宋体" w:cs="宋体"/>
                <w:color w:val="auto"/>
                <w:highlight w:val="none"/>
                <w:lang w:val="zh-CN"/>
              </w:rPr>
              <w:t>2</w:t>
            </w:r>
          </w:p>
        </w:tc>
        <w:tc>
          <w:tcPr>
            <w:tcW w:w="1869" w:type="dxa"/>
            <w:vAlign w:val="center"/>
          </w:tcPr>
          <w:p>
            <w:pPr>
              <w:pStyle w:val="17"/>
              <w:rPr>
                <w:rFonts w:ascii="宋体" w:hAnsi="宋体" w:cs="宋体"/>
                <w:color w:val="auto"/>
                <w:highlight w:val="none"/>
                <w:lang w:val="zh-CN"/>
              </w:rPr>
            </w:pPr>
            <w:r>
              <w:rPr>
                <w:rFonts w:hint="eastAsia" w:ascii="宋体" w:hAnsi="宋体" w:cs="宋体"/>
                <w:color w:val="auto"/>
                <w:highlight w:val="none"/>
                <w:lang w:val="zh-CN"/>
              </w:rPr>
              <w:t>违法行为记录有效率</w:t>
            </w:r>
          </w:p>
        </w:tc>
        <w:tc>
          <w:tcPr>
            <w:tcW w:w="4163" w:type="dxa"/>
            <w:vAlign w:val="center"/>
          </w:tcPr>
          <w:p>
            <w:pPr>
              <w:pStyle w:val="17"/>
              <w:jc w:val="left"/>
              <w:rPr>
                <w:rFonts w:ascii="宋体" w:hAnsi="宋体" w:cs="宋体"/>
                <w:color w:val="auto"/>
                <w:highlight w:val="none"/>
              </w:rPr>
            </w:pPr>
            <w:r>
              <w:rPr>
                <w:rFonts w:hint="eastAsia" w:ascii="宋体" w:hAnsi="宋体" w:cs="宋体"/>
                <w:color w:val="auto"/>
                <w:highlight w:val="none"/>
              </w:rPr>
              <w:t>在标注的适用条件下，记录有效率应不小于80％。</w:t>
            </w:r>
          </w:p>
        </w:tc>
        <w:tc>
          <w:tcPr>
            <w:tcW w:w="2248" w:type="dxa"/>
            <w:vAlign w:val="center"/>
          </w:tcPr>
          <w:p>
            <w:pPr>
              <w:pStyle w:val="17"/>
              <w:rPr>
                <w:rFonts w:ascii="宋体" w:hAnsi="宋体" w:cs="宋体"/>
                <w:color w:val="auto"/>
                <w:highlight w:val="none"/>
                <w:lang w:val="zh-CN"/>
              </w:rPr>
            </w:pPr>
            <w:r>
              <w:rPr>
                <w:rFonts w:hint="eastAsia" w:ascii="宋体" w:hAnsi="宋体" w:cs="宋体"/>
                <w:color w:val="auto"/>
                <w:highlight w:val="none"/>
              </w:rPr>
              <w:t>GA/T 496–2014《闯红灯自动记录系统通用技术条件》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442" w:type="dxa"/>
            <w:vAlign w:val="center"/>
          </w:tcPr>
          <w:p>
            <w:pPr>
              <w:pStyle w:val="17"/>
              <w:rPr>
                <w:rFonts w:ascii="宋体" w:hAnsi="宋体" w:cs="宋体"/>
                <w:color w:val="auto"/>
                <w:highlight w:val="none"/>
                <w:lang w:val="zh-CN"/>
              </w:rPr>
            </w:pPr>
            <w:r>
              <w:rPr>
                <w:rFonts w:hint="eastAsia" w:ascii="宋体" w:hAnsi="宋体" w:cs="宋体"/>
                <w:color w:val="auto"/>
                <w:highlight w:val="none"/>
                <w:lang w:val="zh-CN"/>
              </w:rPr>
              <w:t>3</w:t>
            </w:r>
          </w:p>
        </w:tc>
        <w:tc>
          <w:tcPr>
            <w:tcW w:w="1869" w:type="dxa"/>
            <w:vAlign w:val="center"/>
          </w:tcPr>
          <w:p>
            <w:pPr>
              <w:pStyle w:val="17"/>
              <w:rPr>
                <w:rFonts w:ascii="宋体" w:hAnsi="宋体" w:cs="宋体"/>
                <w:color w:val="auto"/>
                <w:highlight w:val="none"/>
                <w:lang w:val="zh-CN"/>
              </w:rPr>
            </w:pPr>
            <w:r>
              <w:rPr>
                <w:rFonts w:hint="eastAsia" w:ascii="宋体" w:hAnsi="宋体" w:cs="宋体"/>
                <w:color w:val="auto"/>
                <w:highlight w:val="none"/>
                <w:lang w:val="zh-CN"/>
              </w:rPr>
              <w:t>计时误差</w:t>
            </w:r>
          </w:p>
        </w:tc>
        <w:tc>
          <w:tcPr>
            <w:tcW w:w="4163" w:type="dxa"/>
            <w:vAlign w:val="center"/>
          </w:tcPr>
          <w:p>
            <w:pPr>
              <w:pStyle w:val="116"/>
              <w:jc w:val="left"/>
              <w:rPr>
                <w:rFonts w:ascii="宋体" w:hAnsi="宋体" w:cs="宋体"/>
                <w:color w:val="auto"/>
                <w:highlight w:val="none"/>
              </w:rPr>
            </w:pPr>
            <w:r>
              <w:rPr>
                <w:rFonts w:hint="eastAsia" w:ascii="宋体" w:hAnsi="宋体" w:cs="宋体"/>
                <w:color w:val="auto"/>
                <w:highlight w:val="none"/>
              </w:rPr>
              <w:t>闯红灯自动记录单元24h计时误差应不超过1s。</w:t>
            </w:r>
          </w:p>
        </w:tc>
        <w:tc>
          <w:tcPr>
            <w:tcW w:w="2248" w:type="dxa"/>
            <w:vAlign w:val="center"/>
          </w:tcPr>
          <w:p>
            <w:pPr>
              <w:pStyle w:val="17"/>
              <w:rPr>
                <w:rFonts w:ascii="宋体" w:hAnsi="宋体" w:cs="宋体"/>
                <w:color w:val="auto"/>
                <w:highlight w:val="none"/>
                <w:lang w:val="zh-CN"/>
              </w:rPr>
            </w:pPr>
            <w:r>
              <w:rPr>
                <w:rFonts w:hint="eastAsia" w:ascii="宋体" w:hAnsi="宋体" w:cs="宋体"/>
                <w:color w:val="auto"/>
                <w:highlight w:val="none"/>
              </w:rPr>
              <w:t>GA/T 496–2014《闯红灯自动记录系统通用技术条件》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9" w:hRule="atLeast"/>
          <w:jc w:val="center"/>
        </w:trPr>
        <w:tc>
          <w:tcPr>
            <w:tcW w:w="442" w:type="dxa"/>
            <w:vAlign w:val="center"/>
          </w:tcPr>
          <w:p>
            <w:pPr>
              <w:pStyle w:val="17"/>
              <w:rPr>
                <w:rFonts w:ascii="宋体" w:hAnsi="宋体" w:cs="宋体"/>
                <w:color w:val="auto"/>
                <w:highlight w:val="none"/>
                <w:lang w:val="zh-CN"/>
              </w:rPr>
            </w:pPr>
            <w:r>
              <w:rPr>
                <w:rFonts w:hint="eastAsia" w:ascii="宋体" w:hAnsi="宋体" w:cs="宋体"/>
                <w:color w:val="auto"/>
                <w:highlight w:val="none"/>
                <w:lang w:val="zh-CN"/>
              </w:rPr>
              <w:t>4</w:t>
            </w:r>
          </w:p>
        </w:tc>
        <w:tc>
          <w:tcPr>
            <w:tcW w:w="1869" w:type="dxa"/>
            <w:vAlign w:val="center"/>
          </w:tcPr>
          <w:p>
            <w:pPr>
              <w:pStyle w:val="17"/>
              <w:rPr>
                <w:rFonts w:ascii="宋体" w:hAnsi="宋体" w:cs="宋体"/>
                <w:color w:val="auto"/>
                <w:highlight w:val="none"/>
                <w:lang w:val="zh-CN"/>
              </w:rPr>
            </w:pPr>
            <w:r>
              <w:rPr>
                <w:rFonts w:hint="eastAsia" w:ascii="宋体" w:hAnsi="宋体" w:cs="宋体"/>
                <w:color w:val="auto"/>
                <w:highlight w:val="none"/>
                <w:lang w:val="zh-CN"/>
              </w:rPr>
              <w:t>数据传输</w:t>
            </w:r>
          </w:p>
        </w:tc>
        <w:tc>
          <w:tcPr>
            <w:tcW w:w="4163" w:type="dxa"/>
            <w:vAlign w:val="center"/>
          </w:tcPr>
          <w:p>
            <w:pPr>
              <w:pStyle w:val="17"/>
              <w:jc w:val="left"/>
              <w:rPr>
                <w:rFonts w:ascii="宋体" w:hAnsi="宋体" w:cs="宋体"/>
                <w:color w:val="auto"/>
                <w:highlight w:val="none"/>
              </w:rPr>
            </w:pPr>
            <w:r>
              <w:rPr>
                <w:rFonts w:hint="eastAsia" w:ascii="宋体" w:hAnsi="宋体" w:cs="宋体"/>
                <w:color w:val="auto"/>
                <w:highlight w:val="none"/>
              </w:rPr>
              <w:t>闯红灯自动记录单元应具备联网数据传输或现场数据下载功能。</w:t>
            </w:r>
          </w:p>
          <w:p>
            <w:pPr>
              <w:pStyle w:val="17"/>
              <w:jc w:val="left"/>
              <w:rPr>
                <w:rFonts w:ascii="宋体" w:hAnsi="宋体" w:cs="宋体"/>
                <w:color w:val="auto"/>
                <w:highlight w:val="none"/>
              </w:rPr>
            </w:pPr>
            <w:r>
              <w:rPr>
                <w:rFonts w:hint="eastAsia" w:ascii="宋体" w:hAnsi="宋体" w:cs="宋体"/>
                <w:color w:val="auto"/>
                <w:highlight w:val="none"/>
              </w:rPr>
              <w:t>通过网络将机动车闯红灯信息自动传输到指定数据中心，且信息传输应具有防丢失、防篡改等功能。视频数据传输应符合GB/T 28181-2016《公共安全视频监控联网系统信息传输、交换、控制技术要求 》的要求。</w:t>
            </w:r>
          </w:p>
          <w:p>
            <w:pPr>
              <w:pStyle w:val="17"/>
              <w:jc w:val="left"/>
              <w:rPr>
                <w:rFonts w:ascii="宋体" w:hAnsi="宋体" w:cs="宋体"/>
                <w:color w:val="auto"/>
                <w:highlight w:val="none"/>
              </w:rPr>
            </w:pPr>
            <w:r>
              <w:rPr>
                <w:rFonts w:hint="eastAsia" w:ascii="宋体" w:hAnsi="宋体" w:cs="宋体"/>
                <w:color w:val="auto"/>
                <w:highlight w:val="none"/>
              </w:rPr>
              <w:t>现场将机动车闯红灯信息人工或自动下载到存储介质中后带回数据中心，下载过程不得删改原始信息，且应自动生成下载日志信息，包括下载人、下载时间等信息。</w:t>
            </w:r>
          </w:p>
        </w:tc>
        <w:tc>
          <w:tcPr>
            <w:tcW w:w="2248" w:type="dxa"/>
            <w:vAlign w:val="center"/>
          </w:tcPr>
          <w:p>
            <w:pPr>
              <w:pStyle w:val="17"/>
              <w:rPr>
                <w:rFonts w:ascii="宋体" w:hAnsi="宋体" w:cs="宋体"/>
                <w:color w:val="auto"/>
                <w:highlight w:val="none"/>
                <w:lang w:val="zh-CN"/>
              </w:rPr>
            </w:pPr>
            <w:r>
              <w:rPr>
                <w:rFonts w:hint="eastAsia" w:ascii="宋体" w:hAnsi="宋体" w:cs="宋体"/>
                <w:color w:val="auto"/>
                <w:highlight w:val="none"/>
              </w:rPr>
              <w:t>GA/T 496–2014《闯红灯自动记录系统通用技术条件》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442" w:type="dxa"/>
            <w:vAlign w:val="center"/>
          </w:tcPr>
          <w:p>
            <w:pPr>
              <w:pStyle w:val="17"/>
              <w:rPr>
                <w:rFonts w:ascii="宋体" w:hAnsi="宋体" w:cs="宋体"/>
                <w:color w:val="auto"/>
                <w:highlight w:val="none"/>
                <w:lang w:val="zh-CN"/>
              </w:rPr>
            </w:pPr>
            <w:r>
              <w:rPr>
                <w:rFonts w:hint="eastAsia" w:ascii="宋体" w:hAnsi="宋体" w:cs="宋体"/>
                <w:color w:val="auto"/>
                <w:highlight w:val="none"/>
                <w:lang w:val="zh-CN"/>
              </w:rPr>
              <w:t>5</w:t>
            </w:r>
          </w:p>
        </w:tc>
        <w:tc>
          <w:tcPr>
            <w:tcW w:w="1869" w:type="dxa"/>
            <w:vAlign w:val="center"/>
          </w:tcPr>
          <w:p>
            <w:pPr>
              <w:pStyle w:val="17"/>
              <w:rPr>
                <w:rFonts w:ascii="宋体" w:hAnsi="宋体" w:cs="宋体"/>
                <w:color w:val="auto"/>
                <w:highlight w:val="none"/>
                <w:lang w:val="zh-CN"/>
              </w:rPr>
            </w:pPr>
            <w:r>
              <w:rPr>
                <w:rFonts w:hint="eastAsia" w:ascii="宋体" w:hAnsi="宋体" w:cs="宋体"/>
                <w:color w:val="auto"/>
                <w:highlight w:val="none"/>
                <w:lang w:val="zh-CN"/>
              </w:rPr>
              <w:t>全景车辆图片内容</w:t>
            </w:r>
          </w:p>
        </w:tc>
        <w:tc>
          <w:tcPr>
            <w:tcW w:w="4163" w:type="dxa"/>
            <w:vAlign w:val="center"/>
          </w:tcPr>
          <w:p>
            <w:pPr>
              <w:pStyle w:val="17"/>
              <w:jc w:val="left"/>
              <w:rPr>
                <w:rFonts w:ascii="宋体" w:hAnsi="宋体" w:cs="宋体"/>
                <w:color w:val="auto"/>
                <w:highlight w:val="none"/>
                <w:lang w:val="zh-CN"/>
              </w:rPr>
            </w:pPr>
            <w:r>
              <w:rPr>
                <w:rFonts w:hint="eastAsia" w:ascii="宋体" w:hAnsi="宋体" w:cs="宋体"/>
                <w:color w:val="auto"/>
                <w:highlight w:val="none"/>
                <w:lang w:val="zh-CN"/>
              </w:rPr>
              <w:t>看清车牌、车型特征、停车线、信号灯</w:t>
            </w:r>
          </w:p>
        </w:tc>
        <w:tc>
          <w:tcPr>
            <w:tcW w:w="2248" w:type="dxa"/>
            <w:vAlign w:val="center"/>
          </w:tcPr>
          <w:p>
            <w:pPr>
              <w:pStyle w:val="17"/>
              <w:rPr>
                <w:rFonts w:ascii="宋体" w:hAnsi="宋体" w:cs="宋体"/>
                <w:color w:val="auto"/>
                <w:highlight w:val="none"/>
                <w:lang w:val="zh-CN"/>
              </w:rPr>
            </w:pPr>
            <w:r>
              <w:rPr>
                <w:rFonts w:hint="eastAsia" w:ascii="宋体" w:hAnsi="宋体" w:cs="宋体"/>
                <w:color w:val="auto"/>
                <w:highlight w:val="none"/>
              </w:rPr>
              <w:t>GA/T 496–2014《闯红灯自动记录系统通用技术条件》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442" w:type="dxa"/>
            <w:vAlign w:val="center"/>
          </w:tcPr>
          <w:p>
            <w:pPr>
              <w:pStyle w:val="17"/>
              <w:rPr>
                <w:rFonts w:ascii="宋体" w:hAnsi="宋体" w:cs="宋体"/>
                <w:color w:val="auto"/>
                <w:highlight w:val="none"/>
                <w:lang w:val="zh-CN"/>
              </w:rPr>
            </w:pPr>
            <w:r>
              <w:rPr>
                <w:rFonts w:hint="eastAsia" w:ascii="宋体" w:hAnsi="宋体" w:cs="宋体"/>
                <w:color w:val="auto"/>
                <w:highlight w:val="none"/>
                <w:lang w:val="zh-CN"/>
              </w:rPr>
              <w:t>6</w:t>
            </w:r>
          </w:p>
        </w:tc>
        <w:tc>
          <w:tcPr>
            <w:tcW w:w="1869" w:type="dxa"/>
            <w:vAlign w:val="center"/>
          </w:tcPr>
          <w:p>
            <w:pPr>
              <w:pStyle w:val="17"/>
              <w:rPr>
                <w:rFonts w:ascii="宋体" w:hAnsi="宋体" w:cs="宋体"/>
                <w:color w:val="auto"/>
                <w:highlight w:val="none"/>
                <w:lang w:val="zh-CN"/>
              </w:rPr>
            </w:pPr>
            <w:r>
              <w:rPr>
                <w:rFonts w:hint="eastAsia" w:ascii="宋体" w:hAnsi="宋体" w:cs="宋体"/>
                <w:color w:val="auto"/>
                <w:highlight w:val="none"/>
                <w:lang w:val="zh-CN"/>
              </w:rPr>
              <w:t>产品通过相关部门的检测</w:t>
            </w:r>
          </w:p>
        </w:tc>
        <w:tc>
          <w:tcPr>
            <w:tcW w:w="4163" w:type="dxa"/>
            <w:vAlign w:val="center"/>
          </w:tcPr>
          <w:p>
            <w:pPr>
              <w:pStyle w:val="17"/>
              <w:jc w:val="left"/>
              <w:rPr>
                <w:rFonts w:ascii="宋体" w:hAnsi="宋体" w:cs="宋体"/>
                <w:color w:val="auto"/>
                <w:highlight w:val="none"/>
                <w:lang w:val="zh-CN"/>
              </w:rPr>
            </w:pPr>
            <w:r>
              <w:rPr>
                <w:rFonts w:hint="eastAsia" w:ascii="宋体" w:hAnsi="宋体" w:cs="宋体"/>
                <w:color w:val="auto"/>
                <w:highlight w:val="none"/>
                <w:lang w:val="zh-CN"/>
              </w:rPr>
              <w:t>提供检测报告，检测标准为</w:t>
            </w:r>
            <w:r>
              <w:rPr>
                <w:rFonts w:hint="eastAsia" w:ascii="宋体" w:hAnsi="宋体" w:cs="宋体"/>
                <w:color w:val="auto"/>
                <w:highlight w:val="none"/>
              </w:rPr>
              <w:t>GA/T 496–2014《闯红灯自动记录系统通用技术条件》</w:t>
            </w:r>
          </w:p>
        </w:tc>
        <w:tc>
          <w:tcPr>
            <w:tcW w:w="2248" w:type="dxa"/>
            <w:vAlign w:val="center"/>
          </w:tcPr>
          <w:p>
            <w:pPr>
              <w:pStyle w:val="17"/>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99" w:hRule="atLeast"/>
          <w:jc w:val="center"/>
        </w:trPr>
        <w:tc>
          <w:tcPr>
            <w:tcW w:w="442" w:type="dxa"/>
            <w:vAlign w:val="center"/>
          </w:tcPr>
          <w:p>
            <w:pPr>
              <w:pStyle w:val="17"/>
              <w:rPr>
                <w:rFonts w:ascii="宋体" w:hAnsi="宋体" w:cs="宋体"/>
                <w:color w:val="auto"/>
                <w:highlight w:val="none"/>
                <w:lang w:val="zh-CN"/>
              </w:rPr>
            </w:pPr>
            <w:r>
              <w:rPr>
                <w:rFonts w:hint="eastAsia" w:ascii="宋体" w:hAnsi="宋体" w:cs="宋体"/>
                <w:color w:val="auto"/>
                <w:highlight w:val="none"/>
                <w:lang w:val="zh-CN"/>
              </w:rPr>
              <w:t>7</w:t>
            </w:r>
          </w:p>
        </w:tc>
        <w:tc>
          <w:tcPr>
            <w:tcW w:w="1869" w:type="dxa"/>
            <w:vAlign w:val="center"/>
          </w:tcPr>
          <w:p>
            <w:pPr>
              <w:pStyle w:val="17"/>
              <w:rPr>
                <w:rFonts w:ascii="宋体" w:hAnsi="宋体" w:cs="宋体"/>
                <w:color w:val="auto"/>
                <w:highlight w:val="none"/>
                <w:lang w:val="zh-CN"/>
              </w:rPr>
            </w:pPr>
            <w:r>
              <w:rPr>
                <w:rFonts w:hint="eastAsia" w:ascii="宋体" w:hAnsi="宋体" w:cs="宋体"/>
                <w:color w:val="auto"/>
                <w:highlight w:val="none"/>
                <w:lang w:val="zh-CN"/>
              </w:rPr>
              <w:t>违法图片记录要求</w:t>
            </w:r>
          </w:p>
          <w:p>
            <w:pPr>
              <w:pStyle w:val="17"/>
              <w:rPr>
                <w:rFonts w:ascii="宋体" w:hAnsi="宋体" w:cs="宋体"/>
                <w:color w:val="auto"/>
                <w:highlight w:val="none"/>
                <w:lang w:val="zh-CN"/>
              </w:rPr>
            </w:pPr>
          </w:p>
        </w:tc>
        <w:tc>
          <w:tcPr>
            <w:tcW w:w="4163" w:type="dxa"/>
            <w:vAlign w:val="center"/>
          </w:tcPr>
          <w:p>
            <w:pPr>
              <w:pStyle w:val="17"/>
              <w:jc w:val="left"/>
              <w:rPr>
                <w:rFonts w:ascii="宋体" w:hAnsi="宋体" w:cs="宋体"/>
                <w:color w:val="auto"/>
                <w:highlight w:val="none"/>
                <w:lang w:val="zh-CN"/>
              </w:rPr>
            </w:pPr>
            <w:r>
              <w:rPr>
                <w:rFonts w:hint="eastAsia" w:ascii="宋体" w:hAnsi="宋体" w:cs="宋体"/>
                <w:color w:val="auto"/>
                <w:highlight w:val="none"/>
                <w:lang w:val="zh-CN"/>
              </w:rPr>
              <w:t>图像分辨率≥</w:t>
            </w:r>
            <w:r>
              <w:rPr>
                <w:rFonts w:hint="eastAsia" w:ascii="宋体" w:hAnsi="宋体" w:cs="宋体"/>
                <w:color w:val="auto"/>
                <w:highlight w:val="none"/>
              </w:rPr>
              <w:t>9</w:t>
            </w:r>
            <w:r>
              <w:rPr>
                <w:rFonts w:hint="eastAsia" w:ascii="宋体" w:hAnsi="宋体" w:cs="宋体"/>
                <w:color w:val="auto"/>
                <w:highlight w:val="none"/>
                <w:lang w:val="zh-CN"/>
              </w:rPr>
              <w:t>00万像素</w:t>
            </w:r>
          </w:p>
          <w:p>
            <w:pPr>
              <w:pStyle w:val="17"/>
              <w:jc w:val="left"/>
              <w:rPr>
                <w:rFonts w:ascii="宋体" w:hAnsi="宋体" w:cs="宋体"/>
                <w:color w:val="auto"/>
                <w:highlight w:val="none"/>
              </w:rPr>
            </w:pPr>
            <w:r>
              <w:rPr>
                <w:rFonts w:hint="eastAsia" w:ascii="宋体" w:hAnsi="宋体" w:cs="宋体"/>
                <w:color w:val="auto"/>
                <w:highlight w:val="none"/>
              </w:rPr>
              <w:t>拍摄的图片应符合以下要求：</w:t>
            </w:r>
          </w:p>
          <w:p>
            <w:pPr>
              <w:pStyle w:val="17"/>
              <w:jc w:val="left"/>
              <w:rPr>
                <w:rFonts w:ascii="宋体" w:hAnsi="宋体" w:cs="宋体"/>
                <w:color w:val="auto"/>
                <w:highlight w:val="none"/>
              </w:rPr>
            </w:pPr>
            <w:r>
              <w:rPr>
                <w:rFonts w:hint="eastAsia" w:ascii="宋体" w:hAnsi="宋体" w:cs="宋体"/>
                <w:color w:val="auto"/>
                <w:highlight w:val="none"/>
              </w:rPr>
              <w:t>a） 应采用JPEG格式，JPEG图片编码应符合ISO/IEC 15444:2000的要求；</w:t>
            </w:r>
          </w:p>
          <w:p>
            <w:pPr>
              <w:pStyle w:val="17"/>
              <w:jc w:val="left"/>
              <w:rPr>
                <w:rFonts w:ascii="宋体" w:hAnsi="宋体" w:cs="宋体"/>
                <w:color w:val="auto"/>
                <w:highlight w:val="none"/>
              </w:rPr>
            </w:pPr>
            <w:r>
              <w:rPr>
                <w:rFonts w:hint="eastAsia" w:ascii="宋体" w:hAnsi="宋体" w:cs="宋体"/>
                <w:color w:val="auto"/>
                <w:highlight w:val="none"/>
              </w:rPr>
              <w:t>b） 应具有防篡改功能；</w:t>
            </w:r>
          </w:p>
          <w:p>
            <w:pPr>
              <w:pStyle w:val="17"/>
              <w:jc w:val="left"/>
              <w:rPr>
                <w:rFonts w:ascii="宋体" w:hAnsi="宋体" w:cs="宋体"/>
                <w:color w:val="auto"/>
                <w:highlight w:val="none"/>
              </w:rPr>
            </w:pPr>
            <w:r>
              <w:rPr>
                <w:rFonts w:hint="eastAsia" w:ascii="宋体" w:hAnsi="宋体" w:cs="宋体"/>
                <w:color w:val="auto"/>
                <w:highlight w:val="none"/>
              </w:rPr>
              <w:t>c） 应包含时间信息，至少精确到0.1s；</w:t>
            </w:r>
          </w:p>
          <w:p>
            <w:pPr>
              <w:pStyle w:val="17"/>
              <w:jc w:val="left"/>
              <w:rPr>
                <w:rFonts w:ascii="宋体" w:hAnsi="宋体" w:cs="宋体"/>
                <w:color w:val="auto"/>
                <w:highlight w:val="none"/>
              </w:rPr>
            </w:pPr>
            <w:r>
              <w:rPr>
                <w:rFonts w:hint="eastAsia" w:ascii="宋体" w:hAnsi="宋体" w:cs="宋体"/>
                <w:color w:val="auto"/>
                <w:highlight w:val="none"/>
              </w:rPr>
              <w:t>d） 应符合GA/T 832-2014《道路交通安全违法行为图像取证技术规范 》的要求；</w:t>
            </w:r>
          </w:p>
          <w:p>
            <w:pPr>
              <w:pStyle w:val="17"/>
              <w:jc w:val="left"/>
              <w:rPr>
                <w:rFonts w:ascii="宋体" w:hAnsi="宋体" w:cs="宋体"/>
                <w:color w:val="auto"/>
                <w:highlight w:val="none"/>
              </w:rPr>
            </w:pPr>
            <w:r>
              <w:rPr>
                <w:rFonts w:hint="eastAsia" w:ascii="宋体" w:hAnsi="宋体" w:cs="宋体"/>
                <w:color w:val="auto"/>
                <w:highlight w:val="none"/>
              </w:rPr>
              <w:t>e） 最终图片应合成为一个图片文件，且至少应包含：时间、地点、方向、车道和设备编号等信息，设备编号规则应符合GA/T 1043-2013《道路交通技术监控设备运行维护规范  》的要求；</w:t>
            </w:r>
          </w:p>
          <w:p>
            <w:pPr>
              <w:pStyle w:val="17"/>
              <w:jc w:val="left"/>
              <w:rPr>
                <w:rFonts w:ascii="宋体" w:hAnsi="宋体" w:cs="宋体"/>
                <w:color w:val="auto"/>
                <w:highlight w:val="none"/>
              </w:rPr>
            </w:pPr>
            <w:r>
              <w:rPr>
                <w:rFonts w:hint="eastAsia" w:ascii="宋体" w:hAnsi="宋体" w:cs="宋体"/>
                <w:color w:val="auto"/>
                <w:highlight w:val="none"/>
              </w:rPr>
              <w:t>f） 合成的图片清晰度应能满足人工对车辆号牌号码认定的要求，图片不应出现红灯信号泛白、光晕等颜色失真现象；图片合成时，不得出现原始图片遗漏、错位等情形。</w:t>
            </w:r>
          </w:p>
        </w:tc>
        <w:tc>
          <w:tcPr>
            <w:tcW w:w="2248" w:type="dxa"/>
            <w:vAlign w:val="center"/>
          </w:tcPr>
          <w:p>
            <w:pPr>
              <w:pStyle w:val="17"/>
              <w:rPr>
                <w:rFonts w:ascii="宋体" w:hAnsi="宋体" w:cs="宋体"/>
                <w:color w:val="auto"/>
                <w:highlight w:val="none"/>
                <w:lang w:val="zh-CN"/>
              </w:rPr>
            </w:pPr>
            <w:r>
              <w:rPr>
                <w:rFonts w:hint="eastAsia" w:ascii="宋体" w:hAnsi="宋体" w:cs="宋体"/>
                <w:color w:val="auto"/>
                <w:highlight w:val="none"/>
              </w:rPr>
              <w:t>GA/T 496–2014《闯红灯自动记录系统通用技术条件》</w:t>
            </w:r>
          </w:p>
          <w:p>
            <w:pPr>
              <w:pStyle w:val="17"/>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442" w:type="dxa"/>
            <w:vAlign w:val="center"/>
          </w:tcPr>
          <w:p>
            <w:pPr>
              <w:pStyle w:val="17"/>
              <w:rPr>
                <w:rFonts w:ascii="宋体" w:hAnsi="宋体" w:cs="宋体"/>
                <w:color w:val="auto"/>
                <w:highlight w:val="none"/>
              </w:rPr>
            </w:pPr>
            <w:r>
              <w:rPr>
                <w:rFonts w:hint="eastAsia" w:ascii="宋体" w:hAnsi="宋体" w:cs="宋体"/>
                <w:color w:val="auto"/>
                <w:highlight w:val="none"/>
              </w:rPr>
              <w:t>8</w:t>
            </w:r>
          </w:p>
        </w:tc>
        <w:tc>
          <w:tcPr>
            <w:tcW w:w="1869" w:type="dxa"/>
            <w:vAlign w:val="center"/>
          </w:tcPr>
          <w:p>
            <w:pPr>
              <w:pStyle w:val="17"/>
              <w:rPr>
                <w:rFonts w:ascii="宋体" w:hAnsi="宋体" w:cs="宋体"/>
                <w:color w:val="auto"/>
                <w:highlight w:val="none"/>
                <w:lang w:val="zh-CN"/>
              </w:rPr>
            </w:pPr>
            <w:r>
              <w:rPr>
                <w:rFonts w:hint="eastAsia" w:ascii="宋体" w:hAnsi="宋体" w:cs="宋体"/>
                <w:color w:val="auto"/>
                <w:highlight w:val="none"/>
                <w:lang w:val="zh-CN"/>
              </w:rPr>
              <w:t>兼卡口图片记录要求</w:t>
            </w:r>
          </w:p>
        </w:tc>
        <w:tc>
          <w:tcPr>
            <w:tcW w:w="4163" w:type="dxa"/>
            <w:vAlign w:val="center"/>
          </w:tcPr>
          <w:p>
            <w:pPr>
              <w:pStyle w:val="17"/>
              <w:jc w:val="left"/>
              <w:rPr>
                <w:rFonts w:ascii="宋体" w:hAnsi="宋体" w:cs="宋体"/>
                <w:color w:val="auto"/>
                <w:highlight w:val="none"/>
                <w:lang w:val="zh-CN"/>
              </w:rPr>
            </w:pPr>
            <w:r>
              <w:rPr>
                <w:rFonts w:hint="eastAsia" w:ascii="宋体" w:hAnsi="宋体" w:cs="宋体"/>
                <w:color w:val="auto"/>
                <w:highlight w:val="none"/>
                <w:lang w:val="zh-CN"/>
              </w:rPr>
              <w:t>图片格式应采用JPEG格式，JPEG图片编码应符合ISO/IEC 15444:2000的要求。</w:t>
            </w:r>
          </w:p>
          <w:p>
            <w:pPr>
              <w:pStyle w:val="17"/>
              <w:jc w:val="left"/>
              <w:rPr>
                <w:rFonts w:ascii="宋体" w:hAnsi="宋体" w:cs="宋体"/>
                <w:color w:val="auto"/>
                <w:highlight w:val="none"/>
                <w:lang w:val="zh-CN"/>
              </w:rPr>
            </w:pPr>
            <w:r>
              <w:rPr>
                <w:rFonts w:hint="eastAsia" w:ascii="宋体" w:hAnsi="宋体" w:cs="宋体"/>
                <w:color w:val="auto"/>
                <w:highlight w:val="none"/>
                <w:lang w:val="zh-CN"/>
              </w:rPr>
              <w:t>图像分辨率≥</w:t>
            </w:r>
            <w:r>
              <w:rPr>
                <w:rFonts w:hint="eastAsia" w:ascii="宋体" w:hAnsi="宋体" w:cs="宋体"/>
                <w:color w:val="auto"/>
                <w:highlight w:val="none"/>
              </w:rPr>
              <w:t>9</w:t>
            </w:r>
            <w:r>
              <w:rPr>
                <w:rFonts w:hint="eastAsia" w:ascii="宋体" w:hAnsi="宋体" w:cs="宋体"/>
                <w:color w:val="auto"/>
                <w:highlight w:val="none"/>
                <w:lang w:val="zh-CN"/>
              </w:rPr>
              <w:t>00万像素</w:t>
            </w:r>
          </w:p>
          <w:p>
            <w:pPr>
              <w:pStyle w:val="17"/>
              <w:jc w:val="left"/>
              <w:rPr>
                <w:rFonts w:ascii="宋体" w:hAnsi="宋体" w:cs="宋体"/>
                <w:color w:val="auto"/>
                <w:highlight w:val="none"/>
                <w:lang w:val="zh-CN"/>
              </w:rPr>
            </w:pPr>
            <w:r>
              <w:rPr>
                <w:rFonts w:hint="eastAsia" w:ascii="宋体" w:hAnsi="宋体" w:cs="宋体"/>
                <w:color w:val="auto"/>
                <w:highlight w:val="none"/>
                <w:lang w:val="zh-CN"/>
              </w:rPr>
              <w:t>记录1幅机动车号牌图片+1幅全景图片，至少应包含：时间、地点、方向、车道、号牌等信息，以上信息应在图片中叠加。</w:t>
            </w:r>
          </w:p>
          <w:p>
            <w:pPr>
              <w:pStyle w:val="17"/>
              <w:jc w:val="left"/>
              <w:rPr>
                <w:rFonts w:ascii="宋体" w:hAnsi="宋体" w:cs="宋体"/>
                <w:color w:val="auto"/>
                <w:highlight w:val="none"/>
                <w:lang w:val="zh-CN"/>
              </w:rPr>
            </w:pPr>
            <w:r>
              <w:rPr>
                <w:rFonts w:hint="eastAsia" w:ascii="宋体" w:hAnsi="宋体" w:cs="宋体"/>
                <w:color w:val="auto"/>
                <w:highlight w:val="none"/>
                <w:lang w:val="zh-CN"/>
              </w:rPr>
              <w:t>能够捕获所有时间经过被监控车道的车辆图像（包括红灯、黄灯、绿灯期间），通过车辆车速在5km/h~1</w:t>
            </w:r>
            <w:r>
              <w:rPr>
                <w:rFonts w:hint="eastAsia" w:ascii="宋体" w:hAnsi="宋体" w:cs="宋体"/>
                <w:color w:val="auto"/>
                <w:highlight w:val="none"/>
              </w:rPr>
              <w:t>2</w:t>
            </w:r>
            <w:r>
              <w:rPr>
                <w:rFonts w:hint="eastAsia" w:ascii="宋体" w:hAnsi="宋体" w:cs="宋体"/>
                <w:color w:val="auto"/>
                <w:highlight w:val="none"/>
                <w:lang w:val="zh-CN"/>
              </w:rPr>
              <w:t>0km/h范围内时，自动抓拍车辆图像并记录车辆通过的信息，包括：时间、地点、方向、号牌等，并自动进行号牌识别。</w:t>
            </w:r>
          </w:p>
        </w:tc>
        <w:tc>
          <w:tcPr>
            <w:tcW w:w="2248" w:type="dxa"/>
            <w:vAlign w:val="center"/>
          </w:tcPr>
          <w:p>
            <w:pPr>
              <w:pStyle w:val="17"/>
              <w:rPr>
                <w:rFonts w:ascii="宋体" w:hAnsi="宋体" w:cs="宋体"/>
                <w:color w:val="auto"/>
                <w:highlight w:val="none"/>
                <w:lang w:val="zh-CN"/>
              </w:rPr>
            </w:pPr>
            <w:r>
              <w:rPr>
                <w:rFonts w:hint="eastAsia" w:ascii="宋体" w:hAnsi="宋体" w:cs="宋体"/>
                <w:color w:val="auto"/>
                <w:highlight w:val="none"/>
                <w:lang w:val="zh-CN"/>
              </w:rPr>
              <w:t>数据、图片能上传到中心服务器；根据采购人需求同时应将过车信息上传到台州市公安局指定平台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4" w:hRule="atLeast"/>
          <w:jc w:val="center"/>
        </w:trPr>
        <w:tc>
          <w:tcPr>
            <w:tcW w:w="442" w:type="dxa"/>
            <w:vAlign w:val="center"/>
          </w:tcPr>
          <w:p>
            <w:pPr>
              <w:pStyle w:val="17"/>
              <w:rPr>
                <w:rFonts w:ascii="宋体" w:hAnsi="宋体" w:cs="宋体"/>
                <w:color w:val="auto"/>
                <w:highlight w:val="none"/>
              </w:rPr>
            </w:pPr>
            <w:r>
              <w:rPr>
                <w:rFonts w:hint="eastAsia" w:ascii="宋体" w:hAnsi="宋体" w:cs="宋体"/>
                <w:color w:val="auto"/>
                <w:highlight w:val="none"/>
              </w:rPr>
              <w:t>9</w:t>
            </w:r>
          </w:p>
        </w:tc>
        <w:tc>
          <w:tcPr>
            <w:tcW w:w="1869" w:type="dxa"/>
            <w:vAlign w:val="center"/>
          </w:tcPr>
          <w:p>
            <w:pPr>
              <w:pStyle w:val="17"/>
              <w:rPr>
                <w:rFonts w:ascii="宋体" w:hAnsi="宋体" w:cs="宋体"/>
                <w:color w:val="auto"/>
                <w:highlight w:val="none"/>
                <w:lang w:val="zh-CN"/>
              </w:rPr>
            </w:pPr>
            <w:r>
              <w:rPr>
                <w:rFonts w:hint="eastAsia" w:ascii="宋体" w:hAnsi="宋体" w:cs="宋体"/>
                <w:color w:val="auto"/>
                <w:highlight w:val="none"/>
                <w:lang w:val="zh-CN"/>
              </w:rPr>
              <w:t>兼卡口车辆图像捕获率</w:t>
            </w:r>
          </w:p>
        </w:tc>
        <w:tc>
          <w:tcPr>
            <w:tcW w:w="4163" w:type="dxa"/>
            <w:vAlign w:val="center"/>
          </w:tcPr>
          <w:p>
            <w:pPr>
              <w:pStyle w:val="17"/>
              <w:jc w:val="left"/>
              <w:rPr>
                <w:rFonts w:ascii="宋体" w:hAnsi="宋体" w:cs="宋体"/>
                <w:color w:val="auto"/>
                <w:highlight w:val="none"/>
              </w:rPr>
            </w:pPr>
            <w:r>
              <w:rPr>
                <w:rFonts w:hint="eastAsia" w:ascii="宋体" w:hAnsi="宋体" w:cs="宋体"/>
                <w:color w:val="auto"/>
                <w:highlight w:val="none"/>
              </w:rPr>
              <w:t>应能清晰记录通过车辆的图片，捕获率应不小于95%。检查系统是否具有通过车辆图像记录功能，并按GA/T 497-2016《道路车辆智能监测记录系统通用技术条件》的方法测试车辆图像捕获率。</w:t>
            </w:r>
          </w:p>
        </w:tc>
        <w:tc>
          <w:tcPr>
            <w:tcW w:w="2248" w:type="dxa"/>
            <w:vAlign w:val="center"/>
          </w:tcPr>
          <w:p>
            <w:pPr>
              <w:pStyle w:val="17"/>
              <w:rPr>
                <w:rFonts w:ascii="宋体" w:hAnsi="宋体" w:cs="宋体"/>
                <w:color w:val="auto"/>
                <w:highlight w:val="none"/>
                <w:lang w:val="zh-CN"/>
              </w:rPr>
            </w:pPr>
            <w:r>
              <w:rPr>
                <w:rFonts w:hint="eastAsia" w:ascii="宋体" w:hAnsi="宋体" w:cs="宋体"/>
                <w:color w:val="auto"/>
                <w:highlight w:val="none"/>
                <w:lang w:val="zh-CN"/>
              </w:rPr>
              <w:t xml:space="preserve">5km/h～120km/h行驶的车辆（含摩托车等所有机动车）；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442" w:type="dxa"/>
            <w:vAlign w:val="center"/>
          </w:tcPr>
          <w:p>
            <w:pPr>
              <w:pStyle w:val="17"/>
              <w:rPr>
                <w:rFonts w:ascii="宋体" w:hAnsi="宋体" w:cs="宋体"/>
                <w:color w:val="auto"/>
                <w:highlight w:val="none"/>
              </w:rPr>
            </w:pPr>
            <w:r>
              <w:rPr>
                <w:rFonts w:hint="eastAsia" w:ascii="宋体" w:hAnsi="宋体" w:cs="宋体"/>
                <w:color w:val="auto"/>
                <w:highlight w:val="none"/>
                <w:lang w:val="zh-CN"/>
              </w:rPr>
              <w:t>1</w:t>
            </w:r>
            <w:r>
              <w:rPr>
                <w:rFonts w:hint="eastAsia" w:ascii="宋体" w:hAnsi="宋体" w:cs="宋体"/>
                <w:color w:val="auto"/>
                <w:highlight w:val="none"/>
              </w:rPr>
              <w:t>0</w:t>
            </w:r>
          </w:p>
        </w:tc>
        <w:tc>
          <w:tcPr>
            <w:tcW w:w="1869" w:type="dxa"/>
            <w:vAlign w:val="center"/>
          </w:tcPr>
          <w:p>
            <w:pPr>
              <w:pStyle w:val="17"/>
              <w:rPr>
                <w:rFonts w:ascii="宋体" w:hAnsi="宋体" w:cs="宋体"/>
                <w:color w:val="auto"/>
                <w:highlight w:val="none"/>
                <w:lang w:val="zh-CN"/>
              </w:rPr>
            </w:pPr>
            <w:r>
              <w:rPr>
                <w:rFonts w:hint="eastAsia" w:ascii="宋体" w:hAnsi="宋体" w:cs="宋体"/>
                <w:color w:val="auto"/>
                <w:highlight w:val="none"/>
                <w:lang w:val="zh-CN"/>
              </w:rPr>
              <w:t>兼卡口车牌捕获识别准确率</w:t>
            </w:r>
          </w:p>
        </w:tc>
        <w:tc>
          <w:tcPr>
            <w:tcW w:w="4163" w:type="dxa"/>
            <w:vAlign w:val="center"/>
          </w:tcPr>
          <w:p>
            <w:pPr>
              <w:pStyle w:val="17"/>
              <w:jc w:val="left"/>
              <w:rPr>
                <w:rFonts w:ascii="宋体" w:hAnsi="宋体" w:cs="宋体"/>
                <w:color w:val="auto"/>
                <w:highlight w:val="none"/>
                <w:lang w:val="zh-CN"/>
              </w:rPr>
            </w:pPr>
            <w:r>
              <w:rPr>
                <w:rFonts w:hint="eastAsia" w:ascii="宋体" w:hAnsi="宋体" w:cs="宋体"/>
                <w:color w:val="auto"/>
                <w:highlight w:val="none"/>
              </w:rPr>
              <w:t>应具备车辆号牌自动识别功能，用于号牌识别的字符库应齐全，能识别GA 36-2018《</w:t>
            </w:r>
            <w:r>
              <w:rPr>
                <w:rFonts w:hint="eastAsia" w:ascii="宋体" w:hAnsi="宋体" w:cs="宋体"/>
                <w:color w:val="auto"/>
                <w:highlight w:val="none"/>
                <w:shd w:val="clear" w:color="auto" w:fill="FFFFFF"/>
              </w:rPr>
              <w:t>中华人民共和国机动车号牌</w:t>
            </w:r>
            <w:r>
              <w:rPr>
                <w:rFonts w:hint="eastAsia" w:ascii="宋体" w:hAnsi="宋体" w:cs="宋体"/>
                <w:color w:val="auto"/>
                <w:highlight w:val="none"/>
              </w:rPr>
              <w:t>》规定的号牌（除临时号牌外）、武警汽车号牌和军队汽车号牌。日间车辆号牌识别准确率应不小于90%；夜间车辆号牌识别准确率应不小于80%。</w:t>
            </w:r>
          </w:p>
        </w:tc>
        <w:tc>
          <w:tcPr>
            <w:tcW w:w="2248" w:type="dxa"/>
            <w:vAlign w:val="center"/>
          </w:tcPr>
          <w:p>
            <w:pPr>
              <w:pStyle w:val="17"/>
              <w:rPr>
                <w:rFonts w:ascii="宋体" w:hAnsi="宋体" w:cs="宋体"/>
                <w:color w:val="auto"/>
                <w:highlight w:val="none"/>
                <w:lang w:val="zh-CN"/>
              </w:rPr>
            </w:pPr>
            <w:r>
              <w:rPr>
                <w:rFonts w:hint="eastAsia" w:ascii="宋体" w:hAnsi="宋体" w:cs="宋体"/>
                <w:color w:val="auto"/>
                <w:highlight w:val="none"/>
              </w:rPr>
              <w:t>GA/T 496–2014《闯红灯自动记录系统通用技术条件》</w:t>
            </w:r>
          </w:p>
        </w:tc>
      </w:tr>
    </w:tbl>
    <w:p>
      <w:pPr>
        <w:ind w:firstLine="482"/>
        <w:rPr>
          <w:rFonts w:ascii="宋体" w:hAnsi="宋体" w:cs="宋体"/>
          <w:b/>
          <w:bCs/>
          <w:color w:val="auto"/>
          <w:highlight w:val="none"/>
        </w:rPr>
      </w:pPr>
    </w:p>
    <w:p>
      <w:pPr>
        <w:pStyle w:val="6"/>
        <w:tabs>
          <w:tab w:val="left" w:pos="142"/>
          <w:tab w:val="left" w:pos="993"/>
          <w:tab w:val="left" w:pos="1418"/>
          <w:tab w:val="left" w:pos="1560"/>
        </w:tabs>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2、卡口监控</w:t>
      </w:r>
      <w:r>
        <w:rPr>
          <w:rStyle w:val="114"/>
          <w:rFonts w:hint="eastAsia" w:ascii="宋体" w:hAnsi="宋体" w:eastAsia="宋体" w:cs="宋体"/>
          <w:color w:val="auto"/>
          <w:highlight w:val="none"/>
        </w:rPr>
        <w:t>系统</w:t>
      </w:r>
      <w:r>
        <w:rPr>
          <w:rFonts w:hint="eastAsia" w:ascii="宋体" w:hAnsi="宋体" w:eastAsia="宋体" w:cs="宋体"/>
          <w:color w:val="auto"/>
          <w:sz w:val="24"/>
          <w:szCs w:val="24"/>
          <w:highlight w:val="none"/>
        </w:rPr>
        <w:t>要求</w:t>
      </w:r>
    </w:p>
    <w:p>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在道路横断面设置抓拍摄像机，能自动采集各车道、道路截面和路口的交通流量等交通基础数据。本期项目主要安装前端流量数据采集设备，功能如下：</w:t>
      </w:r>
    </w:p>
    <w:p>
      <w:pPr>
        <w:pStyle w:val="8"/>
        <w:tabs>
          <w:tab w:val="left" w:pos="1440"/>
        </w:tabs>
        <w:ind w:firstLine="482"/>
        <w:rPr>
          <w:rFonts w:ascii="宋体" w:hAnsi="宋体" w:cs="宋体"/>
          <w:color w:val="auto"/>
          <w:highlight w:val="none"/>
        </w:rPr>
      </w:pPr>
      <w:r>
        <w:rPr>
          <w:rFonts w:hint="eastAsia" w:ascii="宋体" w:hAnsi="宋体" w:cs="宋体"/>
          <w:color w:val="auto"/>
          <w:highlight w:val="none"/>
        </w:rPr>
        <w:t>（1）交通流采集功能</w:t>
      </w:r>
    </w:p>
    <w:p>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交通流检测摄像机自动采集交通流数据。</w:t>
      </w:r>
    </w:p>
    <w:p>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交通流量：交通流量是指在选定时间段内通过道路某一地点、某一断面或某一车道的交通实体数。从车流量的大小可以判定交通的拥挤状况，从而决定采取何种</w:t>
      </w:r>
      <w:r>
        <w:rPr>
          <w:color w:val="auto"/>
          <w:highlight w:val="none"/>
        </w:rPr>
        <w:fldChar w:fldCharType="begin"/>
      </w:r>
      <w:r>
        <w:rPr>
          <w:color w:val="auto"/>
          <w:highlight w:val="none"/>
        </w:rPr>
        <w:instrText xml:space="preserve"> HYPERLINK "http://www.baike.com/sowiki/%E4%BA%A4%E9%80%9A%E7%AE%A1%E7%90%86?prd=content_doc_search" \o "交通管理" </w:instrText>
      </w:r>
      <w:r>
        <w:rPr>
          <w:color w:val="auto"/>
          <w:highlight w:val="none"/>
        </w:rPr>
        <w:fldChar w:fldCharType="separate"/>
      </w:r>
      <w:r>
        <w:rPr>
          <w:rFonts w:hint="eastAsia" w:ascii="宋体" w:hAnsi="宋体" w:cs="宋体"/>
          <w:color w:val="auto"/>
          <w:sz w:val="24"/>
          <w:highlight w:val="none"/>
        </w:rPr>
        <w:t>交通管理</w:t>
      </w:r>
      <w:r>
        <w:rPr>
          <w:rFonts w:hint="eastAsia" w:ascii="宋体" w:hAnsi="宋体" w:cs="宋体"/>
          <w:color w:val="auto"/>
          <w:sz w:val="24"/>
          <w:highlight w:val="none"/>
        </w:rPr>
        <w:fldChar w:fldCharType="end"/>
      </w:r>
      <w:r>
        <w:rPr>
          <w:rFonts w:hint="eastAsia" w:ascii="宋体" w:hAnsi="宋体" w:cs="宋体"/>
          <w:color w:val="auto"/>
          <w:sz w:val="24"/>
          <w:highlight w:val="none"/>
        </w:rPr>
        <w:t>措施,因此对</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"http://www.baike.com/sowiki/%E4%BA%A4%E9%80%9A%E9%87%8F?prd=content_doc_search" \o "交通量" </w:instrText>
      </w:r>
      <w:r>
        <w:rPr>
          <w:rFonts w:hint="eastAsia" w:ascii="宋体" w:hAnsi="宋体" w:cs="宋体"/>
          <w:color w:val="auto"/>
          <w:highlight w:val="none"/>
        </w:rPr>
        <w:fldChar w:fldCharType="separate"/>
      </w:r>
      <w:r>
        <w:rPr>
          <w:rFonts w:hint="eastAsia" w:ascii="宋体" w:hAnsi="宋体" w:cs="宋体"/>
          <w:color w:val="auto"/>
          <w:sz w:val="24"/>
          <w:highlight w:val="none"/>
        </w:rPr>
        <w:t>交通量</w:t>
      </w:r>
      <w:r>
        <w:rPr>
          <w:rFonts w:hint="eastAsia" w:ascii="宋体" w:hAnsi="宋体" w:cs="宋体"/>
          <w:color w:val="auto"/>
          <w:sz w:val="24"/>
          <w:highlight w:val="none"/>
        </w:rPr>
        <w:fldChar w:fldCharType="end"/>
      </w:r>
      <w:r>
        <w:rPr>
          <w:rFonts w:hint="eastAsia" w:ascii="宋体" w:hAnsi="宋体" w:cs="宋体"/>
          <w:color w:val="auto"/>
          <w:sz w:val="24"/>
          <w:highlight w:val="none"/>
        </w:rPr>
        <w:t>的准确检测在交通工程中占有十分重要的位置。</w:t>
      </w:r>
    </w:p>
    <w:p>
      <w:pPr>
        <w:pStyle w:val="8"/>
        <w:tabs>
          <w:tab w:val="left" w:pos="1440"/>
        </w:tabs>
        <w:ind w:firstLine="482"/>
        <w:rPr>
          <w:rFonts w:ascii="宋体" w:hAnsi="宋体" w:cs="宋体"/>
          <w:color w:val="auto"/>
          <w:highlight w:val="none"/>
        </w:rPr>
      </w:pPr>
      <w:r>
        <w:rPr>
          <w:rFonts w:hint="eastAsia" w:ascii="宋体" w:hAnsi="宋体" w:cs="宋体"/>
          <w:color w:val="auto"/>
          <w:highlight w:val="none"/>
        </w:rPr>
        <w:t xml:space="preserve"> （2）应能捕获以下类型的交通违法行为：</w:t>
      </w:r>
    </w:p>
    <w:p>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1）货车违反规定通行</w:t>
      </w:r>
    </w:p>
    <w:p>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2）机动车单行线逆行</w:t>
      </w:r>
    </w:p>
    <w:p>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3）机动车违反规定占用专用车道</w:t>
      </w:r>
    </w:p>
    <w:p>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4）抓拍车头的相机要支持自动识别开车打电话、不系安全带。</w:t>
      </w:r>
    </w:p>
    <w:p>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5）支持机动车不礼让行人抓拍</w:t>
      </w:r>
    </w:p>
    <w:p>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6）支持非机动车违法行为抓拍（占用机动车、不戴头盔、载人），支持对机动车、非机动车人脸抠图及上传</w:t>
      </w:r>
    </w:p>
    <w:p>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7）其他交通违法行为的捕获</w:t>
      </w:r>
    </w:p>
    <w:p>
      <w:pPr>
        <w:pStyle w:val="8"/>
        <w:tabs>
          <w:tab w:val="left" w:pos="1440"/>
        </w:tabs>
        <w:ind w:firstLine="482"/>
        <w:rPr>
          <w:rFonts w:ascii="宋体" w:hAnsi="宋体" w:cs="宋体"/>
          <w:color w:val="auto"/>
          <w:highlight w:val="none"/>
        </w:rPr>
      </w:pPr>
      <w:r>
        <w:rPr>
          <w:rFonts w:hint="eastAsia" w:ascii="宋体" w:hAnsi="宋体" w:cs="宋体"/>
          <w:color w:val="auto"/>
          <w:highlight w:val="none"/>
        </w:rPr>
        <w:t>（3）机动车通行信息记录功能 </w:t>
      </w:r>
    </w:p>
    <w:p>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能够对通过监控点视频检测分析区域的机动车进行自动记录，抓拍1张照片并生成一条机动车通行记录（包括车身图片、号牌、通行时间、通行地点、方向、车型）,根据所拍摄的车辆特征图片，通过机动车号牌定位、字符切分、字符匹配和图像预处理实现号牌自动识别和特征识别功能。过车图片需要看清车内驾驶人员，人脸抠图符合人脸比对要求，同时又考虑减少光污染等。</w:t>
      </w:r>
    </w:p>
    <w:p>
      <w:pPr>
        <w:pStyle w:val="8"/>
        <w:tabs>
          <w:tab w:val="left" w:pos="1440"/>
        </w:tabs>
        <w:ind w:firstLine="482"/>
        <w:rPr>
          <w:rFonts w:ascii="宋体" w:hAnsi="宋体" w:cs="宋体"/>
          <w:color w:val="auto"/>
          <w:highlight w:val="none"/>
        </w:rPr>
      </w:pPr>
      <w:r>
        <w:rPr>
          <w:rFonts w:hint="eastAsia" w:ascii="宋体" w:hAnsi="宋体" w:cs="宋体"/>
          <w:color w:val="auto"/>
          <w:highlight w:val="none"/>
        </w:rPr>
        <w:t>（4）主要技术指标</w:t>
      </w:r>
    </w:p>
    <w:tbl>
      <w:tblPr>
        <w:tblStyle w:val="35"/>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28"/>
        <w:gridCol w:w="1869"/>
        <w:gridCol w:w="4163"/>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2697" w:type="dxa"/>
            <w:gridSpan w:val="2"/>
            <w:vAlign w:val="center"/>
          </w:tcPr>
          <w:p>
            <w:pPr>
              <w:pStyle w:val="17"/>
              <w:rPr>
                <w:rFonts w:ascii="宋体" w:hAnsi="宋体" w:cs="宋体"/>
                <w:b/>
                <w:bCs/>
                <w:color w:val="auto"/>
                <w:highlight w:val="none"/>
                <w:lang w:val="zh-CN"/>
              </w:rPr>
            </w:pPr>
            <w:r>
              <w:rPr>
                <w:rFonts w:hint="eastAsia" w:ascii="宋体" w:hAnsi="宋体" w:cs="宋体"/>
                <w:b/>
                <w:bCs/>
                <w:color w:val="auto"/>
                <w:highlight w:val="none"/>
                <w:lang w:val="zh-CN"/>
              </w:rPr>
              <w:t>功能基本要求</w:t>
            </w:r>
          </w:p>
        </w:tc>
        <w:tc>
          <w:tcPr>
            <w:tcW w:w="4163" w:type="dxa"/>
            <w:vAlign w:val="center"/>
          </w:tcPr>
          <w:p>
            <w:pPr>
              <w:pStyle w:val="17"/>
              <w:rPr>
                <w:rFonts w:ascii="宋体" w:hAnsi="宋体" w:cs="宋体"/>
                <w:b/>
                <w:bCs/>
                <w:color w:val="auto"/>
                <w:highlight w:val="none"/>
                <w:lang w:val="zh-CN"/>
              </w:rPr>
            </w:pPr>
            <w:r>
              <w:rPr>
                <w:rFonts w:hint="eastAsia" w:ascii="宋体" w:hAnsi="宋体" w:cs="宋体"/>
                <w:b/>
                <w:bCs/>
                <w:color w:val="auto"/>
                <w:highlight w:val="none"/>
                <w:lang w:val="zh-CN"/>
              </w:rPr>
              <w:t>功能和性能指标</w:t>
            </w:r>
          </w:p>
        </w:tc>
        <w:tc>
          <w:tcPr>
            <w:tcW w:w="2248" w:type="dxa"/>
            <w:vAlign w:val="center"/>
          </w:tcPr>
          <w:p>
            <w:pPr>
              <w:pStyle w:val="17"/>
              <w:rPr>
                <w:rFonts w:ascii="宋体" w:hAnsi="宋体" w:cs="宋体"/>
                <w:b/>
                <w:bCs/>
                <w:color w:val="auto"/>
                <w:highlight w:val="none"/>
                <w:lang w:val="zh-CN"/>
              </w:rPr>
            </w:pPr>
            <w:r>
              <w:rPr>
                <w:rFonts w:hint="eastAsia" w:ascii="宋体" w:hAnsi="宋体" w:cs="宋体"/>
                <w:b/>
                <w:bCs/>
                <w:color w:val="auto"/>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1" w:hRule="atLeast"/>
          <w:jc w:val="center"/>
        </w:trPr>
        <w:tc>
          <w:tcPr>
            <w:tcW w:w="828" w:type="dxa"/>
            <w:vAlign w:val="center"/>
          </w:tcPr>
          <w:p>
            <w:pPr>
              <w:pStyle w:val="17"/>
              <w:jc w:val="center"/>
              <w:rPr>
                <w:rFonts w:ascii="宋体" w:hAnsi="宋体" w:cs="宋体"/>
                <w:color w:val="auto"/>
                <w:highlight w:val="none"/>
                <w:lang w:val="zh-CN"/>
              </w:rPr>
            </w:pPr>
            <w:r>
              <w:rPr>
                <w:rFonts w:hint="eastAsia" w:ascii="宋体" w:hAnsi="宋体" w:cs="宋体"/>
                <w:color w:val="auto"/>
                <w:highlight w:val="none"/>
                <w:lang w:val="zh-CN"/>
              </w:rPr>
              <w:t>1</w:t>
            </w:r>
          </w:p>
        </w:tc>
        <w:tc>
          <w:tcPr>
            <w:tcW w:w="1869" w:type="dxa"/>
            <w:vAlign w:val="center"/>
          </w:tcPr>
          <w:p>
            <w:pPr>
              <w:pStyle w:val="17"/>
              <w:rPr>
                <w:rFonts w:ascii="宋体" w:hAnsi="宋体" w:cs="宋体"/>
                <w:color w:val="auto"/>
                <w:highlight w:val="none"/>
                <w:lang w:val="zh-CN"/>
              </w:rPr>
            </w:pPr>
            <w:r>
              <w:rPr>
                <w:rFonts w:hint="eastAsia" w:ascii="宋体" w:hAnsi="宋体" w:cs="宋体"/>
                <w:color w:val="auto"/>
                <w:highlight w:val="none"/>
                <w:lang w:val="zh-CN"/>
              </w:rPr>
              <w:t>车辆图像捕获率</w:t>
            </w:r>
          </w:p>
        </w:tc>
        <w:tc>
          <w:tcPr>
            <w:tcW w:w="4163" w:type="dxa"/>
            <w:vAlign w:val="center"/>
          </w:tcPr>
          <w:p>
            <w:pPr>
              <w:pStyle w:val="17"/>
              <w:jc w:val="left"/>
              <w:rPr>
                <w:rFonts w:ascii="宋体" w:hAnsi="宋体" w:cs="宋体"/>
                <w:color w:val="auto"/>
                <w:highlight w:val="none"/>
              </w:rPr>
            </w:pPr>
            <w:r>
              <w:rPr>
                <w:rFonts w:hint="eastAsia" w:ascii="宋体" w:hAnsi="宋体" w:cs="宋体"/>
                <w:color w:val="auto"/>
                <w:highlight w:val="none"/>
              </w:rPr>
              <w:t>应能清晰记录通过车辆的图片，捕获率应不小于99%。</w:t>
            </w:r>
          </w:p>
        </w:tc>
        <w:tc>
          <w:tcPr>
            <w:tcW w:w="2248" w:type="dxa"/>
            <w:vAlign w:val="center"/>
          </w:tcPr>
          <w:p>
            <w:pPr>
              <w:pStyle w:val="17"/>
              <w:rPr>
                <w:rFonts w:ascii="宋体" w:hAnsi="宋体" w:cs="宋体"/>
                <w:color w:val="auto"/>
                <w:highlight w:val="none"/>
                <w:lang w:val="zh-CN"/>
              </w:rPr>
            </w:pPr>
            <w:r>
              <w:rPr>
                <w:rFonts w:hint="eastAsia" w:ascii="宋体" w:hAnsi="宋体" w:cs="宋体"/>
                <w:color w:val="auto"/>
                <w:highlight w:val="none"/>
                <w:lang w:val="zh-CN"/>
              </w:rPr>
              <w:t xml:space="preserve"> </w:t>
            </w:r>
            <w:r>
              <w:rPr>
                <w:rFonts w:hint="eastAsia" w:ascii="宋体" w:hAnsi="宋体" w:cs="宋体"/>
                <w:color w:val="auto"/>
                <w:highlight w:val="none"/>
              </w:rPr>
              <w:t>GA/T 497-2016《道路车辆智能监测记录系统通用技术条件》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828" w:type="dxa"/>
            <w:vAlign w:val="center"/>
          </w:tcPr>
          <w:p>
            <w:pPr>
              <w:pStyle w:val="17"/>
              <w:jc w:val="center"/>
              <w:rPr>
                <w:rFonts w:ascii="宋体" w:hAnsi="宋体" w:cs="宋体"/>
                <w:color w:val="auto"/>
                <w:highlight w:val="none"/>
                <w:lang w:val="zh-CN"/>
              </w:rPr>
            </w:pPr>
            <w:r>
              <w:rPr>
                <w:rFonts w:hint="eastAsia" w:ascii="宋体" w:hAnsi="宋体" w:cs="宋体"/>
                <w:color w:val="auto"/>
                <w:highlight w:val="none"/>
                <w:lang w:val="zh-CN"/>
              </w:rPr>
              <w:t>2</w:t>
            </w:r>
          </w:p>
        </w:tc>
        <w:tc>
          <w:tcPr>
            <w:tcW w:w="1869" w:type="dxa"/>
            <w:vAlign w:val="center"/>
          </w:tcPr>
          <w:p>
            <w:pPr>
              <w:pStyle w:val="17"/>
              <w:rPr>
                <w:rFonts w:ascii="宋体" w:hAnsi="宋体" w:cs="宋体"/>
                <w:color w:val="auto"/>
                <w:highlight w:val="none"/>
                <w:lang w:val="zh-CN"/>
              </w:rPr>
            </w:pPr>
            <w:r>
              <w:rPr>
                <w:rFonts w:hint="eastAsia" w:ascii="宋体" w:hAnsi="宋体" w:cs="宋体"/>
                <w:color w:val="auto"/>
                <w:highlight w:val="none"/>
                <w:lang w:val="zh-CN"/>
              </w:rPr>
              <w:t>号牌识别准确率</w:t>
            </w:r>
          </w:p>
        </w:tc>
        <w:tc>
          <w:tcPr>
            <w:tcW w:w="4163" w:type="dxa"/>
            <w:vAlign w:val="center"/>
          </w:tcPr>
          <w:p>
            <w:pPr>
              <w:pStyle w:val="17"/>
              <w:jc w:val="left"/>
              <w:rPr>
                <w:rFonts w:ascii="宋体" w:hAnsi="宋体" w:cs="宋体"/>
                <w:color w:val="auto"/>
                <w:highlight w:val="none"/>
                <w:lang w:val="zh-CN"/>
              </w:rPr>
            </w:pPr>
            <w:r>
              <w:rPr>
                <w:rFonts w:hint="eastAsia" w:ascii="宋体" w:hAnsi="宋体" w:cs="宋体"/>
                <w:color w:val="auto"/>
                <w:highlight w:val="none"/>
              </w:rPr>
              <w:t>应具备车辆号牌自动识别功能，用于号牌识别的字符库应齐全，能识别GA 36-2018《</w:t>
            </w:r>
            <w:r>
              <w:rPr>
                <w:rFonts w:hint="eastAsia" w:ascii="宋体" w:hAnsi="宋体" w:cs="宋体"/>
                <w:color w:val="auto"/>
                <w:highlight w:val="none"/>
                <w:shd w:val="clear" w:color="auto" w:fill="FFFFFF"/>
              </w:rPr>
              <w:t>中华人民共和国机动车号牌</w:t>
            </w:r>
            <w:r>
              <w:rPr>
                <w:rFonts w:hint="eastAsia" w:ascii="宋体" w:hAnsi="宋体" w:cs="宋体"/>
                <w:color w:val="auto"/>
                <w:highlight w:val="none"/>
              </w:rPr>
              <w:t>》规定的号牌（除临时号牌外）、武警汽车号牌和军队汽车号牌。日间车辆号牌识别准确率应不小于95%；夜间车辆号牌识别准确率应不小于90%。</w:t>
            </w:r>
          </w:p>
        </w:tc>
        <w:tc>
          <w:tcPr>
            <w:tcW w:w="2248" w:type="dxa"/>
            <w:vAlign w:val="center"/>
          </w:tcPr>
          <w:p>
            <w:pPr>
              <w:pStyle w:val="17"/>
              <w:rPr>
                <w:rFonts w:ascii="宋体" w:hAnsi="宋体" w:cs="宋体"/>
                <w:color w:val="auto"/>
                <w:highlight w:val="none"/>
                <w:lang w:val="zh-CN"/>
              </w:rPr>
            </w:pPr>
            <w:r>
              <w:rPr>
                <w:rFonts w:hint="eastAsia" w:ascii="宋体" w:hAnsi="宋体" w:cs="宋体"/>
                <w:color w:val="auto"/>
                <w:highlight w:val="none"/>
              </w:rPr>
              <w:t>GA/T 497-2016《道路车辆智能监测记录系统通用技术条件》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5" w:hRule="atLeast"/>
          <w:jc w:val="center"/>
        </w:trPr>
        <w:tc>
          <w:tcPr>
            <w:tcW w:w="828" w:type="dxa"/>
            <w:vAlign w:val="center"/>
          </w:tcPr>
          <w:p>
            <w:pPr>
              <w:pStyle w:val="17"/>
              <w:jc w:val="center"/>
              <w:rPr>
                <w:rFonts w:ascii="宋体" w:hAnsi="宋体" w:cs="宋体"/>
                <w:color w:val="auto"/>
                <w:highlight w:val="none"/>
                <w:lang w:val="zh-CN"/>
              </w:rPr>
            </w:pPr>
            <w:r>
              <w:rPr>
                <w:rFonts w:hint="eastAsia" w:ascii="宋体" w:hAnsi="宋体" w:cs="宋体"/>
                <w:color w:val="auto"/>
                <w:highlight w:val="none"/>
                <w:lang w:val="zh-CN"/>
              </w:rPr>
              <w:t>3</w:t>
            </w:r>
          </w:p>
        </w:tc>
        <w:tc>
          <w:tcPr>
            <w:tcW w:w="1869" w:type="dxa"/>
            <w:vAlign w:val="center"/>
          </w:tcPr>
          <w:p>
            <w:pPr>
              <w:pStyle w:val="17"/>
              <w:rPr>
                <w:rFonts w:ascii="宋体" w:hAnsi="宋体" w:cs="宋体"/>
                <w:color w:val="auto"/>
                <w:highlight w:val="none"/>
                <w:lang w:val="zh-CN"/>
              </w:rPr>
            </w:pPr>
            <w:r>
              <w:rPr>
                <w:rFonts w:hint="eastAsia" w:ascii="宋体" w:hAnsi="宋体" w:cs="宋体"/>
                <w:color w:val="auto"/>
                <w:highlight w:val="none"/>
                <w:lang w:val="zh-CN"/>
              </w:rPr>
              <w:t>计时误差</w:t>
            </w:r>
          </w:p>
        </w:tc>
        <w:tc>
          <w:tcPr>
            <w:tcW w:w="4163" w:type="dxa"/>
            <w:vAlign w:val="center"/>
          </w:tcPr>
          <w:p>
            <w:pPr>
              <w:pStyle w:val="116"/>
              <w:jc w:val="left"/>
              <w:rPr>
                <w:rFonts w:ascii="宋体" w:hAnsi="宋体" w:cs="宋体"/>
                <w:color w:val="auto"/>
                <w:highlight w:val="none"/>
              </w:rPr>
            </w:pPr>
            <w:r>
              <w:rPr>
                <w:rFonts w:hint="eastAsia" w:ascii="宋体" w:hAnsi="宋体" w:cs="宋体"/>
                <w:color w:val="auto"/>
                <w:highlight w:val="none"/>
              </w:rPr>
              <w:t>系统时间应于北京时间同步，24h计时误差应不超过1s。</w:t>
            </w:r>
          </w:p>
        </w:tc>
        <w:tc>
          <w:tcPr>
            <w:tcW w:w="2248" w:type="dxa"/>
            <w:vAlign w:val="center"/>
          </w:tcPr>
          <w:p>
            <w:pPr>
              <w:pStyle w:val="17"/>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828" w:type="dxa"/>
            <w:vAlign w:val="center"/>
          </w:tcPr>
          <w:p>
            <w:pPr>
              <w:pStyle w:val="17"/>
              <w:jc w:val="center"/>
              <w:rPr>
                <w:rFonts w:ascii="宋体" w:hAnsi="宋体" w:cs="宋体"/>
                <w:color w:val="auto"/>
                <w:highlight w:val="none"/>
                <w:lang w:val="zh-CN"/>
              </w:rPr>
            </w:pPr>
            <w:r>
              <w:rPr>
                <w:rFonts w:hint="eastAsia" w:ascii="宋体" w:hAnsi="宋体" w:cs="宋体"/>
                <w:color w:val="auto"/>
                <w:highlight w:val="none"/>
              </w:rPr>
              <w:t>4</w:t>
            </w:r>
          </w:p>
        </w:tc>
        <w:tc>
          <w:tcPr>
            <w:tcW w:w="1869" w:type="dxa"/>
            <w:vAlign w:val="center"/>
          </w:tcPr>
          <w:p>
            <w:pPr>
              <w:pStyle w:val="17"/>
              <w:rPr>
                <w:rFonts w:ascii="宋体" w:hAnsi="宋体" w:cs="宋体"/>
                <w:color w:val="auto"/>
                <w:highlight w:val="none"/>
                <w:lang w:val="zh-CN"/>
              </w:rPr>
            </w:pPr>
            <w:r>
              <w:rPr>
                <w:rFonts w:hint="eastAsia" w:ascii="宋体" w:hAnsi="宋体" w:cs="宋体"/>
                <w:color w:val="auto"/>
                <w:highlight w:val="none"/>
                <w:lang w:val="zh-CN"/>
              </w:rPr>
              <w:t>全景车辆图片内容</w:t>
            </w:r>
          </w:p>
        </w:tc>
        <w:tc>
          <w:tcPr>
            <w:tcW w:w="4163" w:type="dxa"/>
            <w:vAlign w:val="center"/>
          </w:tcPr>
          <w:p>
            <w:pPr>
              <w:pStyle w:val="17"/>
              <w:jc w:val="left"/>
              <w:rPr>
                <w:rFonts w:ascii="宋体" w:hAnsi="宋体" w:cs="宋体"/>
                <w:color w:val="auto"/>
                <w:highlight w:val="none"/>
                <w:lang w:val="zh-CN"/>
              </w:rPr>
            </w:pPr>
            <w:r>
              <w:rPr>
                <w:rFonts w:hint="eastAsia" w:ascii="宋体" w:hAnsi="宋体" w:cs="宋体"/>
                <w:color w:val="auto"/>
                <w:highlight w:val="none"/>
                <w:lang w:val="zh-CN"/>
              </w:rPr>
              <w:t>看清车牌、车型特征等</w:t>
            </w:r>
          </w:p>
        </w:tc>
        <w:tc>
          <w:tcPr>
            <w:tcW w:w="2248" w:type="dxa"/>
            <w:vAlign w:val="center"/>
          </w:tcPr>
          <w:p>
            <w:pPr>
              <w:pStyle w:val="17"/>
              <w:rPr>
                <w:rFonts w:ascii="宋体" w:hAnsi="宋体" w:cs="宋体"/>
                <w:color w:val="auto"/>
                <w:highlight w:val="none"/>
                <w:lang w:val="zh-CN"/>
              </w:rPr>
            </w:pPr>
            <w:r>
              <w:rPr>
                <w:rFonts w:hint="eastAsia" w:ascii="宋体" w:hAnsi="宋体" w:cs="宋体"/>
                <w:color w:val="auto"/>
                <w:highlight w:val="none"/>
              </w:rPr>
              <w:t>GA/T 497-2016《道路车辆智能监测记录系统通用技术条件》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828" w:type="dxa"/>
            <w:vAlign w:val="center"/>
          </w:tcPr>
          <w:p>
            <w:pPr>
              <w:pStyle w:val="17"/>
              <w:jc w:val="center"/>
              <w:rPr>
                <w:rFonts w:ascii="宋体" w:hAnsi="宋体" w:cs="宋体"/>
                <w:color w:val="auto"/>
                <w:highlight w:val="none"/>
              </w:rPr>
            </w:pPr>
            <w:r>
              <w:rPr>
                <w:rFonts w:hint="eastAsia" w:ascii="宋体" w:hAnsi="宋体" w:cs="宋体"/>
                <w:color w:val="auto"/>
                <w:highlight w:val="none"/>
              </w:rPr>
              <w:t>5</w:t>
            </w:r>
          </w:p>
        </w:tc>
        <w:tc>
          <w:tcPr>
            <w:tcW w:w="1869" w:type="dxa"/>
            <w:vAlign w:val="center"/>
          </w:tcPr>
          <w:p>
            <w:pPr>
              <w:pStyle w:val="17"/>
              <w:rPr>
                <w:rFonts w:ascii="宋体" w:hAnsi="宋体" w:cs="宋体"/>
                <w:color w:val="auto"/>
                <w:highlight w:val="none"/>
                <w:lang w:val="zh-CN"/>
              </w:rPr>
            </w:pPr>
            <w:r>
              <w:rPr>
                <w:rFonts w:hint="eastAsia" w:ascii="宋体" w:hAnsi="宋体" w:cs="宋体"/>
                <w:color w:val="auto"/>
                <w:highlight w:val="none"/>
                <w:lang w:val="zh-CN"/>
              </w:rPr>
              <w:t>其他识别</w:t>
            </w:r>
          </w:p>
        </w:tc>
        <w:tc>
          <w:tcPr>
            <w:tcW w:w="4163" w:type="dxa"/>
            <w:vAlign w:val="center"/>
          </w:tcPr>
          <w:p>
            <w:pPr>
              <w:pStyle w:val="17"/>
              <w:jc w:val="left"/>
              <w:rPr>
                <w:rFonts w:ascii="宋体" w:hAnsi="宋体" w:cs="宋体"/>
                <w:color w:val="auto"/>
                <w:highlight w:val="none"/>
              </w:rPr>
            </w:pPr>
            <w:r>
              <w:rPr>
                <w:rFonts w:hint="eastAsia" w:ascii="宋体" w:hAnsi="宋体" w:cs="宋体"/>
                <w:color w:val="auto"/>
                <w:highlight w:val="none"/>
                <w:lang w:val="zh-CN"/>
              </w:rPr>
              <w:t>车型、品牌、车身颜色识别准确率符合</w:t>
            </w:r>
            <w:r>
              <w:rPr>
                <w:rFonts w:hint="eastAsia" w:ascii="宋体" w:hAnsi="宋体" w:cs="宋体"/>
                <w:color w:val="auto"/>
                <w:highlight w:val="none"/>
              </w:rPr>
              <w:t>GAT/833标准要求。</w:t>
            </w:r>
          </w:p>
        </w:tc>
        <w:tc>
          <w:tcPr>
            <w:tcW w:w="2248" w:type="dxa"/>
            <w:vAlign w:val="center"/>
          </w:tcPr>
          <w:p>
            <w:pPr>
              <w:pStyle w:val="17"/>
              <w:rPr>
                <w:rFonts w:ascii="宋体" w:hAnsi="宋体" w:cs="宋体"/>
                <w:color w:val="auto"/>
                <w:highlight w:val="none"/>
              </w:rPr>
            </w:pPr>
          </w:p>
        </w:tc>
      </w:tr>
    </w:tbl>
    <w:p>
      <w:pPr>
        <w:pStyle w:val="6"/>
        <w:tabs>
          <w:tab w:val="left" w:pos="142"/>
          <w:tab w:val="left" w:pos="993"/>
          <w:tab w:val="left" w:pos="1418"/>
          <w:tab w:val="left" w:pos="1560"/>
        </w:tabs>
        <w:spacing w:line="240" w:lineRule="auto"/>
        <w:ind w:left="420" w:left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3、枪球联动式监控</w:t>
      </w:r>
      <w:r>
        <w:rPr>
          <w:rStyle w:val="114"/>
          <w:rFonts w:hint="eastAsia" w:ascii="宋体" w:hAnsi="宋体" w:eastAsia="宋体" w:cs="宋体"/>
          <w:color w:val="auto"/>
          <w:highlight w:val="none"/>
        </w:rPr>
        <w:t>系统要求</w:t>
      </w:r>
    </w:p>
    <w:p>
      <w:pPr>
        <w:pStyle w:val="8"/>
        <w:tabs>
          <w:tab w:val="left" w:pos="1440"/>
        </w:tabs>
        <w:ind w:firstLine="482"/>
        <w:rPr>
          <w:rFonts w:ascii="宋体" w:hAnsi="宋体" w:cs="宋体"/>
          <w:color w:val="auto"/>
          <w:highlight w:val="none"/>
        </w:rPr>
      </w:pPr>
      <w:bookmarkStart w:id="1" w:name="_Toc45032599"/>
      <w:r>
        <w:rPr>
          <w:rFonts w:hint="eastAsia" w:ascii="宋体" w:hAnsi="宋体" w:cs="宋体"/>
          <w:color w:val="auto"/>
          <w:highlight w:val="none"/>
        </w:rPr>
        <w:t>（1）布控跟踪接力功能</w:t>
      </w:r>
      <w:bookmarkEnd w:id="1"/>
    </w:p>
    <w:p>
      <w:pPr>
        <w:adjustRightInd w:val="0"/>
        <w:snapToGrid w:val="0"/>
        <w:spacing w:line="360" w:lineRule="auto"/>
        <w:ind w:firstLine="480"/>
        <w:rPr>
          <w:rFonts w:ascii="宋体" w:hAnsi="宋体" w:cs="宋体"/>
          <w:color w:val="auto"/>
          <w:sz w:val="24"/>
          <w:highlight w:val="none"/>
        </w:rPr>
      </w:pPr>
      <w:bookmarkStart w:id="2" w:name="_Toc45032601"/>
      <w:r>
        <w:rPr>
          <w:rFonts w:hint="eastAsia" w:ascii="宋体" w:hAnsi="宋体" w:cs="宋体"/>
          <w:color w:val="auto"/>
          <w:sz w:val="24"/>
          <w:highlight w:val="none"/>
        </w:rPr>
        <w:t>采购人以现有的数据库、接口或者通过台州交警视频运行管理平台提供需要布控的车牌号和号牌类型等信息，本次安装的前端相机自动把数据下载到相机中（也可以从后台主动下发到相机中）。</w:t>
      </w:r>
    </w:p>
    <w:p>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前端相机应支持车辆布控跟踪视频接力功能。前端相机（枪球联动式监控设备）实时检测道路经过的车辆信息，并与相机中布控的车辆信息进行比对，比对成功即进行预警，锁定并持续跟踪目标。当车辆进入第一个枪球一体机可视范围时，球机抓拍到车辆后，启动跟踪模式，球机平滑变倍跟踪车辆，并将全景视频及当前跟踪视频展示在第一列中，当车辆驶出当前跟踪枪球一体机球机跟踪范围时，行进方向的下一个枪球一体机球机自动调整预置位，识别到车辆车牌后启动跟踪模式，此时，当前跟踪视频及枪球一体机全景视频左移到第一列跟踪视频显示屏中，下一个枪球一体机视频作为预监视频到第二列，同样，上方为枪机全景视频，下方为球机跟踪视频画面。</w:t>
      </w:r>
    </w:p>
    <w:p>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前端摄像机要能根据采购人要求对布控跟踪的目标设定优先级别。当一个前端相机的画面内同时出现多个同一级别的布控目标时按先捕获先跟踪原则进行锁定跟踪；当有不同级别的布控目标时，仅对最高级别的布控目标进行锁定跟踪。</w:t>
      </w:r>
    </w:p>
    <w:p>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布控跟踪功能要与采购人现有的电子警察、卡口系统所产生的过车记录相结合，并能实时展示目标的最新过车记录及图片。</w:t>
      </w:r>
    </w:p>
    <w:p>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前端相机应能设置人工控制、布控跟踪和事件监测等3种工作模式，每个相机的工作模式可以在台州交警视频运行管理平台或者类似的模块中可以直观展示，并能批量下发相机的工作模式。高权限用户可以指定任何一台相机的工作模式，低权限工作只能指定对应的相机工作模式，且不能与高权限用户指定的模式冲突。</w:t>
      </w:r>
    </w:p>
    <w:p>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布控跟踪功能遇到特定的场景时，如相邻两个相机能实现感知，当车辆经过一个摄像机时，根据车辆行驶方向可自动预估达到下个摄像机时间，如下个摄像机该时间未捕获该车，能自动上传一条预警信息。</w:t>
      </w:r>
    </w:p>
    <w:p>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前端相机在布控跟踪目标车辆时，遇到检测死角情况下，能自动进行合理角度的复位继续布控跟踪。</w:t>
      </w:r>
    </w:p>
    <w:p>
      <w:pPr>
        <w:pStyle w:val="8"/>
        <w:tabs>
          <w:tab w:val="left" w:pos="1440"/>
        </w:tabs>
        <w:ind w:firstLine="482"/>
        <w:rPr>
          <w:rFonts w:ascii="宋体" w:hAnsi="宋体" w:cs="宋体"/>
          <w:color w:val="auto"/>
          <w:highlight w:val="none"/>
        </w:rPr>
      </w:pPr>
      <w:r>
        <w:rPr>
          <w:rFonts w:hint="eastAsia" w:ascii="宋体" w:hAnsi="宋体" w:cs="宋体"/>
          <w:color w:val="auto"/>
          <w:highlight w:val="none"/>
        </w:rPr>
        <w:t>（2）违法行为自动取证功能</w:t>
      </w:r>
      <w:bookmarkEnd w:id="2"/>
    </w:p>
    <w:p>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前端相机应支持违法停车、逆向行驶、压线行驶、不按规定变更车道行驶、非机动车在机动车行驶、违法掉头行为等违法行为检测自动检测并抓拍功能，取证图片要求符合《道路交通安全违法行为图像取证技术规范（GA/T 832-2014）》的相关技术要求。确保违法特征要素齐全，执法证据可信、有效。</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① 违停抓拍</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能对道路两旁禁停区域违停车辆进行检测和取证。可以根据用户的实际需求调整最大停车时限，当车辆在禁止停车区域停车在限定时间以上的，进行违章抓拍取证。一组取证信息包括不同时间段的三张全景图片、一张能够看清车牌的特写图片、以及一段违章过程录像，图片中叠加时间、地点、车牌号码等信息。</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②逆行抓拍</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能对车辆行进方向进行分析并判断是否存在逆行行为，抓拍车辆逆行图片并对车辆信息进行提取，形成违法图片，上传后端平台。</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③压线抓拍</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应根据实际行车路线，预设规则框，设备会对压线车辆进行自动取证，记录压线全过程，形成违法图片上传后端平台。</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④ 变道抓拍</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应根据实际行车路线，预设规则框，前端设备对实线变道车辆进行自动取证，记录实线变道全过程，形成违法图片上传后端平台。</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⑤机占非抓拍</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应根据实际道路规划，预设规则框，前端设备能够识别机动车，对机动车占用非机动车道行驶的行为进行抓拍，形成违法图片上传后端平台。</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⑥非占机抓拍</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应根据实际道路规划，预设规则框，前端设备能够识别非机动车，对非机动车占用机动车道行驶的行为进行抓拍，形成违法图片上传后端平台</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⑦违章掉头抓拍</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设备可对车辆违章掉头全程及车辆的车牌信息进行抓拍取证，形成违法图片，上传后端平台。</w:t>
      </w:r>
    </w:p>
    <w:p>
      <w:pPr>
        <w:pStyle w:val="8"/>
        <w:tabs>
          <w:tab w:val="left" w:pos="1440"/>
        </w:tabs>
        <w:ind w:firstLine="482"/>
        <w:rPr>
          <w:rFonts w:ascii="宋体" w:hAnsi="宋体" w:cs="宋体"/>
          <w:color w:val="auto"/>
          <w:highlight w:val="none"/>
        </w:rPr>
      </w:pPr>
      <w:bookmarkStart w:id="3" w:name="_Toc45032602"/>
      <w:r>
        <w:rPr>
          <w:rFonts w:hint="eastAsia" w:ascii="宋体" w:hAnsi="宋体" w:cs="宋体"/>
          <w:color w:val="auto"/>
          <w:highlight w:val="none"/>
        </w:rPr>
        <w:t>（3）事件自动检测功能</w:t>
      </w:r>
      <w:bookmarkEnd w:id="3"/>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应内置算法支持抛洒物检测、行人检测、拥堵检测、路障检测、交通事故检测、浓雾检测等，并上传平台实现事件报警功能。</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①抛撒物检测</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应内置抛撒物检测算法，对道路上的抛撒物进行检测，当检测区域内出现抛撒物，系统应能够自动放大抓拍并向后端平台进行报警。</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② 行人检测</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应能够识别行人、二轮车，对实际道路上的禁行区域进行预置规则设置，当行人、二轮车出现在进行区域时，作为事件报警上传后端平台。</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③拥堵检测</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应能够对监测场景内车辆排队长队做检测，判断当前是否发生拥堵，并生成事件报警上传后端平台。</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④路障检测</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支持对路面上的路障（圆锥筒等）进行检测，并生成报警事件上传后端平台。</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⑤交通事故检测</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应内置算法，对道路上的通行车辆进行智能分析，对车辆事故进行分析识别，并通过相机进行记录抓拍，形成取证录像，生成报警事件上传后端平台</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⑥浓雾检测</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应能够对恶劣天气进行分析判断，通过相机可视范围判断浓雾情况，不并根据不同的浓雾级别生成报警事件上传后端平台。</w:t>
      </w:r>
      <w:bookmarkStart w:id="4" w:name="_Toc45032603"/>
    </w:p>
    <w:bookmarkEnd w:id="4"/>
    <w:p>
      <w:pPr>
        <w:pStyle w:val="8"/>
        <w:tabs>
          <w:tab w:val="left" w:pos="1440"/>
        </w:tabs>
        <w:ind w:firstLine="482"/>
        <w:rPr>
          <w:rFonts w:ascii="宋体" w:hAnsi="宋体" w:cs="宋体"/>
          <w:color w:val="auto"/>
          <w:highlight w:val="none"/>
        </w:rPr>
      </w:pPr>
      <w:bookmarkStart w:id="5" w:name="_Toc433812668"/>
      <w:bookmarkStart w:id="6" w:name="_Toc45032605"/>
      <w:bookmarkStart w:id="7" w:name="_Toc41465494"/>
      <w:bookmarkStart w:id="8" w:name="_Toc41465496"/>
      <w:bookmarkStart w:id="9" w:name="_Toc433812670"/>
      <w:r>
        <w:rPr>
          <w:rFonts w:hint="eastAsia" w:ascii="宋体" w:hAnsi="宋体" w:cs="宋体"/>
          <w:color w:val="auto"/>
          <w:highlight w:val="none"/>
        </w:rPr>
        <w:t>（4）多场景快速轮询取证功能</w:t>
      </w:r>
      <w:bookmarkEnd w:id="5"/>
      <w:bookmarkEnd w:id="6"/>
      <w:bookmarkEnd w:id="7"/>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针对球机同一个时间只能监控一个场景，而前端监控点可能有多个场景需要监控，各个场景发生违法停车的时间段不同的情况，支持多场景巡航取证，可根据实际情况设置巡航计划，最多支持16个预置违法检测场景，能有效提高取证效率。</w:t>
      </w:r>
    </w:p>
    <w:p>
      <w:pPr>
        <w:pStyle w:val="8"/>
        <w:tabs>
          <w:tab w:val="left" w:pos="1440"/>
        </w:tabs>
        <w:ind w:firstLine="482"/>
        <w:rPr>
          <w:rFonts w:ascii="宋体" w:hAnsi="宋体" w:cs="宋体"/>
          <w:color w:val="auto"/>
          <w:highlight w:val="none"/>
        </w:rPr>
      </w:pPr>
      <w:bookmarkStart w:id="10" w:name="_Toc433812667"/>
      <w:bookmarkStart w:id="11" w:name="_Toc45032606"/>
      <w:bookmarkStart w:id="12" w:name="_Toc41465493"/>
      <w:r>
        <w:rPr>
          <w:rFonts w:hint="eastAsia" w:ascii="宋体" w:hAnsi="宋体" w:cs="宋体"/>
          <w:color w:val="auto"/>
          <w:highlight w:val="none"/>
        </w:rPr>
        <w:t>（5）多目标处理功能</w:t>
      </w:r>
      <w:bookmarkEnd w:id="10"/>
      <w:bookmarkEnd w:id="11"/>
      <w:bookmarkEnd w:id="12"/>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可对检测区域内多个违法车辆进行检测取证，最多支持同时处理20个目标。</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对于同一场景下多目标同时进入检测区域的情况，系统首先对检测到的第一个目标采集第一组全景和特写图片，在球机回归预置位后再对检测区域内其它未进入抓拍队列的违法车辆进行第一组全景和特写图片的采集，然后按照设定的取证时限依次对抓拍队列中的车辆进行第二组全景和特写图片的采集及违法记录生成。多于多场景巡航取证时，系统除可以对新进入检测场景的违法车辆进行检测取证，也可以对场景内已停放的车辆进行检测取证。</w:t>
      </w:r>
    </w:p>
    <w:p>
      <w:pPr>
        <w:pStyle w:val="8"/>
        <w:tabs>
          <w:tab w:val="left" w:pos="1440"/>
        </w:tabs>
        <w:ind w:firstLine="482"/>
        <w:rPr>
          <w:rFonts w:ascii="宋体" w:hAnsi="宋体" w:cs="宋体"/>
          <w:color w:val="auto"/>
          <w:highlight w:val="none"/>
        </w:rPr>
      </w:pPr>
      <w:bookmarkStart w:id="13" w:name="_Toc45032607"/>
      <w:r>
        <w:rPr>
          <w:rFonts w:hint="eastAsia" w:ascii="宋体" w:hAnsi="宋体" w:cs="宋体"/>
          <w:color w:val="auto"/>
          <w:highlight w:val="none"/>
        </w:rPr>
        <w:t>（6）图像防篡改功能</w:t>
      </w:r>
      <w:bookmarkEnd w:id="8"/>
      <w:bookmarkEnd w:id="9"/>
      <w:bookmarkEnd w:id="13"/>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记录的原始图像信息具备防篡改功能，对记录的每条违法记录图片叠加水印等防伪信息，防止在传输、存储、处理等过程中被人为篡改。</w:t>
      </w:r>
    </w:p>
    <w:p>
      <w:pPr>
        <w:pStyle w:val="8"/>
        <w:tabs>
          <w:tab w:val="left" w:pos="1440"/>
        </w:tabs>
        <w:ind w:firstLine="482"/>
        <w:rPr>
          <w:rFonts w:ascii="宋体" w:hAnsi="宋体" w:cs="宋体"/>
          <w:color w:val="auto"/>
          <w:highlight w:val="none"/>
        </w:rPr>
      </w:pPr>
      <w:bookmarkStart w:id="14" w:name="_Toc41465497"/>
      <w:bookmarkStart w:id="15" w:name="_Toc45032608"/>
      <w:bookmarkStart w:id="16" w:name="_Toc303185590"/>
      <w:bookmarkStart w:id="17" w:name="_Toc433812671"/>
      <w:bookmarkStart w:id="18" w:name="_Toc408516956"/>
      <w:bookmarkStart w:id="19" w:name="_Toc433364230"/>
      <w:r>
        <w:rPr>
          <w:rFonts w:hint="eastAsia" w:ascii="宋体" w:hAnsi="宋体" w:cs="宋体"/>
          <w:color w:val="auto"/>
          <w:highlight w:val="none"/>
        </w:rPr>
        <w:t>（7）数据断点续传功能</w:t>
      </w:r>
      <w:bookmarkEnd w:id="14"/>
      <w:bookmarkEnd w:id="15"/>
      <w:bookmarkEnd w:id="16"/>
      <w:bookmarkEnd w:id="17"/>
      <w:bookmarkEnd w:id="18"/>
      <w:bookmarkEnd w:id="19"/>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支持断点续传功能。当遇到网络中断或其他故障时，车辆信息存储在前端设备中，待故障排除后自动续传。</w:t>
      </w:r>
    </w:p>
    <w:p>
      <w:pPr>
        <w:pStyle w:val="8"/>
        <w:tabs>
          <w:tab w:val="left" w:pos="1440"/>
        </w:tabs>
        <w:ind w:firstLine="482"/>
        <w:rPr>
          <w:rFonts w:ascii="宋体" w:hAnsi="宋体" w:cs="宋体"/>
          <w:color w:val="auto"/>
          <w:highlight w:val="none"/>
        </w:rPr>
      </w:pPr>
      <w:bookmarkStart w:id="20" w:name="_Toc382495930"/>
      <w:bookmarkStart w:id="21" w:name="_Toc433812673"/>
      <w:bookmarkStart w:id="22" w:name="_Toc45032609"/>
      <w:bookmarkStart w:id="23" w:name="_Toc340665350"/>
      <w:bookmarkStart w:id="24" w:name="_Toc41465499"/>
      <w:bookmarkStart w:id="25" w:name="_Toc345508657"/>
      <w:r>
        <w:rPr>
          <w:rFonts w:hint="eastAsia" w:ascii="宋体" w:hAnsi="宋体" w:cs="宋体"/>
          <w:color w:val="auto"/>
          <w:highlight w:val="none"/>
        </w:rPr>
        <w:t>（8）自动校时功能</w:t>
      </w:r>
      <w:bookmarkEnd w:id="20"/>
      <w:bookmarkEnd w:id="21"/>
      <w:bookmarkEnd w:id="22"/>
      <w:bookmarkEnd w:id="23"/>
      <w:bookmarkEnd w:id="24"/>
      <w:bookmarkEnd w:id="25"/>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24h内的计时误差不超过1.0s，所有前端设备点位每日至少与监控中心系统时钟同步一次。</w:t>
      </w:r>
    </w:p>
    <w:p>
      <w:pPr>
        <w:pStyle w:val="8"/>
        <w:tabs>
          <w:tab w:val="left" w:pos="1440"/>
        </w:tabs>
        <w:ind w:firstLine="482"/>
        <w:rPr>
          <w:rFonts w:ascii="宋体" w:hAnsi="宋体" w:cs="宋体"/>
          <w:color w:val="auto"/>
          <w:highlight w:val="none"/>
        </w:rPr>
      </w:pPr>
      <w:bookmarkStart w:id="26" w:name="_Toc41465500"/>
      <w:bookmarkStart w:id="27" w:name="_Toc382495931"/>
      <w:bookmarkStart w:id="28" w:name="_Toc45032610"/>
      <w:bookmarkStart w:id="29" w:name="_Toc433812674"/>
      <w:bookmarkStart w:id="30" w:name="_Toc331770092"/>
      <w:bookmarkStart w:id="31" w:name="_Toc303185593"/>
      <w:r>
        <w:rPr>
          <w:rFonts w:hint="eastAsia" w:ascii="宋体" w:hAnsi="宋体" w:cs="宋体"/>
          <w:color w:val="auto"/>
          <w:highlight w:val="none"/>
        </w:rPr>
        <w:t>（9） 网络远程维护功能</w:t>
      </w:r>
      <w:bookmarkEnd w:id="26"/>
      <w:bookmarkEnd w:id="27"/>
      <w:bookmarkEnd w:id="28"/>
      <w:bookmarkEnd w:id="29"/>
      <w:bookmarkEnd w:id="30"/>
      <w:bookmarkEnd w:id="31"/>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中心管理软件可以实时查看前端设备的运行状态</w:t>
      </w:r>
      <w:bookmarkStart w:id="32" w:name="_Toc303027256"/>
      <w:r>
        <w:rPr>
          <w:rFonts w:hint="eastAsia" w:ascii="宋体" w:hAnsi="宋体" w:cs="宋体"/>
          <w:color w:val="auto"/>
          <w:sz w:val="24"/>
          <w:highlight w:val="none"/>
        </w:rPr>
        <w:t>，支持通过网络实现远程维护</w:t>
      </w:r>
      <w:bookmarkEnd w:id="32"/>
      <w:r>
        <w:rPr>
          <w:rFonts w:hint="eastAsia" w:ascii="宋体" w:hAnsi="宋体" w:cs="宋体"/>
          <w:color w:val="auto"/>
          <w:sz w:val="24"/>
          <w:highlight w:val="none"/>
        </w:rPr>
        <w:t>、远程设置和远程升级等功能。</w:t>
      </w:r>
    </w:p>
    <w:p>
      <w:pPr>
        <w:pStyle w:val="8"/>
        <w:tabs>
          <w:tab w:val="left" w:pos="1440"/>
        </w:tabs>
        <w:ind w:firstLine="482"/>
        <w:rPr>
          <w:rFonts w:ascii="宋体" w:hAnsi="宋体" w:cs="宋体"/>
          <w:color w:val="auto"/>
          <w:highlight w:val="none"/>
        </w:rPr>
      </w:pPr>
      <w:bookmarkStart w:id="33" w:name="_Toc45032611"/>
      <w:r>
        <w:rPr>
          <w:rFonts w:hint="eastAsia" w:ascii="宋体" w:hAnsi="宋体" w:cs="宋体"/>
          <w:color w:val="auto"/>
          <w:highlight w:val="none"/>
        </w:rPr>
        <w:t>（10） 语音联动功能</w:t>
      </w:r>
      <w:bookmarkEnd w:id="33"/>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应支持语音联动功能，当有停车、逆行、压线、变道、掉头、拥堵、机动车占用非机动车道现象被触发时，前端设备应分别发出不同的语言提示。</w:t>
      </w:r>
    </w:p>
    <w:p>
      <w:pPr>
        <w:pStyle w:val="8"/>
        <w:tabs>
          <w:tab w:val="left" w:pos="1440"/>
        </w:tabs>
        <w:ind w:firstLine="482"/>
        <w:rPr>
          <w:rFonts w:ascii="宋体" w:hAnsi="宋体" w:cs="宋体"/>
          <w:color w:val="auto"/>
          <w:highlight w:val="none"/>
        </w:rPr>
      </w:pPr>
      <w:bookmarkStart w:id="34" w:name="_Toc41465489"/>
      <w:bookmarkStart w:id="35" w:name="_Toc45032612"/>
      <w:r>
        <w:rPr>
          <w:rFonts w:hint="eastAsia" w:ascii="宋体" w:hAnsi="宋体" w:cs="宋体"/>
          <w:color w:val="auto"/>
          <w:highlight w:val="none"/>
        </w:rPr>
        <w:t>（11）车牌自动识别功能</w:t>
      </w:r>
      <w:bookmarkEnd w:id="34"/>
      <w:bookmarkEnd w:id="35"/>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能够自动识别车牌号码，减少人工识别输入车牌的工作，提高效率。车牌自动识别功能包括车牌号码和车牌颜色的识别。</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系统具备对符合GA36-2018《中华人民共和国机动车号牌》标准的民用车牌、警用车牌、使领馆车牌、新能源车牌的号牌自动识别能力，并且具备对2012式军车号牌、2012式武警部队号牌的自动识别能力，所能识别的字符包括：</w:t>
      </w:r>
    </w:p>
    <w:tbl>
      <w:tblPr>
        <w:tblStyle w:val="35"/>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1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pStyle w:val="17"/>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阿拉伯数字</w:t>
            </w:r>
          </w:p>
        </w:tc>
        <w:tc>
          <w:tcPr>
            <w:tcW w:w="6146" w:type="dxa"/>
            <w:vAlign w:val="center"/>
          </w:tcPr>
          <w:p>
            <w:pPr>
              <w:pStyle w:val="17"/>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“0～9”十个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pStyle w:val="17"/>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英文字母</w:t>
            </w:r>
          </w:p>
        </w:tc>
        <w:tc>
          <w:tcPr>
            <w:tcW w:w="6146" w:type="dxa"/>
            <w:vAlign w:val="center"/>
          </w:tcPr>
          <w:p>
            <w:pPr>
              <w:pStyle w:val="17"/>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“A～Z”二十六个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pStyle w:val="17"/>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省、自治区、直辖市简称用汉字</w:t>
            </w:r>
          </w:p>
        </w:tc>
        <w:tc>
          <w:tcPr>
            <w:tcW w:w="6146" w:type="dxa"/>
            <w:vAlign w:val="center"/>
          </w:tcPr>
          <w:p>
            <w:pPr>
              <w:pStyle w:val="17"/>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京、津、晋、冀、蒙、辽、吉、黑、沪、苏、浙、皖、闽、赣、鲁、豫、鄂、湘、粤、桂、琼、川、贵、云、藏、陕、甘、青、宁、新、渝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376" w:type="dxa"/>
            <w:vAlign w:val="center"/>
          </w:tcPr>
          <w:p>
            <w:pPr>
              <w:pStyle w:val="17"/>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专用号牌简称用汉字</w:t>
            </w:r>
          </w:p>
        </w:tc>
        <w:tc>
          <w:tcPr>
            <w:tcW w:w="6146" w:type="dxa"/>
            <w:vAlign w:val="center"/>
          </w:tcPr>
          <w:p>
            <w:pPr>
              <w:pStyle w:val="17"/>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领、使、警、学、挂、港、澳、试、超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pStyle w:val="17"/>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12式武警号牌字符</w:t>
            </w:r>
          </w:p>
        </w:tc>
        <w:tc>
          <w:tcPr>
            <w:tcW w:w="6146" w:type="dxa"/>
            <w:vAlign w:val="center"/>
          </w:tcPr>
          <w:p>
            <w:pPr>
              <w:pStyle w:val="17"/>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WJ样式的字母、省份简称汉字、警种字母（X、B、T、S、H、J、D）、数字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pStyle w:val="17"/>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12式军车号牌字符</w:t>
            </w:r>
          </w:p>
        </w:tc>
        <w:tc>
          <w:tcPr>
            <w:tcW w:w="6146" w:type="dxa"/>
            <w:vAlign w:val="center"/>
          </w:tcPr>
          <w:p>
            <w:pPr>
              <w:pStyle w:val="17"/>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各军区/各军兵种部拼音缩写字母、各军区/各军兵种部下辖各部属机构拼音缩写字母、数字</w:t>
            </w:r>
          </w:p>
        </w:tc>
      </w:tr>
    </w:tbl>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能识别黑、白、蓝、黄、绿五种车牌颜色。</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能够识别新能源车牌。新能源汽车号牌是为更好区分辨识新能源汽车，实施差异化交通管理而设计的全新号牌，具体分为小型新能源汽车号牌和大型新能源汽车号牌，其中小型新能源汽车号牌为渐变绿色，大型新能源汽车号牌为黄绿双拼色（见下图）。</w:t>
      </w:r>
    </w:p>
    <w:p>
      <w:pPr>
        <w:pStyle w:val="17"/>
        <w:rPr>
          <w:rFonts w:ascii="宋体" w:hAnsi="宋体" w:cs="宋体"/>
          <w:color w:val="auto"/>
          <w:highlight w:val="none"/>
        </w:rPr>
      </w:pPr>
      <w:r>
        <w:rPr>
          <w:rFonts w:hint="eastAsia" w:ascii="宋体" w:hAnsi="宋体" w:cs="宋体"/>
          <w:color w:val="auto"/>
          <w:highlight w:val="none"/>
        </w:rPr>
        <w:drawing>
          <wp:anchor distT="0" distB="0" distL="114935" distR="114935" simplePos="0" relativeHeight="251661312" behindDoc="0" locked="0" layoutInCell="1" allowOverlap="1">
            <wp:simplePos x="0" y="0"/>
            <wp:positionH relativeFrom="column">
              <wp:posOffset>602615</wp:posOffset>
            </wp:positionH>
            <wp:positionV relativeFrom="paragraph">
              <wp:posOffset>223520</wp:posOffset>
            </wp:positionV>
            <wp:extent cx="3725545" cy="2611755"/>
            <wp:effectExtent l="0" t="0" r="8255" b="17145"/>
            <wp:wrapTopAndBottom/>
            <wp:docPr id="3" name="图片 3" descr="1595159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95159158(1)"/>
                    <pic:cNvPicPr>
                      <a:picLocks noChangeAspect="1"/>
                    </pic:cNvPicPr>
                  </pic:nvPicPr>
                  <pic:blipFill>
                    <a:blip r:embed="rId8"/>
                    <a:stretch>
                      <a:fillRect/>
                    </a:stretch>
                  </pic:blipFill>
                  <pic:spPr>
                    <a:xfrm>
                      <a:off x="0" y="0"/>
                      <a:ext cx="3725545" cy="2611755"/>
                    </a:xfrm>
                    <a:prstGeom prst="rect">
                      <a:avLst/>
                    </a:prstGeom>
                  </pic:spPr>
                </pic:pic>
              </a:graphicData>
            </a:graphic>
          </wp:anchor>
        </w:drawing>
      </w:r>
    </w:p>
    <w:p>
      <w:pPr>
        <w:ind w:firstLine="480"/>
        <w:jc w:val="center"/>
        <w:outlineLvl w:val="3"/>
        <w:rPr>
          <w:rFonts w:ascii="宋体" w:hAnsi="宋体" w:cs="宋体"/>
          <w:b/>
          <w:bCs/>
          <w:color w:val="auto"/>
          <w:sz w:val="24"/>
          <w:highlight w:val="none"/>
        </w:rPr>
      </w:pPr>
      <w:bookmarkStart w:id="36" w:name="_Toc41465553"/>
      <w:r>
        <w:rPr>
          <w:rFonts w:hint="eastAsia" w:ascii="宋体" w:hAnsi="宋体" w:cs="宋体"/>
          <w:color w:val="auto"/>
          <w:highlight w:val="none"/>
        </w:rPr>
        <w:t>新能源号牌实例</w:t>
      </w:r>
      <w:bookmarkEnd w:id="36"/>
    </w:p>
    <w:p>
      <w:pPr>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以上功能如前端摄像机本身无法实现，可通过后端软件功能予以实现（费用包含在投标报价中）。</w:t>
      </w:r>
    </w:p>
    <w:p>
      <w:pPr>
        <w:pStyle w:val="6"/>
        <w:tabs>
          <w:tab w:val="left" w:pos="142"/>
          <w:tab w:val="left" w:pos="993"/>
          <w:tab w:val="left" w:pos="1418"/>
          <w:tab w:val="left" w:pos="1560"/>
        </w:tabs>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4、固定式测速</w:t>
      </w:r>
      <w:r>
        <w:rPr>
          <w:rStyle w:val="114"/>
          <w:rFonts w:hint="eastAsia" w:ascii="宋体" w:hAnsi="宋体" w:eastAsia="宋体" w:cs="宋体"/>
          <w:color w:val="auto"/>
          <w:highlight w:val="none"/>
        </w:rPr>
        <w:t>系统要求</w:t>
      </w:r>
    </w:p>
    <w:p>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固定雷达测速主要分布在高速公路及普通公路的重要路段。设置超速监测功能的主要目的是在于减少超速行为的数量，确保道路交通安全。系统在容易发生交通事故和超速行驶的危险路段设置，共计9套违法超速抓拍设备。</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固定式测速设备具备精准测速且能够清晰的抓拍违法图片，抓拍和储存在同一设备上完成。系统支持多种网络传输方式，在具备光缆资源的条件下，实时将抓拍到的照片数据传送回后台处理单元。在光缆资源不具备的条件下，系统也支持采用无线等方式进行数据回传。</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由相机、雷达和显示单元组成，系统集成度高，显示单元能够快速方便调节设置所需的参数，进行图片抓拍，夜间使用补光单元和夜间操作系统，和相机同步保证夜间图片质量。</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无需其他的操作设备（如笔记本电脑，台式电脑，显示器鼠标等），通过设备自带显示屏可以设置相机和调整需要的抓拍信息。</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相机安装在坚固耐用的外壳内，外壳具备很强的抵抗冲击的能力，另一方面要保证很高级别的相机防破坏能力。</w:t>
      </w:r>
    </w:p>
    <w:p>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（1）具备移动式抓拍和固定式抓拍2种模式，并且可以通过改造互相转换使用。</w:t>
      </w:r>
    </w:p>
    <w:p>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rPr>
        <w:t>能记录机动车发生交通安全违法行为的完整过程图片，采集不少于2幅不同时间或者不同位置（对应行驶位移&gt;1.0m）的机动车全景特征图片。</w:t>
      </w:r>
    </w:p>
    <w:p>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3）测速雷达单元要求采用先进的多目标追踪雷达技术，可以自动学习识别车辆轨迹，应对多个目标进行测量，且实测多目标速度测量误差平均值小于-4km/h；要求提供省、直辖市级专业计量检测机构出具的计量器具型式评价报告。</w:t>
      </w:r>
    </w:p>
    <w:p>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（4）测速雷达单元要求对三个及以上车道进行监控，车道判断准确率要求99%以上，要求提供国家级计量检测机构出具的测试报告。超速车辆捕获率要求不小于90%，超速车辆图像有效率不小于90%。</w:t>
      </w:r>
    </w:p>
    <w:p>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rPr>
        <w:t>设备所拍摄违反限速规定的车辆图片，除叠加违法时间、违法地点、违法代码、车道、设备编号、速度等基础信息外，针对多目标检测，还应在图像中测定区域内对应被测目标上另外标注机动车行驶速度值。</w:t>
      </w:r>
    </w:p>
    <w:p>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（6）设备拍摄图像中测定区域内不同车道的违法照片需保持在同一触发位置，同时照片质量清晰、号牌清楚，号牌识别率符合要求。</w:t>
      </w:r>
    </w:p>
    <w:p>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（7）设备可以同时对来向、去向、双向的车辆监控；测速范围：10公里/小时至250公里/小时。</w:t>
      </w:r>
    </w:p>
    <w:p>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（8）测速雷达要求：3D跟踪雷达，工作频率24.100GHz。</w:t>
      </w:r>
    </w:p>
    <w:p>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（9）测速设备具备数字显示屏，并含有抗反射表面，使得操作人员在现场就可在设备上直接读取违法数据图像。设备需具备计量器具型式批准证书。</w:t>
      </w:r>
    </w:p>
    <w:p>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补光灯: 闪光强度：150W或300W可选，智能可选闪光系统；闪光持续周期：1/1000秒（半周期）；闪光频率：0.5秒（白光），0.7（红光）；补光范围≥45米。</w:t>
      </w:r>
    </w:p>
    <w:p>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测速箱体采用耐腐蚀的不锈钢材质，防护等级大于等于IP55，保证系统箱内温度；为保证拍摄质量，测速箱体可根据需要调整角度。</w:t>
      </w:r>
    </w:p>
    <w:p>
      <w:pPr>
        <w:pStyle w:val="6"/>
        <w:numPr>
          <w:ilvl w:val="0"/>
          <w:numId w:val="11"/>
        </w:numPr>
        <w:tabs>
          <w:tab w:val="left" w:pos="142"/>
          <w:tab w:val="left" w:pos="993"/>
          <w:tab w:val="left" w:pos="1418"/>
          <w:tab w:val="left" w:pos="1560"/>
        </w:tabs>
        <w:spacing w:line="360" w:lineRule="auto"/>
        <w:rPr>
          <w:rStyle w:val="114"/>
          <w:rFonts w:ascii="宋体" w:hAnsi="宋体" w:eastAsia="宋体" w:cs="宋体"/>
          <w:color w:val="auto"/>
          <w:highlight w:val="none"/>
        </w:rPr>
      </w:pPr>
      <w:r>
        <w:rPr>
          <w:rStyle w:val="114"/>
          <w:rFonts w:hint="eastAsia" w:ascii="宋体" w:hAnsi="宋体" w:eastAsia="宋体" w:cs="宋体"/>
          <w:color w:val="auto"/>
          <w:highlight w:val="none"/>
        </w:rPr>
        <w:t>违停自动抓拍系统要求</w:t>
      </w:r>
    </w:p>
    <w:p>
      <w:pPr>
        <w:pStyle w:val="8"/>
        <w:tabs>
          <w:tab w:val="left" w:pos="1440"/>
        </w:tabs>
        <w:ind w:firstLine="482"/>
        <w:rPr>
          <w:rFonts w:ascii="宋体" w:hAnsi="宋体" w:cs="宋体"/>
          <w:color w:val="auto"/>
          <w:highlight w:val="none"/>
        </w:rPr>
      </w:pPr>
      <w:bookmarkStart w:id="37" w:name="_Toc439338559"/>
      <w:bookmarkStart w:id="38" w:name="_Toc382495927"/>
      <w:bookmarkStart w:id="39" w:name="_Toc345508653"/>
      <w:bookmarkStart w:id="40" w:name="_Toc433812662"/>
      <w:bookmarkStart w:id="41" w:name="_Toc462671678"/>
      <w:bookmarkStart w:id="42" w:name="_Toc340665347"/>
      <w:r>
        <w:rPr>
          <w:rFonts w:hint="eastAsia" w:ascii="宋体" w:hAnsi="宋体" w:cs="宋体"/>
          <w:color w:val="auto"/>
          <w:highlight w:val="none"/>
        </w:rPr>
        <w:t>（1）违法停车自动取证功能</w:t>
      </w:r>
      <w:bookmarkEnd w:id="37"/>
      <w:bookmarkEnd w:id="38"/>
      <w:bookmarkEnd w:id="39"/>
      <w:bookmarkEnd w:id="40"/>
      <w:bookmarkEnd w:id="41"/>
    </w:p>
    <w:p>
      <w:pPr>
        <w:spacing w:line="360" w:lineRule="auto"/>
        <w:ind w:firstLine="480"/>
        <w:rPr>
          <w:rFonts w:ascii="宋体" w:hAnsi="宋体" w:cs="宋体"/>
          <w:color w:val="auto"/>
          <w:highlight w:val="none"/>
        </w:rPr>
      </w:pPr>
      <w:r>
        <w:rPr>
          <w:rFonts w:hint="eastAsia" w:ascii="宋体" w:hAnsi="宋体" w:cs="宋体"/>
          <w:color w:val="auto"/>
          <w:sz w:val="24"/>
          <w:highlight w:val="none"/>
        </w:rPr>
        <w:t>系统能对道路两旁禁停区域违停车辆</w:t>
      </w:r>
      <w:r>
        <w:rPr>
          <w:rFonts w:hint="eastAsia" w:ascii="宋体" w:hAnsi="宋体" w:cs="宋体"/>
          <w:color w:val="auto"/>
          <w:highlight w:val="none"/>
        </w:rPr>
        <w:t>进行检测和取证。可以根据用户的实际需求调整最大停车时限，当车辆在禁止停车区域停车时，能自动获取车辆违法信息（包含违法时间、号牌、违法地址等），并将该条信息作为预警信息及时上传到违法校录平台，由违法校录平台提醒车辆所有人在限定时间内驶离。若该车辆未在规定时间内驶离，则系统再获其他不同时间段的三张图片，其中违法时间取最后一张照片时间，最大停车时间可后台调整。</w:t>
      </w:r>
      <w:bookmarkStart w:id="43" w:name="_Toc382495928"/>
      <w:bookmarkStart w:id="44" w:name="_Toc345508656"/>
      <w:bookmarkStart w:id="45" w:name="_Toc340665349"/>
      <w:bookmarkStart w:id="46" w:name="_Toc345508654"/>
    </w:p>
    <w:p>
      <w:pPr>
        <w:pStyle w:val="8"/>
        <w:tabs>
          <w:tab w:val="left" w:pos="1440"/>
        </w:tabs>
        <w:ind w:firstLine="482"/>
        <w:rPr>
          <w:rFonts w:ascii="宋体" w:hAnsi="宋体" w:cs="宋体"/>
          <w:color w:val="auto"/>
          <w:highlight w:val="none"/>
        </w:rPr>
      </w:pPr>
      <w:bookmarkStart w:id="47" w:name="_Toc439338560"/>
      <w:bookmarkStart w:id="48" w:name="_Toc462671679"/>
      <w:bookmarkStart w:id="49" w:name="_Toc433812663"/>
      <w:r>
        <w:rPr>
          <w:rFonts w:hint="eastAsia" w:ascii="宋体" w:hAnsi="宋体" w:cs="宋体"/>
          <w:color w:val="auto"/>
          <w:highlight w:val="none"/>
        </w:rPr>
        <w:t>（2）车牌自动识别功能</w:t>
      </w:r>
      <w:bookmarkEnd w:id="43"/>
      <w:bookmarkEnd w:id="44"/>
      <w:bookmarkEnd w:id="45"/>
      <w:bookmarkEnd w:id="47"/>
      <w:bookmarkEnd w:id="48"/>
      <w:bookmarkEnd w:id="49"/>
    </w:p>
    <w:p>
      <w:pPr>
        <w:spacing w:line="360" w:lineRule="auto"/>
        <w:ind w:firstLine="480"/>
        <w:rPr>
          <w:rFonts w:ascii="宋体" w:hAnsi="宋体" w:cs="宋体"/>
          <w:color w:val="auto"/>
          <w:highlight w:val="none"/>
        </w:rPr>
      </w:pPr>
      <w:r>
        <w:rPr>
          <w:rFonts w:hint="eastAsia" w:ascii="宋体" w:hAnsi="宋体" w:cs="宋体"/>
          <w:color w:val="auto"/>
          <w:highlight w:val="none"/>
        </w:rPr>
        <w:t>系统能够自动对违停车辆进行跟踪放大，自动识别车牌号码，减少人工识别输入车牌的工作，提高效率。车牌自动识别功能包括车牌号码和车牌颜色的识别。</w:t>
      </w:r>
    </w:p>
    <w:p>
      <w:pPr>
        <w:pStyle w:val="117"/>
        <w:ind w:firstLine="420"/>
        <w:rPr>
          <w:rFonts w:ascii="宋体" w:hAnsi="宋体"/>
          <w:color w:val="auto"/>
          <w:sz w:val="21"/>
          <w:szCs w:val="24"/>
          <w:highlight w:val="none"/>
        </w:rPr>
      </w:pPr>
      <w:r>
        <w:rPr>
          <w:rFonts w:hint="eastAsia" w:ascii="宋体" w:hAnsi="宋体"/>
          <w:color w:val="auto"/>
          <w:sz w:val="21"/>
          <w:szCs w:val="24"/>
          <w:highlight w:val="none"/>
        </w:rPr>
        <w:t>系统具备对符合“GA36-2014”标准的民用车牌、警用车牌、使领馆车牌、新能源的号牌自动识别能力，并且具备对2012式军车号牌、2012式武警部队号牌的自动识别能力，所能识别的字符包括：</w:t>
      </w:r>
    </w:p>
    <w:tbl>
      <w:tblPr>
        <w:tblStyle w:val="35"/>
        <w:tblW w:w="87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78"/>
        <w:gridCol w:w="59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vAlign w:val="center"/>
          </w:tcPr>
          <w:p>
            <w:pPr>
              <w:rPr>
                <w:rFonts w:ascii="宋体" w:hAnsi="宋体" w:cs="宋体"/>
                <w:color w:val="auto"/>
                <w:highlight w:val="none"/>
              </w:rPr>
            </w:pPr>
            <w:r>
              <w:rPr>
                <w:rFonts w:hint="eastAsia" w:ascii="宋体" w:hAnsi="宋体" w:cs="宋体"/>
                <w:color w:val="auto"/>
                <w:highlight w:val="none"/>
              </w:rPr>
              <w:t>阿拉伯数字</w:t>
            </w:r>
          </w:p>
        </w:tc>
        <w:tc>
          <w:tcPr>
            <w:tcW w:w="5982" w:type="dxa"/>
            <w:vAlign w:val="center"/>
          </w:tcPr>
          <w:p>
            <w:pPr>
              <w:rPr>
                <w:rFonts w:ascii="宋体" w:hAnsi="宋体" w:cs="宋体"/>
                <w:color w:val="auto"/>
                <w:highlight w:val="none"/>
              </w:rPr>
            </w:pPr>
            <w:r>
              <w:rPr>
                <w:rFonts w:hint="eastAsia" w:ascii="宋体" w:hAnsi="宋体" w:cs="宋体"/>
                <w:color w:val="auto"/>
                <w:highlight w:val="none"/>
              </w:rPr>
              <w:t>“0～9”十个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vAlign w:val="center"/>
          </w:tcPr>
          <w:p>
            <w:pPr>
              <w:rPr>
                <w:rFonts w:ascii="宋体" w:hAnsi="宋体" w:cs="宋体"/>
                <w:color w:val="auto"/>
                <w:highlight w:val="none"/>
              </w:rPr>
            </w:pPr>
            <w:r>
              <w:rPr>
                <w:rFonts w:hint="eastAsia" w:ascii="宋体" w:hAnsi="宋体" w:cs="宋体"/>
                <w:color w:val="auto"/>
                <w:highlight w:val="none"/>
              </w:rPr>
              <w:t>英文字母</w:t>
            </w:r>
          </w:p>
        </w:tc>
        <w:tc>
          <w:tcPr>
            <w:tcW w:w="5982" w:type="dxa"/>
            <w:vAlign w:val="center"/>
          </w:tcPr>
          <w:p>
            <w:pPr>
              <w:rPr>
                <w:rFonts w:ascii="宋体" w:hAnsi="宋体" w:cs="宋体"/>
                <w:color w:val="auto"/>
                <w:highlight w:val="none"/>
              </w:rPr>
            </w:pPr>
            <w:r>
              <w:rPr>
                <w:rFonts w:hint="eastAsia" w:ascii="宋体" w:hAnsi="宋体" w:cs="宋体"/>
                <w:color w:val="auto"/>
                <w:highlight w:val="none"/>
              </w:rPr>
              <w:t>“A～Z”二十六个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vAlign w:val="center"/>
          </w:tcPr>
          <w:p>
            <w:pPr>
              <w:rPr>
                <w:rFonts w:ascii="宋体" w:hAnsi="宋体" w:cs="宋体"/>
                <w:color w:val="auto"/>
                <w:highlight w:val="none"/>
              </w:rPr>
            </w:pPr>
            <w:r>
              <w:rPr>
                <w:rFonts w:hint="eastAsia" w:ascii="宋体" w:hAnsi="宋体" w:cs="宋体"/>
                <w:color w:val="auto"/>
                <w:highlight w:val="none"/>
              </w:rPr>
              <w:t>省、自治区、直辖市简称用汉字</w:t>
            </w:r>
          </w:p>
        </w:tc>
        <w:tc>
          <w:tcPr>
            <w:tcW w:w="5982" w:type="dxa"/>
            <w:vAlign w:val="center"/>
          </w:tcPr>
          <w:p>
            <w:pPr>
              <w:rPr>
                <w:rFonts w:ascii="宋体" w:hAnsi="宋体" w:cs="宋体"/>
                <w:color w:val="auto"/>
                <w:highlight w:val="none"/>
              </w:rPr>
            </w:pPr>
            <w:r>
              <w:rPr>
                <w:rFonts w:hint="eastAsia" w:ascii="宋体" w:hAnsi="宋体" w:cs="宋体"/>
                <w:color w:val="auto"/>
                <w:highlight w:val="none"/>
              </w:rPr>
              <w:t>京、津、晋、冀、蒙、辽、吉、黑、沪、苏、浙、皖、闽、赣、鲁、豫、鄂、湘、粤、桂、琼、川、贵、云、藏、陕、甘、青、宁、新、渝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778" w:type="dxa"/>
            <w:vAlign w:val="center"/>
          </w:tcPr>
          <w:p>
            <w:pPr>
              <w:rPr>
                <w:rFonts w:ascii="宋体" w:hAnsi="宋体" w:cs="宋体"/>
                <w:color w:val="auto"/>
                <w:highlight w:val="none"/>
              </w:rPr>
            </w:pPr>
            <w:r>
              <w:rPr>
                <w:rFonts w:hint="eastAsia" w:ascii="宋体" w:hAnsi="宋体" w:cs="宋体"/>
                <w:color w:val="auto"/>
                <w:highlight w:val="none"/>
              </w:rPr>
              <w:t>专用号牌简称用汉字</w:t>
            </w:r>
          </w:p>
        </w:tc>
        <w:tc>
          <w:tcPr>
            <w:tcW w:w="5982" w:type="dxa"/>
            <w:vAlign w:val="center"/>
          </w:tcPr>
          <w:p>
            <w:pPr>
              <w:rPr>
                <w:rFonts w:ascii="宋体" w:hAnsi="宋体" w:cs="宋体"/>
                <w:color w:val="auto"/>
                <w:highlight w:val="none"/>
              </w:rPr>
            </w:pPr>
            <w:r>
              <w:rPr>
                <w:rFonts w:hint="eastAsia" w:ascii="宋体" w:hAnsi="宋体" w:cs="宋体"/>
                <w:color w:val="auto"/>
                <w:highlight w:val="none"/>
              </w:rPr>
              <w:t>领、使、警、学、挂、港、澳、试、超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vAlign w:val="center"/>
          </w:tcPr>
          <w:p>
            <w:pPr>
              <w:rPr>
                <w:rFonts w:ascii="宋体" w:hAnsi="宋体" w:cs="宋体"/>
                <w:color w:val="auto"/>
                <w:highlight w:val="none"/>
              </w:rPr>
            </w:pPr>
            <w:r>
              <w:rPr>
                <w:rFonts w:hint="eastAsia" w:ascii="宋体" w:hAnsi="宋体" w:cs="宋体"/>
                <w:color w:val="auto"/>
                <w:highlight w:val="none"/>
              </w:rPr>
              <w:t>12式武警号牌字符</w:t>
            </w:r>
          </w:p>
        </w:tc>
        <w:tc>
          <w:tcPr>
            <w:tcW w:w="5982" w:type="dxa"/>
            <w:vAlign w:val="center"/>
          </w:tcPr>
          <w:p>
            <w:pPr>
              <w:rPr>
                <w:rFonts w:ascii="宋体" w:hAnsi="宋体" w:cs="宋体"/>
                <w:color w:val="auto"/>
                <w:highlight w:val="none"/>
              </w:rPr>
            </w:pPr>
            <w:r>
              <w:rPr>
                <w:rFonts w:hint="eastAsia" w:ascii="宋体" w:hAnsi="宋体" w:cs="宋体"/>
                <w:color w:val="auto"/>
                <w:highlight w:val="none"/>
              </w:rPr>
              <w:t>WJ样式的字母、省份简称汉字、警种字母（X、B、T、S、H、J、D）、数字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vAlign w:val="center"/>
          </w:tcPr>
          <w:p>
            <w:pPr>
              <w:rPr>
                <w:rFonts w:ascii="宋体" w:hAnsi="宋体" w:cs="宋体"/>
                <w:color w:val="auto"/>
                <w:highlight w:val="none"/>
              </w:rPr>
            </w:pPr>
            <w:r>
              <w:rPr>
                <w:rFonts w:hint="eastAsia" w:ascii="宋体" w:hAnsi="宋体" w:cs="宋体"/>
                <w:color w:val="auto"/>
                <w:highlight w:val="none"/>
              </w:rPr>
              <w:t>12式军车号牌字符</w:t>
            </w:r>
          </w:p>
        </w:tc>
        <w:tc>
          <w:tcPr>
            <w:tcW w:w="5982" w:type="dxa"/>
            <w:vAlign w:val="center"/>
          </w:tcPr>
          <w:p>
            <w:pPr>
              <w:rPr>
                <w:rFonts w:ascii="宋体" w:hAnsi="宋体" w:cs="宋体"/>
                <w:color w:val="auto"/>
                <w:highlight w:val="none"/>
              </w:rPr>
            </w:pPr>
            <w:r>
              <w:rPr>
                <w:rFonts w:hint="eastAsia" w:ascii="宋体" w:hAnsi="宋体" w:cs="宋体"/>
                <w:color w:val="auto"/>
                <w:highlight w:val="none"/>
              </w:rPr>
              <w:t>各军区/各军兵种部拼音缩写字母、各军区/各军兵种部下辖各部属机构拼音缩写字母、数字</w:t>
            </w:r>
          </w:p>
        </w:tc>
      </w:tr>
    </w:tbl>
    <w:p>
      <w:pPr>
        <w:pStyle w:val="117"/>
        <w:ind w:firstLine="480"/>
        <w:rPr>
          <w:rFonts w:ascii="宋体" w:hAnsi="宋体"/>
          <w:color w:val="auto"/>
          <w:highlight w:val="none"/>
        </w:rPr>
      </w:pPr>
      <w:bookmarkStart w:id="50" w:name="_Toc433812664"/>
      <w:r>
        <w:rPr>
          <w:rFonts w:hint="eastAsia" w:ascii="宋体" w:hAnsi="宋体"/>
          <w:color w:val="auto"/>
          <w:highlight w:val="none"/>
        </w:rPr>
        <w:t>系统能识别黑、白、蓝、黄、绿五种车牌颜色。</w:t>
      </w:r>
    </w:p>
    <w:p>
      <w:pPr>
        <w:pStyle w:val="8"/>
        <w:tabs>
          <w:tab w:val="left" w:pos="1440"/>
        </w:tabs>
        <w:ind w:firstLine="482"/>
        <w:rPr>
          <w:rFonts w:ascii="宋体" w:hAnsi="宋体" w:cs="宋体"/>
          <w:color w:val="auto"/>
          <w:highlight w:val="none"/>
        </w:rPr>
      </w:pPr>
      <w:bookmarkStart w:id="51" w:name="_Toc439338561"/>
      <w:bookmarkStart w:id="52" w:name="_Toc462671680"/>
      <w:r>
        <w:rPr>
          <w:rFonts w:hint="eastAsia" w:ascii="宋体" w:hAnsi="宋体" w:cs="宋体"/>
          <w:color w:val="auto"/>
          <w:highlight w:val="none"/>
        </w:rPr>
        <w:t>（3）其它违法行为自动取证功能</w:t>
      </w:r>
      <w:bookmarkEnd w:id="50"/>
      <w:bookmarkEnd w:id="51"/>
      <w:bookmarkEnd w:id="52"/>
    </w:p>
    <w:p>
      <w:pPr>
        <w:spacing w:line="360" w:lineRule="auto"/>
        <w:ind w:firstLine="480"/>
        <w:rPr>
          <w:rFonts w:ascii="宋体" w:hAnsi="宋体" w:cs="宋体"/>
          <w:color w:val="auto"/>
          <w:highlight w:val="none"/>
        </w:rPr>
      </w:pPr>
      <w:r>
        <w:rPr>
          <w:rFonts w:hint="eastAsia" w:ascii="宋体" w:hAnsi="宋体" w:cs="宋体"/>
          <w:color w:val="auto"/>
          <w:highlight w:val="none"/>
        </w:rPr>
        <w:t>系统在有效检测范围内，除了能对违停进行自动取证外，还可以对逆行、压线、变道、机占非、违法掉头等其它违法行为进行自动取证，取证信息与违停取证类似，同时也具备车牌自动识别功能。</w:t>
      </w:r>
    </w:p>
    <w:p>
      <w:pPr>
        <w:pStyle w:val="8"/>
        <w:tabs>
          <w:tab w:val="left" w:pos="1440"/>
        </w:tabs>
        <w:ind w:firstLine="482"/>
        <w:rPr>
          <w:rFonts w:ascii="宋体" w:hAnsi="宋体" w:cs="宋体"/>
          <w:color w:val="auto"/>
          <w:highlight w:val="none"/>
        </w:rPr>
      </w:pPr>
      <w:bookmarkStart w:id="53" w:name="_Toc439338563"/>
      <w:bookmarkStart w:id="54" w:name="_Toc462671682"/>
      <w:bookmarkStart w:id="55" w:name="_Toc433812666"/>
      <w:bookmarkStart w:id="56" w:name="_Toc433364232"/>
      <w:bookmarkStart w:id="57" w:name="_Toc408516958"/>
      <w:bookmarkStart w:id="58" w:name="_Toc303185592"/>
      <w:r>
        <w:rPr>
          <w:rFonts w:hint="eastAsia" w:ascii="宋体" w:hAnsi="宋体" w:cs="宋体"/>
          <w:color w:val="auto"/>
          <w:highlight w:val="none"/>
        </w:rPr>
        <w:t>（4）手动取证功能</w:t>
      </w:r>
      <w:bookmarkEnd w:id="53"/>
      <w:bookmarkEnd w:id="54"/>
      <w:bookmarkEnd w:id="55"/>
    </w:p>
    <w:p>
      <w:pPr>
        <w:pStyle w:val="117"/>
        <w:ind w:firstLine="420"/>
        <w:rPr>
          <w:rFonts w:ascii="宋体" w:hAnsi="宋体"/>
          <w:color w:val="auto"/>
          <w:sz w:val="21"/>
          <w:szCs w:val="24"/>
          <w:highlight w:val="none"/>
        </w:rPr>
      </w:pPr>
      <w:r>
        <w:rPr>
          <w:rFonts w:hint="eastAsia" w:ascii="宋体" w:hAnsi="宋体"/>
          <w:color w:val="auto"/>
          <w:sz w:val="21"/>
          <w:szCs w:val="24"/>
          <w:highlight w:val="none"/>
        </w:rPr>
        <w:t>系统支持手动取证功能，包括手动跟踪取证和自动跟踪取证。开启手动抓拍取证后，系统能对违法停车、违法压线、违法变道、违法逆行、违法掉头、闯禁左、闯禁右、闯禁行区、机动车非法占用非机动车道等车辆违法行为进行抓拍取证：</w:t>
      </w:r>
    </w:p>
    <w:p>
      <w:pPr>
        <w:pStyle w:val="117"/>
        <w:numPr>
          <w:ilvl w:val="255"/>
          <w:numId w:val="0"/>
        </w:numPr>
        <w:ind w:firstLine="480"/>
        <w:rPr>
          <w:rFonts w:ascii="宋体" w:hAnsi="宋体"/>
          <w:color w:val="auto"/>
          <w:sz w:val="21"/>
          <w:szCs w:val="24"/>
          <w:highlight w:val="none"/>
        </w:rPr>
      </w:pPr>
      <w:r>
        <w:rPr>
          <w:rFonts w:hint="eastAsia" w:ascii="宋体" w:hAnsi="宋体"/>
          <w:color w:val="auto"/>
          <w:sz w:val="21"/>
          <w:szCs w:val="24"/>
          <w:highlight w:val="none"/>
        </w:rPr>
        <w:t>手动跟踪取证模式</w:t>
      </w:r>
    </w:p>
    <w:p>
      <w:pPr>
        <w:pStyle w:val="117"/>
        <w:ind w:firstLine="420"/>
        <w:rPr>
          <w:rFonts w:ascii="宋体" w:hAnsi="宋体"/>
          <w:color w:val="auto"/>
          <w:sz w:val="21"/>
          <w:szCs w:val="24"/>
          <w:highlight w:val="none"/>
        </w:rPr>
      </w:pPr>
      <w:r>
        <w:rPr>
          <w:rFonts w:hint="eastAsia" w:ascii="宋体" w:hAnsi="宋体"/>
          <w:color w:val="auto"/>
          <w:sz w:val="21"/>
          <w:szCs w:val="24"/>
          <w:highlight w:val="none"/>
        </w:rPr>
        <w:t>通过键盘操控跟踪放大，识别车辆，手动抓拍图片。球机与键盘算法的优化，使键盘跟踪控制流畅，延时小。</w:t>
      </w:r>
    </w:p>
    <w:p>
      <w:pPr>
        <w:pStyle w:val="117"/>
        <w:numPr>
          <w:ilvl w:val="255"/>
          <w:numId w:val="0"/>
        </w:numPr>
        <w:ind w:firstLine="480"/>
        <w:rPr>
          <w:rFonts w:ascii="宋体" w:hAnsi="宋体"/>
          <w:color w:val="auto"/>
          <w:sz w:val="21"/>
          <w:szCs w:val="24"/>
          <w:highlight w:val="none"/>
        </w:rPr>
      </w:pPr>
      <w:r>
        <w:rPr>
          <w:rFonts w:hint="eastAsia" w:ascii="宋体" w:hAnsi="宋体"/>
          <w:color w:val="auto"/>
          <w:sz w:val="21"/>
          <w:szCs w:val="24"/>
          <w:highlight w:val="none"/>
        </w:rPr>
        <w:t>自动跟踪取证模式</w:t>
      </w:r>
    </w:p>
    <w:p>
      <w:pPr>
        <w:pStyle w:val="117"/>
        <w:ind w:firstLine="420"/>
        <w:rPr>
          <w:rFonts w:ascii="宋体" w:hAnsi="宋体"/>
          <w:color w:val="auto"/>
          <w:sz w:val="21"/>
          <w:szCs w:val="24"/>
          <w:highlight w:val="none"/>
        </w:rPr>
      </w:pPr>
      <w:r>
        <w:rPr>
          <w:rFonts w:hint="eastAsia" w:ascii="宋体" w:hAnsi="宋体"/>
          <w:color w:val="auto"/>
          <w:sz w:val="21"/>
          <w:szCs w:val="24"/>
          <w:highlight w:val="none"/>
        </w:rPr>
        <w:t>此模式下，可以通过鼠标点选或框选车辆，球机就能自动跟踪、变倍放大抓拍、识别车辆。</w:t>
      </w:r>
    </w:p>
    <w:p>
      <w:pPr>
        <w:pStyle w:val="117"/>
        <w:ind w:firstLine="420"/>
        <w:rPr>
          <w:rFonts w:ascii="宋体" w:hAnsi="宋体"/>
          <w:color w:val="auto"/>
          <w:sz w:val="21"/>
          <w:szCs w:val="24"/>
          <w:highlight w:val="none"/>
        </w:rPr>
      </w:pPr>
      <w:r>
        <w:rPr>
          <w:rFonts w:hint="eastAsia" w:ascii="宋体" w:hAnsi="宋体"/>
          <w:color w:val="auto"/>
          <w:sz w:val="21"/>
          <w:szCs w:val="24"/>
          <w:highlight w:val="none"/>
        </w:rPr>
        <w:t>自动取证工作模式和手动取证工作模式可自由切换，既可通过设置时间段来切换，也可以任意时候手动切换，满足用户不同业务需求。</w:t>
      </w:r>
    </w:p>
    <w:p>
      <w:pPr>
        <w:pStyle w:val="8"/>
        <w:tabs>
          <w:tab w:val="left" w:pos="1440"/>
        </w:tabs>
        <w:ind w:firstLine="482"/>
        <w:rPr>
          <w:rFonts w:ascii="宋体" w:hAnsi="宋体" w:cs="宋体"/>
          <w:color w:val="auto"/>
          <w:highlight w:val="none"/>
        </w:rPr>
      </w:pPr>
      <w:bookmarkStart w:id="59" w:name="_Toc462671683"/>
      <w:bookmarkStart w:id="60" w:name="_Toc439338567"/>
      <w:r>
        <w:rPr>
          <w:rFonts w:hint="eastAsia" w:ascii="宋体" w:hAnsi="宋体" w:cs="宋体"/>
          <w:color w:val="auto"/>
          <w:highlight w:val="none"/>
        </w:rPr>
        <w:t>（5）图像防篡改功能</w:t>
      </w:r>
      <w:bookmarkEnd w:id="56"/>
      <w:bookmarkEnd w:id="57"/>
      <w:bookmarkEnd w:id="58"/>
      <w:bookmarkEnd w:id="59"/>
      <w:bookmarkEnd w:id="60"/>
    </w:p>
    <w:p>
      <w:pPr>
        <w:spacing w:line="360" w:lineRule="auto"/>
        <w:ind w:firstLine="480"/>
        <w:rPr>
          <w:rFonts w:ascii="宋体" w:hAnsi="宋体" w:cs="宋体"/>
          <w:color w:val="auto"/>
          <w:szCs w:val="28"/>
          <w:highlight w:val="none"/>
        </w:rPr>
      </w:pPr>
      <w:r>
        <w:rPr>
          <w:rFonts w:hint="eastAsia" w:ascii="宋体" w:hAnsi="宋体" w:cs="宋体"/>
          <w:color w:val="auto"/>
          <w:szCs w:val="28"/>
          <w:highlight w:val="none"/>
        </w:rPr>
        <w:t>系统记录的原始图像信息具备防篡改功能，对记录的每条违法记录图片叠加水印等防伪信息，防止在传输、存储、处理等过程中被人为篡改。</w:t>
      </w:r>
    </w:p>
    <w:p>
      <w:pPr>
        <w:pStyle w:val="8"/>
        <w:tabs>
          <w:tab w:val="left" w:pos="1440"/>
        </w:tabs>
        <w:ind w:firstLine="482"/>
        <w:rPr>
          <w:rFonts w:ascii="宋体" w:hAnsi="宋体" w:cs="宋体"/>
          <w:color w:val="auto"/>
          <w:highlight w:val="none"/>
        </w:rPr>
      </w:pPr>
      <w:bookmarkStart w:id="61" w:name="_Toc462671684"/>
      <w:bookmarkStart w:id="62" w:name="_Toc439338568"/>
      <w:r>
        <w:rPr>
          <w:rFonts w:hint="eastAsia" w:ascii="宋体" w:hAnsi="宋体" w:cs="宋体"/>
          <w:color w:val="auto"/>
          <w:highlight w:val="none"/>
        </w:rPr>
        <w:t>（6）数据断点续传功能</w:t>
      </w:r>
      <w:bookmarkEnd w:id="61"/>
      <w:bookmarkEnd w:id="62"/>
    </w:p>
    <w:p>
      <w:pPr>
        <w:spacing w:line="360" w:lineRule="auto"/>
        <w:ind w:firstLine="480"/>
        <w:rPr>
          <w:rFonts w:ascii="宋体" w:hAnsi="宋体" w:cs="宋体"/>
          <w:color w:val="auto"/>
          <w:sz w:val="24"/>
          <w:highlight w:val="none"/>
        </w:rPr>
      </w:pPr>
      <w:r>
        <w:rPr>
          <w:rFonts w:hint="eastAsia" w:ascii="宋体" w:hAnsi="宋体" w:cs="宋体"/>
          <w:color w:val="auto"/>
          <w:szCs w:val="28"/>
          <w:highlight w:val="none"/>
        </w:rPr>
        <w:t>系统支持断点续传功能。当遇到网络中断或其他故障时，车辆信息存储在前端设备中，</w:t>
      </w:r>
      <w:r>
        <w:rPr>
          <w:rFonts w:hint="eastAsia" w:ascii="宋体" w:hAnsi="宋体" w:cs="宋体"/>
          <w:color w:val="auto"/>
          <w:sz w:val="24"/>
          <w:highlight w:val="none"/>
        </w:rPr>
        <w:t>待故障排除后自动续传。</w:t>
      </w:r>
    </w:p>
    <w:bookmarkEnd w:id="42"/>
    <w:bookmarkEnd w:id="46"/>
    <w:p>
      <w:pPr>
        <w:pStyle w:val="7"/>
        <w:spacing w:line="360" w:lineRule="auto"/>
        <w:ind w:firstLine="482" w:firstLineChars="200"/>
        <w:rPr>
          <w:rFonts w:ascii="宋体" w:hAnsi="宋体" w:cs="宋体"/>
          <w:bCs w:val="0"/>
          <w:color w:val="auto"/>
          <w:sz w:val="24"/>
          <w:szCs w:val="24"/>
          <w:highlight w:val="none"/>
        </w:rPr>
      </w:pPr>
      <w:bookmarkStart w:id="63" w:name="_Toc462671685"/>
      <w:bookmarkStart w:id="64" w:name="_Toc439338570"/>
      <w:bookmarkStart w:id="65" w:name="_Toc340665348"/>
      <w:bookmarkStart w:id="66" w:name="_Toc345508655"/>
      <w:r>
        <w:rPr>
          <w:rFonts w:hint="eastAsia" w:ascii="宋体" w:hAnsi="宋体" w:cs="宋体"/>
          <w:bCs w:val="0"/>
          <w:color w:val="auto"/>
          <w:sz w:val="24"/>
          <w:szCs w:val="24"/>
          <w:highlight w:val="none"/>
        </w:rPr>
        <w:t>（7）自动校时功能</w:t>
      </w:r>
      <w:bookmarkEnd w:id="63"/>
      <w:bookmarkEnd w:id="64"/>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系统设计24h内的计时误差不超过1.0s，所有前端设备点位每日至少与监控中心系统时钟同步一次。</w:t>
      </w:r>
    </w:p>
    <w:bookmarkEnd w:id="65"/>
    <w:bookmarkEnd w:id="66"/>
    <w:p>
      <w:pPr>
        <w:pStyle w:val="7"/>
        <w:spacing w:line="360" w:lineRule="auto"/>
        <w:rPr>
          <w:rFonts w:ascii="宋体" w:hAnsi="宋体" w:cs="宋体"/>
          <w:color w:val="auto"/>
          <w:sz w:val="24"/>
          <w:szCs w:val="24"/>
          <w:highlight w:val="none"/>
        </w:rPr>
      </w:pPr>
      <w:r>
        <w:rPr>
          <w:rFonts w:hint="eastAsia" w:ascii="宋体" w:hAnsi="宋体" w:cs="宋体"/>
          <w:iCs/>
          <w:color w:val="auto"/>
          <w:sz w:val="24"/>
          <w:szCs w:val="24"/>
          <w:highlight w:val="none"/>
        </w:rPr>
        <w:t>6、</w:t>
      </w:r>
      <w:r>
        <w:rPr>
          <w:rFonts w:hint="eastAsia" w:ascii="宋体" w:hAnsi="宋体" w:cs="宋体"/>
          <w:bCs w:val="0"/>
          <w:color w:val="auto"/>
          <w:sz w:val="24"/>
          <w:szCs w:val="24"/>
          <w:highlight w:val="none"/>
        </w:rPr>
        <w:t>制高点监控系统要求</w:t>
      </w:r>
    </w:p>
    <w:p>
      <w:pPr>
        <w:pStyle w:val="8"/>
        <w:tabs>
          <w:tab w:val="left" w:pos="1440"/>
        </w:tabs>
        <w:ind w:firstLine="482"/>
        <w:rPr>
          <w:rFonts w:ascii="宋体" w:hAnsi="宋体" w:cs="宋体"/>
          <w:color w:val="auto"/>
          <w:highlight w:val="none"/>
        </w:rPr>
      </w:pPr>
      <w:r>
        <w:rPr>
          <w:rFonts w:hint="eastAsia" w:ascii="宋体" w:hAnsi="宋体" w:cs="宋体"/>
          <w:color w:val="auto"/>
          <w:highlight w:val="none"/>
        </w:rPr>
        <w:t>（1）道路全断面视频监控</w:t>
      </w:r>
    </w:p>
    <w:p>
      <w:pPr>
        <w:spacing w:line="360" w:lineRule="auto"/>
        <w:ind w:firstLine="480"/>
        <w:rPr>
          <w:rFonts w:ascii="宋体" w:hAnsi="宋体" w:cs="宋体"/>
          <w:color w:val="auto"/>
          <w:highlight w:val="none"/>
        </w:rPr>
      </w:pPr>
      <w:r>
        <w:rPr>
          <w:rFonts w:hint="eastAsia" w:ascii="宋体" w:hAnsi="宋体" w:cs="宋体"/>
          <w:color w:val="auto"/>
          <w:highlight w:val="none"/>
        </w:rPr>
        <w:t>支持不小于270度全景画面拼接，对道路全断面进行7*24小时不间断监控，能够在指挥中心实时调看相机的高清视频图像。</w:t>
      </w:r>
    </w:p>
    <w:p>
      <w:pPr>
        <w:pStyle w:val="8"/>
        <w:tabs>
          <w:tab w:val="left" w:pos="1440"/>
        </w:tabs>
        <w:ind w:firstLine="482"/>
        <w:rPr>
          <w:rFonts w:ascii="宋体" w:hAnsi="宋体" w:cs="宋体"/>
          <w:color w:val="auto"/>
          <w:highlight w:val="none"/>
        </w:rPr>
      </w:pPr>
      <w:r>
        <w:rPr>
          <w:rFonts w:hint="eastAsia" w:ascii="宋体" w:hAnsi="宋体" w:cs="宋体"/>
          <w:color w:val="auto"/>
          <w:highlight w:val="none"/>
        </w:rPr>
        <w:t>（1）拥堵检测</w:t>
      </w:r>
    </w:p>
    <w:p>
      <w:pPr>
        <w:spacing w:line="360" w:lineRule="auto"/>
        <w:ind w:firstLine="480"/>
        <w:rPr>
          <w:rFonts w:ascii="宋体" w:hAnsi="宋体" w:cs="宋体"/>
          <w:color w:val="auto"/>
          <w:highlight w:val="none"/>
        </w:rPr>
      </w:pPr>
      <w:r>
        <w:rPr>
          <w:rFonts w:hint="eastAsia" w:ascii="宋体" w:hAnsi="宋体" w:cs="宋体"/>
          <w:color w:val="auto"/>
          <w:highlight w:val="none"/>
        </w:rPr>
        <w:t>支持对道路全断面进行检测，自动检测拥堵情况，对拥堵事件进行抓拍，并进行报警上传。</w:t>
      </w:r>
    </w:p>
    <w:p>
      <w:pPr>
        <w:pStyle w:val="8"/>
        <w:tabs>
          <w:tab w:val="left" w:pos="1440"/>
        </w:tabs>
        <w:ind w:firstLine="482"/>
        <w:rPr>
          <w:rFonts w:ascii="宋体" w:hAnsi="宋体" w:cs="宋体"/>
          <w:color w:val="auto"/>
          <w:highlight w:val="none"/>
        </w:rPr>
      </w:pPr>
      <w:r>
        <w:rPr>
          <w:rFonts w:hint="eastAsia" w:ascii="宋体" w:hAnsi="宋体" w:cs="宋体"/>
          <w:color w:val="auto"/>
          <w:highlight w:val="none"/>
        </w:rPr>
        <w:t>（3）快速聚焦功能</w:t>
      </w:r>
    </w:p>
    <w:p>
      <w:pPr>
        <w:spacing w:line="360" w:lineRule="auto"/>
        <w:ind w:firstLine="480"/>
        <w:rPr>
          <w:rFonts w:ascii="宋体" w:hAnsi="宋体" w:cs="宋体"/>
          <w:color w:val="auto"/>
          <w:highlight w:val="none"/>
        </w:rPr>
      </w:pPr>
      <w:r>
        <w:rPr>
          <w:rFonts w:hint="eastAsia" w:ascii="宋体" w:hAnsi="宋体" w:cs="宋体"/>
          <w:color w:val="auto"/>
          <w:highlight w:val="none"/>
        </w:rPr>
        <w:t>支持机动车跟踪功能，支持快速聚焦跟踪车辆目标并录像，单帧回放录像每一帧清晰可见。</w:t>
      </w:r>
    </w:p>
    <w:p>
      <w:pPr>
        <w:pStyle w:val="8"/>
        <w:tabs>
          <w:tab w:val="left" w:pos="1440"/>
        </w:tabs>
        <w:ind w:firstLine="482"/>
        <w:rPr>
          <w:rFonts w:ascii="宋体" w:hAnsi="宋体" w:cs="宋体"/>
          <w:color w:val="auto"/>
          <w:highlight w:val="none"/>
        </w:rPr>
      </w:pPr>
      <w:r>
        <w:rPr>
          <w:rFonts w:hint="eastAsia" w:ascii="宋体" w:hAnsi="宋体" w:cs="宋体"/>
          <w:color w:val="auto"/>
          <w:highlight w:val="none"/>
        </w:rPr>
        <w:t>（4）录像存储</w:t>
      </w:r>
    </w:p>
    <w:p>
      <w:pPr>
        <w:spacing w:line="360" w:lineRule="auto"/>
        <w:ind w:firstLine="480"/>
        <w:rPr>
          <w:rFonts w:ascii="宋体" w:hAnsi="宋体" w:cs="宋体"/>
          <w:color w:val="auto"/>
          <w:highlight w:val="none"/>
        </w:rPr>
      </w:pPr>
      <w:r>
        <w:rPr>
          <w:rFonts w:hint="eastAsia" w:ascii="宋体" w:hAnsi="宋体" w:cs="宋体"/>
          <w:color w:val="auto"/>
          <w:highlight w:val="none"/>
        </w:rPr>
        <w:t>录像支持前端存储和中心存储，相机的视音频信号接入视频处理单元存储数据，达到相机存储的需要，以供事后调查取证；也可部署存储服务器和存储设备，适合大容量多通道并发的中心存储需求。</w:t>
      </w:r>
    </w:p>
    <w:p>
      <w:pPr>
        <w:pStyle w:val="8"/>
        <w:tabs>
          <w:tab w:val="left" w:pos="1440"/>
        </w:tabs>
        <w:ind w:left="479" w:leftChars="228"/>
        <w:rPr>
          <w:rFonts w:ascii="宋体" w:hAnsi="宋体" w:cs="宋体"/>
          <w:color w:val="auto"/>
          <w:highlight w:val="none"/>
        </w:rPr>
      </w:pPr>
      <w:r>
        <w:rPr>
          <w:rFonts w:hint="eastAsia" w:ascii="宋体" w:hAnsi="宋体" w:cs="宋体"/>
          <w:color w:val="auto"/>
          <w:highlight w:val="none"/>
        </w:rPr>
        <w:t>（5）智能雨刷</w:t>
      </w:r>
    </w:p>
    <w:p>
      <w:pPr>
        <w:ind w:firstLine="420" w:firstLineChars="200"/>
        <w:rPr>
          <w:rFonts w:ascii="宋体" w:hAnsi="宋体" w:cs="宋体"/>
          <w:color w:val="auto"/>
          <w:highlight w:val="none"/>
        </w:rPr>
      </w:pPr>
      <w:r>
        <w:rPr>
          <w:rFonts w:hint="eastAsia" w:ascii="宋体" w:hAnsi="宋体" w:cs="宋体"/>
          <w:color w:val="auto"/>
          <w:highlight w:val="none"/>
        </w:rPr>
        <w:t>由于高点比较容易受到风沙、雾霾和其他异物的影响，容易造成相机镜面有异物。相机需支持雨刷功能，当前端相机镜面有异物时，后端维护人员能通过网络对相机镜面进行清洁，减少前端人工维护成本和维护时间。</w:t>
      </w:r>
    </w:p>
    <w:p>
      <w:pPr>
        <w:pStyle w:val="8"/>
        <w:tabs>
          <w:tab w:val="left" w:pos="1440"/>
        </w:tabs>
        <w:ind w:firstLine="482"/>
        <w:rPr>
          <w:rFonts w:ascii="宋体" w:hAnsi="宋体" w:cs="宋体"/>
          <w:color w:val="auto"/>
          <w:highlight w:val="none"/>
        </w:rPr>
      </w:pPr>
      <w:r>
        <w:rPr>
          <w:rFonts w:hint="eastAsia" w:ascii="宋体" w:hAnsi="宋体" w:cs="宋体"/>
          <w:color w:val="auto"/>
          <w:highlight w:val="none"/>
        </w:rPr>
        <w:t>（6）图像防篡改功能</w:t>
      </w:r>
    </w:p>
    <w:p>
      <w:pPr>
        <w:ind w:firstLine="420" w:firstLineChars="200"/>
        <w:rPr>
          <w:rFonts w:ascii="宋体" w:hAnsi="宋体" w:cs="宋体"/>
          <w:color w:val="auto"/>
          <w:highlight w:val="none"/>
        </w:rPr>
      </w:pPr>
      <w:r>
        <w:rPr>
          <w:rFonts w:hint="eastAsia" w:ascii="宋体" w:hAnsi="宋体" w:cs="宋体"/>
          <w:color w:val="auto"/>
          <w:highlight w:val="none"/>
        </w:rPr>
        <w:t>记录的原始图像信息具备防篡改功能，避免在传输、处理、存储的过程中被人为篡改。</w:t>
      </w:r>
    </w:p>
    <w:p>
      <w:pPr>
        <w:pStyle w:val="8"/>
        <w:tabs>
          <w:tab w:val="left" w:pos="1440"/>
        </w:tabs>
        <w:ind w:firstLine="482"/>
        <w:rPr>
          <w:rFonts w:ascii="宋体" w:hAnsi="宋体" w:cs="宋体"/>
          <w:color w:val="auto"/>
          <w:highlight w:val="none"/>
        </w:rPr>
      </w:pPr>
      <w:r>
        <w:rPr>
          <w:rFonts w:hint="eastAsia" w:ascii="宋体" w:hAnsi="宋体" w:cs="宋体"/>
          <w:color w:val="auto"/>
          <w:highlight w:val="none"/>
        </w:rPr>
        <w:t>（7）网络远程维护功能</w:t>
      </w:r>
    </w:p>
    <w:p>
      <w:pPr>
        <w:ind w:firstLine="420" w:firstLineChars="200"/>
        <w:rPr>
          <w:rFonts w:ascii="宋体" w:hAnsi="宋体" w:cs="宋体"/>
          <w:color w:val="auto"/>
          <w:highlight w:val="none"/>
        </w:rPr>
      </w:pPr>
      <w:r>
        <w:rPr>
          <w:rFonts w:hint="eastAsia" w:ascii="宋体" w:hAnsi="宋体" w:cs="宋体"/>
          <w:color w:val="auto"/>
          <w:highlight w:val="none"/>
        </w:rPr>
        <w:t>预留了时间校正接口、参数设置接口、运行情况的诊断接口和恢复接口，可对相机进行设置、调试及维护。管理员可以实时查看相机的运行状态。可通过网络实现远程维护、远程设置和远程升级等功能。</w:t>
      </w:r>
    </w:p>
    <w:p>
      <w:pPr>
        <w:pStyle w:val="8"/>
        <w:tabs>
          <w:tab w:val="left" w:pos="1440"/>
        </w:tabs>
        <w:ind w:firstLine="482"/>
        <w:rPr>
          <w:rFonts w:ascii="宋体" w:hAnsi="宋体" w:cs="宋体"/>
          <w:color w:val="auto"/>
          <w:highlight w:val="none"/>
        </w:rPr>
      </w:pPr>
      <w:r>
        <w:rPr>
          <w:rFonts w:hint="eastAsia" w:ascii="宋体" w:hAnsi="宋体" w:cs="宋体"/>
          <w:color w:val="auto"/>
          <w:highlight w:val="none"/>
        </w:rPr>
        <w:t>（8）自动校时功能</w:t>
      </w:r>
    </w:p>
    <w:p>
      <w:pPr>
        <w:ind w:firstLine="420" w:firstLineChars="200"/>
        <w:rPr>
          <w:rFonts w:ascii="宋体" w:hAnsi="宋体" w:cs="宋体"/>
          <w:color w:val="auto"/>
          <w:highlight w:val="none"/>
        </w:rPr>
      </w:pPr>
      <w:r>
        <w:rPr>
          <w:rFonts w:hint="eastAsia" w:ascii="宋体" w:hAnsi="宋体" w:cs="宋体"/>
          <w:color w:val="auto"/>
          <w:highlight w:val="none"/>
        </w:rPr>
        <w:t>24h内的计时误差不超过1.0s，所有前端设备点位每日至少与监控中心系统时钟同步一次。</w:t>
      </w:r>
    </w:p>
    <w:p>
      <w:pPr>
        <w:pStyle w:val="8"/>
        <w:tabs>
          <w:tab w:val="left" w:pos="1440"/>
        </w:tabs>
        <w:ind w:firstLine="482"/>
        <w:rPr>
          <w:rFonts w:ascii="宋体" w:hAnsi="宋体" w:cs="宋体"/>
          <w:color w:val="auto"/>
          <w:highlight w:val="none"/>
        </w:rPr>
      </w:pPr>
      <w:r>
        <w:rPr>
          <w:rFonts w:hint="eastAsia" w:ascii="宋体" w:hAnsi="宋体" w:cs="宋体"/>
          <w:color w:val="auto"/>
          <w:highlight w:val="none"/>
        </w:rPr>
        <w:t>（9）视频联动功能</w:t>
      </w:r>
    </w:p>
    <w:p>
      <w:pPr>
        <w:ind w:firstLine="420" w:firstLineChars="200"/>
        <w:rPr>
          <w:rFonts w:ascii="宋体" w:hAnsi="宋体" w:cs="宋体"/>
          <w:color w:val="auto"/>
          <w:sz w:val="24"/>
          <w:highlight w:val="none"/>
        </w:rPr>
      </w:pPr>
      <w:r>
        <w:rPr>
          <w:rFonts w:hint="eastAsia" w:ascii="宋体" w:hAnsi="宋体" w:cs="宋体"/>
          <w:color w:val="auto"/>
          <w:highlight w:val="none"/>
        </w:rPr>
        <w:t>支持在全景视频监控画面中添加其他视频监控标签，支持在全景画面中点击标签，并打</w:t>
      </w:r>
      <w:r>
        <w:rPr>
          <w:rFonts w:hint="eastAsia" w:ascii="宋体" w:hAnsi="宋体" w:cs="宋体"/>
          <w:color w:val="auto"/>
          <w:sz w:val="24"/>
          <w:highlight w:val="none"/>
        </w:rPr>
        <w:t>开标签点视频画面。</w:t>
      </w:r>
    </w:p>
    <w:p>
      <w:pPr>
        <w:pStyle w:val="7"/>
        <w:spacing w:line="360" w:lineRule="auto"/>
        <w:rPr>
          <w:rFonts w:ascii="宋体" w:hAnsi="宋体" w:cs="宋体"/>
          <w:iCs/>
          <w:color w:val="auto"/>
          <w:sz w:val="24"/>
          <w:szCs w:val="24"/>
          <w:highlight w:val="none"/>
        </w:rPr>
      </w:pPr>
      <w:r>
        <w:rPr>
          <w:rFonts w:hint="eastAsia" w:ascii="宋体" w:hAnsi="宋体" w:cs="宋体"/>
          <w:iCs/>
          <w:color w:val="auto"/>
          <w:sz w:val="24"/>
          <w:szCs w:val="24"/>
          <w:highlight w:val="none"/>
        </w:rPr>
        <w:t>7、匝道测速系统要求</w:t>
      </w:r>
    </w:p>
    <w:p>
      <w:pPr>
        <w:pStyle w:val="8"/>
        <w:tabs>
          <w:tab w:val="left" w:pos="1440"/>
        </w:tabs>
        <w:ind w:firstLine="482"/>
        <w:rPr>
          <w:rFonts w:ascii="宋体" w:hAnsi="宋体" w:cs="宋体"/>
          <w:color w:val="auto"/>
          <w:highlight w:val="none"/>
        </w:rPr>
      </w:pPr>
      <w:bookmarkStart w:id="67" w:name="_Toc438559827"/>
      <w:bookmarkStart w:id="68" w:name="_Toc493255779"/>
      <w:bookmarkStart w:id="69" w:name="_Toc57224632"/>
      <w:bookmarkStart w:id="70" w:name="_Toc396307319"/>
      <w:bookmarkStart w:id="71" w:name="_Toc314572261"/>
      <w:bookmarkStart w:id="72" w:name="_Toc493255778"/>
      <w:bookmarkStart w:id="73" w:name="_Toc438559826"/>
      <w:bookmarkStart w:id="74" w:name="_Toc396307318"/>
      <w:r>
        <w:rPr>
          <w:rFonts w:hint="eastAsia" w:ascii="宋体" w:hAnsi="宋体" w:cs="宋体"/>
          <w:color w:val="auto"/>
          <w:highlight w:val="none"/>
        </w:rPr>
        <w:t>（1）车辆速度检测功能</w:t>
      </w:r>
      <w:bookmarkEnd w:id="67"/>
      <w:bookmarkEnd w:id="68"/>
      <w:bookmarkEnd w:id="69"/>
      <w:bookmarkEnd w:id="70"/>
    </w:p>
    <w:p>
      <w:pPr>
        <w:pStyle w:val="117"/>
        <w:ind w:firstLine="480"/>
        <w:rPr>
          <w:rFonts w:ascii="宋体" w:hAnsi="宋体"/>
          <w:color w:val="auto"/>
          <w:szCs w:val="24"/>
          <w:highlight w:val="none"/>
        </w:rPr>
      </w:pPr>
      <w:r>
        <w:rPr>
          <w:rFonts w:hint="eastAsia" w:ascii="宋体" w:hAnsi="宋体"/>
          <w:iCs/>
          <w:color w:val="auto"/>
          <w:szCs w:val="24"/>
          <w:highlight w:val="none"/>
        </w:rPr>
        <w:t>系统通过</w:t>
      </w:r>
      <w:r>
        <w:rPr>
          <w:rFonts w:hint="eastAsia" w:ascii="宋体" w:hAnsi="宋体"/>
          <w:color w:val="auto"/>
          <w:szCs w:val="24"/>
          <w:highlight w:val="none"/>
        </w:rPr>
        <w:t>雷达测速方式</w:t>
      </w:r>
      <w:r>
        <w:rPr>
          <w:rFonts w:hint="eastAsia" w:ascii="宋体" w:hAnsi="宋体"/>
          <w:iCs/>
          <w:color w:val="auto"/>
          <w:szCs w:val="24"/>
          <w:highlight w:val="none"/>
        </w:rPr>
        <w:t>对通过检测区域内车辆进行行驶速度检测功能，</w:t>
      </w:r>
      <w:r>
        <w:rPr>
          <w:rFonts w:hint="eastAsia" w:ascii="宋体" w:hAnsi="宋体"/>
          <w:color w:val="auto"/>
          <w:szCs w:val="24"/>
          <w:highlight w:val="none"/>
        </w:rPr>
        <w:t>测速范围满足20km/h~200km/h。当机动车速度小于100km/h时，道路实测误差不超过-6km/h～0km/h；当机动车速度大于或等于100km/h时，道路实测误差不超过机动车速度的-6%～0%。</w:t>
      </w:r>
    </w:p>
    <w:p>
      <w:pPr>
        <w:pStyle w:val="8"/>
        <w:tabs>
          <w:tab w:val="left" w:pos="1440"/>
        </w:tabs>
        <w:ind w:firstLine="482"/>
        <w:rPr>
          <w:rFonts w:ascii="宋体" w:hAnsi="宋体" w:cs="宋体"/>
          <w:color w:val="auto"/>
          <w:highlight w:val="none"/>
        </w:rPr>
      </w:pPr>
      <w:bookmarkStart w:id="75" w:name="_Toc493255781"/>
      <w:bookmarkStart w:id="76" w:name="_Toc396307321"/>
      <w:bookmarkStart w:id="77" w:name="_Toc57224633"/>
      <w:bookmarkStart w:id="78" w:name="_Toc438559829"/>
      <w:r>
        <w:rPr>
          <w:rFonts w:hint="eastAsia" w:ascii="宋体" w:hAnsi="宋体" w:cs="宋体"/>
          <w:color w:val="auto"/>
          <w:highlight w:val="none"/>
        </w:rPr>
        <w:t>（2）超速抓拍功能</w:t>
      </w:r>
      <w:bookmarkEnd w:id="75"/>
      <w:bookmarkEnd w:id="76"/>
      <w:bookmarkEnd w:id="77"/>
      <w:bookmarkEnd w:id="78"/>
    </w:p>
    <w:p>
      <w:pPr>
        <w:pStyle w:val="117"/>
        <w:ind w:firstLine="420"/>
        <w:rPr>
          <w:rFonts w:ascii="宋体" w:hAnsi="宋体"/>
          <w:color w:val="auto"/>
          <w:sz w:val="21"/>
          <w:szCs w:val="21"/>
          <w:highlight w:val="none"/>
        </w:rPr>
      </w:pPr>
      <w:r>
        <w:rPr>
          <w:rFonts w:hint="eastAsia" w:ascii="宋体" w:hAnsi="宋体"/>
          <w:color w:val="auto"/>
          <w:sz w:val="21"/>
          <w:szCs w:val="21"/>
          <w:highlight w:val="none"/>
        </w:rPr>
        <w:t>系统能够准确捕获机动车超速行驶违法行为，每辆超速车辆采集2幅不同时间或者不同位置的特征图片，记录超速违法行为的完整过程，所记录的图片能清晰辨别机动车车型、车身颜色、号牌号码等基本特征。</w:t>
      </w:r>
    </w:p>
    <w:p>
      <w:pPr>
        <w:pStyle w:val="117"/>
        <w:ind w:firstLine="420"/>
        <w:rPr>
          <w:rFonts w:ascii="宋体" w:hAnsi="宋体"/>
          <w:color w:val="auto"/>
          <w:sz w:val="21"/>
          <w:szCs w:val="21"/>
          <w:highlight w:val="none"/>
        </w:rPr>
      </w:pPr>
      <w:r>
        <w:rPr>
          <w:rFonts w:hint="eastAsia" w:ascii="宋体" w:hAnsi="宋体"/>
          <w:color w:val="auto"/>
          <w:sz w:val="21"/>
          <w:szCs w:val="21"/>
          <w:highlight w:val="none"/>
        </w:rPr>
        <w:t>每幅图片上叠加有交通违法日期、时间、地点、方向、图像取证设备编号、限速值、行驶速度值和超速比例、号牌号码、号牌颜色、车身颜色等信息。</w:t>
      </w:r>
    </w:p>
    <w:p>
      <w:pPr>
        <w:pStyle w:val="8"/>
        <w:tabs>
          <w:tab w:val="left" w:pos="1440"/>
        </w:tabs>
        <w:ind w:firstLine="482"/>
        <w:rPr>
          <w:rFonts w:ascii="宋体" w:hAnsi="宋体" w:cs="宋体"/>
          <w:color w:val="auto"/>
          <w:szCs w:val="21"/>
          <w:highlight w:val="none"/>
        </w:rPr>
      </w:pPr>
      <w:bookmarkStart w:id="79" w:name="_Toc57224636"/>
      <w:r>
        <w:rPr>
          <w:rFonts w:hint="eastAsia" w:ascii="宋体" w:hAnsi="宋体" w:cs="宋体"/>
          <w:color w:val="auto"/>
          <w:szCs w:val="21"/>
          <w:highlight w:val="none"/>
        </w:rPr>
        <w:t>（3）车辆捕获功能</w:t>
      </w:r>
      <w:bookmarkEnd w:id="71"/>
      <w:bookmarkEnd w:id="72"/>
      <w:bookmarkEnd w:id="73"/>
      <w:bookmarkEnd w:id="74"/>
      <w:bookmarkEnd w:id="79"/>
    </w:p>
    <w:p>
      <w:pPr>
        <w:pStyle w:val="117"/>
        <w:ind w:firstLine="420"/>
        <w:rPr>
          <w:rFonts w:ascii="宋体" w:hAnsi="宋体"/>
          <w:color w:val="auto"/>
          <w:sz w:val="21"/>
          <w:szCs w:val="21"/>
          <w:highlight w:val="none"/>
        </w:rPr>
      </w:pPr>
      <w:r>
        <w:rPr>
          <w:rFonts w:hint="eastAsia" w:ascii="宋体" w:hAnsi="宋体"/>
          <w:color w:val="auto"/>
          <w:sz w:val="21"/>
          <w:szCs w:val="21"/>
          <w:highlight w:val="none"/>
        </w:rPr>
        <w:t>系统通过视频检测方式实现车辆捕获功能，能对所有经过车辆进行捕获，除了能够捕获在车道上正常行驶的车辆外，还具备捕获跨线行驶及逆向行驶车辆的功能。</w:t>
      </w:r>
    </w:p>
    <w:p>
      <w:pPr>
        <w:pStyle w:val="8"/>
        <w:tabs>
          <w:tab w:val="left" w:pos="1440"/>
        </w:tabs>
        <w:ind w:firstLine="482"/>
        <w:rPr>
          <w:rFonts w:ascii="宋体" w:hAnsi="宋体" w:cs="宋体"/>
          <w:color w:val="auto"/>
          <w:szCs w:val="21"/>
          <w:highlight w:val="none"/>
        </w:rPr>
      </w:pPr>
      <w:bookmarkStart w:id="80" w:name="_Toc396307320"/>
      <w:bookmarkStart w:id="81" w:name="_Toc438559828"/>
      <w:bookmarkStart w:id="82" w:name="_Toc314572262"/>
      <w:bookmarkStart w:id="83" w:name="_Toc493255780"/>
      <w:bookmarkStart w:id="84" w:name="_Toc57224637"/>
      <w:r>
        <w:rPr>
          <w:rFonts w:hint="eastAsia" w:ascii="宋体" w:hAnsi="宋体" w:cs="宋体"/>
          <w:color w:val="auto"/>
          <w:szCs w:val="21"/>
          <w:highlight w:val="none"/>
        </w:rPr>
        <w:t>（4）车辆图像记录功能</w:t>
      </w:r>
      <w:bookmarkEnd w:id="80"/>
      <w:bookmarkEnd w:id="81"/>
      <w:bookmarkEnd w:id="82"/>
      <w:bookmarkEnd w:id="83"/>
      <w:bookmarkEnd w:id="84"/>
    </w:p>
    <w:p>
      <w:pPr>
        <w:pStyle w:val="117"/>
        <w:ind w:firstLine="420"/>
        <w:rPr>
          <w:rFonts w:ascii="宋体" w:hAnsi="宋体"/>
          <w:color w:val="auto"/>
          <w:sz w:val="21"/>
          <w:szCs w:val="21"/>
          <w:highlight w:val="none"/>
        </w:rPr>
      </w:pPr>
      <w:r>
        <w:rPr>
          <w:rFonts w:hint="eastAsia" w:ascii="宋体" w:hAnsi="宋体"/>
          <w:color w:val="auto"/>
          <w:sz w:val="21"/>
          <w:szCs w:val="21"/>
          <w:highlight w:val="none"/>
        </w:rPr>
        <w:t>系统能够准确捕获、记录通行车辆信息。记录的车辆信息除包含图像信息外，还包括文本信息，如日期、时间（精确到毫秒）、地点、方向、号牌号码、号牌颜色、车身颜色、车速等。车辆信息写入关联数据库，并将相关文本信息叠加到图片上。</w:t>
      </w:r>
    </w:p>
    <w:p>
      <w:pPr>
        <w:pStyle w:val="8"/>
        <w:tabs>
          <w:tab w:val="left" w:pos="1440"/>
        </w:tabs>
        <w:ind w:firstLine="482"/>
        <w:rPr>
          <w:rFonts w:ascii="宋体" w:hAnsi="宋体" w:cs="宋体"/>
          <w:color w:val="auto"/>
          <w:szCs w:val="21"/>
          <w:highlight w:val="none"/>
        </w:rPr>
      </w:pPr>
      <w:bookmarkStart w:id="85" w:name="_Toc438559838"/>
      <w:bookmarkStart w:id="86" w:name="_Toc493255790"/>
      <w:bookmarkStart w:id="87" w:name="_Toc57224646"/>
      <w:bookmarkStart w:id="88" w:name="_Toc417651880"/>
      <w:bookmarkStart w:id="89" w:name="_Toc423443448"/>
      <w:bookmarkStart w:id="90" w:name="_Toc424907653"/>
      <w:r>
        <w:rPr>
          <w:rFonts w:hint="eastAsia" w:ascii="宋体" w:hAnsi="宋体" w:cs="宋体"/>
          <w:color w:val="auto"/>
          <w:szCs w:val="21"/>
          <w:highlight w:val="none"/>
        </w:rPr>
        <w:t>（5）人脸特征抠图</w:t>
      </w:r>
      <w:bookmarkEnd w:id="85"/>
      <w:bookmarkEnd w:id="86"/>
      <w:bookmarkEnd w:id="87"/>
      <w:bookmarkEnd w:id="88"/>
      <w:bookmarkEnd w:id="89"/>
      <w:bookmarkEnd w:id="90"/>
    </w:p>
    <w:p>
      <w:pPr>
        <w:pStyle w:val="117"/>
        <w:ind w:firstLine="420"/>
        <w:rPr>
          <w:rFonts w:ascii="宋体" w:hAnsi="宋体"/>
          <w:color w:val="auto"/>
          <w:szCs w:val="24"/>
          <w:highlight w:val="none"/>
        </w:rPr>
      </w:pPr>
      <w:r>
        <w:rPr>
          <w:rFonts w:hint="eastAsia" w:ascii="宋体" w:hAnsi="宋体"/>
          <w:color w:val="auto"/>
          <w:sz w:val="21"/>
          <w:szCs w:val="21"/>
          <w:highlight w:val="none"/>
        </w:rPr>
        <w:t>系统采用视频检测技术对驾驶室人脸特征进行检测，并将人脸特征抠出，支付后台人像</w:t>
      </w:r>
      <w:r>
        <w:rPr>
          <w:rFonts w:hint="eastAsia" w:ascii="宋体" w:hAnsi="宋体"/>
          <w:color w:val="auto"/>
          <w:szCs w:val="24"/>
          <w:highlight w:val="none"/>
        </w:rPr>
        <w:t>比对要求。</w:t>
      </w:r>
    </w:p>
    <w:p>
      <w:pPr>
        <w:pStyle w:val="6"/>
        <w:tabs>
          <w:tab w:val="left" w:pos="142"/>
          <w:tab w:val="left" w:pos="993"/>
          <w:tab w:val="left" w:pos="1418"/>
          <w:tab w:val="left" w:pos="1560"/>
        </w:tabs>
        <w:spacing w:line="360" w:lineRule="auto"/>
        <w:ind w:left="210"/>
        <w:rPr>
          <w:rFonts w:ascii="宋体" w:hAnsi="宋体" w:eastAsia="宋体" w:cs="宋体"/>
          <w:color w:val="auto"/>
          <w:sz w:val="24"/>
          <w:szCs w:val="24"/>
          <w:highlight w:val="none"/>
        </w:rPr>
      </w:pPr>
      <w:r>
        <w:rPr>
          <w:rFonts w:hint="eastAsia" w:ascii="宋体" w:hAnsi="宋体" w:eastAsia="宋体" w:cs="宋体"/>
          <w:iCs/>
          <w:color w:val="auto"/>
          <w:sz w:val="24"/>
          <w:szCs w:val="24"/>
          <w:highlight w:val="none"/>
        </w:rPr>
        <w:t>8、异常事件检测系统要求</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在高速公路互通区主线安装异常事件检测设备，用来监控互通区范围内车辆通行情况，并对检测区域内违法停车、低速行驶、实线变道、倒车等违法行为，进行检测，并将违法信息上传到交警局指定平台预警，实现对互通区检测区域内的有效管控，实时发现异常事件。</w:t>
      </w:r>
    </w:p>
    <w:p>
      <w:pPr>
        <w:pStyle w:val="8"/>
        <w:tabs>
          <w:tab w:val="left" w:pos="1440"/>
        </w:tabs>
        <w:ind w:firstLine="482"/>
        <w:rPr>
          <w:rFonts w:ascii="宋体" w:hAnsi="宋体" w:cs="宋体"/>
          <w:color w:val="auto"/>
          <w:highlight w:val="none"/>
        </w:rPr>
      </w:pPr>
      <w:r>
        <w:rPr>
          <w:rFonts w:hint="eastAsia" w:ascii="宋体" w:hAnsi="宋体" w:cs="宋体"/>
          <w:color w:val="auto"/>
          <w:highlight w:val="none"/>
        </w:rPr>
        <w:t>（1）道路断面视频监控</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对道路全断面进行7*24小时不间断监控，能够在指挥中心实时调看相机的高清视频图像。</w:t>
      </w:r>
    </w:p>
    <w:p>
      <w:pPr>
        <w:pStyle w:val="8"/>
        <w:tabs>
          <w:tab w:val="left" w:pos="1440"/>
        </w:tabs>
        <w:ind w:firstLine="482"/>
        <w:rPr>
          <w:rFonts w:ascii="宋体" w:hAnsi="宋体" w:cs="宋体"/>
          <w:color w:val="auto"/>
          <w:highlight w:val="none"/>
        </w:rPr>
      </w:pPr>
      <w:r>
        <w:rPr>
          <w:rFonts w:hint="eastAsia" w:ascii="宋体" w:hAnsi="宋体" w:cs="宋体"/>
          <w:color w:val="auto"/>
          <w:highlight w:val="none"/>
        </w:rPr>
        <w:t>（2）违法停车</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能对检测区域违停车辆进行检测和取证。可以根据用户的实际需求调整最大停车时限，当车辆在禁止停车区域停车在限定时间以上的，进行违章抓拍取证。一组取证信息包括不同时间段的三张全景图片、一张能够看清车牌的特写图片、以及一段违章过程录像，图片中叠加时间、地点、车牌号码等信息。</w:t>
      </w:r>
    </w:p>
    <w:p>
      <w:pPr>
        <w:pStyle w:val="8"/>
        <w:tabs>
          <w:tab w:val="left" w:pos="1440"/>
        </w:tabs>
        <w:ind w:firstLine="482"/>
        <w:rPr>
          <w:rFonts w:ascii="宋体" w:hAnsi="宋体" w:cs="宋体"/>
          <w:color w:val="auto"/>
          <w:highlight w:val="none"/>
        </w:rPr>
      </w:pPr>
      <w:r>
        <w:rPr>
          <w:rFonts w:hint="eastAsia" w:ascii="宋体" w:hAnsi="宋体" w:cs="宋体"/>
          <w:color w:val="auto"/>
          <w:highlight w:val="none"/>
        </w:rPr>
        <w:t>（3）低速行驶</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支持对检测区域低速行驶有机动车抓拍，并生成一条事件信息上传后台平台</w:t>
      </w:r>
    </w:p>
    <w:p>
      <w:pPr>
        <w:pStyle w:val="6"/>
        <w:tabs>
          <w:tab w:val="left" w:pos="142"/>
          <w:tab w:val="left" w:pos="993"/>
          <w:tab w:val="left" w:pos="1418"/>
          <w:tab w:val="left" w:pos="1560"/>
        </w:tabs>
        <w:spacing w:line="360" w:lineRule="auto"/>
        <w:ind w:left="210"/>
        <w:rPr>
          <w:rFonts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9、云存储系统设备技术要求</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采用存储全域虚拟化技术对具有海量存储需求的用户提供透明存储构架，可持续扩容避免瓶颈限制，可以更有效的进行资源管理，灵活增减空间，达到最大程度上合理利用空间的效果。</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采用集群技术，解决单/多节点失效问题，并利用负载均衡技术充分利用各存储节点的性能，提升系统的可靠性和安全性。</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采用统一完善的接口，降低对接成本、平台维护成本和用户管理的复杂度。</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采用开放的集成构架，使其可兼容业界各类iSCSI/FC存储设备，保护用户现有存储投资资源。</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采用数据备份和容灾技术，保证云存储中的数据不丢失，确证云存储服务的安全稳定。</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支持视频流、图片流直存和转存在同一套云存储环境混合部署。</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支持在不需要任何平台情况下，支持直接在云存储上进行前端添加、删除，配置录像存储路径、录像配额，录像计划下发，支持视频录像检索、回放转发、直播等集成视频功能；支持手动控制开启录像。</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支持多种网络部署模式,支持多网口绑定，提供带宽聚合，实现网络带宽的负载均衡；</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支持快照功能，支持卷克隆功能；</w:t>
      </w:r>
    </w:p>
    <w:tbl>
      <w:tblPr>
        <w:tblStyle w:val="35"/>
        <w:tblpPr w:leftFromText="180" w:rightFromText="180" w:vertAnchor="text" w:horzAnchor="page" w:tblpX="1347" w:tblpY="337"/>
        <w:tblOverlap w:val="never"/>
        <w:tblW w:w="9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0" w:hRule="atLeast"/>
        </w:trPr>
        <w:tc>
          <w:tcPr>
            <w:tcW w:w="9223" w:type="dxa"/>
            <w:vAlign w:val="center"/>
          </w:tcPr>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标准机架式、不少于两颗高性能多核CPU；配置缓存≥16G</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配置不小于2个千兆以太网口，可增配4个千兆网口或万兆口</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支持RAID0、1、3、5、6、10、50</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配置冗余电源</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最小硬盘数≥48</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支持3.5"硬盘，支持1TB、2TB、3TB、4TB、6TB、8TB硬盘；支持硬盘热插拨操作；</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在投标文件中提供产品的3C证书</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在投标文件中提供“国家安全防范报警系统产品质量监督检验中心”出具的云存储系统检测报告。</w:t>
            </w:r>
          </w:p>
        </w:tc>
      </w:tr>
    </w:tbl>
    <w:p>
      <w:pPr>
        <w:spacing w:line="360" w:lineRule="auto"/>
        <w:outlineLvl w:val="3"/>
        <w:rPr>
          <w:rFonts w:ascii="宋体" w:hAnsi="宋体" w:cs="宋体"/>
          <w:b/>
          <w:iCs/>
          <w:color w:val="auto"/>
          <w:sz w:val="24"/>
          <w:highlight w:val="none"/>
        </w:rPr>
      </w:pPr>
      <w:r>
        <w:rPr>
          <w:rFonts w:hint="eastAsia" w:ascii="宋体" w:hAnsi="宋体" w:cs="宋体"/>
          <w:b/>
          <w:bCs/>
          <w:color w:val="auto"/>
          <w:sz w:val="24"/>
          <w:highlight w:val="none"/>
        </w:rPr>
        <w:t>10、</w:t>
      </w:r>
      <w:r>
        <w:rPr>
          <w:rFonts w:hint="eastAsia" w:ascii="宋体" w:hAnsi="宋体" w:cs="宋体"/>
          <w:b/>
          <w:iCs/>
          <w:color w:val="auto"/>
          <w:sz w:val="24"/>
          <w:highlight w:val="none"/>
        </w:rPr>
        <w:t>视频传输网络建设</w:t>
      </w:r>
    </w:p>
    <w:p>
      <w:pPr>
        <w:pStyle w:val="8"/>
        <w:tabs>
          <w:tab w:val="left" w:pos="1440"/>
        </w:tabs>
        <w:ind w:firstLine="482"/>
        <w:rPr>
          <w:rFonts w:ascii="宋体" w:hAnsi="宋体" w:cs="宋体"/>
          <w:color w:val="auto"/>
          <w:highlight w:val="none"/>
        </w:rPr>
      </w:pPr>
      <w:r>
        <w:rPr>
          <w:rFonts w:hint="eastAsia" w:ascii="宋体" w:hAnsi="宋体" w:cs="宋体"/>
          <w:color w:val="auto"/>
          <w:highlight w:val="none"/>
        </w:rPr>
        <w:t>（1）网络带宽要求</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本项目涉及的所有网络要求都必须符合公安部及公共视频监控建设一体化的相关规定，公安视频专网建设与管理模式参照公安信息网的建设与管理模式，实行分级建设与管理。须由运营商自行组网（费用包含在光纤租用链路里）来传输视频图像等数据，</w:t>
      </w:r>
      <w:r>
        <w:rPr>
          <w:rFonts w:hint="eastAsia" w:ascii="宋体" w:hAnsi="宋体" w:cs="宋体"/>
          <w:color w:val="auto"/>
          <w:sz w:val="24"/>
          <w:highlight w:val="none"/>
        </w:rPr>
        <w:t>路口</w:t>
      </w:r>
      <w:r>
        <w:rPr>
          <w:rFonts w:hint="eastAsia" w:ascii="宋体" w:hAnsi="宋体" w:cs="宋体"/>
          <w:color w:val="auto"/>
          <w:sz w:val="24"/>
          <w:highlight w:val="none"/>
        </w:rPr>
        <w:t>节点汇聚后采用裸光纤传输链路上传至各大队机房存储系统。各前端点位交换机到后端机房交换机之间的传输网络包括传输光缆、光转换设备、前端汇聚/分线设备、尾纤跳线及配套设备由投标人自行负责。</w:t>
      </w:r>
    </w:p>
    <w:p>
      <w:pPr>
        <w:pStyle w:val="8"/>
        <w:tabs>
          <w:tab w:val="left" w:pos="1440"/>
        </w:tabs>
        <w:ind w:firstLine="482"/>
        <w:rPr>
          <w:rFonts w:ascii="宋体" w:hAnsi="宋体" w:cs="宋体"/>
          <w:color w:val="auto"/>
          <w:highlight w:val="none"/>
        </w:rPr>
      </w:pPr>
      <w:r>
        <w:rPr>
          <w:rFonts w:hint="eastAsia" w:ascii="宋体" w:hAnsi="宋体" w:cs="宋体"/>
          <w:color w:val="auto"/>
          <w:highlight w:val="none"/>
        </w:rPr>
        <w:t>（2）网络传输质量要求</w:t>
      </w:r>
    </w:p>
    <w:p>
      <w:pPr>
        <w:spacing w:line="360" w:lineRule="auto"/>
        <w:ind w:firstLine="480"/>
        <w:outlineLvl w:val="5"/>
        <w:rPr>
          <w:rFonts w:ascii="宋体" w:hAnsi="宋体" w:cs="宋体"/>
          <w:color w:val="auto"/>
          <w:sz w:val="24"/>
          <w:highlight w:val="none"/>
        </w:rPr>
      </w:pPr>
      <w:r>
        <w:rPr>
          <w:rFonts w:hint="eastAsia" w:ascii="宋体" w:hAnsi="宋体" w:cs="宋体"/>
          <w:color w:val="auto"/>
          <w:sz w:val="24"/>
          <w:highlight w:val="none"/>
        </w:rPr>
        <w:t>1）信息传输延迟时间</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当信息（包括视音频信息、控制信息及报警信息等）经由 IP 网络传输时，端到端的信息延迟时间（包括发送端信息采集、编码、网络传输、信息接收端解码、显示等过程所经历的时间）应满足下列要求：</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前端设备与信号直接接入的监控中心相应设备间端到端的信息延迟时间应不大于2s；</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前端设备与用户终端设备间端到端的信息延迟时间应不大于4s。</w:t>
      </w:r>
    </w:p>
    <w:p>
      <w:pPr>
        <w:spacing w:line="360" w:lineRule="auto"/>
        <w:ind w:firstLine="480"/>
        <w:outlineLvl w:val="5"/>
        <w:rPr>
          <w:rFonts w:ascii="宋体" w:hAnsi="宋体" w:cs="宋体"/>
          <w:color w:val="auto"/>
          <w:sz w:val="24"/>
          <w:highlight w:val="none"/>
        </w:rPr>
      </w:pPr>
      <w:r>
        <w:rPr>
          <w:rFonts w:hint="eastAsia" w:ascii="宋体" w:hAnsi="宋体" w:cs="宋体"/>
          <w:color w:val="auto"/>
          <w:sz w:val="24"/>
          <w:highlight w:val="none"/>
        </w:rPr>
        <w:t>2）网络传输带宽</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联网系统网络带宽设计应能满足前端设备接入管控中心、管控中心互联、用户终端接入管控中心的带宽要求，并留有余量。</w:t>
      </w:r>
    </w:p>
    <w:p>
      <w:pPr>
        <w:spacing w:line="360" w:lineRule="auto"/>
        <w:ind w:firstLine="480"/>
        <w:outlineLvl w:val="5"/>
        <w:rPr>
          <w:rFonts w:ascii="宋体" w:hAnsi="宋体" w:cs="宋体"/>
          <w:color w:val="auto"/>
          <w:sz w:val="24"/>
          <w:highlight w:val="none"/>
        </w:rPr>
      </w:pPr>
      <w:r>
        <w:rPr>
          <w:rFonts w:hint="eastAsia" w:ascii="宋体" w:hAnsi="宋体" w:cs="宋体"/>
          <w:color w:val="auto"/>
          <w:sz w:val="24"/>
          <w:highlight w:val="none"/>
        </w:rPr>
        <w:t>3）网络传输质量</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联网系统IP网络的传输质量（如传输时延、包丢失率、包误差率、虚假包率等）应符合如下要求：</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网络时延上限值为400ms；</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时延抖动上限值为50ms；</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丢包率上限值为1×10-3；</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包误差率上限值为1×10-4。</w:t>
      </w:r>
    </w:p>
    <w:p>
      <w:pPr>
        <w:widowControl/>
        <w:numPr>
          <w:ilvl w:val="0"/>
          <w:numId w:val="10"/>
        </w:numPr>
        <w:adjustRightInd w:val="0"/>
        <w:snapToGrid w:val="0"/>
        <w:spacing w:line="360"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设备及点位清单</w:t>
      </w:r>
    </w:p>
    <w:p>
      <w:pPr>
        <w:pStyle w:val="2"/>
        <w:ind w:left="0" w:leftChars="0"/>
        <w:rPr>
          <w:color w:val="auto"/>
          <w:sz w:val="24"/>
          <w:highlight w:val="none"/>
        </w:rPr>
      </w:pPr>
      <w:r>
        <w:rPr>
          <w:rFonts w:hint="eastAsia"/>
          <w:color w:val="auto"/>
          <w:sz w:val="24"/>
          <w:highlight w:val="none"/>
        </w:rPr>
        <w:t xml:space="preserve">（以下点位及设备仅供参考，具体内容详见设计图纸，实际建设中在相机数量不变情况下，对点位进行增加或位置调整，费用不再增加；如有设备不足或未考虑到的且又是必须的，成交供应商应增加设备，费用包含在投标报价中） </w:t>
      </w:r>
    </w:p>
    <w:p>
      <w:pPr>
        <w:widowControl/>
        <w:adjustRightInd w:val="0"/>
        <w:snapToGrid w:val="0"/>
        <w:spacing w:line="360"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1、新建部分设备清单</w:t>
      </w:r>
    </w:p>
    <w:tbl>
      <w:tblPr>
        <w:tblStyle w:val="35"/>
        <w:tblW w:w="10491" w:type="dxa"/>
        <w:jc w:val="center"/>
        <w:tblLayout w:type="fixed"/>
        <w:tblCellMar>
          <w:top w:w="0" w:type="dxa"/>
          <w:left w:w="108" w:type="dxa"/>
          <w:bottom w:w="0" w:type="dxa"/>
          <w:right w:w="108" w:type="dxa"/>
        </w:tblCellMar>
      </w:tblPr>
      <w:tblGrid>
        <w:gridCol w:w="397"/>
        <w:gridCol w:w="1410"/>
        <w:gridCol w:w="5758"/>
        <w:gridCol w:w="615"/>
        <w:gridCol w:w="781"/>
        <w:gridCol w:w="1530"/>
      </w:tblGrid>
      <w:tr>
        <w:tblPrEx>
          <w:tblCellMar>
            <w:top w:w="0" w:type="dxa"/>
            <w:left w:w="108" w:type="dxa"/>
            <w:bottom w:w="0" w:type="dxa"/>
            <w:right w:w="108" w:type="dxa"/>
          </w:tblCellMar>
        </w:tblPrEx>
        <w:trPr>
          <w:trHeight w:val="332" w:hRule="atLeast"/>
          <w:jc w:val="center"/>
        </w:trPr>
        <w:tc>
          <w:tcPr>
            <w:tcW w:w="397"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序号</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名称</w:t>
            </w:r>
          </w:p>
        </w:tc>
        <w:tc>
          <w:tcPr>
            <w:tcW w:w="5758"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参数</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数量</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备注</w:t>
            </w:r>
          </w:p>
        </w:tc>
      </w:tr>
      <w:tr>
        <w:tblPrEx>
          <w:tblCellMar>
            <w:top w:w="0" w:type="dxa"/>
            <w:left w:w="108" w:type="dxa"/>
            <w:bottom w:w="0" w:type="dxa"/>
            <w:right w:w="108" w:type="dxa"/>
          </w:tblCellMar>
        </w:tblPrEx>
        <w:trPr>
          <w:trHeight w:val="332" w:hRule="atLeast"/>
          <w:jc w:val="center"/>
        </w:trPr>
        <w:tc>
          <w:tcPr>
            <w:tcW w:w="3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auto"/>
                <w:kern w:val="0"/>
                <w:sz w:val="18"/>
                <w:szCs w:val="18"/>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auto"/>
                <w:kern w:val="0"/>
                <w:sz w:val="18"/>
                <w:szCs w:val="18"/>
                <w:highlight w:val="none"/>
              </w:rPr>
            </w:pPr>
          </w:p>
        </w:tc>
        <w:tc>
          <w:tcPr>
            <w:tcW w:w="57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auto"/>
                <w:kern w:val="0"/>
                <w:sz w:val="18"/>
                <w:szCs w:val="18"/>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auto"/>
                <w:kern w:val="0"/>
                <w:sz w:val="18"/>
                <w:szCs w:val="18"/>
                <w:highlight w:val="none"/>
              </w:rPr>
            </w:pPr>
          </w:p>
        </w:tc>
        <w:tc>
          <w:tcPr>
            <w:tcW w:w="7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auto"/>
                <w:kern w:val="0"/>
                <w:sz w:val="18"/>
                <w:szCs w:val="18"/>
                <w:highlight w:val="none"/>
              </w:rPr>
            </w:pP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14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电警一体化抓拍单元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摄像机像素：≥900W，感光器件：两个1英寸全局曝光CMOS（内置的2个图像传感器可分别或融合显示输出黑白及彩色图像）或1个GMOS（输出彩色图像）。相机可对视频图像和抓拍图片进行融合输出分辨率：最大支持4096*2160,视频帧率：在1～50fps可调;视频压缩标准：H.265/H.264/M-JPE；图像输出格式：JPEG支持信号灯颜色增强功能;;支持车流量检测功能，可以区分车辆是直行还是左转支持多种抓拍模式的切换，可根据应有场景的变化，实现开车打手机、不系安全带、机动车不礼让行人抓拍、非机动车载人/不戴头盔、机动车禁左、禁右、禁止掉头违章抓拍、摩托车闯红灯、不按导向、闯禁令等违法行为抓拍、机动车压线、逆行、占用应急车道、黄网格违停、加塞等违章检测等抓拍功能，外壳防护等级应不低于IP66。（含高清镜头、室外防护罩、防雷模块、抱箍等）</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165</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接入交警局指定平台</w:t>
            </w:r>
          </w:p>
        </w:tc>
      </w:tr>
      <w:tr>
        <w:tblPrEx>
          <w:tblCellMar>
            <w:top w:w="0" w:type="dxa"/>
            <w:left w:w="108" w:type="dxa"/>
            <w:bottom w:w="0" w:type="dxa"/>
            <w:right w:w="108" w:type="dxa"/>
          </w:tblCellMar>
        </w:tblPrEx>
        <w:trPr>
          <w:trHeight w:val="1575"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卡口一体化抓拍单元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摄像机像素：≥900W，感光器件：两个1英寸全局曝光CMOS（内置的2个图像传感器可分别或融合显示输出黑白及彩色图像）或1个GMOS传感器（输出彩色图像）。相机可对视频图像和抓拍图片进行融合输出分辨率：最大支持4096*2160,视频帧率：在1～50fps可调;视频压缩支持H.265、H.264、M-JPEG；支持视场倾斜情况下的车辆特征识别，包括车牌、车身颜色、车型、车辆子品牌等；支持新能源车牌识别功能；可对扣取的人脸图片的像素大小、亮度、边框放大倍数进行调节，达到人脸比对的要求；支持未系安全带检测功能；支持驾驶员行车时打电话动作的检测设备，内置深度学习芯片;。（含高清镜头、室外防护罩、防雷模块、抱箍等）外壳防护等级应不低于IP66。</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82</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接入交警局指定平台</w:t>
            </w:r>
          </w:p>
        </w:tc>
      </w:tr>
      <w:tr>
        <w:tblPrEx>
          <w:tblCellMar>
            <w:top w:w="0" w:type="dxa"/>
            <w:left w:w="108" w:type="dxa"/>
            <w:bottom w:w="0" w:type="dxa"/>
            <w:right w:w="108" w:type="dxa"/>
          </w:tblCellMar>
        </w:tblPrEx>
        <w:trPr>
          <w:trHeight w:val="135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枪球联动式监控设备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1球机+2枪机组成，内置高性能GPU模块组，枪球和枪机视频分辨率≥2560×1440@30fps；枪机靶面尺寸不小于1/1.8英寸，枪机≥4倍光学变倍；球机靶面尺寸不小于1/1.8英寸；球机≥37倍光学变倍；支持自动标定功能，实现枪机与球机之间检查区域的定位；设备支持对车辆实时建模比对，对黑白名单车辆进行布控跟踪，跟踪距离≥200米，跟踪过程中目标车辆的经纬度信息可以实施上传到中心平台；具备自动标定功能，可通过客户端软件对枪机进行一键自动标定，实现枪机与球机之间检测区域的定位，标定点的数量不小于6个。（含支架，抱箍，防雷器）</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106</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接入交警局指定平台</w:t>
            </w:r>
          </w:p>
        </w:tc>
      </w:tr>
      <w:tr>
        <w:tblPrEx>
          <w:tblCellMar>
            <w:top w:w="0" w:type="dxa"/>
            <w:left w:w="108" w:type="dxa"/>
            <w:bottom w:w="0" w:type="dxa"/>
            <w:right w:w="108" w:type="dxa"/>
          </w:tblCellMar>
        </w:tblPrEx>
        <w:trPr>
          <w:trHeight w:val="135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违停抓拍球机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视频分辨率≥2560×1440@30fps，摄像机靶面尺寸不小于1/1.8英寸；≥37倍光学变倍；设备垂直旋转范围应达到 -35°~90°；支持自动和手动取证两种模式，自动或手动识别出监视画面中机动车辆信息并生成相应的违法图片，可通过客户端软件设置取证图片数量（1-6张可选）及抓拍图片间隔；支持区域屏蔽功能，最多可设置10个区域，该区域屏蔽对所有智能行为和违法行为的分析，支持对违章停车、掉头、压线、违法变道、逆行、机动车占用非机动车车道等行为进行抓拍并自动对目标车辆进行跟踪并识别。（含支架，抱箍，防雷器）。</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74</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接入交警局指定平台</w:t>
            </w:r>
          </w:p>
        </w:tc>
      </w:tr>
      <w:tr>
        <w:tblPrEx>
          <w:tblCellMar>
            <w:top w:w="0" w:type="dxa"/>
            <w:left w:w="108" w:type="dxa"/>
            <w:bottom w:w="0" w:type="dxa"/>
            <w:right w:w="108" w:type="dxa"/>
          </w:tblCellMar>
        </w:tblPrEx>
        <w:trPr>
          <w:trHeight w:val="45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41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频闪灯</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含16颗或以下LED高亮补光灯；支持视频同步补光功能；外壳材质：金属铝；响应时间：≤20μs；有效补光距离：16m～25m；工作寿命：≥50000小时；平均功率≤40W；含支架、抱箍、光栅。</w:t>
            </w:r>
            <w:r>
              <w:rPr>
                <w:rFonts w:hint="eastAsia" w:ascii="宋体" w:hAnsi="宋体" w:cs="宋体"/>
                <w:color w:val="auto"/>
                <w:kern w:val="0"/>
                <w:sz w:val="18"/>
                <w:szCs w:val="18"/>
                <w:highlight w:val="none"/>
              </w:rPr>
              <w:t>（包括服务期内当光衰减大于30%或造成图片、视频数据成像效果不符合招标要求及相关国家标准的应当免费更换）</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238</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5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41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爆闪灯</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白光气体爆闪，红外气体爆闪；支持红外/白光闪光，支持LED频闪，可自动切换红外和白光模式，闪光灯寿命≥1000万次；含支架，抱箍，带LED光栅。</w:t>
            </w:r>
            <w:r>
              <w:rPr>
                <w:rFonts w:hint="eastAsia" w:ascii="宋体" w:hAnsi="宋体" w:cs="宋体"/>
                <w:color w:val="auto"/>
                <w:kern w:val="0"/>
                <w:sz w:val="18"/>
                <w:szCs w:val="18"/>
                <w:highlight w:val="none"/>
              </w:rPr>
              <w:t>（包括服务期内当光衰减大于30%或造成图片、视频数据成像效果不符合招标要求及相关国家标准的应当免费更换）</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64</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675"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信号检测器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处理器工业级嵌入式微控制器；红/绿灯信号输入 可接入≥12路220V/AC红绿灯信号；红/绿灯信号检测 支持≥12个红/绿灯信号同时检测；拨码开关 1个八位拨码开关；功耗 &lt;3W；使用工作温度 -20℃~+70℃；使用湿度 10%-95%。</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47</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2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智能终端管理设备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最大支持16路高清视频，每路传输速率4mbps，嵌入式Linux操作系统/WEB方式，接入等数据量200万、900万像素等其它分辨率的高清录像/2路报警输入/2路报警输出/ 4个内置SATA接口，2个RJ45 100M/1000M自适应以太网口，16个RJ45 100M交换网络接口，1个1000M SFP光纤接口/220V±10% ，-20℃～+70℃。</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47</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9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传输设备A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1个千兆光口、8个百兆电口，安装方式：工业导轨式。含光模块。</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318</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5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传输设备B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光电混合型工业以太交换机，光口：≥5个千兆光口，电口：≥4个网口，安装方式：工业导轨式。含光模块。</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69</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5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传输设备C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用于前端路口管理型，≥2个千兆光口，≥ 4个千兆电口，≥ 4个百兆电口，可通过telnet远程管理，支持vlan、LLDP、ACL、QoS，支持STP、RSTP、MSTP。含光模块。</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50</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90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抱杆机箱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料选用优质冷轧钢板，设备机箱具有防热、防尘、防水、防盗功能，适应室外工作环境，密封良好，做防锈、防腐处理，预留数据传输设备的空间，预留数据线、电源线接口。锁具、门轴坚实牢固，使用寿命在十年以上，所有锁具可由一把钥匙打开，（机箱板材厚度大于1 毫米）。含三位插座，2P10A空开，安装底板，箱体应该统一“台州交警监控”字样，字样出厂时统一喷塑且字体美观大方。</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329</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675"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电警落地机箱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警系统路口机箱，采用不小于2mm热镀锌钢板，含2P空开10路，单路电流30A。带漏电保护措施及防雷、浪涌及电压保护等防护措施。含箱体运输、基础浇筑现场安装调试。箱体应该统一“台州交警监控”字样，字样出厂时统一喷塑且字体美观大方。</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47</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5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L型立杆A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八棱镀锌≥6.5M竖杆；立杆壁厚≥6mm；横杆4-7M；前端杆件贴反光材料，顶部带红黄绿三色防水帽；符合设计要求，必须保证图片抓拍位置、管控每个车道；含运输、基础件、基础钢筋笼、接地。</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163</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5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L型立杆B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八棱镀锌≥6.5M竖杆；立杆壁厚≥8mm；横杆8-12M；前端杆件贴反光材料，顶部带红黄绿三色防水帽；符合设计要求，必须保证图片抓拍位置、管控每个车道；含运输、基础件、基础钢筋笼、接地。</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71</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5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L型立杆C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八棱镀锌≥6.5M竖杆；立杆壁厚≥8mm；横杆13-15M；前端杆件贴反光材料，顶部带红黄绿三色防水帽；符合设计要求，必须保证图片抓拍位置、管控每个车道；含运输、基础件、基础钢筋笼、接地。</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9</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7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杆件移位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含设备、杆件拆除、运输、吊装等</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15</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90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立杆基础施工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含立杆基础的开挖、做模、浇筑（C25商品砼）、路面平整、回填、废土清运等工作及材料费用。L型杆件（挑4-7米基础1500mm*1500mm*1800mm； 挑8-12米采用1800mm*1800mm*2000mm；挑13-15米采用2000mm*2000mm*2300mm），T型杆件（挑5-8米基础1600mm*1600mm*1900mm； 挑9-11米采用1800mm*1800mm*2100mm；挑12-15米采用2000mm*2000mm*2500mm）。</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9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制高点高清球机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3200万≥360°全景一体式网络高清摄像机，全景摄像机有8个1/1.8" 4MP Progressive Scan CMOS，最高分辨率及帧率可达5520×2400@30fps，星光级超低照度，0.005Lux/F1.0（彩色），0.0005Lux/F1.0（黑白）；设备镜头需具备良好的防刮性能；特写摄像机采用1/1.8"4MP Progressive Scan CMOS，最高分辨率及帧率可达2560×1440@30fps，水平360°连续旋转，垂直-15°-90°（自动翻转），星光级超低照度，0.0003Lux/F1.2（彩色），0.0001Lux/F1.2（黑白），≥400m红外照射距离，≥40倍光学变倍，支持光学防抖功能；支持区域入侵、越界、进入区域、离开区域事件侦测功能;摄像机内置除湿器，可对摄像机内部进行除湿，除去玻璃罩上的水状附着物。系统支持检测直径300米180°半圆形范围内运动目标，可同时检测60个目标；系统支持点击联动功能、目标自动跟踪功能、手动跟踪功能；支持强光抑制、3D数字降噪；自带镜头，另配8个400W图像采集模块，靶面尺寸为1/1.8''，内置3个GPU，可输出1路主视频图像和8路辅视频图像。摄像机全景镜头光圈均不小于F1.0；系统支持在摄像机的实时视频画面中添加最多500个AR标签，且可实现标签与标签联动的功能，具备较好防护性能和环境适应性，支持IP67，10KV放浪涌。</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7</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接入交警局指定平台</w:t>
            </w:r>
          </w:p>
        </w:tc>
      </w:tr>
      <w:tr>
        <w:tblPrEx>
          <w:tblCellMar>
            <w:top w:w="0" w:type="dxa"/>
            <w:left w:w="108" w:type="dxa"/>
            <w:bottom w:w="0" w:type="dxa"/>
            <w:right w:w="108" w:type="dxa"/>
          </w:tblCellMar>
        </w:tblPrEx>
        <w:trPr>
          <w:trHeight w:val="27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传输设备A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1个千兆光口、8个百兆电口，安装方式：工业导轨式。含光模块。</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90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21</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抱杆机箱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料选用优质冷轧钢板，设备机箱具有防热、防尘、防水、防盗功能，适应室外工作环境，密封良好，做防锈、防腐处理，预留数据传输设备的空间，预留数据线、电源线接口。锁具、门轴坚实牢固，使用寿命在十年以上，所有锁具可由一把钥匙打开，（机箱板材厚度大于1 毫米）。含三位插座，2P10A空开，安装底板，箱体应该统一“台州交警监控”字样，字样出厂时统一喷塑且字体美观大方。</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7</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35"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高空杆件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副杆长度根据现场实际情况而定，直径不小于Φ75.7mm，厚度不小于3mm；主杆长度根据现场实际情况而定，直径不小于Φ88.5mm，厚度不小于3mm；主杆与安装位置内墙使用规格不小于150mm*Φ16mm的膨胀螺栓固定；墙面与主杆、主杆与副杆间使用壁厚不小于4mm的镀锌钢板焊接；并在墙面上安装不小于40*4mm的抱箍固定副杆；杆件热镀锌并做好防锈工作。</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7</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015"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雷达测速仪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由相机、雷达和显示单元组成，系统集成度高，显示单元能够快速方便调节设置所需的参数，进行图片抓拍，夜间使用补光单元和夜间操作系统，和相机同步保证夜间图片质量。</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无需其他的操作设备（如笔记本电脑，台式电脑，显示器鼠标等），通过设备自带显示屏可以设置相机和调整需要的抓拍信息。</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相机安装在坚固耐用的外壳内，外壳具备很强的抵抗冲击的能力，另一方面要保证很高级别的相机防破坏能力。</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（1）具备移动式抓拍和固定式抓拍2种模式，并且可以通过改造互相转换使用。</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（2）能记录机动车发生交通安全违法行为的完整过程图片，采集不少于2幅不同时间或者不同位置（对应行驶位移&gt;1.0m）的机动车全景特征图片。</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测速雷达单元要求采用先进的多目标追踪雷达技术，可以自动学习识别车辆轨迹，可对多个目标进行测量，且实测多目标速度测量误差平均值小于-4km/h；在投标文件中提供省、直辖市级专业计量检测机构出具的计量器具型式评价报告。</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（4）测速雷达单元要求对三个及以上车道进行监控，车道判断准确率要求99%以上；在投标文件中提供国家级计量检测机构出具的测试报告。</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hint="eastAsia" w:ascii="宋体" w:hAnsi="宋体" w:cs="宋体"/>
                <w:color w:val="auto"/>
                <w:kern w:val="0"/>
                <w:sz w:val="18"/>
                <w:szCs w:val="18"/>
                <w:highlight w:val="none"/>
                <w:lang w:bidi="ar"/>
              </w:rPr>
              <w:t>设备所拍摄违反限速规定的车辆图片，除叠加违法时间、违法地点、违法代码、车道、设备编号、速度等基础信息外，针对多目标检测，还应在图像中测定区域内对应被测目标上另外标注机动车行驶速度值。</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（6）设备需保证每张照片在24小时全天候情况下的照片质量清晰，每个车道所拍摄照片中，不同车辆需保持在同一触发位置。</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（7）设备可以同时对来向、去向、双向的车辆监控；测速范围：10公里/小时至250公里/小时。</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（8）测速雷达要求：3D跟踪雷达，工作频率24.100GHz。</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（9）测速设备具备数字显示屏，并含有抗反射表面，使得操作人员在现场就可在设备上直接读取违法数据图像。设备需具备计量器具型式批准证书。</w:t>
            </w:r>
          </w:p>
        </w:tc>
        <w:tc>
          <w:tcPr>
            <w:tcW w:w="61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675"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雷达测速补光灯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测速仪专用爆闪灯，适用于蓄电池单独供电接口；覆盖范围：侧装三车道回电时间：＜67ms；有效补光距离：16m～25m；寿命：≥2000万次；防护等级：IP65；要求符合GA/T1202-2014《交通技术监控成像补光装置通用技术规范》标准。</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8</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5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固定测速仪机箱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内置强电模块，能够容纳交换机、光纤收发器等；机柜采用主体焊接；门锁采用户外机柜防水锁；机柜采用柱装安装方式，具有防虫、防鼠功效；为保证拍摄质量，测速箱体可根据需要调整角度。</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6</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8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测速箱、补光灯杆件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立杆杆件φ114×6mm；高度≥1500mm;杆件应经酸洗除锈，表面热镀锌处理。</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14</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90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27</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立杆基础施工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含立杆基础的开挖、做模、浇筑（C25商品砼）、路面平整、回填、废土清运等工作及材料费用。L型杆件（挑4-7米基础1500mm*1500mm*1800mm； 挑8-12米采用1800mm*1800mm*2000mm；挑13-15米采用2000mm*2000mm*2300mm），T型杆件（挑5-8米基础1600mm*1600mm*1900mm； 挑9-11米采用1800mm*1800mm*2100mm；挑12-15米采用2000mm*2000mm*2500mm）。</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7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28</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传输设备A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1个千兆光口、8个百兆电口，安装方式：工业导轨式。含光模块。</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6</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62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29</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多目标雷达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雷达测距精度：±0.5m 、</w:t>
            </w:r>
            <w:r>
              <w:rPr>
                <w:rFonts w:hint="eastAsia" w:ascii="宋体" w:hAnsi="宋体" w:cs="宋体"/>
                <w:color w:val="auto"/>
                <w:kern w:val="0"/>
                <w:sz w:val="18"/>
                <w:szCs w:val="18"/>
                <w:highlight w:val="none"/>
              </w:rPr>
              <w:t>测速精度：-1Km/h；</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横向覆盖 1-</w:t>
            </w:r>
            <w:r>
              <w:rPr>
                <w:rFonts w:ascii="宋体" w:hAnsi="宋体" w:cs="宋体"/>
                <w:color w:val="auto"/>
                <w:kern w:val="0"/>
                <w:sz w:val="18"/>
                <w:szCs w:val="18"/>
                <w:highlight w:val="none"/>
              </w:rPr>
              <w:t>8</w:t>
            </w:r>
            <w:r>
              <w:rPr>
                <w:rFonts w:hint="eastAsia" w:ascii="宋体" w:hAnsi="宋体" w:cs="宋体"/>
                <w:color w:val="auto"/>
                <w:kern w:val="0"/>
                <w:sz w:val="18"/>
                <w:szCs w:val="18"/>
                <w:highlight w:val="none"/>
              </w:rPr>
              <w:t>车道，纵向覆盖250米，实现大场景检测，跟踪目标数≥</w:t>
            </w:r>
            <w:r>
              <w:rPr>
                <w:rFonts w:ascii="宋体" w:hAnsi="宋体" w:cs="宋体"/>
                <w:color w:val="auto"/>
                <w:kern w:val="0"/>
                <w:sz w:val="18"/>
                <w:szCs w:val="18"/>
                <w:highlight w:val="none"/>
              </w:rPr>
              <w:t>128</w:t>
            </w:r>
            <w:r>
              <w:rPr>
                <w:rFonts w:hint="eastAsia" w:ascii="宋体" w:hAnsi="宋体" w:cs="宋体"/>
                <w:color w:val="auto"/>
                <w:kern w:val="0"/>
                <w:sz w:val="18"/>
                <w:szCs w:val="18"/>
                <w:highlight w:val="none"/>
              </w:rPr>
              <w:t>、支持全天候环境下工作，不受雨雪、雾、大风、灰尘、光照等影响；</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涵盖传统微波车辆检测器功能，可提供信息包括：车速、车流量、车头时距、车型分类、道路占有率等信息；即时数据 即时位置、即时速度 统计数据 流量、平均速度、事件数据 逆行、倒车、违停、硬露肩行驶等；</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雷达距离和速度分辨率高，车辆定位精准，测速精确；</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自带实时时钟，可与网络时钟同步；自带存储，掉电数据不丢失；</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支持网络与RS485数据上传；</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车道拥堵信息判断，统计出拥堵情况下排队车辆长度，并发送拥堵信息；</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统计数据精度 ≥95% 、事件数据精度 ≥9</w:t>
            </w:r>
            <w:r>
              <w:rPr>
                <w:rFonts w:ascii="宋体" w:hAnsi="宋体" w:cs="宋体"/>
                <w:color w:val="auto"/>
                <w:kern w:val="0"/>
                <w:sz w:val="18"/>
                <w:szCs w:val="18"/>
                <w:highlight w:val="none"/>
              </w:rPr>
              <w:t>5</w:t>
            </w:r>
            <w:r>
              <w:rPr>
                <w:rFonts w:hint="eastAsia" w:ascii="宋体" w:hAnsi="宋体" w:cs="宋体"/>
                <w:color w:val="auto"/>
                <w:kern w:val="0"/>
                <w:sz w:val="18"/>
                <w:szCs w:val="18"/>
                <w:highlight w:val="none"/>
              </w:rPr>
              <w:t>% 。</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r>
              <w:rPr>
                <w:rFonts w:hint="eastAsia" w:ascii="宋体" w:hAnsi="宋体" w:cs="宋体"/>
                <w:color w:val="auto"/>
                <w:kern w:val="0"/>
                <w:sz w:val="18"/>
                <w:szCs w:val="18"/>
                <w:highlight w:val="none"/>
              </w:rPr>
              <w:t>与室外型高速球配套使用</w:t>
            </w:r>
          </w:p>
        </w:tc>
      </w:tr>
      <w:tr>
        <w:tblPrEx>
          <w:tblCellMar>
            <w:top w:w="0" w:type="dxa"/>
            <w:left w:w="108" w:type="dxa"/>
            <w:bottom w:w="0" w:type="dxa"/>
            <w:right w:w="108" w:type="dxa"/>
          </w:tblCellMar>
        </w:tblPrEx>
        <w:trPr>
          <w:trHeight w:val="9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室外型高速球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≥400万高清画面输出</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支持H.265高效压缩算法，可较大节省存储空间</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星光级超低照度，0.0005Lux/F1.5（彩色）,0.0001Lux/F1.5（黑白） ,0 Lux with IR、支持32倍光学变倍，16倍数字变倍</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采用高效红外阵列，低功耗，照射距离最远可达200m</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支持宽动态范围达120dB，适合逆光环境监控</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支持1080p@60fps、960p@60fps、720p@60fps高帧率输出</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支持三码流技术，每路码流可独立配置分辨率及帧率</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支持断网续传功能保证录像不丢失，配合Smart NVR实现事件录像的二次智能检索、分析和浓缩播放</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支持3D数字降噪、透雾、强光抑制、电子防抖、SmartIR</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支持手动跟踪、全景跟踪、事件跟踪，并支持多场景巡航跟踪</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支持360°水平旋转，垂直方向-20°-90°（自动翻转） </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Micro SD/Micro SDHC/Micro SDXC卡存储</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支持联动高清一体化球机捕获事件，捕捉车牌等</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90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31</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抱杆机箱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料选用优质冷轧钢板，设备机箱具有防热、防尘、防水、防盗功能，适应室外工作环境，密封良好，做防锈、防腐处理，预留数据传输设备的空间，预留数据线、电源线接口。锁具、门轴坚实牢固，使用寿命在十年以上，所有锁具可由一把钥匙打开，（机箱板材厚度大于1 毫米）。含三位插座，2P10A空开，安装底板，箱体应该统一“台州交警监控”字样，字样出厂时统一喷塑且字体美观大方。</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18</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7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传输设备A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1个千兆光口、8个百兆电口，安装方式：工业导轨式。含光模块。</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18</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7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33</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抱杆挑臂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挑臂长度3米，直径76MM，镀锌钢管壁厚不小于4mm。</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18</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1575"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34</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卡口一体化抓拍单元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摄像机像素：900W，感光器件：两个1英寸全局曝光CMOS（内置的2个图像传感器可分别或融合显示输出黑白及彩色图像）或1个GMOS传感器（输出彩色图像）。相机可对视频图像和抓拍图片进行融合输出分辨率：最大支持4096*2160,视频帧率：在1～50fps可调;视频压缩支持H.265、H.264、M-JPEG；支持视场倾斜情况下的车辆特征识别，包括车牌、车身颜色、车型、车辆子品牌等；支持新能源车牌识别功能；可对扣取的人脸图片的像素大小、亮度、边框放大倍数进行调节，达到人脸比对的要求；支持未系安全带检测功能；支持驾驶员行车时打电话动作的检测设备，内置深度学习芯片;。（含高清镜头、室外防护罩、防雷模块、抱箍等）外壳防护等级应不低于IP66。</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23</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r>
              <w:rPr>
                <w:rFonts w:hint="eastAsia" w:ascii="宋体" w:hAnsi="宋体" w:cs="宋体"/>
                <w:color w:val="auto"/>
                <w:kern w:val="0"/>
                <w:sz w:val="18"/>
                <w:szCs w:val="18"/>
                <w:highlight w:val="none"/>
              </w:rPr>
              <w:t>其中2</w:t>
            </w:r>
            <w:r>
              <w:rPr>
                <w:rFonts w:ascii="宋体" w:hAnsi="宋体" w:cs="宋体"/>
                <w:color w:val="auto"/>
                <w:kern w:val="0"/>
                <w:sz w:val="18"/>
                <w:szCs w:val="18"/>
                <w:highlight w:val="none"/>
              </w:rPr>
              <w:t>2</w:t>
            </w:r>
            <w:r>
              <w:rPr>
                <w:rFonts w:hint="eastAsia" w:ascii="宋体" w:hAnsi="宋体" w:cs="宋体"/>
                <w:color w:val="auto"/>
                <w:kern w:val="0"/>
                <w:sz w:val="18"/>
                <w:szCs w:val="18"/>
                <w:highlight w:val="none"/>
              </w:rPr>
              <w:t>套与单通道雷达配套使用。</w:t>
            </w:r>
          </w:p>
        </w:tc>
      </w:tr>
      <w:tr>
        <w:tblPrEx>
          <w:tblCellMar>
            <w:top w:w="0" w:type="dxa"/>
            <w:left w:w="108" w:type="dxa"/>
            <w:bottom w:w="0" w:type="dxa"/>
            <w:right w:w="108" w:type="dxa"/>
          </w:tblCellMar>
        </w:tblPrEx>
        <w:trPr>
          <w:trHeight w:val="675"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35</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单通道雷达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单车道测速雷达，频率24G；测速距离：单车道18～</w:t>
            </w:r>
            <w:r>
              <w:rPr>
                <w:rFonts w:ascii="宋体" w:hAnsi="宋体" w:cs="宋体"/>
                <w:color w:val="auto"/>
                <w:kern w:val="0"/>
                <w:sz w:val="18"/>
                <w:szCs w:val="18"/>
                <w:highlight w:val="none"/>
              </w:rPr>
              <w:t>2</w:t>
            </w:r>
            <w:r>
              <w:rPr>
                <w:rFonts w:hint="eastAsia" w:ascii="宋体" w:hAnsi="宋体" w:cs="宋体"/>
                <w:color w:val="auto"/>
                <w:kern w:val="0"/>
                <w:sz w:val="18"/>
                <w:szCs w:val="18"/>
                <w:highlight w:val="none"/>
              </w:rPr>
              <w:t>8m（可调整）；测速范围：20km/h～</w:t>
            </w:r>
            <w:r>
              <w:rPr>
                <w:rFonts w:ascii="宋体" w:hAnsi="宋体" w:cs="宋体"/>
                <w:color w:val="auto"/>
                <w:kern w:val="0"/>
                <w:sz w:val="18"/>
                <w:szCs w:val="18"/>
                <w:highlight w:val="none"/>
              </w:rPr>
              <w:t>2</w:t>
            </w:r>
            <w:r>
              <w:rPr>
                <w:rFonts w:hint="eastAsia" w:ascii="宋体" w:hAnsi="宋体" w:cs="宋体"/>
                <w:color w:val="auto"/>
                <w:kern w:val="0"/>
                <w:sz w:val="18"/>
                <w:szCs w:val="18"/>
                <w:highlight w:val="none"/>
              </w:rPr>
              <w:t>00km/h、工作电压：9-12V DC；车辆捕获率：≥9</w:t>
            </w:r>
            <w:r>
              <w:rPr>
                <w:rFonts w:ascii="宋体" w:hAnsi="宋体" w:cs="宋体"/>
                <w:color w:val="auto"/>
                <w:kern w:val="0"/>
                <w:sz w:val="18"/>
                <w:szCs w:val="18"/>
                <w:highlight w:val="none"/>
              </w:rPr>
              <w:t>9</w:t>
            </w:r>
            <w:r>
              <w:rPr>
                <w:rFonts w:hint="eastAsia" w:ascii="宋体" w:hAnsi="宋体" w:cs="宋体"/>
                <w:color w:val="auto"/>
                <w:kern w:val="0"/>
                <w:sz w:val="18"/>
                <w:szCs w:val="18"/>
                <w:highlight w:val="none"/>
              </w:rPr>
              <w:t>%；触发一致性：精确触发位置范围</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±0.5米。</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22</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5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爆闪灯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白光气体爆闪，红外气体爆闪；支持红外/白光闪光，可自动切换红外和白光模式，闪光灯寿命≥1000万次；含支架，抱箍，带LED光栅。（如配有LED灯珠应为进口灯珠，支持LED频闪）</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25</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90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37</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抱杆机箱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料选用优质冷轧钢板，设备机箱具有防热、防尘、防水、防盗功能，适应室外工作环境，密封良好，做防锈、防腐处理，预留数据传输设备的空间，预留数据线、电源线接口。锁具、门轴坚实牢固，使用寿命在十年以上，所有锁具可由一把钥匙打开，（机箱板材厚度大于1 毫米）。含三位插座，2P10A空开，安装底板，箱体应该统一“台州交警监控”字样，字样出厂时统一喷塑且字体美观大方。</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23</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7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38</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传输设备A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1个千兆光口、8个百兆电口，安装方式：工业导轨式。含光模块。</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23</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5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39</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L型立杆A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八棱镀锌≥6.5M竖杆；立杆壁厚≥6mm；横杆4-7M；前端杆件贴反光材料，顶部带红黄绿三色防水帽；符合设计要求，必须保证图片抓拍位置、管控每个车道；含运输、基础件、基础钢筋笼、接地。</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23</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90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40</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立杆基础施工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含立杆基础的开挖、做模、浇筑（C25商品砼）、路面平整、回填、废土清运等工作及材料费用。L型杆件（挑4-7米基础1500mm*1500mm*1800mm； 挑8-12米采用1800mm*1800mm*2000mm；挑13-15米采用2000mm*2000mm*2300mm），T型杆件（挑5-8米基础1600mm*1600mm*1900mm； 挑9-11米采用1800mm*1800mm*2100mm；挑12-15米采用2000mm*2000mm*2500mm）。</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7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41</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2芯控制线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RVVSP2芯*1.0mm2</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7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42</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3芯电源线A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RVV3芯*1.5mm2</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7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43</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3芯电源线B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RVV3芯*2.5mm2</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7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44</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3芯电源线C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RVV3芯*4.0mm2</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7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45</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3芯电源线D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RVV3芯*10.0mm2</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7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46</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光纤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室外单模光缆≥4芯</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7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47</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室外超五类网线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室外超五类防水UTP</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7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接地线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ZR-BVR 10.0mm2</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8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49</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绿化管道开挖，敷设及恢复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绿化管道土方开挖，敷设及恢复，宽度≥300mm，深度≥500mm。</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8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人行道砖，塑胶跑道管道开挖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人行道路土方开挖，敷设及恢复，宽度≥400mm，深度≥700mm。</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8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51</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水泥路、沥青路开挖，敷设及恢复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水泥路、沥青路土方开挖，敷设及恢复，深度≥700mm。</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9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52</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顶管施工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不低于2孔；管道埋深不小于700mm;含管材，直径不低于100mm。</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8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53</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高密度聚乙烯管（DN50）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壁厚要求不低于4mm</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8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54</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高密度聚乙烯管（DN75）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壁厚要求不低于4.5mm</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7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55</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镀锌钢管（DN89）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壁厚要求不低于4mm</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7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56</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小窨井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小窨井内径≥400mm*400mm*500mm;窨井盖材质应采用复合或水泥材料，并标有“公安交警”字样。</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7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57</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大窨井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大窨井内径≥800mm*800mm*800mm;窨井盖材质应采用复合或水泥材料，并标有“公安交警”字样。</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7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58</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光纤链路费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运营商租赁，千兆</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7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59</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跨区光纤链路费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运营商租赁，千兆</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条</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8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安全措施费安全设施人工车辆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按照国标封道。</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7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61</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辅助材料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标牌，喷漆，扎带，抱箍，支架，反光膜等</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62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62</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48盘位视频与图片云存储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两颗高性能Intel 64位多核CPU;配置缓存16G</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配置2个千兆以太网口，可增配4个千兆网口或万兆口</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支持RAID0、1、3、5、6、10、50</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配置冗余电源</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最小硬盘数≥48,支持3.5"硬盘，支持1TB、2TB、3TB、4TB、6TB、8TB硬盘；支持硬盘热插拨操作；</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在投标文件中提供产品的3C证书</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在投标文件中提供“国家安全防范报警系统产品质量监督检验中心”出具的云存储系统检测报告。</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4</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70"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63</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8T视频存储硬盘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企业级存储专业硬盘，8T</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块</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192</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675" w:hRule="atLeast"/>
          <w:jc w:val="center"/>
        </w:trPr>
        <w:tc>
          <w:tcPr>
            <w:tcW w:w="39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141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接入交换机 </w:t>
            </w:r>
          </w:p>
        </w:tc>
        <w:tc>
          <w:tcPr>
            <w:tcW w:w="5758"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网管三层交换机，机架式，48个千兆光口，4个万兆光口，2个复用千兆电口，4个千兆光口，交换容量336Gbps，包转发率166Mpps，1U高度，19英寸宽；支持RIP/OSPF/VRRP，IPv6，VLAN，流量控制，ACL，QoS，端口镜像，环网RRPP/ERPS、支持SNMP V1/V2c/V3网管。满配48个千兆光模块、2对万兆光模块。</w:t>
            </w:r>
          </w:p>
        </w:tc>
        <w:tc>
          <w:tcPr>
            <w:tcW w:w="61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781" w:type="dxa"/>
            <w:tcBorders>
              <w:top w:val="nil"/>
              <w:left w:val="nil"/>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5</w:t>
            </w:r>
          </w:p>
        </w:tc>
        <w:tc>
          <w:tcPr>
            <w:tcW w:w="15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bl>
    <w:p>
      <w:pPr>
        <w:pStyle w:val="6"/>
        <w:tabs>
          <w:tab w:val="left" w:pos="142"/>
          <w:tab w:val="left" w:pos="993"/>
          <w:tab w:val="left" w:pos="1418"/>
          <w:tab w:val="left" w:pos="1560"/>
        </w:tabs>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2、改建部分设备清单</w:t>
      </w:r>
    </w:p>
    <w:tbl>
      <w:tblPr>
        <w:tblStyle w:val="35"/>
        <w:tblW w:w="10223" w:type="dxa"/>
        <w:tblInd w:w="-779" w:type="dxa"/>
        <w:tblLayout w:type="fixed"/>
        <w:tblCellMar>
          <w:top w:w="0" w:type="dxa"/>
          <w:left w:w="108" w:type="dxa"/>
          <w:bottom w:w="0" w:type="dxa"/>
          <w:right w:w="108" w:type="dxa"/>
        </w:tblCellMar>
      </w:tblPr>
      <w:tblGrid>
        <w:gridCol w:w="630"/>
        <w:gridCol w:w="1268"/>
        <w:gridCol w:w="5724"/>
        <w:gridCol w:w="876"/>
        <w:gridCol w:w="765"/>
        <w:gridCol w:w="960"/>
      </w:tblGrid>
      <w:tr>
        <w:tblPrEx>
          <w:tblCellMar>
            <w:top w:w="0" w:type="dxa"/>
            <w:left w:w="108" w:type="dxa"/>
            <w:bottom w:w="0" w:type="dxa"/>
            <w:right w:w="108" w:type="dxa"/>
          </w:tblCellMar>
        </w:tblPrEx>
        <w:trPr>
          <w:trHeight w:val="332"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序号</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设备名称</w:t>
            </w:r>
          </w:p>
        </w:tc>
        <w:tc>
          <w:tcPr>
            <w:tcW w:w="57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参数</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计量</w:t>
            </w:r>
          </w:p>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单位</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工程量</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备注</w:t>
            </w:r>
          </w:p>
        </w:tc>
      </w:tr>
      <w:tr>
        <w:tblPrEx>
          <w:tblCellMar>
            <w:top w:w="0" w:type="dxa"/>
            <w:left w:w="108" w:type="dxa"/>
            <w:bottom w:w="0" w:type="dxa"/>
            <w:right w:w="108" w:type="dxa"/>
          </w:tblCellMar>
        </w:tblPrEx>
        <w:trPr>
          <w:trHeight w:val="332"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8"/>
                <w:szCs w:val="18"/>
                <w:highlight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8"/>
                <w:szCs w:val="18"/>
                <w:highlight w:val="none"/>
              </w:rPr>
            </w:pPr>
          </w:p>
        </w:tc>
        <w:tc>
          <w:tcPr>
            <w:tcW w:w="57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8"/>
                <w:szCs w:val="18"/>
                <w:highlight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8"/>
                <w:szCs w:val="18"/>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8"/>
                <w:szCs w:val="18"/>
                <w:highlight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auto"/>
                <w:sz w:val="18"/>
                <w:szCs w:val="18"/>
                <w:highlight w:val="none"/>
              </w:rPr>
            </w:pPr>
          </w:p>
        </w:tc>
      </w:tr>
      <w:tr>
        <w:tblPrEx>
          <w:tblCellMar>
            <w:top w:w="0" w:type="dxa"/>
            <w:left w:w="108" w:type="dxa"/>
            <w:bottom w:w="0" w:type="dxa"/>
            <w:right w:w="108" w:type="dxa"/>
          </w:tblCellMar>
        </w:tblPrEx>
        <w:trPr>
          <w:trHeight w:val="3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电警一体化抓拍单元</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摄像机像素：900W，感光器件：两个1英寸全局曝光CMOS（内置的2个图像传感器可分别或融合显示输出黑白及彩色图像）或1个GMOS传感器</w:t>
            </w:r>
            <w:r>
              <w:rPr>
                <w:rFonts w:hint="eastAsia" w:ascii="宋体" w:hAnsi="宋体" w:cs="宋体"/>
                <w:color w:val="auto"/>
                <w:kern w:val="0"/>
                <w:sz w:val="18"/>
                <w:szCs w:val="18"/>
                <w:highlight w:val="none"/>
              </w:rPr>
              <w:t>（输出彩色图像）</w:t>
            </w:r>
            <w:r>
              <w:rPr>
                <w:rFonts w:hint="eastAsia" w:ascii="宋体" w:hAnsi="宋体" w:cs="宋体"/>
                <w:color w:val="auto"/>
                <w:kern w:val="0"/>
                <w:sz w:val="18"/>
                <w:szCs w:val="18"/>
                <w:highlight w:val="none"/>
                <w:lang w:bidi="ar"/>
              </w:rPr>
              <w:t>。相机可对视频图像和抓拍图片进行融合输出分辨率：最大支持4096*2160,视频帧率：在1～50fps可调;视频压缩标准：H.265/H.264/M-JPEG；图像输出格式：JPEG支持信号灯颜色增强功能;;支持车流量检测功能，可以区分车辆是直行还是左转支持多种抓拍模式的切换，可根据应有场景的变化，实现开车打手机、不系安全带、机动车不礼让行人抓拍、非机动车载人/不戴头盔、机动车禁左、禁右、禁止掉头违章抓拍、摩托车闯红灯、不按导向、闯禁令等违法行为抓拍、机动车压线、逆行、占用应急车道、黄网格违停、加塞等违章检测等抓拍功能。（含高清镜头、室外防护罩、防雷模块、抱箍等）外壳防护等级应不低于IP66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487</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r>
              <w:rPr>
                <w:rFonts w:hint="eastAsia" w:ascii="宋体" w:hAnsi="宋体" w:cs="宋体"/>
                <w:color w:val="auto"/>
                <w:kern w:val="0"/>
                <w:sz w:val="18"/>
                <w:szCs w:val="18"/>
                <w:highlight w:val="none"/>
              </w:rPr>
              <w:t>接入交警局指定平台</w:t>
            </w:r>
          </w:p>
        </w:tc>
      </w:tr>
      <w:tr>
        <w:tblPrEx>
          <w:tblCellMar>
            <w:top w:w="0" w:type="dxa"/>
            <w:left w:w="108" w:type="dxa"/>
            <w:bottom w:w="0" w:type="dxa"/>
            <w:right w:w="108" w:type="dxa"/>
          </w:tblCellMar>
        </w:tblPrEx>
        <w:trPr>
          <w:trHeight w:val="292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卡口一体化抓拍单元</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摄像机像素：900W，感光器件：两个1英寸全局曝光CMOS（内置的2个图像传感器可分别或融合显示输出黑白及彩色图像）或1个GMOS传感器</w:t>
            </w:r>
            <w:r>
              <w:rPr>
                <w:rFonts w:hint="eastAsia" w:ascii="宋体" w:hAnsi="宋体" w:cs="宋体"/>
                <w:color w:val="auto"/>
                <w:kern w:val="0"/>
                <w:sz w:val="18"/>
                <w:szCs w:val="18"/>
                <w:highlight w:val="none"/>
              </w:rPr>
              <w:t>（输出彩色图像）</w:t>
            </w:r>
            <w:r>
              <w:rPr>
                <w:rFonts w:hint="eastAsia" w:ascii="宋体" w:hAnsi="宋体" w:cs="宋体"/>
                <w:color w:val="auto"/>
                <w:kern w:val="0"/>
                <w:sz w:val="18"/>
                <w:szCs w:val="18"/>
                <w:highlight w:val="none"/>
                <w:lang w:bidi="ar"/>
              </w:rPr>
              <w:t>。相机可对视频图像和抓拍图片进行融合输出分辨率：最大支持4096*2160,视频帧率：在1～50fps可调;视频压缩支持H.265、H.264、M-JPEG；支持视场倾斜情况下的车辆特征识别，包括车牌、车身颜色、车型、车辆子品牌等；支持新能源车牌识别功能；可对扣取的人脸图片的像素大小、亮度、边框放大倍数进行调节，达到人脸比对的要求；支持未系安全带检测功能；支持驾驶员行车时打电话动作的检测设备，内置深度学习芯片;。（含高清镜头、室外防护罩、防雷模块、抱箍等）外壳防护等级应不低于IP66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92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r>
              <w:rPr>
                <w:rFonts w:hint="eastAsia" w:ascii="宋体" w:hAnsi="宋体" w:cs="宋体"/>
                <w:color w:val="auto"/>
                <w:kern w:val="0"/>
                <w:sz w:val="18"/>
                <w:szCs w:val="18"/>
                <w:highlight w:val="none"/>
              </w:rPr>
              <w:t>接入交警局指定平台</w:t>
            </w:r>
          </w:p>
        </w:tc>
      </w:tr>
      <w:tr>
        <w:tblPrEx>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频闪灯</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含16颗或以下LED高亮补光灯；支持视频同步补光功能；外壳材质：金属铝；响应时间：≤20μs；有效补光距离：16m～25m；工作寿命：≥50000小时；平均功率≤40W；含支架、抱箍、光栅。</w:t>
            </w:r>
            <w:r>
              <w:rPr>
                <w:rFonts w:hint="eastAsia" w:ascii="宋体" w:hAnsi="宋体" w:cs="宋体"/>
                <w:color w:val="auto"/>
                <w:kern w:val="0"/>
                <w:sz w:val="18"/>
                <w:szCs w:val="18"/>
                <w:highlight w:val="none"/>
              </w:rPr>
              <w:t>（包括服务期内当光衰减大于30%或造成图片、视频数据成像效果不符合招标要求及相关国家标准的应当免费更换）</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778</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383"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爆闪灯</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白光气体爆闪，红外气体爆闪；支持红外/白光闪光，支持LED频闪，可自动切换红外和白光模式，闪光灯寿命≥1000万次；含支架，抱箍，带LED光栅。</w:t>
            </w:r>
            <w:r>
              <w:rPr>
                <w:rFonts w:hint="eastAsia" w:ascii="宋体" w:hAnsi="宋体" w:cs="宋体"/>
                <w:color w:val="auto"/>
                <w:kern w:val="0"/>
                <w:sz w:val="18"/>
                <w:szCs w:val="18"/>
                <w:highlight w:val="none"/>
              </w:rPr>
              <w:t>（包括服务期内当光衰减大于30%或造成图片、视频数据成像效果不符合招标要求及相关国家标准的应当免费更换）</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107</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23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信号检测器</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处理器工业级嵌入式微控制器；红/绿灯信号输入 可接入≥12路220V/AC红绿灯信号；红/绿灯信号检测 支持≥12个红/绿灯信号同时检测；拨码开关 1个八位拨码开关；功耗 &lt;3W；使用工作温度 -20℃~+70℃；使用湿度 10%-95%。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102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1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智能终端管理设备</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最大支持16路高清视频，每路传输速率4mbps，嵌入式Linux操作系统/WEB方式，接入等数据量200万、900万像素等其它分辨率的高清录像/2路报警输入/2路报警输出/ 4个内置SATA接口，2个RJ45 100M/1000M自适应以太网口，16个RJ45 100M交换网络接口，1个1000M SFP光纤接口/220V±10% ，-20℃～+70℃。</w:t>
            </w:r>
          </w:p>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可通过客户端软件对红绿灯信号检测板、智能电源板、主控板进行程序升级。</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102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1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7</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非机动车守法率测评分析设备</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功能规格：</w:t>
            </w:r>
          </w:p>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支持SDK、RTSP和ONVIF方式接入普通监控枪机、球机进行分析检测</w:t>
            </w:r>
          </w:p>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支持GB28181级联取流视频分析，适合平台级联，带宽更省</w:t>
            </w:r>
          </w:p>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支持场景配置：支持对电警/卡口点位视频的场景违法规则配置；支持对单一场景多种违法规则的配置，支持对点位场景参数进行配置；</w:t>
            </w:r>
          </w:p>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最大支持64路的网络枪机/球机视频接入并行分析；</w:t>
            </w:r>
          </w:p>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支持非机动车异常秩序行为检测，包括非机车逆行、占用机动车道行驶、违规加装雨棚、未带头盔和载人</w:t>
            </w:r>
          </w:p>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支持行人异常秩序行为检测，包括占用机动车道行驶、非法闯入</w:t>
            </w:r>
          </w:p>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支持对机动车、非机动车和行人卡口抓拍</w:t>
            </w:r>
          </w:p>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支持在 Web 界面对各个通道的视频图像进行预览。</w:t>
            </w:r>
          </w:p>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支持通过 Web 界面进行系统配置、资源管理和分析结果展示。</w:t>
            </w:r>
          </w:p>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支持录像存储功能，可配置是否开启通道录像功能；支持按通道和时间查询录像，支持录像回放和下载。</w:t>
            </w:r>
          </w:p>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支持人工测评：支持测评点位列表展示、点位选择、测评时间选择，通过测评时间段录像观测，可以实现非机动车违法情况记录及违法画面关联。</w:t>
            </w:r>
          </w:p>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支持智能测评：可以通过人工+AI 智能核录相结合的方式，实现对点位各类复杂违法情况的分析记录及统计。</w:t>
            </w:r>
          </w:p>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支持结果复核：支持测评结果多条件查询，支持根据每个点位的测评结果进行数据复核。</w:t>
            </w:r>
          </w:p>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支持测评回溯：支持违法数据多条件查询，支持违法记录图片及数据展示查询；</w:t>
            </w:r>
          </w:p>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支持数据统计，支持对守法率数据进行查询，可以根据测评时间、测评指标、测评场景进行守法率数据查询；</w:t>
            </w:r>
          </w:p>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支持工作报表自动生成，支持通过选择测评时间自动输出秩序测评相关报表，支持报告预览、表单预览，支持表单下载。</w:t>
            </w:r>
          </w:p>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支持数据概览；支持守法率数据的概览展示、各层级数据统计展示、守法率低的重点点位动态展示等；</w:t>
            </w:r>
          </w:p>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CPU  Intel（R） Xeon（R） Gold</w:t>
            </w:r>
          </w:p>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GPU 专业GPU加速卡</w:t>
            </w:r>
          </w:p>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内存 ≥64G</w:t>
            </w:r>
          </w:p>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硬盘 ≥1*480GB SSD +1*2T监控级硬盘</w:t>
            </w:r>
          </w:p>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硬盘接口：最大支持8块3.5/2.5寸SATA硬盘或SSD，支持热插拔</w:t>
            </w:r>
          </w:p>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USB接口：≥前置2个USB3.0接口，≥后置2个USB3.0接口</w:t>
            </w:r>
          </w:p>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VGA接口：≥2个VGA接口</w:t>
            </w:r>
          </w:p>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网口接口 ≥4个千兆自适应网络接口</w:t>
            </w:r>
          </w:p>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功耗：额定功耗1600W</w:t>
            </w:r>
          </w:p>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电源：热拔插高效1+1冗余电源模块</w:t>
            </w:r>
          </w:p>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尺寸：19英寸2U标准机架式，≥87mm（高） × 446mm（宽） × 797.5 mm（深）；</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r>
              <w:rPr>
                <w:rFonts w:hint="eastAsia" w:ascii="宋体" w:hAnsi="宋体" w:cs="宋体"/>
                <w:color w:val="auto"/>
                <w:kern w:val="0"/>
                <w:sz w:val="18"/>
                <w:szCs w:val="18"/>
                <w:highlight w:val="none"/>
              </w:rPr>
              <w:t>接入交警局指定平台</w:t>
            </w:r>
          </w:p>
        </w:tc>
      </w:tr>
      <w:tr>
        <w:tblPrEx>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8</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传输设备A</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1个千兆光口、8个百兆电口，安装方式：工业导轨式。含光模块。</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402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9</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传输设备B</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光电混合型工业以太交换机，光口：≥5个千兆光口，电口：≥4个网口，安装方式：工业导轨式。含光模块。</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107</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6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传输设备C</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用于前端路口管理型，≥2个千兆光口，≥ 4个千兆电口，≥ 4个百兆电口，可通过telnet远程管理，支持vlan、LLDP、ACL、QoS，支持STP、RSTP、MSTP。含光模块。</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104</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1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11</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抱杆机箱</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材料选用优质冷轧钢板，设备机箱具有防热、防尘、防水、防盗功能，适应室外工作环境，密封良好，做防锈、防腐处理，预留数据传输设备的空间，预留数据线、电源线接口。锁具、门轴坚实牢固，使用寿命在十年以上，所有锁具可由一把钥匙打开，（机箱板材厚度大于1 毫米）。含三位插座，2P10A空开，安装底板，箱体应该统一“台州交警监控”字样，字样出厂时统一喷塑且字体美观大方。</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406</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5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12</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电警落地机箱</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电警系统路口机箱，采用不小于2mm热镀锌钢板，含2P空开10路，单路电流30A。带漏电保护措施及防雷、浪涌及电压保护等防护措施。含箱体运输、基础浇筑现场安装调试。箱体应该统一“台州交警监控”字样，字样出厂时统一喷塑且字体美观大方。</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102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13</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L型立杆A</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八棱镀锌≥6.5M竖杆；立杆壁厚≥6mm；横杆4-7M；前端杆件贴反光材料，顶部带红黄绿三色防水帽；符合设计要求，必须保证图片抓拍位置、管控每个车道；含运输、基础件、基础钢筋笼、接地。</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14</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L型立杆B</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八棱镀锌≥6.5M竖杆；立杆壁厚≥8mm；横杆8-12M；前端杆件贴反光材料，顶部带红黄绿三色防水帽；符合设计要求，必须保证图片抓拍位置、管控每个车道；含运输、基础件、基础钢筋笼、接地。</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15</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杆件移位</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含设备、杆件拆除、运输、吊装等</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18</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1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16</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立杆基础施工</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含立杆基础的开挖、做模、浇筑（C25商品砼）、路面平整、回填、废土清运等工作及材料费用。L型杆件（挑4-7米基础1500mm*1500mm*1800mm； 挑8-12米采用1800mm*1800mm*2000mm；挑13-15米采用2000mm*2000mm*2300mm），T型杆件（挑5-8米基础1600mm*1600mm*1900mm； 挑9-11米采用1800mm*1800mm*2100mm；挑12-15米采用2000mm*2000mm*2500mm）。</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批</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17</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制高点高清球机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3200万≥360°全景一体式网络高清摄像机，全景摄像机有8个1/1.8" 4MP Progressive Scan CMOS，最高分辨率及帧率可达5520×2400@30fps，星光级超低照度，0.005Lux/F1.0（彩色），0.0005Lux/F1.0（黑白）；设备镜头需具备良好的防刮性能；特写摄像机采用1/1.8"4MP Progressive Scan CMOS，最高分辨率及帧率可达2560×1440@30fps，水平360°连续旋转，垂直-15°-90°（自动翻转），星光级超低照度，0.0003Lux/F1.2（彩色），0.0001Lux/F1.2（黑白），≥400m红外照射距离，≥40倍光学变倍，支持光学防抖功能；支持区域入侵、越界、进入区域、离开区域事件侦测功能;摄像机内置除湿器，可对摄像机内部进行除湿，除去玻璃罩上的水状附着物。系统支持检测直径300米180°半圆形范围内运动目标，可同时检测60个目标；系统支持点击联动功能、目标自动跟踪功能、手动跟踪功能；支持强光抑制、3D数字降噪；自带镜头，另配8个400W图像采集模块，靶面尺寸为1/1.8''，内置3个GPU，可输出1路主视频图像和8路辅视频图像。摄像机全景镜头光圈均不小于F1.0；系统支持在摄像机的实时视频画面中添加最多500个AR标签，且可实现标签与标签联动的功能，具备较好防护性能和环境适应性，支持IP67，10KV放浪涌。</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r>
              <w:rPr>
                <w:rFonts w:hint="eastAsia" w:ascii="宋体" w:hAnsi="宋体" w:cs="宋体"/>
                <w:color w:val="auto"/>
                <w:kern w:val="0"/>
                <w:sz w:val="18"/>
                <w:szCs w:val="18"/>
                <w:highlight w:val="none"/>
              </w:rPr>
              <w:t>接入交警局指定平台</w:t>
            </w:r>
          </w:p>
        </w:tc>
      </w:tr>
      <w:tr>
        <w:tblPrEx>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18</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传输设备A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1个千兆光口、8个百兆电口，安装方式：工业导轨式。含光模块。</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1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19</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抱杆机箱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材料选用优质冷轧钢板，设备机箱具有防热、防尘、防水、防盗功能，适应室外工作环境，密封良好，做防锈、防腐处理，预留数据传输设备的空间，预留数据线、电源线接口。锁具、门轴坚实牢固，使用寿命在十年以上，所有锁具可由一把钥匙打开，（机箱板材厚度大于1 毫米）。含三位插座，2P10A空开，安装底板，箱体应该统一“台州交警监控”字样，字样出厂时统一喷塑且字体美观大方。</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15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高空杆件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副杆长度根据现场实际情况而定，直径不小于Φ75.7mm，厚度不小于3mm；主杆长度根据现场实际情况而定，直径不小于Φ88.5mm，厚度不小于3mm；主杆与安装位置内墙使用规格不小于150mm*Φ16mm的膨胀螺栓固定；墙面与主杆、主杆与副杆间使用壁厚不小于4mm的镀锌钢板焊接；并在墙面上安装不小于40*4mm的抱箍固定副杆；杆件热镀锌并做好防锈工作。</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1001"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21</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雷达测速仪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由相机、雷达和显示单元组成，系统集成度高，显示单元能够快速方便调节设置所需的参数，进行图片抓拍，夜间使用补光单元和夜间操作系统，和相机同步保证夜间图片质量。</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无需其他的操作设备（如笔记本电脑，台式电脑，显示器鼠标等），通过设备自带显示屏可以设置相机和调整需要的抓拍信息。</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相机安装在坚固耐用的外壳内，外壳具备很强的抵抗冲击的能力，另一方面要保证很高级别的相机防破坏能力。</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（1）具备移动式抓拍和固定式抓拍2种模式，并且可以通过改造互相转换使用。</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（2）能记录机动车发生交通安全违法行为的完整过程图片，采集不少于2幅不同时间或者不同位置（对应行驶位移&gt;1.0m）的机动车全景特征图片。</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（3）测速雷达单元要求采用先进的多目标追踪雷达技术，可以自动学习识别车辆轨迹，可对多个目标进行测量，且实测多目标速度测量误差平均值小于-4km/h；</w:t>
            </w:r>
            <w:r>
              <w:rPr>
                <w:rFonts w:hint="eastAsia" w:ascii="宋体" w:hAnsi="宋体" w:cs="宋体"/>
                <w:color w:val="auto"/>
                <w:kern w:val="0"/>
                <w:sz w:val="18"/>
                <w:szCs w:val="18"/>
                <w:highlight w:val="none"/>
              </w:rPr>
              <w:t>在投标文件中</w:t>
            </w:r>
            <w:r>
              <w:rPr>
                <w:rFonts w:hint="eastAsia" w:ascii="宋体" w:hAnsi="宋体" w:cs="宋体"/>
                <w:color w:val="auto"/>
                <w:kern w:val="0"/>
                <w:sz w:val="18"/>
                <w:szCs w:val="18"/>
                <w:highlight w:val="none"/>
                <w:lang w:bidi="ar"/>
              </w:rPr>
              <w:t>提供省、直辖市级专业计量检测机构出具的计量器具型式评价报告。</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（4）测速雷达单元要求对三个及以上车道进行监控，车道判断准确率要求99%以上；</w:t>
            </w:r>
            <w:r>
              <w:rPr>
                <w:rFonts w:hint="eastAsia" w:ascii="宋体" w:hAnsi="宋体" w:cs="宋体"/>
                <w:color w:val="auto"/>
                <w:kern w:val="0"/>
                <w:sz w:val="18"/>
                <w:szCs w:val="18"/>
                <w:highlight w:val="none"/>
              </w:rPr>
              <w:t>在投标文件中</w:t>
            </w:r>
            <w:r>
              <w:rPr>
                <w:rFonts w:hint="eastAsia" w:ascii="宋体" w:hAnsi="宋体" w:cs="宋体"/>
                <w:color w:val="auto"/>
                <w:kern w:val="0"/>
                <w:sz w:val="18"/>
                <w:szCs w:val="18"/>
                <w:highlight w:val="none"/>
                <w:lang w:bidi="ar"/>
              </w:rPr>
              <w:t>提供国家级计量检测机构出具的测试报告。</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5）设备所拍摄违反限速规定的车辆图片，除叠加违法时间、违法地点、违法代码、车道、设备编号、速度等基础信息外，针对多目标检测，还应在图像中测定区域内对应被测目标上另外标注机动车行驶速度值。</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（6）设备需保证每张照片在24小时全天候情况下的照片质量清晰，每个车道所拍摄照片中，不同车辆需保持在同一触发位置。</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（7）设备可以同时对来向、去向、双向的车辆监控；测速范围：10公里/小时至250公里/小时。</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（8）测速雷达要求：3D跟踪雷达，工作频率24.100GHz。</w:t>
            </w:r>
          </w:p>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（9）测速设备具备数字显示屏，并含有抗反射表面，使得操作人员在现场就可在设备上直接读取违法数据图像。设备需具备计量器具型式批准证书。</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112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22</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雷达测速补光灯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测速仪专用爆闪灯，适用于蓄电池单独供电接口；覆盖范围：侧装三车道回电时间：＜67ms；有效补光距离：16m～25m；寿命：≥2000万次；防护等级：IP65；要求符合GA/T1202-2014《交通技术监控成像补光装置通用技术规范》标准。</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批</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9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固定测速仪机箱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内置强电模块，能够容纳交换机、光纤收发器等；机柜采用主体焊接；门锁采用户外机柜防水锁；机柜采用柱装安装方式，具有防虫、防鼠功效；为保证拍摄质量，测速箱体可根据需要调整角度。</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24</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测速箱、补光灯杆件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立杆杆件φ114×6mm；高度≥1500mm;杆件应经酸洗除锈，表面热镀锌处理。</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1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25</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立杆基础施工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含立杆基础的开挖、做模、浇筑（C25商品砼）、路面平整、回填、废土清运等工作及材料费用。L型杆件（挑4-7米基础1500mm*1500mm*1800mm； 挑8-12米采用1800mm*1800mm*2000mm；挑13-15米采用2000mm*2000mm*2300mm），T型杆件（挑5-8米基础1600mm*1600mm*1900mm； 挑9-11米采用1800mm*1800mm*2100mm；挑12-15米采用2000mm*2000mm*2500mm）。</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批</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26</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传输设备A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1个千兆光口、8个百兆电口，安装方式：工业导轨式。含光模块。</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40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27</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LED显示屏A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点间距：≤8mm</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像素配置：1R1G1B</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LED封装：国产铜线SMD3535封装</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像素密度：≥15625点/㎡</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模组尺寸：320*160</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亮度：≥5000nits</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视角：≥120°</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刷新频率：≥3840Hz</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峰值功耗 ≤800W/㎡</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色温：2500K-10000K可调</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具备单点亮度校正</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具备防腐、防盐雾十级</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带有电磁干扰措施，产品符合GB9254-2008和GB/T17625.1-2012测试标准。</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显示屏符合CQC3158-2016《LED显示单元节能认证技术规范》。</w:t>
            </w:r>
          </w:p>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含接收卡、视频处理器、无线信息发布盒、显示屏箱体、配电柜、原屏体拆卸、杆件修复等。</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m²</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15.5648</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接入交警局指定平台</w:t>
            </w:r>
          </w:p>
        </w:tc>
      </w:tr>
      <w:tr>
        <w:tblPrEx>
          <w:tblCellMar>
            <w:top w:w="0" w:type="dxa"/>
            <w:left w:w="108" w:type="dxa"/>
            <w:bottom w:w="0" w:type="dxa"/>
            <w:right w:w="108" w:type="dxa"/>
          </w:tblCellMar>
        </w:tblPrEx>
        <w:trPr>
          <w:trHeight w:val="2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28</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LED显示屏B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点间距≤4mm</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像素配置：1R1G1B</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LED封装：国产铜线SMD1921封装</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像素密度：62500点/㎡</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模组尺寸：320*160</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亮度：≥5000nits</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视角：≥120°</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刷新频率：≥3840Hz</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色温：3500-9300K可调</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峰值功耗 ≤800W/㎡</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具备单点亮度校正</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具备防腐、防盐雾十级</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带有电磁干扰措施，产品符合GB9254-2008和GB/T17625.1-2012测试标准。</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显示屏符合CQC3158-2016《LED显示单元节能认证技术规范》。</w:t>
            </w:r>
          </w:p>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含接收卡、视频处理器、无线信息发布盒、显示屏箱体、配电柜、原屏体拆卸、杆件修复等。</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m²</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4.5</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接入交警局指定平台</w:t>
            </w:r>
          </w:p>
        </w:tc>
      </w:tr>
      <w:tr>
        <w:tblPrEx>
          <w:tblCellMar>
            <w:top w:w="0" w:type="dxa"/>
            <w:left w:w="108" w:type="dxa"/>
            <w:bottom w:w="0" w:type="dxa"/>
            <w:right w:w="108" w:type="dxa"/>
          </w:tblCellMar>
        </w:tblPrEx>
        <w:trPr>
          <w:trHeight w:val="292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29</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LED显示屏C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 xml:space="preserve">点间距≤10mm，纯点阵双基色屏 ，2R1G灯珠 </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亮度≥8000cd/m2</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模组尺寸：（长*宽）：320*160，</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亮度均匀性≥97%</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视角：水平：110°～120° 垂直：55°</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盲点率：1/10000</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控制方式：异步</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平整度≤1mm</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衰减率（工作3年） ≤30%</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使用寿命≥10 万小时</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平均故障时间≥1 万小时</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整机老化≥48小时</w:t>
            </w:r>
          </w:p>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含接收卡、视频处理器、无线信息发布盒、显示屏箱体、配电柜、原屏体拆卸、杆件修复等。</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m²</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10.752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接入交警局指定平台</w:t>
            </w:r>
          </w:p>
        </w:tc>
      </w:tr>
      <w:tr>
        <w:tblPrEx>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2芯控制线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RVVSP2芯*1.0mm2</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批</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31</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3芯电源线A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RVV3芯*1.5mm2</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批</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32</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3芯电源线B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RVV3芯*2.5mm2</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批</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33</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3芯电源线D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RVV3芯*10.0mm2</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批</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34</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光纤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室外单模光缆≥4芯</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批</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35</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室外超五类网线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室外超五类防水UTP</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批</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36</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接地线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ZR-BVR 10.0mm2</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批</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37</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绿化管道开挖，敷设及恢复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绿化管道土方开挖，敷设及恢复，宽度≥300mm，深度≥500mm。</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批</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38</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人行道砖，塑胶跑道管道开挖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人行道路土方开挖，敷设及恢复，宽度≥400mm，深度≥700mm。</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批</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39</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水泥路、沥青路开挖，敷设及恢复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水泥路、沥青路土方开挖，敷设及恢复，深度≥700mm。</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批</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顶管施工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不低于2孔；管道埋深不小于700mm;含管材，直径不低于100mm。</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批</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41</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高密度聚乙烯管（DN75）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壁厚要求不低于4.5mm</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批</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42</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镀锌钢管（DN89）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壁厚要求不低于4mm</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批</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43</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小窨井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小窨井内径≥400mm*400mm*500mm;窨井盖材质应采用复合或水泥材料，并标有“公安交警”字样。</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批</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44</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大窨井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大窨井内径≥800mm*800mm*800mm;窨井盖材质应采用复合或水泥材料，并标有“公安交警”字样。</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批</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45</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光纤链路费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运营商租赁，千兆</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批</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辅助材料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标牌，喷漆，扎带，抱箍，支架，反光膜等</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24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47</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48盘位视频与图片云存储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两颗高性能Intel 64位多核CPU;配置缓存16G</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配置2个千兆以太网口，可增配4个千兆网口或万兆口</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支持RAID0、1、3、5、6、10、50</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配置冗余电源</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最小硬盘数≥48,支持3.5"硬盘，支持1TB、2TB、3TB、4TB、6TB、8TB硬盘；支持硬盘热插拨操作；</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rPr>
              <w:t>在投标文件中</w:t>
            </w:r>
            <w:r>
              <w:rPr>
                <w:rFonts w:hint="eastAsia" w:ascii="宋体" w:hAnsi="宋体" w:cs="宋体"/>
                <w:color w:val="auto"/>
                <w:kern w:val="0"/>
                <w:sz w:val="18"/>
                <w:szCs w:val="18"/>
                <w:highlight w:val="none"/>
                <w:lang w:bidi="ar"/>
              </w:rPr>
              <w:t>供产品的3C证书</w:t>
            </w:r>
          </w:p>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在投标文件中</w:t>
            </w:r>
            <w:r>
              <w:rPr>
                <w:rFonts w:hint="eastAsia" w:ascii="宋体" w:hAnsi="宋体" w:cs="宋体"/>
                <w:color w:val="auto"/>
                <w:kern w:val="0"/>
                <w:sz w:val="18"/>
                <w:szCs w:val="18"/>
                <w:highlight w:val="none"/>
                <w:lang w:bidi="ar"/>
              </w:rPr>
              <w:t>提供“国家安全防范报警系统产品质量监督检验中心”出具的云存储系统检测报告。</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8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48</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原有设备拆除</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改建路口的原有设备的拆除</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批</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49</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8T视频存储硬盘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企业级存储专业硬盘，8T</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块</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480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3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36盘位视频与图片云存储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框架：4U机架式36盘位</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CPU：双路64位多核处理器</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内存：32GB缓存</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硬盘：内置960G SSD图片加速盘；</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网口：6个千兆网口</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RAID：支持网络RAID</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支持最少1台存储节点即可构建云存储系统</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支持前端设备和存储设备之间直接存储，采用块级存储，不生成文件（即不使用文件系统），无碎片。</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支持存储空间虚拟化管理。支持多存储设备容量整合，形成录像池；可根据用户业务分配通用、文件、视频、图片等类型存储空间；支持在线弹性伸缩录像池的容量空间，不影响业务继续读写</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一套云存储系统可对外提供多种类型数据混合存储，同时支持分布式流式存储，分布式对象存储、分布式文件存储、分布式块存储。</w:t>
            </w:r>
          </w:p>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支持按照设备可用容量实现负载均衡，各存储节点上存储的数据量在稳定状态下保持均衡，差距小于5%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r>
              <w:rPr>
                <w:rFonts w:hint="eastAsia" w:ascii="宋体" w:hAnsi="宋体" w:cs="宋体"/>
                <w:color w:val="auto"/>
                <w:sz w:val="18"/>
                <w:szCs w:val="18"/>
                <w:highlight w:val="none"/>
              </w:rPr>
              <w:t>接入市公安局视频AI+平台</w:t>
            </w:r>
          </w:p>
        </w:tc>
      </w:tr>
      <w:tr>
        <w:tblPrEx>
          <w:tblCellMar>
            <w:top w:w="0" w:type="dxa"/>
            <w:left w:w="108" w:type="dxa"/>
            <w:bottom w:w="0" w:type="dxa"/>
            <w:right w:w="108"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51</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8T视频存储硬盘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企业级存储专业硬盘，8T</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块</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144</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52</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网卡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MCX512A-ACUT双口25G PCIE X8网络标卡（不含光模块）</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53</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光模块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10G多模光模块</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80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54</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硬盘托架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支持华为Taishan 200 2280 服务器用8TB SATA+3.5寸硬盘托架</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48</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55</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硬盘A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支持华为Taishan 200 2280 服务器用480G SSD</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56</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硬盘B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支持华为Taishan 200 2280 服务器用960G SSD</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57</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硬盘C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支持华为Taishan 200 2280 服务器用8TB SATA</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58</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硬盘D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支持华为Taishan 200 2280 服务器用4TB SATA</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59</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内存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DDR4 32GB；M429R32 （DDR4 RDIMM内存-32GB-2933MT/s-2Rank （2G*4bit）-1.2V-ECC）</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58</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Riser1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2*2.5英寸后置SAS/SATA盘位+1*PCIE X16组件</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61</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Riser2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1*PCIE X16+1*PCIE X8 Riser卡（Riser1&amp;2位置）</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62</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Riser3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2*PCIE X8 Riser卡（Riser3位置</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63</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raid卡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支持清华同方 超强K620-M1服务器用 9460-8i（Avago 3508） Raid卡</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64</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扩展卡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2*2.5后置硬盘模组+1*X16Slot（X16slot模组）</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13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65</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接入交换机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全网管三层交换机，机架式，48个千兆光口，4个万兆光口，2个复用千兆电口，4个千兆光口，交换容量336Gbps，包转发率166Mpps，1U高度，19英寸宽；支持RIP/OSPF/VRRP，IPv6，VLAN，流量控制，ACL，QoS，端口镜像，环网RRPP/ERPS、支持SNMP V1/V2c/V3网管。</w:t>
            </w:r>
          </w:p>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满配48个千兆光模块、2对万兆光模块。</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3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66</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汇聚交换机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1、主机箱*1</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14U插卡式核心交换机机箱，业务插槽数≥10，支持独立的console管理串口，≥1个带外管理口，支持802.3ad规定的链路聚合功能，支持MAC地址绑定功能，支持按端口划分VLAN，支持VLAN TRUNK，支持IPv4/IPv6静态路由，支持RIP/RIPng，OSPFv1/v2，OSPFv3，支持基于源MAC地址、接口的ACL</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2、主控板*2</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单板支持≥1个Console 口，≥1 个USB Console 接口，≥4 个网管口（2 个RJ-45接口和 2 个SFP 接口），≥1 个RS485接口，≥1 个主USB接口；</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3、业务板卡一*1，≥48千兆电口</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4、电源模块*2，1200W交流电源模块，电压220V</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5、交换网板*1，交换容量≥256Tbps，转发性能≥67500Mpps；</w:t>
            </w:r>
          </w:p>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6、业务板卡二*1，32万兆SFP+，4 QSFP+，满配万兆模块。</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r>
              <w:rPr>
                <w:rFonts w:hint="eastAsia" w:ascii="宋体" w:hAnsi="宋体" w:cs="宋体"/>
                <w:color w:val="auto"/>
                <w:sz w:val="18"/>
                <w:szCs w:val="18"/>
                <w:highlight w:val="none"/>
              </w:rPr>
              <w:t>放置直属三大队（包含机房内相关的光纤整理）</w:t>
            </w:r>
          </w:p>
        </w:tc>
      </w:tr>
      <w:tr>
        <w:tblPrEx>
          <w:tblCellMar>
            <w:top w:w="0" w:type="dxa"/>
            <w:left w:w="108" w:type="dxa"/>
            <w:bottom w:w="0" w:type="dxa"/>
            <w:right w:w="108" w:type="dxa"/>
          </w:tblCellMar>
        </w:tblPrEx>
        <w:trPr>
          <w:trHeight w:val="146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67</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数据安全交换系统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硬件配置：单套包括数据交换前置服务器、数据交换后置服务器两台设备，网闸设备利旧，不包含在本次采购中，但本次采购数据安全交换系统要与2021年“现代大道”配套监控工程中采购的数据安全交换系统形成集群，利用已有的6台网闸，实现数据库同步、文件同步和请求服务等功能，做到任一前置机宕机或者任一网闸宕机都不影响业务。标准2U机架式设备；冗余电源；单台512G内存；硬盘2T*5。千兆网络电口4个，万兆光口4个，支持扩展；USB口2个；VGA接口1个。性能参数：吞吐量≥8000Mbps；传输时延≤50ms；数据库同步速率≥12000条/秒（1KB）；文件同步速率≥2600个/秒（40KB）；消息同步速率≥7000条/秒（1KB）；最大任务数≥90。</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功能参数：</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1、采用集群技术架构，内置集群管理系统模块，无需独立集群管理节点，具备集群高可用和负载均衡能力；</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2、支持数据库同步，兼容适配主流关系型数据库、非关系数据库和国产数据库，支持数据库异构同步；</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3、支持多种数据库同步策略，包括但不限于全量同步、增量同步、定时任务同步、无主键同步方式等功能；</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4、支持对数据库字段名、字段长度、字段类型、字段值进行检查过滤，具备关键字过滤和正则表达式过滤能力；</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5、支持FTP、SMB、NFS文件共享交换，具备文件单向同步、双向同步、镜像同步、移动同步、文件同步重名等功能；</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6、支持读写Kafka、RabbitMQ、RocketMQ等主流消息中间件进行消息同步。</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7、具备API网关功能，支持API接口注册、数据格式检查、关键字过滤、调用方身份认证、请求报文完整性验证、流量控制等功能，具有CMA、CNAS权威证明认可标识的测试报告证明；</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8、支持HTTP Basic基本认证、HMAC认证、SOAP消息头口令密码认证、xml签名认证、JWT认证，具有CMA、CNAS权威证明认可标识的测试报告证明；</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9、支持对请求报文和响应报文进行协议剥离，将请求和响应报文转为文件进行交换；</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10、支持数据库、文件断点续传功能，当发生系统故障造成任务中断，待任务恢复启动后可从断点位置进行同步，提升效率；</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11、支持敏感信息过滤，具备关键字字典（数据库字段名、手机号、车牌号等）或正则表达式方式，实现对数据交换过程中传输的文本数据进行内容过滤、报警和阻断；</w:t>
            </w:r>
          </w:p>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12、支持对数据库表中姓名、身份证号码、手机号码、详细地址等敏感或隐私信息的字段进行数据脱敏。</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68</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视频安全交换系统 </w:t>
            </w:r>
          </w:p>
        </w:tc>
        <w:tc>
          <w:tcPr>
            <w:tcW w:w="5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硬件配置：</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三主机服务器部署架构，包括视频交换前置服务器、视频交换后置服务器和隔离网闸三台设备；标准2U机架式设备；冗余电源；</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前后置服务器具备千兆网络电口4个，万兆光口4个，支持扩展；USB口2个；VGA接口1个；内存256G；硬盘***个。</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隔离网闸采用“2+1”硬件系统架构，单台设备由内、外网两个独立主机模块和一个隔离交换专用硬件模块三部分组成。</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内外网侧各具备千兆网络电口6个；4个万兆光口；2个USB口；1个Console口；</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吞吐量≥8000Mbps；并发路数：D1标清≥2500路或D4高清≥1500路，传输时延≤30ms。</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功能参数：</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1、支持集群部署，内置负载均衡模块，多套系统提供单一虚拟IP，支持通过解析SIP信令Call ID等参数实现会话持续，支持DR负载均衡模式；</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2、支持通过网闸或单向导入设备和单向导出设备进行信令交互与视频流传输。</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3、兼容GB/T 28181-2016标准规范，支持视音频文件回放及回放控制，支持媒体流保活，支持TCP/UDP，支持TCP连接active和passive两种方式；</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4、支持IPV6/IPV4协议网络环境；</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5、支持ONVIF、IETF SIP、RTSP、RTP/RTCP、ehome等协议格式检查，只允许白名单内的协议、编码格式数据通过；支持非标协议模板导入，配置生成白名单校验策略；</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6、支持通过流量自学习方式生成被访问前端设备的档案库，包括视频前端设备设备ID、设备名、设备品牌、设备型号、设备地址等信息；</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7、支持视频交换行为审计，内容包括日期、时间、源IP、源端口、视频源ID、设备编码ID、操作类型等信息，支持日志数据存储空间报警和转发报送；</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8、支持根据时间、IP、前端设备ID、流量、用户进行访问控制和优先级控制；</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9、支持SIP信令签名验证、GB 35114 C级加密视频流转发；</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10、支持对视频客户端进行身份认证，支持对接公安PKI/PMI系统进行身份验证和权限鉴定；</w:t>
            </w:r>
          </w:p>
          <w:p>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11、支持对视频客户端SIP协议控制信令进行过滤，支持对视频点播等操作进行阻断或放行；</w:t>
            </w:r>
          </w:p>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12、支持日志审计、指标统计、状态监控、异常告警、信息报送等功能。</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auto"/>
                <w:sz w:val="18"/>
                <w:szCs w:val="18"/>
                <w:highlight w:val="none"/>
              </w:rPr>
            </w:pPr>
          </w:p>
        </w:tc>
      </w:tr>
    </w:tbl>
    <w:p>
      <w:pPr>
        <w:pStyle w:val="6"/>
        <w:tabs>
          <w:tab w:val="left" w:pos="142"/>
          <w:tab w:val="left" w:pos="993"/>
          <w:tab w:val="left" w:pos="1418"/>
          <w:tab w:val="left" w:pos="1560"/>
        </w:tabs>
        <w:spacing w:line="360" w:lineRule="auto"/>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3、新建点位清单</w:t>
      </w:r>
    </w:p>
    <w:tbl>
      <w:tblPr>
        <w:tblStyle w:val="35"/>
        <w:tblpPr w:leftFromText="180" w:rightFromText="180" w:vertAnchor="text" w:horzAnchor="page" w:tblpX="857" w:tblpY="494"/>
        <w:tblOverlap w:val="never"/>
        <w:tblW w:w="10320" w:type="dxa"/>
        <w:tblInd w:w="0" w:type="dxa"/>
        <w:tblLayout w:type="fixed"/>
        <w:tblCellMar>
          <w:top w:w="0" w:type="dxa"/>
          <w:left w:w="108" w:type="dxa"/>
          <w:bottom w:w="0" w:type="dxa"/>
          <w:right w:w="108" w:type="dxa"/>
        </w:tblCellMar>
      </w:tblPr>
      <w:tblGrid>
        <w:gridCol w:w="890"/>
        <w:gridCol w:w="2010"/>
        <w:gridCol w:w="5470"/>
        <w:gridCol w:w="1950"/>
      </w:tblGrid>
      <w:tr>
        <w:tblPrEx>
          <w:tblCellMar>
            <w:top w:w="0" w:type="dxa"/>
            <w:left w:w="108" w:type="dxa"/>
            <w:bottom w:w="0" w:type="dxa"/>
            <w:right w:w="108" w:type="dxa"/>
          </w:tblCellMar>
        </w:tblPrEx>
        <w:trPr>
          <w:trHeight w:val="285" w:hRule="atLeast"/>
        </w:trPr>
        <w:tc>
          <w:tcPr>
            <w:tcW w:w="8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20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类型</w:t>
            </w:r>
          </w:p>
        </w:tc>
        <w:tc>
          <w:tcPr>
            <w:tcW w:w="547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点位</w:t>
            </w:r>
          </w:p>
        </w:tc>
        <w:tc>
          <w:tcPr>
            <w:tcW w:w="19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备注</w:t>
            </w: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匝道测速设备</w:t>
            </w:r>
          </w:p>
        </w:tc>
        <w:tc>
          <w:tcPr>
            <w:tcW w:w="54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S28台金高速临海市区互通金华方向下匝道</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匝道测速设备</w:t>
            </w:r>
          </w:p>
        </w:tc>
        <w:tc>
          <w:tcPr>
            <w:tcW w:w="54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S28台金高速杜桥互通金华方向下匝道</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匝道测速设备</w:t>
            </w:r>
          </w:p>
        </w:tc>
        <w:tc>
          <w:tcPr>
            <w:tcW w:w="54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S28台金高速杜桥互通台州方向下匝道</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匝道测速设备</w:t>
            </w:r>
          </w:p>
        </w:tc>
        <w:tc>
          <w:tcPr>
            <w:tcW w:w="54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G1523甬莞高速路桥互通福建方向下匝道</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匝道测速设备</w:t>
            </w:r>
          </w:p>
        </w:tc>
        <w:tc>
          <w:tcPr>
            <w:tcW w:w="54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G1523甬莞高速路桥互通宁波方向下匝道</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匝道测速设备</w:t>
            </w:r>
          </w:p>
        </w:tc>
        <w:tc>
          <w:tcPr>
            <w:tcW w:w="54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S28台金高速横溪收费站台向下匝道</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匝道测速设备</w:t>
            </w:r>
          </w:p>
        </w:tc>
        <w:tc>
          <w:tcPr>
            <w:tcW w:w="54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S28台金高速白塔收费站台向下匝道</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匝道测速设备</w:t>
            </w:r>
          </w:p>
        </w:tc>
        <w:tc>
          <w:tcPr>
            <w:tcW w:w="54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S28台金高速章安互通台州方向下匝道</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匝道测速设备</w:t>
            </w:r>
          </w:p>
        </w:tc>
        <w:tc>
          <w:tcPr>
            <w:tcW w:w="54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S28台金高速章安互通金华方向下匝道</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匝道测速设备</w:t>
            </w:r>
          </w:p>
        </w:tc>
        <w:tc>
          <w:tcPr>
            <w:tcW w:w="54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S28台金高速白水洋互通台州方向下匝道</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匝道测速设备</w:t>
            </w:r>
          </w:p>
        </w:tc>
        <w:tc>
          <w:tcPr>
            <w:tcW w:w="54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S28台金高速仙居收费站台向下匝道</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匝道测速设备</w:t>
            </w:r>
          </w:p>
        </w:tc>
        <w:tc>
          <w:tcPr>
            <w:tcW w:w="54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S26诸永高速神仙居互通杭向下匝道</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匝道测速设备</w:t>
            </w:r>
          </w:p>
        </w:tc>
        <w:tc>
          <w:tcPr>
            <w:tcW w:w="54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G15沈海高速临海北互通温州方向下匝道</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匝道测速设备</w:t>
            </w:r>
          </w:p>
        </w:tc>
        <w:tc>
          <w:tcPr>
            <w:tcW w:w="54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G15沈海高速临海北互通宁波方向下匝道</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匝道测速设备</w:t>
            </w:r>
          </w:p>
        </w:tc>
        <w:tc>
          <w:tcPr>
            <w:tcW w:w="54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G1522常台高速白鹤互通台州方向下匝道</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匝道测速设备</w:t>
            </w:r>
          </w:p>
        </w:tc>
        <w:tc>
          <w:tcPr>
            <w:tcW w:w="54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S28台金高速涌泉互通金华方向下匝道</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匝道测速设备</w:t>
            </w:r>
          </w:p>
        </w:tc>
        <w:tc>
          <w:tcPr>
            <w:tcW w:w="54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S28台金高速临海市区互通台州方向下匝道</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匝道测速设备</w:t>
            </w:r>
          </w:p>
        </w:tc>
        <w:tc>
          <w:tcPr>
            <w:tcW w:w="54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S28台金高速横溪收费站金向下匝道</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匝道测速设备</w:t>
            </w:r>
          </w:p>
        </w:tc>
        <w:tc>
          <w:tcPr>
            <w:tcW w:w="54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S28台金高速白塔收费站金向下匝道</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匝道测速设备</w:t>
            </w:r>
          </w:p>
        </w:tc>
        <w:tc>
          <w:tcPr>
            <w:tcW w:w="54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S28台金高速仙居收费站金向下匝道</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匝道测速设备</w:t>
            </w:r>
          </w:p>
        </w:tc>
        <w:tc>
          <w:tcPr>
            <w:tcW w:w="54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S28台金高速白水洋互通金华方向下匝道</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匝道测速设备</w:t>
            </w:r>
          </w:p>
        </w:tc>
        <w:tc>
          <w:tcPr>
            <w:tcW w:w="54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G1522常台高速白鹤互通江苏方向下匝道</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异常事件检测设备</w:t>
            </w:r>
          </w:p>
        </w:tc>
        <w:tc>
          <w:tcPr>
            <w:tcW w:w="54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S28临海市区收费站</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异常事件检测设备</w:t>
            </w:r>
          </w:p>
        </w:tc>
        <w:tc>
          <w:tcPr>
            <w:tcW w:w="54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S28杜桥收费站</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异常事件检测设备</w:t>
            </w:r>
          </w:p>
        </w:tc>
        <w:tc>
          <w:tcPr>
            <w:tcW w:w="54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G1523路桥收费站</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异常事件检测设备</w:t>
            </w:r>
          </w:p>
        </w:tc>
        <w:tc>
          <w:tcPr>
            <w:tcW w:w="54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S28横溪收费站</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异常事件检测设备</w:t>
            </w:r>
          </w:p>
        </w:tc>
        <w:tc>
          <w:tcPr>
            <w:tcW w:w="54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S28白塔收费站</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异常事件检测设备</w:t>
            </w:r>
          </w:p>
        </w:tc>
        <w:tc>
          <w:tcPr>
            <w:tcW w:w="54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S28章安收费站</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异常事件检测设备</w:t>
            </w:r>
          </w:p>
        </w:tc>
        <w:tc>
          <w:tcPr>
            <w:tcW w:w="54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S28白水洋收费站</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异常事件检测设备</w:t>
            </w:r>
          </w:p>
        </w:tc>
        <w:tc>
          <w:tcPr>
            <w:tcW w:w="54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S28仙居收费站</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异常事件检测设备</w:t>
            </w:r>
          </w:p>
        </w:tc>
        <w:tc>
          <w:tcPr>
            <w:tcW w:w="54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S28涌泉收费站</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内环快速路K8+342永宁江内外线进出口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内环快速路K8+319永宁江内外线进出口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内环快速路K0+040内线二环东路进出口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内环快速路K0+880内线二环东路进出口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内环快速路2HNL K0+160二环南路岗亭边上出入口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内环快速路FDB K0+060九橙大道岗亭边进出口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内环快速路FDA K0+260九橙大道岗亭边进出口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内环快速路FDC K0+053.378九橙大道岗亭边进出口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内环快速路FDD K0+220九橙大道岗亭边进出口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内环快速路BAK1+420外线药山隧道进出口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内环快速路BB K1+460外线药山隧道进出口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内环快速路BB K2+120 外线药山隧道进出口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内环快速路BA K3+660外线横山隧道进口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内环快速路BB K3+720外线横山隧道进口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内环快速路NW K1+440海城路进出口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47</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内环快速路16K0+180海城路进出口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内环快速路K9+5808灵山街进出口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49</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内环快速路WN K0+986.565灵山街进出口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内环快速路K8+500外线徐山路进出口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51</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内环快速路K7+837外线徐山路进出口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内环快速路WS 0+660外线台州大道进出口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53</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内环快速路ZY FDB0+462内外线现代大道进出口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54</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内环快速路C K2+138内外线现代大道进出口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55</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内环快速路太阳城出口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台州湾新区东海大道与经通路交叉口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57</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台州湾新区东海大道与农场路交叉口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58</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台州湾新区滨富路与海茂路交叉口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59</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台州湾新区聚明路与滨富路交叉口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台州湾新区海丰路与海城路交叉口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61</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全景监控设备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台州湾新区悦海城1号高空</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62</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全景监控设备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台州湾新区悦海城2号高空</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全景监控设备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台州湾新区月湖蓝庭高空</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64</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全景监控设备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台州湾新区望湖印象高空</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65</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全景监控设备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台州湾新区方特宿舍楼高空</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66</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固定式雷达测速设备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台州湾新区开发大道与五条河路斑马线（双向）</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67</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台州湾新区228与小甲里村南侧斑马线（双向球机）</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68</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台州湾新区洪三路与海丰路往西</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69</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台州湾新区椒金线与三甲大道交叉口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台州湾新区康平路与经中路交叉口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71</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台州湾新区康桥学校北门路段</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72</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台州湾新区海循路加油站路段</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台州湾新区汇金路与海清路</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74</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台州湾新区海虹大道与洪三路交叉口西方向</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75</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台州湾新区海昌与滨华路交叉口西方向</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76</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台州湾新区海丰路与滨华路交叉口东方向</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77</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台州湾新区农场路与洪三路交叉口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78</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台州湾新区方特西门正门口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79</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台州湾新区方特东门正门口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台州湾新区方特西北角路口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81</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台州湾新区方特北门正门口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82</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台州湾新区方特东北角路口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83</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台州湾新区方特东北方向T字路口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84</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台州湾新区农场路与现代大道辅道交叉口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85</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台州湾新区农场路与宏垚垂钓交叉口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86</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台州湾新区农场路与市府大道交叉口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87</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台州湾新区农场路水晶光电西大门</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88</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台州湾新区农场路建设村村委会路口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89</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台州湾新区椒金路飞龙村菜市场西大门</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台州湾新区椒金路高闸村路段</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91</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台州湾新区椒金路与体育场东路交叉口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92</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台州湾新区椒金路翻身村路段</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93</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台州湾新区椒金路三甲中心幼儿园西门</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94</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台州湾新区椒金路与滨海路交叉口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95</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台州湾新区机场路后徐村斑马线</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96</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台州湾新区富民路渠东茗苑斑马线</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97</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台州湾新区富民路海城佳苑斑马线</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98</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卡口抓拍设备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台州湾新区机场路交警局门口斑马线南向北</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99</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台州湾新区开发大道与创业路斑马线</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台州湾新区228与东海村北边斑马线</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101</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台州湾新区228与小甲里村南向北</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102</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台州湾新区开发大道东合庙路段斑马线</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103</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台州湾新区开发大道与经通路斑马线</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104</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路桥区金清镇中心路与环西三路交叉路口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105</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路桥区蓬街镇环镇北路与高建路交叉路口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106</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路桥区新桥镇新横大道与环镇东路交叉路口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107</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路桥区金清镇金清大道与建设路交叉路口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108</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路桥区螺洋街道通站公路与火炬村路口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109</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路桥区蓬峰江街道花卉路与亭屿村村道交叉路口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110</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路桥区路北街道双水路与银座街交叉路口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111</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路桥区蓬街镇G228国道与蓬东村村道交叉路口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112</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路桥区桐屿街道腾达路与屿西北路交叉路口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113</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路桥区横街镇新横大道环镇西路</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114</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路桥区金清镇中心大道与环西一路交叉路口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115</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路桥区新桥镇椒新线与工业路交叉路口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116</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路桥区金清镇民主街宝亿莱家居用品路段南向北</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117</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路桥区金清镇民主街宝亿莱家居用品路段南向北</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118</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路桥区金清镇民主街218号路段南向北</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119</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路桥区金清镇民主街218号路段南向北</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路桥区镇前街67-69号路段西向东</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121</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路桥区镇前街67-69号路段西向东</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122</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路桥区学前街2-1号路段东向西</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123</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路桥区学前街2-1号路段东向西</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124</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路桥区路北街道水天街与北环线交叉路口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125</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路桥区桐屿街道桐东线与内环连接线路段</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126</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路桥区桐屿街道桐东线徐洋村2区56号路段</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127</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路桥区金清镇民主街与金林路交叉路口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128</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路桥区金清镇学前街与民主街交叉路口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129</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路桥区金清镇十塘中心路与腰十线交叉路口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130</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路桥区路北街道论坛路泊盛桃源路段</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131</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路桥区金清镇黄琅海滨村</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132</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路桥区金清镇黄琅海峰村</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133</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路桥区金清镇十塘中心路旺能公司附近路段</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134</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路桥区金清镇伍佰市路口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135</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路桥区金清镇白剑线农业高新园区路口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136</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路桥区金清镇白剑线果蔬基地路口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137</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路桥区金清镇白剑线与下盟村一区交叉路口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138</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路桥区金清镇白剑线黄琅超市门前路段</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139</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路桥区金清镇黄琅工业区滨海路与规划支路三</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140</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路桥区金清镇黄琅工业区滨海路交叉口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141</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路桥区金清镇黄琅海滨海路与规划支路四交叉路口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142</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路桥区金清镇黄琅村海南501号路段</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143</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路桥区金清镇盐金线金鹏工业园路段</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144</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路桥区金清镇盐金线与石八线交叉路口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145</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路桥区横街街道东方大道与石八线匝道口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146</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路桥区横街街道东方大道古岙村路段公路门架</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147</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台州内环快速路辅道10公里200米处路段</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148</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台州内环快速路辅道上山童下穿路段</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149</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台州内环快速路内环辅道后洋金下穿路段</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固定式雷达测速设备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路桥区金清镇G228国道3920KM+117M路段（三星桥南侧</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151</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固定式雷达测速设备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路桥区金清镇G228国道3920KM+65M路段（三星桥北侧）</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152</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黄岩区南城街道十高线与蔡家洋交叉口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153</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黄岩区院桥镇高广线与岙横线交叉口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154</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黄岩区院桥镇人民路与新朝路交叉口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155</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黄岩区头陀镇325与山头姜东交叉口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156</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黄岩区头陀镇325省道与山头姜西路交叉口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157</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黄岩区宁溪镇325省道与五部路交叉口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158</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黄岩区宁溪镇325省道溪北路交叉口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159</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黄岩区新前街道锦川路与爱宾路交叉口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160</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黄岩区百王线茅畲菜市场</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161</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黄岩区澄江街道黄前线与庆丰大道</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162</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黄岩区茂丰街与朝元路交叉口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163</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黄岩区澄江街道青梅路与风光路交叉口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164</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黄岩区北洋镇北康线与九澄大道交叉口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165</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黄岩区西城街道天元路与阜云路交叉口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166</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黄岩区北城街道新城路与新中路交叉口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167</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黄岩区江口街道金凌路与江山路交叉口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168</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黄岩区北城街道庆丰大道与新城路交叉口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169</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黄岩区沙埠镇沙川路与院岙线交叉口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170</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黄岩区南城街道劳动南路延伸段车辆检测站前面</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171</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黄岩区西城街道二环南路延伸段妇幼保健所</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172</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黄岩区西城街道天元路新小商品</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173</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黄岩区西城街道阜云路老西江小学</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174</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黄岩区西城街道半洋洪永宁小学</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175</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黄岩区西城街道金带路中心幼儿园门口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176</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黄岩区洞天路与环城南路交叉口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177</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黄岩区西城街道九龙街与岙岸路交叉口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178</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黄岩区东城街道环城东路（装璜市场门口）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179</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黄岩区东城街道体育场路与康复路交叉口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180</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黄岩区东城街道国大门口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181</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黄岩区东城街道东浦路凤凰城门口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182</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黄岩区北城街道厚施路与景明路路口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183</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黄岩区北城街道新前君庭世纪南大门</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184</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黄岩区高桥街道欢喜超市路口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185</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黄岩区北城街道翠屏春晓小区北面申通快递门口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186</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黄岩区北城街道黄岩中国模具博览城南门</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187</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椒江区前所街道228国道与新殿村交叉口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188</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椒江区章安街道327省道柏加王加油站交叉口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189</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椒江区海门街道西太和路与海韵路交叉口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190</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椒江区葭沚街道广场路与富强路交叉口（双T）</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191</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椒江区洪家街道白云山南路与昌平路交叉口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192</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椒江区洪家街道南环路与大板桥交叉口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193</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椒江区前所街道椒北大道与新民村路口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194</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椒江区葭沚街道东平路与沚京街路口东向电警</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195</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椒江区章安街道章溪线李宅村路口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196</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椒江区前所街道225省道与上新线交叉口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197</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椒江区章安街道327省道与盈丰路交叉口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198</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椒江区章安街道225省道与章古路交叉口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199</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椒江区章安街道327与柏加王村交叉口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椒江区白云街道春潮路与白云山南路交叉口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201</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椒江区海门街道东太和路与海韵路交叉口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202</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椒江区海门街道景元东路椒金线东侧卡口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203</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椒江区海门街道滨海路中贝化工厂门口路段卡口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204</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椒江区葭沚街道乌石路华东师范大学台州附属学校门口斑马线</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205</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椒江区海门街道腾云路与疏港大道东西向大货禁行</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206</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椒江区海门街道疏港大道与翠环路东西向卡口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207</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椒江区前所街道228国道椒江区前所街道河坎下村路段</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208</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椒江区章安街道327省道道头金村路段</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209</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椒江区章安街道327省道建设村凤凰小区前</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210</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椒江区章安街道327省道柏加王与柏加徐交界处（柏加郑）</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211</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椒江区章安街道章溪线山前村村部前</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212</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椒江区章安街道章溪线陈宅村路口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213</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椒江区章安街道东埭山横村道路（张岙路口）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214</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椒江区章安街道章梓公路山门村</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215</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椒江区前所街道前松线三桥下</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216</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椒江区章安街道225省道回浦村群都小区门口双向</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217</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椒江区前所街道前湖线太平山隧道北侧卡口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218</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椒江区白云街道新德路与新尚路交叉口路段</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219</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椒江区白云街道新嘉路与新尚路交叉口路段</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220</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椒江区白云街道新康路与新尚路交叉口路段</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221</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椒江区白云街道新闸路与新德路交叉口路段</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222</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椒江区白云街道新嘉路与新安路交叉口路段</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223</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椒江区白云街道东曹巷路段</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224</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椒江区前所街道前川线下西村泰隆银行前</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225</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椒江区前所街道前川线六联村欧乐购超市前</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226</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椒江区前所街道前川路王礁村</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227</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椒江区葭沚街道葭中路与工人西路交叉口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228</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椒江区白云街道界牌路与康平路交叉口路段</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229</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椒江区海门街道开元支路下洋陈村路段</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230</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椒江区海门街道汇景名苑西门路段违停</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231</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椒江区海门街道老粮坊路段</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232</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椒江区白云街道欣荣路与市府大道路口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233</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椒江区前所街道S225省道下徐三叉口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234</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椒江区前所街道S225省道前所横蒋三叉路口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235</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违停抓拍设备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椒江区白云街道东海大道与新嘉路交叉口</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236</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制高点监控设备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椒江区葭芷街道中心大道与东平路西南角楼顶</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237</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制高点监控设备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椒江区洪家街道万科城西南角楼顶</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238</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椒江区前所街道前川路蟹钳岭隧道</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5" w:hRule="atLeast"/>
        </w:trPr>
        <w:tc>
          <w:tcPr>
            <w:tcW w:w="89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239</w:t>
            </w:r>
          </w:p>
        </w:tc>
        <w:tc>
          <w:tcPr>
            <w:tcW w:w="20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枪球事件检测设备</w:t>
            </w:r>
          </w:p>
        </w:tc>
        <w:tc>
          <w:tcPr>
            <w:tcW w:w="547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椒江区章安街道高速连接线墩头山隧道内双向</w:t>
            </w:r>
          </w:p>
        </w:tc>
        <w:tc>
          <w:tcPr>
            <w:tcW w:w="19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bl>
    <w:p>
      <w:pPr>
        <w:pStyle w:val="13"/>
        <w:numPr>
          <w:ilvl w:val="255"/>
          <w:numId w:val="0"/>
        </w:numPr>
        <w:rPr>
          <w:rFonts w:ascii="宋体" w:hAnsi="宋体" w:cs="宋体"/>
          <w:color w:val="auto"/>
          <w:sz w:val="24"/>
          <w:highlight w:val="none"/>
        </w:rPr>
      </w:pPr>
    </w:p>
    <w:p>
      <w:pPr>
        <w:pStyle w:val="13"/>
        <w:numPr>
          <w:ilvl w:val="255"/>
          <w:numId w:val="0"/>
        </w:numPr>
        <w:rPr>
          <w:rFonts w:ascii="宋体" w:hAnsi="宋体" w:cs="宋体"/>
          <w:color w:val="auto"/>
          <w:sz w:val="24"/>
          <w:highlight w:val="none"/>
        </w:rPr>
      </w:pPr>
      <w:r>
        <w:rPr>
          <w:rFonts w:hint="eastAsia" w:ascii="宋体" w:hAnsi="宋体" w:cs="宋体"/>
          <w:color w:val="auto"/>
          <w:sz w:val="24"/>
          <w:highlight w:val="none"/>
        </w:rPr>
        <w:t>4、改建点位清单</w:t>
      </w:r>
    </w:p>
    <w:tbl>
      <w:tblPr>
        <w:tblStyle w:val="35"/>
        <w:tblW w:w="10320" w:type="dxa"/>
        <w:tblInd w:w="-951" w:type="dxa"/>
        <w:tblLayout w:type="fixed"/>
        <w:tblCellMar>
          <w:top w:w="0" w:type="dxa"/>
          <w:left w:w="108" w:type="dxa"/>
          <w:bottom w:w="0" w:type="dxa"/>
          <w:right w:w="108" w:type="dxa"/>
        </w:tblCellMar>
      </w:tblPr>
      <w:tblGrid>
        <w:gridCol w:w="900"/>
        <w:gridCol w:w="1854"/>
        <w:gridCol w:w="5620"/>
        <w:gridCol w:w="1946"/>
      </w:tblGrid>
      <w:tr>
        <w:tblPrEx>
          <w:tblCellMar>
            <w:top w:w="0" w:type="dxa"/>
            <w:left w:w="108" w:type="dxa"/>
            <w:bottom w:w="0" w:type="dxa"/>
            <w:right w:w="108" w:type="dxa"/>
          </w:tblCellMar>
        </w:tblPrEx>
        <w:trPr>
          <w:trHeight w:val="285" w:hRule="atLeast"/>
        </w:trPr>
        <w:tc>
          <w:tcPr>
            <w:tcW w:w="9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18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类型</w:t>
            </w:r>
          </w:p>
        </w:tc>
        <w:tc>
          <w:tcPr>
            <w:tcW w:w="5620"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点位</w:t>
            </w:r>
          </w:p>
        </w:tc>
        <w:tc>
          <w:tcPr>
            <w:tcW w:w="1946"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备注</w:t>
            </w: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椒江区葭芷街道225省道与葭中路交叉路口（双向）</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椒江区洪家街道中心大道与洪西路交叉口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椒江区洪家街道中心大道与洪龙路交叉口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椒江区洪家街道中心大道与洪兆路交叉口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椒江区洪家街道中心大道与洪家南环路交叉口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椒江区章安街道台州大道与沿江路交叉口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椒江区前所街道沿江大道与经四路交叉路口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椒江区前所街道沿江大道与经一路交叉路口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椒江区海门街道枫南路与屷崦路交叉路口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椒江区海门街道疏港大道与枫南路交叉路口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椒江区洪家街道鸿州大道与昌平路交叉路口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椒江区白云街道轮渡路与工人西路交叉路口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椒江区海门街道解放路与中山路交叉路口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椒江区海门街道枫南路与机场路交叉路口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椒江区白云街道中山西路与岩屿路交叉口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椒江区葭沚街道台州大道与体育场路交叉口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椒江区葭沚街道台州大道与开发大道交叉口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椒江区洪家街道鸿洲大道与洪西路交叉口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椒江区洪家街道鸿洲大道与汇丰路交叉口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椒江区洪家街道东环大道与南鸿洲大道（港头徐）交叉口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椒江区海门街道江城路与中山路交叉口北向电警</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椒江区白云街道白云山路与白云山隧道交叉口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椒江区白云街道白云山路与育德路（20号路）交叉口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椒江区白云街道白云山路与东海大道交叉口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椒江区白云山南路与康平路交叉口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椒江区章安街道东埭村（327省道）交叉路口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椒江区海门街道景元路与安康路交叉路口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椒江区白云街道轮渡路与江滨路交叉路口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椒江区海门街道江滨路与光明路交叉路口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椒江区海门街道建设路与东枫山路交叉路口（单行道）</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椒江区海门街道西门路路段（单行道）</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椒江区海门街道通衢路东向西单行道（育才路路口）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椒江区海门街道通衢路东向西单行道（江城北路路口）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椒江区海门街道万济池北巷西向东单行道（育才路路口）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椒江区海门街道椒济巷西向东单行道（老街西巷路口）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椒江区海门街道椒济巷路西向东单行道（育才路路口）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椒江区海门街道电大路路段（单行道）</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椒江区海门街道科技路路段（单行道）</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椒江区海门街道西枫山路路段（单行道）</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椒江区海门街道南新椒街路段（单行道）</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椒江区葭芷街道225省道台州客运总站路段双向</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椒江区白云街道市府大道295弄台州市经济开发区管委会路段（单行道）</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椒江区海门街道东环大道星星广场路段</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椒江区白云街道亿嘉路与欣荣路交叉路口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椒江区白云街道鑫泰街与天和路路口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椒江区白云街道天和路与欣荣路路口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47</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椒江区海门街道市府大道景元花园南门</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椒江区白云街道欣荣路291号天天财富西门</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49</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椒江区白云街道鑫泰街与广场南路50弄路口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椒江区白云街道鑫泰街与广场南路218弄路口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51</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椒江区白云街道亿嘉路巨鼎国际西面路段</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椒江区白云街道欣荣路工商银行东门出口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53</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椒江区白云街道耀达路与天和路路口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54</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椒江区白云街道鑫泰街与市府大道路口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55</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椒江区白云街道广场南路与广场南路50弄路口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椒江区海门街道江滨东路部队门口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57</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椒江区白云街道工人西路79号前路段（花园路口）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58</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椒江区白云街道开发大道1001弄北侧出口处</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59</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椒江区白云街道开发大道1001弄东侧进口处</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椒江区章安街道章溪线九子村路段</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61</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椒江区葭沚街道建军路路段（单行道）</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62</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椒江区白云街道祥和路路段（广场中路至群韵路）</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椒江区洪家街道办事处门前路段</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64</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椒江区葭芷街道洪西路西山路路段</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65</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椒江区白云街道工人路金海商城路段</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66</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椒江区海门街道开元路罗马假日宾馆路段</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67</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椒江区洪家街道中心大道义民村路段卡口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68</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椒江区海门街道育才路单行道</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69</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固定式雷达测速设备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椒江区前所街道二桥测速（双向）</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黄岩区西城街道二环西路与二环南路</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71</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黄岩区东城街道九峰路与桔乡大道交叉口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72</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黄岩区东城街道劳动路与县前街交叉口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黄岩区东城街道天长南路与青年路交叉口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74</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黄岩区东城街道环城东路与小东门路交叉口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75</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黄岩区东城街道印山路与引泉路交叉口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76</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黄岩区西城街道二环西路与九龙街路交叉口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77</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黄岩区北城街道站前大道与站西大道交叉口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78</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黄岩区北城街道二环东路与联岛路交叉口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79</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黄岩区北城街道北院大道与庆丰大道交叉口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黄岩区南城街道104国道方山下村道口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81</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黄岩区江口街道325省道复线与大闸路交叉口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82</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黄岩区江口街道325省道复线江口芦村道口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83</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固定式雷达测速设备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黄岩区澄江街道徐家屿村口路段 民北线5KM+770m处</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84</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固定式雷达测速设备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黄岩区上朱村路段 325省道38KM+550m处</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85</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交通诱导显示设备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黄岩区政府门口户外P8全彩LED显示屏旧屏改造</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86</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交通诱导显示设备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黄岩区三中队外墙户外P4全彩LED显示屏旧屏改造</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87</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交通诱导显示设备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九澄大道内环入口P10双色交通诱导屏旧屏改造</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88</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路桥区路南街道机场路与坦田王村交叉路口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89</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路桥区路南街道机场路与南岸村交叉路口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路桥区路南街道机场路与老机场路交叉路口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91</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路桥区路北街道腾达路与月河北街交叉路口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92</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路桥区路北街道腾达路与珠光街交叉路口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93</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路桥区路北街道腾达路与会展东路路口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94</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路桥区路北街道腾达路与会展西路路口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95</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路桥区路北街道腾达路与商海街路口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96</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路桥区路北街道腾达路与银安街路口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97</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路桥区蓬街镇路滨线（东方大道）与盐金线交叉路口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98</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路桥区蓬街镇路滨线（东方大道）与椒金线交叉路口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99</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路桥区蓬街镇路滨线（东方大道）与新蓬路交叉路口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路桥区横街镇路滨线（东方大道）与绿田大道交叉路口（南北向）</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101</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路桥区路南街道迎宾大道与机场路交叉路口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102</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路桥区路南街道迎宾大道与泰隆街交叉路口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103</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路桥区蓬街镇路滨线（东方大道）与金华村交叉路口（东西向）</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104</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路桥区金清镇S225省道与民丰村交叉路口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105</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路桥区路北街道腾达路与灵山街路口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106</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路桥区路北街道海城路与银安街交叉路口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107</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路桥区路北街道海城路与商海街交叉路口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108</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路桥区路北街道海城路与中心大道交叉路口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109</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路桥区金清镇疏港大道与金清大道交叉口（K0+892）</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110</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路桥区金清镇疏港大道与中心路交叉口（K1+535）</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111</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路桥区金清镇疏港大道汝泉村北路口（K2+063）</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112</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路桥区金清镇疏港大道坦田沈村路口（K3+117）</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113</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路桥区金清镇疏港大道日升村路口（K3+617）</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114</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路桥区蓬街镇疏港大道双联村路口（K4+200）</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115</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路桥区蓬街镇疏港大道万胜村路口（K5+035）</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116</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路桥区路北街道双水路与珠光街交叉路口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117</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路桥区蓬街镇路滨线（东方大道）与水缺头村交叉路口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118</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卡口抓拍设备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路桥区路桥街道路桥大道君兰府路段</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119</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台州湾新区聚海大道与开发大道交叉路口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台州湾新区聚海大道与海源路交叉路口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121</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台州湾新区聚海大道与绿脉南路交叉路口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122</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台州湾新区聚海大道与海循路交叉路口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123</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台州湾新区聚海大道与海城路交叉路口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124</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台州湾新区聚海大道与鲍浦大道交叉路口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125</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台州湾新区聚海大道与滨富交叉路口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126</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台州湾新区聚海大道与甲南大道交叉路口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127</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台州湾新区甲南大道与聚贤路交叉路口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128</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台州湾新区甲南大道与聚英路交叉路口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129</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台州湾新区甲南大道与启航路交叉路口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130</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台州湾新区聚海大道与海纳路交叉路口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131</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台州湾新区聚海大道与蓬北大道交叉路口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132</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台州湾新区聚海大道与海豪路交叉路口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133</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台州湾新区聚海大道与青龙浦路交叉路口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134</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台州湾新区启航路与长浦路交叉路口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135</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台州湾新区启航路与海纳路交叉路口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136</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台州湾新区海纳路与聚英路交叉路口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137</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台州湾新区蓬北大道与启航路交叉路口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5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138</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台州湾新区三甲街道225省道复线（75省道南延）六甲村交叉路口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139</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台州湾新区市府大道与农场路交叉路口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140</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台州湾新区市府大道与海虹大道交叉路口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141</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台州湾新区海城路与九塘南路交叉路口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142</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台州湾新区海城路与启航路交叉路口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143</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台州湾新区滨康大道与九塘南路交叉路口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144</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台州湾新区滨康大道与启航路交叉路口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145</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台州湾新区滨富路与九塘南路交叉路口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146</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台州湾新区滨富路与启航路交叉路口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147</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台州湾新区市府大道与王家村交叉路口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148</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台州湾新区市府大道与八塘路交叉路口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149</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台州湾新区市府大道与九塘路交叉路口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台州湾新区市府大道与椒金线交叉路口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151</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台州湾新区海门街道G228国道与市府大道交叉路口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5" w:hRule="atLeast"/>
        </w:trPr>
        <w:tc>
          <w:tcPr>
            <w:tcW w:w="90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152</w:t>
            </w:r>
          </w:p>
        </w:tc>
        <w:tc>
          <w:tcPr>
            <w:tcW w:w="1854"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闯红灯抓拍设备</w:t>
            </w:r>
          </w:p>
        </w:tc>
        <w:tc>
          <w:tcPr>
            <w:tcW w:w="56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台州湾新区三甲街道G228国道与东海桥南交叉路口</w:t>
            </w:r>
          </w:p>
        </w:tc>
        <w:tc>
          <w:tcPr>
            <w:tcW w:w="19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p>
        </w:tc>
      </w:tr>
    </w:tbl>
    <w:p>
      <w:pPr>
        <w:rPr>
          <w:rFonts w:ascii="宋体" w:hAnsi="宋体" w:cs="宋体"/>
          <w:color w:val="auto"/>
          <w:highlight w:val="none"/>
        </w:rPr>
      </w:pPr>
    </w:p>
    <w:p>
      <w:pPr>
        <w:widowControl/>
        <w:numPr>
          <w:ilvl w:val="0"/>
          <w:numId w:val="10"/>
        </w:numPr>
        <w:adjustRightInd w:val="0"/>
        <w:snapToGrid w:val="0"/>
        <w:spacing w:line="360" w:lineRule="auto"/>
        <w:jc w:val="left"/>
        <w:rPr>
          <w:rFonts w:ascii="宋体" w:hAnsi="宋体" w:cs="宋体"/>
          <w:b/>
          <w:bCs/>
          <w:color w:val="auto"/>
          <w:kern w:val="0"/>
          <w:sz w:val="24"/>
          <w:highlight w:val="none"/>
        </w:rPr>
      </w:pPr>
      <w:r>
        <w:rPr>
          <w:rFonts w:hint="eastAsia" w:ascii="宋体" w:hAnsi="宋体" w:cs="宋体"/>
          <w:b/>
          <w:color w:val="auto"/>
          <w:sz w:val="24"/>
          <w:highlight w:val="none"/>
        </w:rPr>
        <w:t>外场设施安装技术要求（参照，如有相关国家标准，按国家标准执行）</w:t>
      </w:r>
    </w:p>
    <w:p>
      <w:pPr>
        <w:pStyle w:val="6"/>
        <w:tabs>
          <w:tab w:val="left" w:pos="142"/>
          <w:tab w:val="left" w:pos="993"/>
          <w:tab w:val="left" w:pos="1418"/>
          <w:tab w:val="left" w:pos="1560"/>
        </w:tabs>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1、杆件规格要求</w:t>
      </w:r>
    </w:p>
    <w:p>
      <w:pPr>
        <w:spacing w:line="360" w:lineRule="auto"/>
        <w:ind w:firstLine="480"/>
        <w:rPr>
          <w:rFonts w:ascii="宋体" w:hAnsi="宋体" w:cs="宋体"/>
          <w:b/>
          <w:bCs/>
          <w:color w:val="auto"/>
          <w:sz w:val="24"/>
          <w:highlight w:val="none"/>
          <w:lang w:val="zh-CN"/>
        </w:rPr>
      </w:pPr>
      <w:r>
        <w:rPr>
          <w:rFonts w:hint="eastAsia" w:ascii="宋体" w:hAnsi="宋体" w:cs="宋体"/>
          <w:b/>
          <w:bCs/>
          <w:color w:val="auto"/>
          <w:sz w:val="24"/>
          <w:highlight w:val="none"/>
          <w:lang w:val="zh-CN"/>
        </w:rPr>
        <w:t>（1）通用要求</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杆件钢材及连接件的规格、型号、镀锌须符合《碳素结构钢》GB 700的要求。</w:t>
      </w:r>
      <w:r>
        <w:rPr>
          <w:rFonts w:hint="eastAsia" w:ascii="宋体" w:hAnsi="宋体" w:cs="宋体"/>
          <w:color w:val="auto"/>
          <w:sz w:val="24"/>
          <w:highlight w:val="none"/>
        </w:rPr>
        <w:t>信号灯及电子警察杆件为八角形锥形镀锌钢管，</w:t>
      </w:r>
      <w:r>
        <w:rPr>
          <w:rFonts w:hint="eastAsia" w:ascii="宋体" w:hAnsi="宋体" w:cs="宋体"/>
          <w:color w:val="auto"/>
          <w:sz w:val="24"/>
          <w:highlight w:val="none"/>
          <w:lang w:val="zh-CN"/>
        </w:rPr>
        <w:t>必须经热镀锌防锈处理。</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（2）型杆件规格要求：</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副杆长4米至7米的L型杆件：主杆壁厚≥6mm，副杆壁厚≥4mm，主杆的高度不低于6.5米，主杆下（外）口径的对边不小于300 mm，上（外）口径的对边不小于250 mm，副杆大头（外）口径的对边不小于220 mm，小头（外）口径的对边不小于100 mm。</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副杆长度8米至12米的L型杆件：主杆壁厚≥8mm，副杆壁厚≥4mm，主杆的高度不低于6.5米，主杆下（外）口径的对边不小于320 mm，上（外）口径的对边不小于280 mm，副杆大头（外）口径的对边不小于240 mm，小头（外）口径的对边不小于110 mm。</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副杆长度13米至15米的L型杆件：主杆壁厚≥8mm，副杆壁厚≥6mm，主杆的高度不低于6.5米，主杆下（外）口径的对边不小于370 mm，上（外）口径的对边不小于320 mm，副杆大头（外）口径的对边不小于320 mm，小头（外）口径的对边不小于110 mm。</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副杆4米至7米的L型杆件：杆底盘法兰底平面直径≥550mm，螺丝孔位置直径≥450mm钢板厚度≥20mm，法兰底盘与主杆的支撑板（五边梯形）≥8块，高度≥250 mm，厚度≥16mm，梯形上部份≥20mm，下部分≥100mm；主杆与副杆的法兰盘尺寸≥400mm*400mm，厚度不小于16mm，支撑板（五边梯形）≥4块，高度≥200 mm，厚度≥12mm，梯形上部份≥20mm下部分≥100mm。</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副杆8米至12米的L型杆件：杆底盘法兰底平面直径≥550mm，螺丝孔位置直径≥450mm钢板厚度≥20mm，法兰底盘与主杆的支撑板（五边梯形）≥8块，高度≥250 mm，厚度≥16mm，梯形上部份≥20mm，下部分≥90mm；主杆与副杆的法兰盘尺寸≥450mm*450mm，厚度不小于20mm，支撑板（五边梯形）≥6块，高度≥200 mm，厚度≥12mm，梯形上部份≥20mm下部分≥100mm。</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副杆13米至15的L型杆件杆底盘法兰底平面直径≥650mm，螺丝孔位置直径≥550mm钢板厚度≥20mm，法兰底盘与主杆的支撑板（五边梯形）≥8块，高度≥300 mm，厚度≥16mm，梯形上部份≥20mm，下部分≥110mm；主杆与副杆的法兰盘尺寸≥520mm*520mm，厚度不小于20mm，支撑板（五边梯形）≥8块，高度≥200 mm，厚度≥12mm，梯形上部份≥20mm下部分≥100mm。      </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（3）T型杆件规格要求：</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副杆长度≤8的T型杆件：主杆壁厚≥8mm，副杆壁厚≥4mm，主杆的高度不低于6.5米，主杆下（外）口径的对边不小于350 mm，上（外）口径的对边不小于300 mm，副杆大头（外）口径的对边不小于250 mm，小头（外）口径的对边不小于100 mm；</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副杆长度9米至11米的T型杆件：主杆壁厚≥8mm，副杆壁厚≥5mm，主杆的高度不低于6.5米，主杆下（外）口径的对边不小于360 mm，上（外）口径的对边不小于310 mm，副杆大头（外）口径的对边不小于280 mm，小头（外）口径的对边不小于110 mm；</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副杆长度12米至15米的T型杆件：主杆壁厚≥10mm，副杆壁厚≥6mm，主杆的高度不低于6.5米，主杆下（外）口径的对边不小于370 mm，上（外）口径的对边不小于320 mm，副杆大头（外）口径的对边不小于320 mm，小头（外）口径的对边不小于110 mm；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副杆≤8米的T型杆件杆底盘法兰底平面直径≥600mm，螺丝孔位置直径≥450mm钢板厚度≥20 mm，法兰底盘与主杆的支撑板（五边梯形）≥8块，高度≥250 mm，厚度≥16mm，梯形上部份≥20mm，下部分≥110mm；主杆与副杆的法兰盘尺寸≥450mm*450mm，厚度≥16mm，支撑板（五边梯形）≥4块，高度≥200 mm，厚度≥12mm，梯形上部份≥20mm下部分≥100mm；</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副杆≤11米的T型杆件杆底盘法兰底平面直径≥600mm，螺丝孔位置直径≥450mm钢板厚度≥20 mm，法兰底盘与主杆的支撑板（五边梯形）≥8块，高度≥250 mm，厚度≥16mm，梯形上部份≥20mm，下部分≥110mm；主杆与副杆的法兰盘尺寸≥450mm*450mm，厚度≥20mm，支撑板（五边梯形）≥6块，高度≥200 mm，厚度≥12mm，梯形上部份≥20mm下部分≥100mm；</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副杆12米至15的T型杆件:杆底盘法兰底平面直径≥700mm，螺丝孔位置直径≥550mm钢板厚度≥22 mm，法兰底盘与主杆的支撑板（五边梯形）≥8块，高度≥300 mm，厚度≥16mm，梯形上部份≥20mm，下部分≥110mm；主杆与副杆的法兰盘尺寸≥520mm*520mm，厚度≥20mm，支撑板（五边梯形）≥8块，高度≥200 mm，厚度≥12mm，梯形上部份≥20mm下部分≥100mm，固定螺帽须热镀锌。</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（4）测速箱直立杆规格要求：</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杆体不小于1600mm*Φ114,杆底盘法兰底平面直径不小于300mm，螺丝孔位置直径不小于180mm钢板厚度不小于12 mm，法兰底盘与主杆的支撑板（五边梯形）不小于6块，高度不小于165 mm，厚度不小于10mm，梯形上部份不小于20mm，下部分不小于100mm,含活动支架360度旋转可调节。</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（5）高空球机杆件规格要求：</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副杆长度根据现场实际情况而定，直径不小于Φ75.7mm，厚度不小于3.25mm；主杆长度根据现场实际情况而定，直径不小于Φ88.5mm，厚度不小于4mm；主杆与安装位置内墙使用规格不小于150mm*Φ16mm的膨胀螺栓固定；墙面与主杆、主杆与副杆间使用壁厚不小于4mm的镀锌钢板焊接，并做好防锈工作；并在墙面上安装不小于40*4mm的抱箍固定副杆。</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（6）F型杆件规格要求：</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钢材全部采用Q235钢，立柱，横梁及其他外露钢构件防腐，应采用热镀锌处理，锌附着量不低600g/㎡,螺栓等紧固件表面镀锌不低于350g/㎡。</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所有构件镀完锌后喷一道环氧富锌底漆（漆膜干厚为40μm），一道云铁中间漆做过渡漆（漆膜干厚为30μm），两道氯化橡胶面漆（漆膜干厚为70μm）。面漆颜色为中灰色。</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立柱顶部及横梁外侧端部均需用6mm厚钢板作封板。且下横梁外侧端部封板中央需开∅80孔位以便穿电缆时使用。</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（7）信号灯配套杆件规格要求</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1）非机动车信号灯杆件</w:t>
      </w:r>
      <w:r>
        <w:rPr>
          <w:rFonts w:hint="eastAsia" w:ascii="宋体" w:hAnsi="宋体" w:cs="宋体"/>
          <w:color w:val="auto"/>
          <w:kern w:val="0"/>
          <w:sz w:val="24"/>
          <w:highlight w:val="none"/>
        </w:rPr>
        <w:t>:</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杆件高度不少于3.5M，安装非机动车信号灯后保证灯下边缘净空不少于2.5 M，灯杆直径不小于90mm，厚度不小于4MM，杆体距地面0.3m-0.8m 处留有穿线孔。如与人行横道灯安装在同一杆件，杆件高度不少于4.5M。</w:t>
      </w:r>
    </w:p>
    <w:p>
      <w:pPr>
        <w:spacing w:line="360" w:lineRule="auto"/>
        <w:ind w:left="420"/>
        <w:outlineLvl w:val="3"/>
        <w:rPr>
          <w:rFonts w:ascii="宋体" w:hAnsi="宋体" w:cs="宋体"/>
          <w:color w:val="auto"/>
          <w:sz w:val="24"/>
          <w:highlight w:val="none"/>
        </w:rPr>
      </w:pPr>
      <w:r>
        <w:rPr>
          <w:rFonts w:hint="eastAsia" w:ascii="宋体" w:hAnsi="宋体" w:cs="宋体"/>
          <w:color w:val="auto"/>
          <w:sz w:val="24"/>
          <w:highlight w:val="none"/>
        </w:rPr>
        <w:t>2）立柱式信号灯（辅助信号灯）杆件:</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安装信号灯后保证立柱式信号灯灯下边缘净空不少于3 M上。杆体在40 米/秒的风速条件下，不应发生严重歪斜与永久性变形。杆体颜色按用户要求制作。</w:t>
      </w:r>
    </w:p>
    <w:p>
      <w:pPr>
        <w:pStyle w:val="17"/>
        <w:spacing w:line="360" w:lineRule="auto"/>
        <w:outlineLvl w:val="3"/>
        <w:rPr>
          <w:rFonts w:ascii="宋体" w:hAnsi="宋体" w:cs="宋体"/>
          <w:color w:val="auto"/>
          <w:highlight w:val="none"/>
        </w:rPr>
      </w:pPr>
      <w:r>
        <w:rPr>
          <w:rFonts w:hint="eastAsia" w:ascii="宋体" w:hAnsi="宋体" w:cs="宋体"/>
          <w:color w:val="auto"/>
          <w:highlight w:val="none"/>
        </w:rPr>
        <w:t xml:space="preserve">    3）人行灯杆件：</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人行灯杆高不少于3.5 M，安装人行灯后保证灯下边缘净空不少于2.5 M。</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灯杆由钢管与铝合金型材组成。钢结构应经热镀锌处理；铝合金外壳壁厚不小于2mm，表面须经静电喷塑处理。灯具安装连接环在灯杆上可在360°范围内任意调整并固定，在同一层面上可满足在不同角度安装两组灯具。灯杆颜色按用户要求制作。</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（8）杆件安装要求</w:t>
      </w:r>
    </w:p>
    <w:p>
      <w:pPr>
        <w:spacing w:line="360" w:lineRule="auto"/>
        <w:ind w:left="480"/>
        <w:rPr>
          <w:rFonts w:ascii="宋体" w:hAnsi="宋体" w:cs="宋体"/>
          <w:color w:val="auto"/>
          <w:sz w:val="24"/>
          <w:highlight w:val="none"/>
        </w:rPr>
      </w:pPr>
      <w:r>
        <w:rPr>
          <w:rFonts w:hint="eastAsia" w:ascii="宋体" w:hAnsi="宋体" w:cs="宋体"/>
          <w:color w:val="auto"/>
          <w:sz w:val="24"/>
          <w:highlight w:val="none"/>
        </w:rPr>
        <w:t>1）地笼预埋时其方向应与底座法兰盘保持垂直。施工时如遇有平曲线路段，应调整预埋法兰盘的方向，使其纵向中心线与行车方向保持一致。基础施工完毕，地脚螺栓外露长度不低于50mm（地脚螺栓应排列成圆形），并对外露螺部分加以妥善保护。</w:t>
      </w:r>
    </w:p>
    <w:p>
      <w:pPr>
        <w:spacing w:line="360" w:lineRule="auto"/>
        <w:ind w:left="480"/>
        <w:rPr>
          <w:rFonts w:ascii="宋体" w:hAnsi="宋体" w:cs="宋体"/>
          <w:color w:val="auto"/>
          <w:sz w:val="24"/>
          <w:highlight w:val="none"/>
        </w:rPr>
      </w:pPr>
      <w:r>
        <w:rPr>
          <w:rFonts w:hint="eastAsia" w:ascii="宋体" w:hAnsi="宋体" w:cs="宋体"/>
          <w:color w:val="auto"/>
          <w:sz w:val="24"/>
          <w:highlight w:val="none"/>
        </w:rPr>
        <w:t>2）杆件安装时，支柱应处于正常工作位置，起吊点应位于支柱底部；安装完成后，支柱专用接地螺栓与保护地线应做可靠电气连接。杆件及杆件上所有设备安装后，杆件立柱臂应与地面垂直，杆件悬臂应与道路中心走向呈90度直角，杆件悬臂与立柱臂呈91度-92度夹角，同时杆件横臂及设备组成的整体下边缘距离地面净空不低于6米，安装后的设备和机箱不得侵入机动车道建筑界限以内，不得影响车辆正常通行。整根杆（含基础）及其上配件应能抗14级以上台风。</w:t>
      </w:r>
    </w:p>
    <w:p>
      <w:pPr>
        <w:spacing w:line="360" w:lineRule="auto"/>
        <w:ind w:left="480"/>
        <w:rPr>
          <w:rFonts w:ascii="宋体" w:hAnsi="宋体" w:cs="宋体"/>
          <w:color w:val="auto"/>
          <w:kern w:val="0"/>
          <w:sz w:val="24"/>
          <w:highlight w:val="none"/>
        </w:rPr>
      </w:pPr>
      <w:r>
        <w:rPr>
          <w:rFonts w:hint="eastAsia" w:ascii="宋体" w:hAnsi="宋体" w:cs="宋体"/>
          <w:color w:val="auto"/>
          <w:sz w:val="24"/>
          <w:highlight w:val="none"/>
        </w:rPr>
        <w:t>3）前端杆件应贴反光材料，防止杆件被撞及提醒驾驶人、行人避让。</w:t>
      </w:r>
    </w:p>
    <w:p>
      <w:pPr>
        <w:spacing w:line="360" w:lineRule="auto"/>
        <w:ind w:left="480"/>
        <w:rPr>
          <w:rFonts w:ascii="宋体" w:hAnsi="宋体" w:cs="宋体"/>
          <w:color w:val="auto"/>
          <w:kern w:val="0"/>
          <w:sz w:val="24"/>
          <w:highlight w:val="none"/>
        </w:rPr>
      </w:pPr>
      <w:r>
        <w:rPr>
          <w:rFonts w:hint="eastAsia" w:ascii="宋体" w:hAnsi="宋体" w:cs="宋体"/>
          <w:color w:val="auto"/>
          <w:sz w:val="24"/>
          <w:highlight w:val="none"/>
        </w:rPr>
        <w:t>4）顶端应设计喷涂红黄绿三种颜色组成的防水帽，用以区分是否为交警杆件。</w:t>
      </w:r>
    </w:p>
    <w:p>
      <w:pPr>
        <w:spacing w:line="360" w:lineRule="auto"/>
        <w:ind w:left="480"/>
        <w:rPr>
          <w:rFonts w:ascii="宋体" w:hAnsi="宋体" w:cs="宋体"/>
          <w:color w:val="auto"/>
          <w:kern w:val="0"/>
          <w:sz w:val="24"/>
          <w:highlight w:val="none"/>
        </w:rPr>
      </w:pPr>
      <w:r>
        <w:rPr>
          <w:rFonts w:hint="eastAsia" w:ascii="宋体" w:hAnsi="宋体" w:cs="宋体"/>
          <w:color w:val="auto"/>
          <w:kern w:val="0"/>
          <w:sz w:val="24"/>
          <w:highlight w:val="none"/>
        </w:rPr>
        <w:t>5）所有相机要按照下图样式要求在杆件两侧粘贴标牌，编号由交警部门提供。</w:t>
      </w:r>
    </w:p>
    <w:p>
      <w:pPr>
        <w:pStyle w:val="17"/>
        <w:spacing w:line="360" w:lineRule="auto"/>
        <w:rPr>
          <w:rFonts w:ascii="宋体" w:hAnsi="宋体" w:cs="宋体"/>
          <w:color w:val="auto"/>
          <w:highlight w:val="none"/>
        </w:rPr>
      </w:pPr>
      <w:r>
        <w:rPr>
          <w:rFonts w:hint="eastAsia" w:ascii="宋体" w:hAnsi="宋体" w:cs="宋体"/>
          <w:color w:val="auto"/>
          <w:kern w:val="0"/>
          <w:highlight w:val="none"/>
        </w:rPr>
        <w:drawing>
          <wp:anchor distT="0" distB="0" distL="114935" distR="114935" simplePos="0" relativeHeight="251662336" behindDoc="0" locked="0" layoutInCell="1" allowOverlap="1">
            <wp:simplePos x="0" y="0"/>
            <wp:positionH relativeFrom="column">
              <wp:posOffset>570865</wp:posOffset>
            </wp:positionH>
            <wp:positionV relativeFrom="paragraph">
              <wp:posOffset>142240</wp:posOffset>
            </wp:positionV>
            <wp:extent cx="2309495" cy="1148080"/>
            <wp:effectExtent l="0" t="0" r="14605" b="13970"/>
            <wp:wrapTopAndBottom/>
            <wp:docPr id="4" name="图片 0" descr="相机编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相机编号.jpg"/>
                    <pic:cNvPicPr>
                      <a:picLocks noChangeAspect="1"/>
                    </pic:cNvPicPr>
                  </pic:nvPicPr>
                  <pic:blipFill>
                    <a:blip r:embed="rId9" cstate="print"/>
                    <a:stretch>
                      <a:fillRect/>
                    </a:stretch>
                  </pic:blipFill>
                  <pic:spPr>
                    <a:xfrm>
                      <a:off x="0" y="0"/>
                      <a:ext cx="2309495" cy="1148080"/>
                    </a:xfrm>
                    <a:prstGeom prst="rect">
                      <a:avLst/>
                    </a:prstGeom>
                    <a:noFill/>
                    <a:ln>
                      <a:noFill/>
                    </a:ln>
                  </pic:spPr>
                </pic:pic>
              </a:graphicData>
            </a:graphic>
          </wp:anchor>
        </w:drawing>
      </w:r>
    </w:p>
    <w:p>
      <w:pPr>
        <w:pStyle w:val="6"/>
        <w:tabs>
          <w:tab w:val="left" w:pos="142"/>
          <w:tab w:val="left" w:pos="993"/>
          <w:tab w:val="left" w:pos="1418"/>
          <w:tab w:val="left" w:pos="1560"/>
        </w:tabs>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2、基础</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zh-CN"/>
        </w:rPr>
        <w:t xml:space="preserve"> 智能交通设施杆件和机箱基础应根据具体型式要求进行设计，应符合《公安交通管理外场设备基础设施施工通用要求》GA/T 652的要求。基础的浇筑混凝土强度等级应符合《混凝土结构设计规范》GB 50010的要求。</w:t>
      </w:r>
    </w:p>
    <w:p>
      <w:pPr>
        <w:spacing w:line="360" w:lineRule="auto"/>
        <w:ind w:firstLine="480"/>
        <w:rPr>
          <w:rFonts w:ascii="宋体" w:hAnsi="宋体" w:cs="宋体"/>
          <w:color w:val="auto"/>
          <w:sz w:val="24"/>
          <w:highlight w:val="none"/>
          <w:lang w:val="zh-CN"/>
        </w:rPr>
      </w:pPr>
      <w:r>
        <w:rPr>
          <w:rFonts w:hint="eastAsia" w:ascii="宋体" w:hAnsi="宋体" w:cs="宋体"/>
          <w:b/>
          <w:bCs/>
          <w:color w:val="auto"/>
          <w:sz w:val="24"/>
          <w:highlight w:val="none"/>
          <w:lang w:val="zh-CN"/>
        </w:rPr>
        <w:t>（</w:t>
      </w:r>
      <w:r>
        <w:rPr>
          <w:rFonts w:hint="eastAsia" w:ascii="宋体" w:hAnsi="宋体" w:cs="宋体"/>
          <w:b/>
          <w:bCs/>
          <w:color w:val="auto"/>
          <w:sz w:val="24"/>
          <w:highlight w:val="none"/>
        </w:rPr>
        <w:t>1</w:t>
      </w:r>
      <w:r>
        <w:rPr>
          <w:rFonts w:hint="eastAsia" w:ascii="宋体" w:hAnsi="宋体" w:cs="宋体"/>
          <w:b/>
          <w:bCs/>
          <w:color w:val="auto"/>
          <w:sz w:val="24"/>
          <w:highlight w:val="none"/>
          <w:lang w:val="zh-CN"/>
        </w:rPr>
        <w:t>）L型杆件基础开挖要求</w:t>
      </w:r>
      <w:r>
        <w:rPr>
          <w:rFonts w:hint="eastAsia" w:ascii="宋体" w:hAnsi="宋体" w:cs="宋体"/>
          <w:color w:val="auto"/>
          <w:sz w:val="24"/>
          <w:highlight w:val="none"/>
          <w:lang w:val="zh-CN"/>
        </w:rPr>
        <w:t>：</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lang w:val="zh-CN"/>
        </w:rPr>
        <w:t xml:space="preserve">副杆4米至7米L型杆件的基础开挖不小于1.5*1.5*1.8m,预埋件的大小不小于M27*8*1600 </w:t>
      </w:r>
      <w:r>
        <w:rPr>
          <w:rFonts w:hint="eastAsia" w:ascii="宋体" w:hAnsi="宋体" w:cs="宋体"/>
          <w:color w:val="auto"/>
          <w:sz w:val="24"/>
          <w:highlight w:val="none"/>
        </w:rPr>
        <w:t>mm；灌砼础地层要保持水平,然后在放入Φ10@250网板。地脚螺栓底层与地网拼接采用焊接，基底尺寸为1500MM×1500MM。</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副杆8至12米L型杆件的基础开挖不小于1.8*1.8*2.0m,预埋件的大小不小于M30*8*1800 mm；灌砼础地层要保持水平,然后在放入Φ10@250网板。地脚螺栓底层与地网拼接采用焊接。基底尺寸为1600MM×1600MM。</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副杆13至15米L型杆件的基础开挖不小于2*2*2.3m,预埋件的大小不小于M36*8*200 mm；灌砼础地层要保持水平,然后在放入Φ10@250网板。地脚螺栓底层与地网拼接采用焊接。基底尺寸为2000MM×2000MM。</w:t>
      </w:r>
    </w:p>
    <w:p>
      <w:pPr>
        <w:spacing w:line="360" w:lineRule="auto"/>
        <w:ind w:firstLine="480"/>
        <w:rPr>
          <w:rFonts w:ascii="宋体" w:hAnsi="宋体" w:cs="宋体"/>
          <w:b/>
          <w:bCs/>
          <w:color w:val="auto"/>
          <w:sz w:val="24"/>
          <w:highlight w:val="none"/>
          <w:lang w:val="zh-CN"/>
        </w:rPr>
      </w:pPr>
      <w:r>
        <w:rPr>
          <w:rFonts w:hint="eastAsia" w:ascii="宋体" w:hAnsi="宋体" w:cs="宋体"/>
          <w:b/>
          <w:bCs/>
          <w:color w:val="auto"/>
          <w:sz w:val="24"/>
          <w:highlight w:val="none"/>
          <w:lang w:val="zh-CN"/>
        </w:rPr>
        <w:t>（</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）T型杆件基础开挖要求：</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副杆≤8米T型杆件的基础开挖不小于1.6*1.6*1.9m,预埋件不小于M27*8*1700 mm；灌砼础地层要保持水平,然后在放入Φ10@250网板，地脚螺栓底层与地网拼接采用焊接。基底尺寸为1600MM×1600MM。</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副杆9至11米T型杆件的基础开挖不小于1.8*1.8*2.1m,预埋件不小于M30*8*1900 mm；灌砼础地层要保持水平,然后在放入Φ10@250网板，地脚螺栓底层与地网拼接采用焊接。基底尺寸为1800MM×1800MM。</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副杆13至15米T型杆件的基础开挖不小于2.0*2.0*2.5m,预埋件不小于M36*8*2300 mm；灌砼础地层要保持水平,然后在放入Φ10@250网板，地脚螺栓底层与地网拼接采用焊接。基底尺寸为2000MM×2000MM。</w:t>
      </w:r>
    </w:p>
    <w:p>
      <w:pPr>
        <w:spacing w:line="360" w:lineRule="auto"/>
        <w:ind w:firstLine="480"/>
        <w:rPr>
          <w:rFonts w:ascii="宋体" w:hAnsi="宋体" w:cs="宋体"/>
          <w:b/>
          <w:bCs/>
          <w:color w:val="auto"/>
          <w:sz w:val="24"/>
          <w:highlight w:val="none"/>
          <w:lang w:val="zh-CN"/>
        </w:rPr>
      </w:pPr>
      <w:r>
        <w:rPr>
          <w:rFonts w:hint="eastAsia" w:ascii="宋体" w:hAnsi="宋体" w:cs="宋体"/>
          <w:b/>
          <w:bCs/>
          <w:color w:val="auto"/>
          <w:sz w:val="24"/>
          <w:highlight w:val="none"/>
          <w:lang w:val="zh-CN"/>
        </w:rPr>
        <w:t>（</w:t>
      </w:r>
      <w:r>
        <w:rPr>
          <w:rFonts w:hint="eastAsia" w:ascii="宋体" w:hAnsi="宋体" w:cs="宋体"/>
          <w:b/>
          <w:bCs/>
          <w:color w:val="auto"/>
          <w:sz w:val="24"/>
          <w:highlight w:val="none"/>
        </w:rPr>
        <w:t>3</w:t>
      </w:r>
      <w:r>
        <w:rPr>
          <w:rFonts w:hint="eastAsia" w:ascii="宋体" w:hAnsi="宋体" w:cs="宋体"/>
          <w:b/>
          <w:bCs/>
          <w:color w:val="auto"/>
          <w:sz w:val="24"/>
          <w:highlight w:val="none"/>
          <w:lang w:val="zh-CN"/>
        </w:rPr>
        <w:t>）测速箱直立杆基础要求：</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基础开挖不小于1.0*1.0*1.0m,预埋件不小于M20*4*800 mm，基底尺寸为1000mm×1000mm。</w:t>
      </w:r>
    </w:p>
    <w:p>
      <w:pPr>
        <w:spacing w:line="360" w:lineRule="auto"/>
        <w:ind w:firstLine="480"/>
        <w:rPr>
          <w:rFonts w:ascii="宋体" w:hAnsi="宋体" w:cs="宋体"/>
          <w:b/>
          <w:bCs/>
          <w:color w:val="auto"/>
          <w:sz w:val="24"/>
          <w:highlight w:val="none"/>
          <w:lang w:val="zh-CN"/>
        </w:rPr>
      </w:pPr>
      <w:r>
        <w:rPr>
          <w:rFonts w:hint="eastAsia" w:ascii="宋体" w:hAnsi="宋体" w:cs="宋体"/>
          <w:b/>
          <w:bCs/>
          <w:color w:val="auto"/>
          <w:sz w:val="24"/>
          <w:highlight w:val="none"/>
          <w:lang w:val="zh-CN"/>
        </w:rPr>
        <w:t>（</w:t>
      </w:r>
      <w:r>
        <w:rPr>
          <w:rFonts w:hint="eastAsia" w:ascii="宋体" w:hAnsi="宋体" w:cs="宋体"/>
          <w:b/>
          <w:bCs/>
          <w:color w:val="auto"/>
          <w:sz w:val="24"/>
          <w:highlight w:val="none"/>
        </w:rPr>
        <w:t>4</w:t>
      </w:r>
      <w:r>
        <w:rPr>
          <w:rFonts w:hint="eastAsia" w:ascii="宋体" w:hAnsi="宋体" w:cs="宋体"/>
          <w:b/>
          <w:bCs/>
          <w:color w:val="auto"/>
          <w:sz w:val="24"/>
          <w:highlight w:val="none"/>
          <w:lang w:val="zh-CN"/>
        </w:rPr>
        <w:t>）F型杆件基础开挖要求：</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基础开挖不小于3m*3m*2.8m,预埋件不小于M30*12*2500mm，基底为3000mm×3000mm。</w:t>
      </w:r>
    </w:p>
    <w:p>
      <w:pPr>
        <w:spacing w:line="360" w:lineRule="auto"/>
        <w:ind w:firstLine="480"/>
        <w:rPr>
          <w:rFonts w:ascii="宋体" w:hAnsi="宋体" w:cs="宋体"/>
          <w:b/>
          <w:bCs/>
          <w:color w:val="auto"/>
          <w:sz w:val="24"/>
          <w:highlight w:val="none"/>
          <w:lang w:val="zh-CN"/>
        </w:rPr>
      </w:pPr>
      <w:bookmarkStart w:id="91" w:name="_Toc10212778"/>
      <w:bookmarkStart w:id="92" w:name="_Toc533860770"/>
      <w:bookmarkStart w:id="93" w:name="_Toc533860771"/>
      <w:bookmarkStart w:id="94" w:name="_Toc10212779"/>
      <w:r>
        <w:rPr>
          <w:rFonts w:hint="eastAsia" w:ascii="宋体" w:hAnsi="宋体" w:cs="宋体"/>
          <w:b/>
          <w:bCs/>
          <w:color w:val="auto"/>
          <w:sz w:val="24"/>
          <w:highlight w:val="none"/>
        </w:rPr>
        <w:t>（5）</w:t>
      </w:r>
      <w:r>
        <w:rPr>
          <w:rFonts w:hint="eastAsia" w:ascii="宋体" w:hAnsi="宋体" w:cs="宋体"/>
          <w:b/>
          <w:bCs/>
          <w:color w:val="auto"/>
          <w:sz w:val="24"/>
          <w:highlight w:val="none"/>
          <w:lang w:val="zh-CN"/>
        </w:rPr>
        <w:t>施工工序要求</w:t>
      </w:r>
      <w:bookmarkEnd w:id="91"/>
      <w:bookmarkEnd w:id="92"/>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基础施工工序应满足以下流程，应完成上一步后方可进行下一步施工：</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1） 测量定点</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2） 基坑开挖</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3） 测量确认</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4） 打接地棒</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5） 底层浇砼</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6） 放预埋件支模</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7） 浇砼</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8） 保养</w:t>
      </w:r>
    </w:p>
    <w:p>
      <w:pPr>
        <w:spacing w:line="360" w:lineRule="auto"/>
        <w:ind w:firstLine="480"/>
        <w:rPr>
          <w:rFonts w:ascii="宋体" w:hAnsi="宋体" w:cs="宋体"/>
          <w:b/>
          <w:bCs/>
          <w:color w:val="auto"/>
          <w:sz w:val="24"/>
          <w:highlight w:val="none"/>
          <w:lang w:val="zh-CN"/>
        </w:rPr>
      </w:pPr>
      <w:r>
        <w:rPr>
          <w:rFonts w:hint="eastAsia" w:ascii="宋体" w:hAnsi="宋体" w:cs="宋体"/>
          <w:b/>
          <w:bCs/>
          <w:color w:val="auto"/>
          <w:sz w:val="24"/>
          <w:highlight w:val="none"/>
        </w:rPr>
        <w:t>（6）</w:t>
      </w:r>
      <w:r>
        <w:rPr>
          <w:rFonts w:hint="eastAsia" w:ascii="宋体" w:hAnsi="宋体" w:cs="宋体"/>
          <w:b/>
          <w:bCs/>
          <w:color w:val="auto"/>
          <w:sz w:val="24"/>
          <w:highlight w:val="none"/>
          <w:lang w:val="zh-CN"/>
        </w:rPr>
        <w:t>施工工艺要求</w:t>
      </w:r>
      <w:bookmarkEnd w:id="93"/>
      <w:bookmarkEnd w:id="94"/>
    </w:p>
    <w:p>
      <w:pPr>
        <w:numPr>
          <w:ilvl w:val="0"/>
          <w:numId w:val="12"/>
        </w:numPr>
        <w:spacing w:line="360" w:lineRule="auto"/>
        <w:rPr>
          <w:rFonts w:ascii="宋体" w:hAnsi="宋体" w:cs="宋体"/>
          <w:color w:val="auto"/>
          <w:sz w:val="24"/>
          <w:highlight w:val="none"/>
        </w:rPr>
      </w:pPr>
      <w:r>
        <w:rPr>
          <w:rFonts w:hint="eastAsia" w:ascii="宋体" w:hAnsi="宋体" w:cs="宋体"/>
          <w:color w:val="auto"/>
          <w:sz w:val="24"/>
          <w:highlight w:val="none"/>
          <w:lang w:val="zh-CN"/>
        </w:rPr>
        <w:t>基础坑及浇注应符合设计要求，上坑口不应大于标注尺寸的10%，坑底不应小于标注尺寸，</w:t>
      </w:r>
      <w:r>
        <w:rPr>
          <w:rFonts w:hint="eastAsia" w:ascii="宋体" w:hAnsi="宋体" w:cs="宋体"/>
          <w:color w:val="auto"/>
          <w:sz w:val="24"/>
          <w:highlight w:val="none"/>
        </w:rPr>
        <w:t>且基础坑表面平整，有一定的强度，不积水</w:t>
      </w:r>
      <w:r>
        <w:rPr>
          <w:rFonts w:hint="eastAsia" w:ascii="宋体" w:hAnsi="宋体" w:cs="宋体"/>
          <w:color w:val="auto"/>
          <w:sz w:val="24"/>
          <w:highlight w:val="none"/>
          <w:lang w:val="zh-CN"/>
        </w:rPr>
        <w:t>。</w:t>
      </w:r>
      <w:r>
        <w:rPr>
          <w:rFonts w:hint="eastAsia" w:ascii="宋体" w:hAnsi="宋体" w:cs="宋体"/>
          <w:color w:val="auto"/>
          <w:sz w:val="24"/>
          <w:highlight w:val="none"/>
        </w:rPr>
        <w:t>一般情况为规则立方体结构，浇筑混凝土总立方数应大于等于设计标准。</w:t>
      </w:r>
    </w:p>
    <w:p>
      <w:pPr>
        <w:numPr>
          <w:ilvl w:val="0"/>
          <w:numId w:val="12"/>
        </w:numPr>
        <w:spacing w:line="360" w:lineRule="auto"/>
        <w:rPr>
          <w:rFonts w:ascii="宋体" w:hAnsi="宋体" w:cs="宋体"/>
          <w:color w:val="auto"/>
          <w:sz w:val="24"/>
          <w:highlight w:val="none"/>
        </w:rPr>
      </w:pPr>
      <w:r>
        <w:rPr>
          <w:rFonts w:hint="eastAsia" w:ascii="宋体" w:hAnsi="宋体" w:cs="宋体"/>
          <w:color w:val="auto"/>
          <w:sz w:val="24"/>
          <w:highlight w:val="none"/>
        </w:rPr>
        <w:t>浇筑基础前，应排除坑内积水，应保证基础坑内无碎土、砂石以及其它杂物。</w:t>
      </w:r>
    </w:p>
    <w:p>
      <w:pPr>
        <w:numPr>
          <w:ilvl w:val="0"/>
          <w:numId w:val="12"/>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基础的钢筋笼应临时固定，同时确保钢筋笼的基础顶板平面水平，即用水平尺在基础顶板垂直两个方向测量，观察其气泡应居中。</w:t>
      </w:r>
    </w:p>
    <w:p>
      <w:pPr>
        <w:numPr>
          <w:ilvl w:val="0"/>
          <w:numId w:val="12"/>
        </w:numPr>
        <w:spacing w:line="360" w:lineRule="auto"/>
        <w:rPr>
          <w:rFonts w:ascii="宋体" w:hAnsi="宋体" w:cs="宋体"/>
          <w:color w:val="auto"/>
          <w:sz w:val="24"/>
          <w:highlight w:val="none"/>
          <w:lang w:val="zh-CN"/>
        </w:rPr>
      </w:pPr>
      <w:r>
        <w:rPr>
          <w:rFonts w:hint="eastAsia" w:ascii="宋体" w:hAnsi="宋体" w:cs="宋体"/>
          <w:color w:val="auto"/>
          <w:sz w:val="24"/>
          <w:highlight w:val="none"/>
        </w:rPr>
        <w:t>基础应预留2-3根</w:t>
      </w:r>
      <w:r>
        <w:rPr>
          <w:rFonts w:hint="eastAsia" w:ascii="宋体" w:hAnsi="宋体" w:cs="宋体"/>
          <w:color w:val="auto"/>
          <w:sz w:val="24"/>
          <w:highlight w:val="none"/>
          <w:lang w:val="zh-CN"/>
        </w:rPr>
        <w:t>Φ75PE管</w:t>
      </w:r>
      <w:r>
        <w:rPr>
          <w:rFonts w:hint="eastAsia" w:ascii="宋体" w:hAnsi="宋体" w:cs="宋体"/>
          <w:color w:val="auto"/>
          <w:sz w:val="24"/>
          <w:highlight w:val="none"/>
        </w:rPr>
        <w:t>，从基础中心穿出，超出混凝土基础平面30cm。</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rPr>
        <w:t>5</w:t>
      </w:r>
      <w:r>
        <w:rPr>
          <w:rFonts w:hint="eastAsia" w:ascii="宋体" w:hAnsi="宋体" w:cs="宋体"/>
          <w:color w:val="auto"/>
          <w:sz w:val="24"/>
          <w:highlight w:val="none"/>
          <w:lang w:val="zh-CN"/>
        </w:rPr>
        <w:t>） 基础面下沉路面应为</w:t>
      </w:r>
      <w:r>
        <w:rPr>
          <w:rFonts w:hint="eastAsia" w:ascii="宋体" w:hAnsi="宋体" w:cs="宋体"/>
          <w:color w:val="auto"/>
          <w:sz w:val="24"/>
          <w:highlight w:val="none"/>
        </w:rPr>
        <w:t>15</w:t>
      </w:r>
      <w:r>
        <w:rPr>
          <w:rFonts w:hint="eastAsia" w:ascii="宋体" w:hAnsi="宋体" w:cs="宋体"/>
          <w:color w:val="auto"/>
          <w:sz w:val="24"/>
          <w:highlight w:val="none"/>
          <w:lang w:val="zh-CN"/>
        </w:rPr>
        <w:t>-30cm之间，</w:t>
      </w:r>
      <w:r>
        <w:rPr>
          <w:rFonts w:hint="eastAsia" w:ascii="宋体" w:hAnsi="宋体" w:cs="宋体"/>
          <w:color w:val="auto"/>
          <w:sz w:val="24"/>
          <w:highlight w:val="none"/>
        </w:rPr>
        <w:t>下沉路面恢复效果应于周围环境要求相符</w:t>
      </w:r>
      <w:r>
        <w:rPr>
          <w:rFonts w:hint="eastAsia" w:ascii="宋体" w:hAnsi="宋体" w:cs="宋体"/>
          <w:color w:val="auto"/>
          <w:sz w:val="24"/>
          <w:highlight w:val="none"/>
          <w:lang w:val="zh-CN"/>
        </w:rPr>
        <w:t>。</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zh-CN"/>
        </w:rPr>
        <w:t>）</w:t>
      </w:r>
      <w:r>
        <w:rPr>
          <w:rFonts w:hint="eastAsia" w:ascii="宋体" w:hAnsi="宋体" w:cs="宋体"/>
          <w:color w:val="auto"/>
          <w:sz w:val="24"/>
          <w:highlight w:val="none"/>
        </w:rPr>
        <w:t xml:space="preserve"> 基础应采用地锚混凝土式基础浇筑，所用混凝土标号不低于C25。地脚螺栓上端为螺纹，下端为夹角小于60°的折弯，地脚螺栓焊接在下法兰盘上。预埋件地脚螺栓法兰盘以上的螺纹在杆件安装前必须包扎好，以防损坏螺纹。</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w:t>
      </w:r>
      <w:r>
        <w:rPr>
          <w:rFonts w:hint="eastAsia" w:ascii="宋体" w:hAnsi="宋体" w:cs="宋体"/>
          <w:color w:val="auto"/>
          <w:sz w:val="24"/>
          <w:highlight w:val="none"/>
        </w:rPr>
        <w:t xml:space="preserve"> 浇筑混凝土时，不得污染路面。为保证钢筋笼不被混凝土冲歪，须将混凝土从钢筋笼中间倒入基础坑内，在倒入1/3部分后用振动棒震实，再倒入1/3部分后用振动棒震实，全部倒入后再震实，保证混凝土均匀没有蜂窝、空鼓。浇筑的混凝土不能出现离析现象。</w:t>
      </w:r>
    </w:p>
    <w:p>
      <w:pPr>
        <w:spacing w:line="360" w:lineRule="auto"/>
        <w:ind w:firstLine="480"/>
        <w:outlineLvl w:val="2"/>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lang w:val="zh-CN"/>
        </w:rPr>
        <w:t>）</w:t>
      </w:r>
      <w:r>
        <w:rPr>
          <w:rFonts w:hint="eastAsia" w:ascii="宋体" w:hAnsi="宋体" w:cs="宋体"/>
          <w:color w:val="auto"/>
          <w:sz w:val="24"/>
          <w:highlight w:val="none"/>
        </w:rPr>
        <w:t xml:space="preserve"> 基础在混凝土浇筑完成后养护期不得低于14天。</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9） 基础笼预埋时其方向应与底座法兰盘保持垂直。预埋法兰盘的纵向中心线与行车方向保持一致。基础施工完毕，地脚螺栓外露长度不低于50mm，并对外露螺部分加以妥善保护。</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10</w:t>
      </w:r>
      <w:r>
        <w:rPr>
          <w:rFonts w:hint="eastAsia" w:ascii="宋体" w:hAnsi="宋体" w:cs="宋体"/>
          <w:color w:val="auto"/>
          <w:sz w:val="24"/>
          <w:highlight w:val="none"/>
          <w:lang w:val="zh-CN"/>
        </w:rPr>
        <w:t>）</w:t>
      </w:r>
      <w:r>
        <w:rPr>
          <w:rFonts w:hint="eastAsia" w:ascii="宋体" w:hAnsi="宋体" w:cs="宋体"/>
          <w:color w:val="auto"/>
          <w:sz w:val="24"/>
          <w:highlight w:val="none"/>
        </w:rPr>
        <w:t xml:space="preserve"> 落地</w:t>
      </w:r>
      <w:r>
        <w:rPr>
          <w:rFonts w:hint="eastAsia" w:ascii="宋体" w:hAnsi="宋体" w:cs="宋体"/>
          <w:color w:val="auto"/>
          <w:sz w:val="24"/>
          <w:highlight w:val="none"/>
          <w:lang w:val="zh-CN"/>
        </w:rPr>
        <w:t>机柜基础宜做支模，基础高于地面应不小于20cm，机柜内的管道宜预留2-3根Φ75PE管，便于后期穿线。</w:t>
      </w:r>
    </w:p>
    <w:p>
      <w:pPr>
        <w:pStyle w:val="5"/>
        <w:tabs>
          <w:tab w:val="left" w:pos="8280"/>
        </w:tabs>
        <w:spacing w:line="360" w:lineRule="auto"/>
        <w:rPr>
          <w:rFonts w:ascii="宋体" w:hAnsi="宋体" w:cs="宋体"/>
          <w:bCs w:val="0"/>
          <w:color w:val="auto"/>
          <w:sz w:val="24"/>
          <w:szCs w:val="24"/>
          <w:highlight w:val="none"/>
        </w:rPr>
      </w:pPr>
      <w:bookmarkStart w:id="95" w:name="_Toc38375495"/>
      <w:bookmarkStart w:id="96" w:name="_Toc10212781"/>
      <w:bookmarkStart w:id="97" w:name="_Toc28810"/>
      <w:bookmarkStart w:id="98" w:name="_Toc15288143"/>
      <w:bookmarkStart w:id="99" w:name="_Toc38376015"/>
      <w:r>
        <w:rPr>
          <w:rFonts w:hint="eastAsia" w:ascii="宋体" w:hAnsi="宋体" w:cs="宋体"/>
          <w:bCs w:val="0"/>
          <w:color w:val="auto"/>
          <w:sz w:val="24"/>
          <w:szCs w:val="24"/>
          <w:highlight w:val="none"/>
        </w:rPr>
        <w:t>3、窨井</w:t>
      </w:r>
      <w:bookmarkEnd w:id="95"/>
      <w:bookmarkEnd w:id="96"/>
      <w:bookmarkEnd w:id="97"/>
      <w:bookmarkEnd w:id="98"/>
      <w:bookmarkEnd w:id="99"/>
    </w:p>
    <w:p>
      <w:pPr>
        <w:spacing w:line="360" w:lineRule="auto"/>
        <w:ind w:firstLine="480"/>
        <w:rPr>
          <w:rFonts w:ascii="宋体" w:hAnsi="宋体" w:cs="宋体"/>
          <w:b/>
          <w:bCs/>
          <w:color w:val="auto"/>
          <w:sz w:val="24"/>
          <w:highlight w:val="none"/>
          <w:lang w:val="zh-CN"/>
        </w:rPr>
      </w:pPr>
      <w:bookmarkStart w:id="100" w:name="_Toc533860774"/>
      <w:bookmarkStart w:id="101" w:name="_Toc10212782"/>
      <w:r>
        <w:rPr>
          <w:rFonts w:hint="eastAsia" w:ascii="宋体" w:hAnsi="宋体" w:cs="宋体"/>
          <w:b/>
          <w:bCs/>
          <w:color w:val="auto"/>
          <w:sz w:val="24"/>
          <w:highlight w:val="none"/>
        </w:rPr>
        <w:t>（1）</w:t>
      </w:r>
      <w:r>
        <w:rPr>
          <w:rFonts w:hint="eastAsia" w:ascii="宋体" w:hAnsi="宋体" w:cs="宋体"/>
          <w:b/>
          <w:bCs/>
          <w:color w:val="auto"/>
          <w:sz w:val="24"/>
          <w:highlight w:val="none"/>
          <w:lang w:val="zh-CN"/>
        </w:rPr>
        <w:t>通用要求</w:t>
      </w:r>
      <w:bookmarkEnd w:id="100"/>
      <w:bookmarkEnd w:id="101"/>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窨井的规格和设置位置应符合《</w:t>
      </w:r>
      <w:r>
        <w:rPr>
          <w:color w:val="auto"/>
          <w:highlight w:val="none"/>
        </w:rPr>
        <w:fldChar w:fldCharType="begin"/>
      </w:r>
      <w:r>
        <w:rPr>
          <w:color w:val="auto"/>
          <w:highlight w:val="none"/>
        </w:rPr>
        <w:instrText xml:space="preserve"> HYPERLINK "https://www.sogou.com/link?url=DSOYnZeCC_orOCecstjRvFsvczIAT1rtQPxCswfwlL7SO3sQlwWotq4to0wa_Tif" \t "_blank" </w:instrText>
      </w:r>
      <w:r>
        <w:rPr>
          <w:color w:val="auto"/>
          <w:highlight w:val="none"/>
        </w:rPr>
        <w:fldChar w:fldCharType="separate"/>
      </w:r>
      <w:r>
        <w:rPr>
          <w:rFonts w:hint="eastAsia" w:ascii="宋体" w:hAnsi="宋体" w:cs="宋体"/>
          <w:color w:val="auto"/>
          <w:sz w:val="24"/>
          <w:highlight w:val="none"/>
        </w:rPr>
        <w:t>公安交通管理外场设备基础设施施工通用要求</w:t>
      </w:r>
      <w:r>
        <w:rPr>
          <w:rFonts w:hint="eastAsia" w:ascii="宋体" w:hAnsi="宋体" w:cs="宋体"/>
          <w:color w:val="auto"/>
          <w:sz w:val="24"/>
          <w:highlight w:val="none"/>
        </w:rPr>
        <w:fldChar w:fldCharType="end"/>
      </w:r>
      <w:r>
        <w:rPr>
          <w:rFonts w:hint="eastAsia" w:ascii="宋体" w:hAnsi="宋体" w:cs="宋体"/>
          <w:color w:val="auto"/>
          <w:sz w:val="24"/>
          <w:highlight w:val="none"/>
        </w:rPr>
        <w:t>》GA/T 652的要求。</w:t>
      </w:r>
    </w:p>
    <w:p>
      <w:pPr>
        <w:spacing w:line="360" w:lineRule="auto"/>
        <w:ind w:firstLine="480"/>
        <w:rPr>
          <w:rFonts w:ascii="宋体" w:hAnsi="宋体" w:cs="宋体"/>
          <w:b/>
          <w:bCs/>
          <w:color w:val="auto"/>
          <w:sz w:val="24"/>
          <w:highlight w:val="none"/>
          <w:lang w:val="zh-CN"/>
        </w:rPr>
      </w:pPr>
      <w:bookmarkStart w:id="102" w:name="_Toc533860775"/>
      <w:bookmarkStart w:id="103" w:name="_Toc10212783"/>
      <w:r>
        <w:rPr>
          <w:rFonts w:hint="eastAsia" w:ascii="宋体" w:hAnsi="宋体" w:cs="宋体"/>
          <w:b/>
          <w:bCs/>
          <w:color w:val="auto"/>
          <w:sz w:val="24"/>
          <w:highlight w:val="none"/>
        </w:rPr>
        <w:t>（2）</w:t>
      </w:r>
      <w:r>
        <w:rPr>
          <w:rFonts w:hint="eastAsia" w:ascii="宋体" w:hAnsi="宋体" w:cs="宋体"/>
          <w:b/>
          <w:bCs/>
          <w:color w:val="auto"/>
          <w:sz w:val="24"/>
          <w:highlight w:val="none"/>
          <w:lang w:val="zh-CN"/>
        </w:rPr>
        <w:t>施工工序要求</w:t>
      </w:r>
      <w:bookmarkEnd w:id="102"/>
      <w:bookmarkEnd w:id="103"/>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基础施工工序应满足以下流程，应完成上一步后方可进行下一步施工：</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1） 挖基础坑</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2） 砂浆砖砌体</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3） 铺滤水砂层</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4） 找平</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5） 安装井座井盖</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6） 井内管口封堵</w:t>
      </w:r>
    </w:p>
    <w:p>
      <w:pPr>
        <w:spacing w:line="360" w:lineRule="auto"/>
        <w:ind w:firstLine="480"/>
        <w:rPr>
          <w:rFonts w:ascii="宋体" w:hAnsi="宋体" w:cs="宋体"/>
          <w:b/>
          <w:bCs/>
          <w:color w:val="auto"/>
          <w:sz w:val="24"/>
          <w:highlight w:val="none"/>
          <w:lang w:val="zh-CN"/>
        </w:rPr>
      </w:pPr>
      <w:bookmarkStart w:id="104" w:name="_Toc10212785"/>
      <w:bookmarkStart w:id="105" w:name="_Toc15288144"/>
      <w:bookmarkStart w:id="106" w:name="_Toc38376016"/>
      <w:bookmarkStart w:id="107" w:name="_Toc38375496"/>
      <w:r>
        <w:rPr>
          <w:rFonts w:hint="eastAsia" w:ascii="宋体" w:hAnsi="宋体" w:cs="宋体"/>
          <w:b/>
          <w:bCs/>
          <w:color w:val="auto"/>
          <w:sz w:val="24"/>
          <w:highlight w:val="none"/>
        </w:rPr>
        <w:t>（3）</w:t>
      </w:r>
      <w:r>
        <w:rPr>
          <w:rFonts w:hint="eastAsia" w:ascii="宋体" w:hAnsi="宋体" w:cs="宋体"/>
          <w:b/>
          <w:bCs/>
          <w:color w:val="auto"/>
          <w:sz w:val="24"/>
          <w:highlight w:val="none"/>
          <w:lang w:val="zh-CN"/>
        </w:rPr>
        <w:t>施工</w:t>
      </w:r>
      <w:r>
        <w:rPr>
          <w:rFonts w:hint="eastAsia" w:ascii="宋体" w:hAnsi="宋体" w:cs="宋体"/>
          <w:b/>
          <w:bCs/>
          <w:color w:val="auto"/>
          <w:sz w:val="24"/>
          <w:highlight w:val="none"/>
        </w:rPr>
        <w:t>工艺</w:t>
      </w:r>
      <w:r>
        <w:rPr>
          <w:rFonts w:hint="eastAsia" w:ascii="宋体" w:hAnsi="宋体" w:cs="宋体"/>
          <w:b/>
          <w:bCs/>
          <w:color w:val="auto"/>
          <w:sz w:val="24"/>
          <w:highlight w:val="none"/>
          <w:lang w:val="zh-CN"/>
        </w:rPr>
        <w:t>要求</w:t>
      </w:r>
    </w:p>
    <w:p>
      <w:pPr>
        <w:numPr>
          <w:ilvl w:val="0"/>
          <w:numId w:val="13"/>
        </w:numPr>
        <w:spacing w:line="360" w:lineRule="auto"/>
        <w:rPr>
          <w:rFonts w:ascii="宋体" w:hAnsi="宋体" w:cs="宋体"/>
          <w:color w:val="auto"/>
          <w:sz w:val="24"/>
          <w:highlight w:val="none"/>
        </w:rPr>
      </w:pPr>
      <w:r>
        <w:rPr>
          <w:rFonts w:hint="eastAsia" w:ascii="宋体" w:hAnsi="宋体" w:cs="宋体"/>
          <w:color w:val="auto"/>
          <w:sz w:val="24"/>
          <w:highlight w:val="none"/>
        </w:rPr>
        <w:t>窨井的井圈与井盖的尺寸应能匹配使用，井盖应与周围路面处于同一水平上，应避免窨井处于低洼积水位置。</w:t>
      </w:r>
    </w:p>
    <w:p>
      <w:pPr>
        <w:numPr>
          <w:ilvl w:val="0"/>
          <w:numId w:val="13"/>
        </w:numPr>
        <w:spacing w:line="360" w:lineRule="auto"/>
        <w:rPr>
          <w:rFonts w:ascii="宋体" w:hAnsi="宋体" w:cs="宋体"/>
          <w:color w:val="auto"/>
          <w:sz w:val="24"/>
          <w:highlight w:val="none"/>
        </w:rPr>
      </w:pPr>
      <w:r>
        <w:rPr>
          <w:rFonts w:hint="eastAsia" w:ascii="宋体" w:hAnsi="宋体" w:cs="宋体"/>
          <w:color w:val="auto"/>
          <w:sz w:val="24"/>
          <w:highlight w:val="none"/>
        </w:rPr>
        <w:t>窨井的井盖应有防滑、防跌落、防位移等措施，井盖上应有明显的用途及产权标志。</w:t>
      </w:r>
    </w:p>
    <w:p>
      <w:pPr>
        <w:pStyle w:val="5"/>
        <w:tabs>
          <w:tab w:val="left" w:pos="8280"/>
        </w:tabs>
        <w:spacing w:line="360" w:lineRule="auto"/>
        <w:rPr>
          <w:rFonts w:ascii="宋体" w:hAnsi="宋体" w:cs="宋体"/>
          <w:bCs w:val="0"/>
          <w:color w:val="auto"/>
          <w:sz w:val="24"/>
          <w:szCs w:val="24"/>
          <w:highlight w:val="none"/>
        </w:rPr>
      </w:pPr>
      <w:bookmarkStart w:id="108" w:name="_Toc30549"/>
      <w:r>
        <w:rPr>
          <w:rFonts w:hint="eastAsia" w:ascii="宋体" w:hAnsi="宋体" w:cs="宋体"/>
          <w:bCs w:val="0"/>
          <w:color w:val="auto"/>
          <w:sz w:val="24"/>
          <w:szCs w:val="24"/>
          <w:highlight w:val="none"/>
        </w:rPr>
        <w:t>4、管道</w:t>
      </w:r>
      <w:bookmarkEnd w:id="104"/>
      <w:bookmarkEnd w:id="105"/>
      <w:bookmarkEnd w:id="106"/>
      <w:bookmarkEnd w:id="107"/>
      <w:bookmarkEnd w:id="108"/>
    </w:p>
    <w:p>
      <w:pPr>
        <w:spacing w:line="360" w:lineRule="auto"/>
        <w:ind w:firstLine="480"/>
        <w:rPr>
          <w:rFonts w:ascii="宋体" w:hAnsi="宋体" w:cs="宋体"/>
          <w:b/>
          <w:bCs/>
          <w:color w:val="auto"/>
          <w:sz w:val="24"/>
          <w:highlight w:val="none"/>
          <w:lang w:val="zh-CN"/>
        </w:rPr>
      </w:pPr>
      <w:bookmarkStart w:id="109" w:name="_Toc10212786"/>
      <w:bookmarkStart w:id="110" w:name="_Toc533860778"/>
      <w:r>
        <w:rPr>
          <w:rFonts w:hint="eastAsia" w:ascii="宋体" w:hAnsi="宋体" w:cs="宋体"/>
          <w:b/>
          <w:bCs/>
          <w:color w:val="auto"/>
          <w:sz w:val="24"/>
          <w:highlight w:val="none"/>
        </w:rPr>
        <w:t>（1）</w:t>
      </w:r>
      <w:r>
        <w:rPr>
          <w:rFonts w:hint="eastAsia" w:ascii="宋体" w:hAnsi="宋体" w:cs="宋体"/>
          <w:b/>
          <w:bCs/>
          <w:color w:val="auto"/>
          <w:sz w:val="24"/>
          <w:highlight w:val="none"/>
          <w:lang w:val="zh-CN"/>
        </w:rPr>
        <w:t>通用要求</w:t>
      </w:r>
      <w:bookmarkEnd w:id="109"/>
      <w:bookmarkEnd w:id="110"/>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管道的埋设应符合《</w:t>
      </w:r>
      <w:r>
        <w:rPr>
          <w:color w:val="auto"/>
          <w:highlight w:val="none"/>
        </w:rPr>
        <w:fldChar w:fldCharType="begin"/>
      </w:r>
      <w:r>
        <w:rPr>
          <w:color w:val="auto"/>
          <w:highlight w:val="none"/>
        </w:rPr>
        <w:instrText xml:space="preserve"> HYPERLINK "https://www.sogou.com/link?url=DSOYnZeCC_orOCecstjRvFsvczIAT1rtQPxCswfwlL7SO3sQlwWotq4to0wa_Tif" \t "_blank" </w:instrText>
      </w:r>
      <w:r>
        <w:rPr>
          <w:color w:val="auto"/>
          <w:highlight w:val="none"/>
        </w:rPr>
        <w:fldChar w:fldCharType="separate"/>
      </w:r>
      <w:r>
        <w:rPr>
          <w:rFonts w:hint="eastAsia" w:ascii="宋体" w:hAnsi="宋体" w:cs="宋体"/>
          <w:color w:val="auto"/>
          <w:sz w:val="24"/>
          <w:highlight w:val="none"/>
        </w:rPr>
        <w:t>公安交通管理外场设备基础设施施工通用要求</w:t>
      </w:r>
      <w:r>
        <w:rPr>
          <w:rFonts w:hint="eastAsia" w:ascii="宋体" w:hAnsi="宋体" w:cs="宋体"/>
          <w:color w:val="auto"/>
          <w:sz w:val="24"/>
          <w:highlight w:val="none"/>
        </w:rPr>
        <w:fldChar w:fldCharType="end"/>
      </w:r>
      <w:r>
        <w:rPr>
          <w:rFonts w:hint="eastAsia" w:ascii="宋体" w:hAnsi="宋体" w:cs="宋体"/>
          <w:color w:val="auto"/>
          <w:sz w:val="24"/>
          <w:highlight w:val="none"/>
        </w:rPr>
        <w:t>》GA/T 652的要求。</w:t>
      </w:r>
    </w:p>
    <w:p>
      <w:pPr>
        <w:spacing w:line="360" w:lineRule="auto"/>
        <w:ind w:firstLine="480"/>
        <w:rPr>
          <w:rFonts w:ascii="宋体" w:hAnsi="宋体" w:cs="宋体"/>
          <w:b/>
          <w:bCs/>
          <w:color w:val="auto"/>
          <w:sz w:val="24"/>
          <w:highlight w:val="none"/>
          <w:lang w:val="zh-CN"/>
        </w:rPr>
      </w:pPr>
      <w:bookmarkStart w:id="111" w:name="_Toc10212787"/>
      <w:bookmarkStart w:id="112" w:name="_Toc533860779"/>
      <w:r>
        <w:rPr>
          <w:rFonts w:hint="eastAsia" w:ascii="宋体" w:hAnsi="宋体" w:cs="宋体"/>
          <w:b/>
          <w:bCs/>
          <w:color w:val="auto"/>
          <w:sz w:val="24"/>
          <w:highlight w:val="none"/>
          <w:lang w:val="zh-CN"/>
        </w:rPr>
        <w:t>（</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）施工工序要求</w:t>
      </w:r>
      <w:bookmarkEnd w:id="111"/>
      <w:bookmarkEnd w:id="112"/>
      <w:r>
        <w:rPr>
          <w:rFonts w:hint="eastAsia" w:ascii="宋体" w:hAnsi="宋体" w:cs="宋体"/>
          <w:b/>
          <w:bCs/>
          <w:color w:val="auto"/>
          <w:sz w:val="24"/>
          <w:highlight w:val="none"/>
          <w:lang w:val="zh-CN"/>
        </w:rPr>
        <w:t>（钢管）</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rPr>
        <w:t>管道</w:t>
      </w:r>
      <w:r>
        <w:rPr>
          <w:rFonts w:hint="eastAsia" w:ascii="宋体" w:hAnsi="宋体" w:cs="宋体"/>
          <w:color w:val="auto"/>
          <w:sz w:val="24"/>
          <w:highlight w:val="none"/>
          <w:lang w:val="zh-CN"/>
        </w:rPr>
        <w:t>施工工序应满足以下流程，应完成上一步后方可进行下一步施工：</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1） 管道定位</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2） 道路围护</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3） 路面切割</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4） 路面破碎、挖运</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5） 过路管安装</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6） 路面修复</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7） 路面防护</w:t>
      </w:r>
    </w:p>
    <w:p>
      <w:pPr>
        <w:spacing w:line="360" w:lineRule="auto"/>
        <w:ind w:firstLine="480"/>
        <w:rPr>
          <w:rFonts w:ascii="宋体" w:hAnsi="宋体" w:cs="宋体"/>
          <w:b/>
          <w:bCs/>
          <w:color w:val="auto"/>
          <w:sz w:val="24"/>
          <w:highlight w:val="none"/>
          <w:lang w:val="zh-CN"/>
        </w:rPr>
      </w:pPr>
      <w:bookmarkStart w:id="113" w:name="_Toc10212789"/>
      <w:r>
        <w:rPr>
          <w:rFonts w:hint="eastAsia" w:ascii="宋体" w:hAnsi="宋体" w:cs="宋体"/>
          <w:b/>
          <w:bCs/>
          <w:color w:val="auto"/>
          <w:sz w:val="24"/>
          <w:highlight w:val="none"/>
          <w:lang w:val="zh-CN"/>
        </w:rPr>
        <w:t>（</w:t>
      </w:r>
      <w:r>
        <w:rPr>
          <w:rFonts w:hint="eastAsia" w:ascii="宋体" w:hAnsi="宋体" w:cs="宋体"/>
          <w:b/>
          <w:bCs/>
          <w:color w:val="auto"/>
          <w:sz w:val="24"/>
          <w:highlight w:val="none"/>
        </w:rPr>
        <w:t>3</w:t>
      </w:r>
      <w:r>
        <w:rPr>
          <w:rFonts w:hint="eastAsia" w:ascii="宋体" w:hAnsi="宋体" w:cs="宋体"/>
          <w:b/>
          <w:bCs/>
          <w:color w:val="auto"/>
          <w:sz w:val="24"/>
          <w:highlight w:val="none"/>
          <w:lang w:val="zh-CN"/>
        </w:rPr>
        <w:t>）施工工序要求（PE管）</w:t>
      </w:r>
      <w:bookmarkEnd w:id="113"/>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rPr>
        <w:t>管道</w:t>
      </w:r>
      <w:r>
        <w:rPr>
          <w:rFonts w:hint="eastAsia" w:ascii="宋体" w:hAnsi="宋体" w:cs="宋体"/>
          <w:color w:val="auto"/>
          <w:sz w:val="24"/>
          <w:highlight w:val="none"/>
          <w:lang w:val="zh-CN"/>
        </w:rPr>
        <w:t>施工工序应满足以下流程，应完成上一步后方可进行下一步施工：</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1） 测量定位</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2） 开挖</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3） 埋管</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4） 回填</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5） 恢复</w:t>
      </w:r>
    </w:p>
    <w:p>
      <w:pPr>
        <w:spacing w:line="360" w:lineRule="auto"/>
        <w:ind w:firstLine="241" w:firstLineChars="100"/>
        <w:rPr>
          <w:rFonts w:ascii="宋体" w:hAnsi="宋体" w:cs="宋体"/>
          <w:b/>
          <w:bCs/>
          <w:color w:val="auto"/>
          <w:sz w:val="24"/>
          <w:highlight w:val="none"/>
          <w:lang w:val="zh-CN"/>
        </w:rPr>
      </w:pPr>
      <w:bookmarkStart w:id="114" w:name="_Toc38375497"/>
      <w:bookmarkStart w:id="115" w:name="_Toc38376017"/>
      <w:bookmarkStart w:id="116" w:name="_Toc10212791"/>
      <w:bookmarkStart w:id="117" w:name="_Toc15288145"/>
      <w:r>
        <w:rPr>
          <w:rFonts w:hint="eastAsia" w:ascii="宋体" w:hAnsi="宋体" w:cs="宋体"/>
          <w:b/>
          <w:bCs/>
          <w:color w:val="auto"/>
          <w:sz w:val="24"/>
          <w:highlight w:val="none"/>
          <w:lang w:val="zh-CN"/>
        </w:rPr>
        <w:t>（</w:t>
      </w:r>
      <w:r>
        <w:rPr>
          <w:rFonts w:hint="eastAsia" w:ascii="宋体" w:hAnsi="宋体" w:cs="宋体"/>
          <w:b/>
          <w:bCs/>
          <w:color w:val="auto"/>
          <w:sz w:val="24"/>
          <w:highlight w:val="none"/>
        </w:rPr>
        <w:t>5</w:t>
      </w:r>
      <w:r>
        <w:rPr>
          <w:rFonts w:hint="eastAsia" w:ascii="宋体" w:hAnsi="宋体" w:cs="宋体"/>
          <w:b/>
          <w:bCs/>
          <w:color w:val="auto"/>
          <w:sz w:val="24"/>
          <w:highlight w:val="none"/>
          <w:lang w:val="zh-CN"/>
        </w:rPr>
        <w:t>）施工工艺要求</w:t>
      </w:r>
    </w:p>
    <w:p>
      <w:pPr>
        <w:numPr>
          <w:ilvl w:val="0"/>
          <w:numId w:val="14"/>
        </w:numPr>
        <w:spacing w:line="360" w:lineRule="auto"/>
        <w:rPr>
          <w:rFonts w:ascii="宋体" w:hAnsi="宋体" w:cs="宋体"/>
          <w:color w:val="auto"/>
          <w:sz w:val="24"/>
          <w:highlight w:val="none"/>
        </w:rPr>
      </w:pPr>
      <w:r>
        <w:rPr>
          <w:rFonts w:hint="eastAsia" w:ascii="宋体" w:hAnsi="宋体" w:cs="宋体"/>
          <w:color w:val="auto"/>
          <w:sz w:val="24"/>
          <w:highlight w:val="none"/>
          <w:lang w:val="zh-CN"/>
        </w:rPr>
        <w:t>穿越机动车道、</w:t>
      </w:r>
      <w:r>
        <w:rPr>
          <w:rFonts w:hint="eastAsia" w:ascii="宋体" w:hAnsi="宋体" w:cs="宋体"/>
          <w:color w:val="auto"/>
          <w:sz w:val="24"/>
          <w:highlight w:val="none"/>
        </w:rPr>
        <w:t>非机动车道</w:t>
      </w:r>
      <w:r>
        <w:rPr>
          <w:rFonts w:hint="eastAsia" w:ascii="宋体" w:hAnsi="宋体" w:cs="宋体"/>
          <w:color w:val="auto"/>
          <w:sz w:val="24"/>
          <w:highlight w:val="none"/>
          <w:lang w:val="zh-CN"/>
        </w:rPr>
        <w:t>的地下管道</w:t>
      </w:r>
      <w:r>
        <w:rPr>
          <w:rFonts w:hint="eastAsia" w:ascii="宋体" w:hAnsi="宋体" w:cs="宋体"/>
          <w:color w:val="auto"/>
          <w:sz w:val="24"/>
          <w:highlight w:val="none"/>
        </w:rPr>
        <w:t>沟的宽度不小于400mm，深度以管道理置后其底部距路面的距离不小于700mm。管道沟要求平直敷设，或略呈倒“U”字型，所有碎屑清理干净并填上50mm的细软沙土。管道施工路面恢复材料与道路建设材料一致，恢复后施工作业面平整度与路面平整度保持一致。穿越</w:t>
      </w:r>
      <w:r>
        <w:rPr>
          <w:rFonts w:hint="eastAsia" w:ascii="宋体" w:hAnsi="宋体" w:cs="宋体"/>
          <w:color w:val="auto"/>
          <w:sz w:val="24"/>
          <w:highlight w:val="none"/>
          <w:lang w:val="zh-CN"/>
        </w:rPr>
        <w:t>机动车道、</w:t>
      </w:r>
      <w:r>
        <w:rPr>
          <w:rFonts w:hint="eastAsia" w:ascii="宋体" w:hAnsi="宋体" w:cs="宋体"/>
          <w:color w:val="auto"/>
          <w:sz w:val="24"/>
          <w:highlight w:val="none"/>
        </w:rPr>
        <w:t>非机动车道的地下管道采用镀锌钢管。每方向须埋设每段≥2根独立管道，管的公称口径应≥Ф100mm，并穿好铁丝。管与管的接头处应焊接好，并作防锈处理。</w:t>
      </w:r>
    </w:p>
    <w:p>
      <w:pPr>
        <w:numPr>
          <w:ilvl w:val="0"/>
          <w:numId w:val="14"/>
        </w:numPr>
        <w:spacing w:line="360" w:lineRule="auto"/>
        <w:rPr>
          <w:rFonts w:ascii="宋体" w:hAnsi="宋体" w:cs="宋体"/>
          <w:color w:val="auto"/>
          <w:sz w:val="24"/>
          <w:highlight w:val="none"/>
          <w:lang w:val="zh-CN"/>
        </w:rPr>
      </w:pPr>
      <w:r>
        <w:rPr>
          <w:rFonts w:hint="eastAsia" w:ascii="宋体" w:hAnsi="宋体" w:cs="宋体"/>
          <w:color w:val="auto"/>
          <w:sz w:val="24"/>
          <w:highlight w:val="none"/>
        </w:rPr>
        <w:t>穿越</w:t>
      </w:r>
      <w:r>
        <w:rPr>
          <w:rFonts w:hint="eastAsia" w:ascii="宋体" w:hAnsi="宋体" w:cs="宋体"/>
          <w:color w:val="auto"/>
          <w:sz w:val="24"/>
          <w:highlight w:val="none"/>
          <w:lang w:val="zh-CN"/>
        </w:rPr>
        <w:t>人行道、绿化带下的地下管道埋设。穿越人行道、绿化带下的地下管道沟的宽度不小于300mm，深度以管道理置后其</w:t>
      </w:r>
      <w:r>
        <w:rPr>
          <w:rFonts w:hint="eastAsia" w:ascii="宋体" w:hAnsi="宋体" w:cs="宋体"/>
          <w:color w:val="auto"/>
          <w:sz w:val="24"/>
          <w:highlight w:val="none"/>
        </w:rPr>
        <w:t>底</w:t>
      </w:r>
      <w:r>
        <w:rPr>
          <w:rFonts w:hint="eastAsia" w:ascii="宋体" w:hAnsi="宋体" w:cs="宋体"/>
          <w:color w:val="auto"/>
          <w:sz w:val="24"/>
          <w:highlight w:val="none"/>
          <w:lang w:val="zh-CN"/>
        </w:rPr>
        <w:t>部距路面的距离不小于</w:t>
      </w:r>
      <w:r>
        <w:rPr>
          <w:rFonts w:hint="eastAsia" w:ascii="宋体" w:hAnsi="宋体" w:cs="宋体"/>
          <w:color w:val="auto"/>
          <w:sz w:val="24"/>
          <w:highlight w:val="none"/>
        </w:rPr>
        <w:t>5</w:t>
      </w:r>
      <w:r>
        <w:rPr>
          <w:rFonts w:hint="eastAsia" w:ascii="宋体" w:hAnsi="宋体" w:cs="宋体"/>
          <w:color w:val="auto"/>
          <w:sz w:val="24"/>
          <w:highlight w:val="none"/>
          <w:lang w:val="zh-CN"/>
        </w:rPr>
        <w:t>00mm。管道沟要求平直敷设，或略呈倒“U”字型。沟底部要求平整，所有碎屑清理干净并填上不低于50mm的细软沙土。管道施工路面恢复材料与道路建设材料一致，恢复后施工作业面平整度与路面平整度保持一致。穿越人行道、绿化带下的地下管道采用高强度的PE管，数量为每段≥</w:t>
      </w:r>
      <w:r>
        <w:rPr>
          <w:rFonts w:hint="eastAsia" w:ascii="宋体" w:hAnsi="宋体" w:cs="宋体"/>
          <w:color w:val="auto"/>
          <w:sz w:val="24"/>
          <w:highlight w:val="none"/>
        </w:rPr>
        <w:t>2</w:t>
      </w:r>
      <w:r>
        <w:rPr>
          <w:rFonts w:hint="eastAsia" w:ascii="宋体" w:hAnsi="宋体" w:cs="宋体"/>
          <w:color w:val="auto"/>
          <w:sz w:val="24"/>
          <w:highlight w:val="none"/>
          <w:lang w:val="zh-CN"/>
        </w:rPr>
        <w:t>根。管的公称口径≥Ф</w:t>
      </w:r>
      <w:r>
        <w:rPr>
          <w:rFonts w:hint="eastAsia" w:ascii="宋体" w:hAnsi="宋体" w:cs="宋体"/>
          <w:color w:val="auto"/>
          <w:sz w:val="24"/>
          <w:highlight w:val="none"/>
        </w:rPr>
        <w:t>75</w:t>
      </w:r>
      <w:r>
        <w:rPr>
          <w:rFonts w:hint="eastAsia" w:ascii="宋体" w:hAnsi="宋体" w:cs="宋体"/>
          <w:color w:val="auto"/>
          <w:sz w:val="24"/>
          <w:highlight w:val="none"/>
          <w:lang w:val="zh-CN"/>
        </w:rPr>
        <w:t>mm，并穿好铁丝。管与管的接头处使用套管固定，在管道端口处使用防鼠护套。</w:t>
      </w:r>
    </w:p>
    <w:p>
      <w:pPr>
        <w:numPr>
          <w:ilvl w:val="0"/>
          <w:numId w:val="14"/>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架空管线：架空电缆线净空高度不应低于6米。架空电缆线跨度超过30米时，应使用钢绞线，应加线托将电缆线托起。架空电缆线在引出处，高空2.5米以下部分，应使用钢套管保护。</w:t>
      </w:r>
    </w:p>
    <w:bookmarkEnd w:id="114"/>
    <w:bookmarkEnd w:id="115"/>
    <w:bookmarkEnd w:id="116"/>
    <w:bookmarkEnd w:id="117"/>
    <w:p>
      <w:pPr>
        <w:pStyle w:val="5"/>
        <w:tabs>
          <w:tab w:val="left" w:pos="8280"/>
        </w:tabs>
        <w:spacing w:line="360" w:lineRule="auto"/>
        <w:rPr>
          <w:rFonts w:ascii="宋体" w:hAnsi="宋体" w:cs="宋体"/>
          <w:bCs w:val="0"/>
          <w:color w:val="auto"/>
          <w:sz w:val="24"/>
          <w:szCs w:val="24"/>
          <w:highlight w:val="none"/>
        </w:rPr>
      </w:pPr>
      <w:bookmarkStart w:id="118" w:name="_Toc17714"/>
      <w:r>
        <w:rPr>
          <w:rFonts w:hint="eastAsia" w:ascii="宋体" w:hAnsi="宋体" w:cs="宋体"/>
          <w:bCs w:val="0"/>
          <w:color w:val="auto"/>
          <w:sz w:val="24"/>
          <w:szCs w:val="24"/>
          <w:highlight w:val="none"/>
        </w:rPr>
        <w:t>5、线缆敷设</w:t>
      </w:r>
      <w:bookmarkEnd w:id="118"/>
    </w:p>
    <w:p>
      <w:pPr>
        <w:spacing w:line="360" w:lineRule="auto"/>
        <w:outlineLvl w:val="3"/>
        <w:rPr>
          <w:rFonts w:ascii="宋体" w:hAnsi="宋体" w:cs="宋体"/>
          <w:b/>
          <w:bCs/>
          <w:color w:val="auto"/>
          <w:sz w:val="24"/>
          <w:highlight w:val="none"/>
          <w:lang w:val="zh-CN"/>
        </w:rPr>
      </w:pPr>
      <w:r>
        <w:rPr>
          <w:rFonts w:hint="eastAsia" w:ascii="宋体" w:hAnsi="宋体" w:cs="宋体"/>
          <w:b/>
          <w:bCs/>
          <w:color w:val="auto"/>
          <w:sz w:val="24"/>
          <w:highlight w:val="none"/>
          <w:lang w:val="zh-CN"/>
        </w:rPr>
        <w:t>（</w:t>
      </w:r>
      <w:r>
        <w:rPr>
          <w:rFonts w:hint="eastAsia" w:ascii="宋体" w:hAnsi="宋体" w:cs="宋体"/>
          <w:b/>
          <w:bCs/>
          <w:color w:val="auto"/>
          <w:sz w:val="24"/>
          <w:highlight w:val="none"/>
        </w:rPr>
        <w:t>1</w:t>
      </w:r>
      <w:r>
        <w:rPr>
          <w:rFonts w:hint="eastAsia" w:ascii="宋体" w:hAnsi="宋体" w:cs="宋体"/>
          <w:b/>
          <w:bCs/>
          <w:color w:val="auto"/>
          <w:sz w:val="24"/>
          <w:highlight w:val="none"/>
          <w:lang w:val="zh-CN"/>
        </w:rPr>
        <w:t>）通用要求</w:t>
      </w:r>
    </w:p>
    <w:p>
      <w:pPr>
        <w:numPr>
          <w:ilvl w:val="0"/>
          <w:numId w:val="15"/>
        </w:numPr>
        <w:spacing w:line="360" w:lineRule="auto"/>
        <w:outlineLvl w:val="3"/>
        <w:rPr>
          <w:rFonts w:ascii="宋体" w:hAnsi="宋体" w:cs="宋体"/>
          <w:color w:val="auto"/>
          <w:sz w:val="24"/>
          <w:highlight w:val="none"/>
          <w:lang w:val="zh-CN"/>
        </w:rPr>
      </w:pPr>
      <w:r>
        <w:rPr>
          <w:rFonts w:hint="eastAsia" w:ascii="宋体" w:hAnsi="宋体" w:cs="宋体"/>
          <w:color w:val="auto"/>
          <w:sz w:val="24"/>
          <w:highlight w:val="none"/>
          <w:lang w:val="zh-CN"/>
        </w:rPr>
        <w:t>线缆的型号、规格应符合相关国家标准。</w:t>
      </w:r>
    </w:p>
    <w:p>
      <w:pPr>
        <w:numPr>
          <w:ilvl w:val="0"/>
          <w:numId w:val="15"/>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线缆进场用于工程前，应进行验收程序，内容、方法应符合《建筑电气工程施工质量验收规范》GB 50303中的要求。</w:t>
      </w:r>
    </w:p>
    <w:p>
      <w:pPr>
        <w:numPr>
          <w:ilvl w:val="0"/>
          <w:numId w:val="15"/>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同一根线缆两端应贴有标签，应注明编号，标签应书写清晰、信息正确。</w:t>
      </w:r>
    </w:p>
    <w:p>
      <w:pPr>
        <w:numPr>
          <w:ilvl w:val="0"/>
          <w:numId w:val="15"/>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无法采用地下敷设电缆线方式时，宜采用架空电缆线的敷设方式。架空电缆线不得有接头。架空电缆线的敷设应符合《公安交通管理外场设备基础施工通用要求》GA/T 652的标准要求。</w:t>
      </w:r>
    </w:p>
    <w:p>
      <w:pPr>
        <w:numPr>
          <w:ilvl w:val="0"/>
          <w:numId w:val="15"/>
        </w:numPr>
        <w:spacing w:line="360" w:lineRule="auto"/>
        <w:outlineLvl w:val="3"/>
        <w:rPr>
          <w:rFonts w:ascii="宋体" w:hAnsi="宋体" w:cs="宋体"/>
          <w:color w:val="auto"/>
          <w:sz w:val="24"/>
          <w:highlight w:val="none"/>
          <w:lang w:val="zh-CN"/>
        </w:rPr>
      </w:pPr>
      <w:r>
        <w:rPr>
          <w:rFonts w:hint="eastAsia" w:ascii="宋体" w:hAnsi="宋体" w:cs="宋体"/>
          <w:color w:val="auto"/>
          <w:sz w:val="24"/>
          <w:highlight w:val="none"/>
          <w:lang w:val="zh-CN"/>
        </w:rPr>
        <w:t>带电区域内敷设电缆，应有可靠的安全措施。</w:t>
      </w:r>
    </w:p>
    <w:p>
      <w:pPr>
        <w:spacing w:line="360" w:lineRule="auto"/>
        <w:outlineLvl w:val="3"/>
        <w:rPr>
          <w:rFonts w:ascii="宋体" w:hAnsi="宋体" w:cs="宋体"/>
          <w:b/>
          <w:bCs/>
          <w:color w:val="auto"/>
          <w:sz w:val="24"/>
          <w:highlight w:val="none"/>
          <w:lang w:val="zh-CN"/>
        </w:rPr>
      </w:pPr>
      <w:r>
        <w:rPr>
          <w:rFonts w:hint="eastAsia" w:ascii="宋体" w:hAnsi="宋体" w:cs="宋体"/>
          <w:b/>
          <w:bCs/>
          <w:color w:val="auto"/>
          <w:sz w:val="24"/>
          <w:highlight w:val="none"/>
          <w:lang w:val="zh-CN"/>
        </w:rPr>
        <w:t>（</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）施工工艺要求</w:t>
      </w:r>
    </w:p>
    <w:p>
      <w:pPr>
        <w:spacing w:line="360" w:lineRule="auto"/>
        <w:ind w:firstLine="480"/>
        <w:outlineLvl w:val="3"/>
        <w:rPr>
          <w:rFonts w:ascii="宋体" w:hAnsi="宋体" w:cs="宋体"/>
          <w:color w:val="auto"/>
          <w:sz w:val="24"/>
          <w:highlight w:val="none"/>
          <w:lang w:val="zh-CN"/>
        </w:rPr>
      </w:pPr>
      <w:r>
        <w:rPr>
          <w:rFonts w:hint="eastAsia" w:ascii="宋体" w:hAnsi="宋体" w:cs="宋体"/>
          <w:color w:val="auto"/>
          <w:sz w:val="24"/>
          <w:highlight w:val="none"/>
          <w:lang w:val="zh-CN"/>
        </w:rPr>
        <w:t>1） 线缆的布放应自然平直，不得产生扭绞、打圈接头等现象。</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2） 强弱电线缆应分别单独穿管敷设，电缆管敷设净距不应小于25cm。</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3） 线缆穿管内径不应小于电缆外径的1.5倍（利用率≤40%），内表面应光滑，管材两端管口应有防止电缆损伤的措施。</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4） 穿过管道的所有线缆截面积之和，不应超过杆件或机箱末端处管道截面积的90%。</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5） 电缆宜采用地下敷设，每根电缆线应留有2米~4米余量，地下敷设的电缆线不得有接头。</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6） 同一交流回路的导线应穿同一管内。不同回路、不同电压和交流与直流导线不应穿入同一管内。</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7） 敷设于桥梁上的电缆应穿管敷设，敷设要求应符合《公安交通管理外场设备基础设施施工通用要求》GA/T 652的要求。</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8） 光缆的敷设应符合《通信线路工程验收规范》YD 5121中的要求。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9） 敷设完毕后，线缆的两端应设置线缆标签。</w:t>
      </w:r>
      <w:r>
        <w:rPr>
          <w:rFonts w:hint="eastAsia" w:ascii="宋体" w:hAnsi="宋体" w:cs="宋体"/>
          <w:color w:val="auto"/>
          <w:sz w:val="24"/>
          <w:highlight w:val="none"/>
        </w:rPr>
        <w:t>标签上应注明线缆编号、型号规格、起止地点，且字迹清晰，不易脱落。</w:t>
      </w:r>
    </w:p>
    <w:p>
      <w:pPr>
        <w:spacing w:line="360" w:lineRule="auto"/>
        <w:ind w:firstLine="480"/>
        <w:outlineLvl w:val="3"/>
        <w:rPr>
          <w:rFonts w:ascii="宋体" w:hAnsi="宋体" w:cs="宋体"/>
          <w:color w:val="auto"/>
          <w:sz w:val="24"/>
          <w:highlight w:val="none"/>
          <w:lang w:val="zh-CN"/>
        </w:rPr>
      </w:pPr>
      <w:r>
        <w:rPr>
          <w:rFonts w:hint="eastAsia" w:ascii="宋体" w:hAnsi="宋体" w:cs="宋体"/>
          <w:color w:val="auto"/>
          <w:sz w:val="24"/>
          <w:highlight w:val="none"/>
        </w:rPr>
        <w:t>10</w:t>
      </w:r>
      <w:r>
        <w:rPr>
          <w:rFonts w:hint="eastAsia" w:ascii="宋体" w:hAnsi="宋体" w:cs="宋体"/>
          <w:color w:val="auto"/>
          <w:sz w:val="24"/>
          <w:highlight w:val="none"/>
          <w:lang w:val="zh-CN"/>
        </w:rPr>
        <w:t>）线缆接头应做防水处理后再进行穿管走线。</w:t>
      </w:r>
    </w:p>
    <w:p>
      <w:pPr>
        <w:pStyle w:val="5"/>
        <w:tabs>
          <w:tab w:val="left" w:pos="8280"/>
        </w:tabs>
        <w:spacing w:line="360" w:lineRule="auto"/>
        <w:rPr>
          <w:rFonts w:ascii="宋体" w:hAnsi="宋体" w:cs="宋体"/>
          <w:bCs w:val="0"/>
          <w:color w:val="auto"/>
          <w:sz w:val="24"/>
          <w:szCs w:val="24"/>
          <w:highlight w:val="none"/>
        </w:rPr>
      </w:pPr>
      <w:bookmarkStart w:id="119" w:name="_Toc786"/>
      <w:r>
        <w:rPr>
          <w:rFonts w:hint="eastAsia" w:ascii="宋体" w:hAnsi="宋体" w:cs="宋体"/>
          <w:color w:val="auto"/>
          <w:sz w:val="24"/>
          <w:szCs w:val="24"/>
          <w:highlight w:val="none"/>
        </w:rPr>
        <w:t>6</w:t>
      </w:r>
      <w:r>
        <w:rPr>
          <w:rFonts w:hint="eastAsia" w:ascii="宋体" w:hAnsi="宋体" w:cs="宋体"/>
          <w:bCs w:val="0"/>
          <w:color w:val="auto"/>
          <w:sz w:val="24"/>
          <w:szCs w:val="24"/>
          <w:highlight w:val="none"/>
        </w:rPr>
        <w:t>、落地式机柜和悬挂式机柜</w:t>
      </w:r>
      <w:bookmarkEnd w:id="119"/>
    </w:p>
    <w:p>
      <w:pPr>
        <w:spacing w:line="360" w:lineRule="auto"/>
        <w:outlineLvl w:val="3"/>
        <w:rPr>
          <w:rFonts w:ascii="宋体" w:hAnsi="宋体" w:cs="宋体"/>
          <w:b/>
          <w:bCs/>
          <w:color w:val="auto"/>
          <w:sz w:val="24"/>
          <w:highlight w:val="none"/>
        </w:rPr>
      </w:pPr>
      <w:bookmarkStart w:id="120" w:name="_Toc533860784"/>
      <w:bookmarkStart w:id="121" w:name="_Toc10212793"/>
      <w:r>
        <w:rPr>
          <w:rFonts w:hint="eastAsia" w:ascii="宋体" w:hAnsi="宋体" w:cs="宋体"/>
          <w:b/>
          <w:bCs/>
          <w:color w:val="auto"/>
          <w:sz w:val="24"/>
          <w:highlight w:val="none"/>
        </w:rPr>
        <w:t>（1）</w:t>
      </w:r>
      <w:r>
        <w:rPr>
          <w:rFonts w:hint="eastAsia" w:ascii="宋体" w:hAnsi="宋体" w:cs="宋体"/>
          <w:b/>
          <w:bCs/>
          <w:color w:val="auto"/>
          <w:sz w:val="24"/>
          <w:highlight w:val="none"/>
          <w:lang w:val="zh-CN"/>
        </w:rPr>
        <w:t>落地式机柜通用要求</w:t>
      </w:r>
    </w:p>
    <w:p>
      <w:pPr>
        <w:numPr>
          <w:ilvl w:val="0"/>
          <w:numId w:val="16"/>
        </w:num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落地机柜</w:t>
      </w:r>
      <w:r>
        <w:rPr>
          <w:rFonts w:hint="eastAsia" w:ascii="宋体" w:hAnsi="宋体" w:cs="宋体"/>
          <w:color w:val="auto"/>
          <w:sz w:val="24"/>
          <w:highlight w:val="none"/>
        </w:rPr>
        <w:t>宜</w:t>
      </w:r>
      <w:r>
        <w:rPr>
          <w:rFonts w:hint="eastAsia" w:ascii="宋体" w:hAnsi="宋体" w:cs="宋体"/>
          <w:color w:val="auto"/>
          <w:sz w:val="24"/>
          <w:highlight w:val="none"/>
          <w:lang w:val="zh-CN"/>
        </w:rPr>
        <w:t>采用19"标准机柜，高度≥24U，机柜设计具有可靠的密封性能，达到《外壳防护等级（IP代码）》GB4208中IP65级要求,门缝安装密封胶条可使柜体密封更可靠，防止粉尘进入,用水冲洗无任何伤害；机柜的结构设计具有足够的机械强度，能承受正常条件下可预料到的运输、安装、搬运、维护等过程中的操作。机柜应采用柜体材料选用优质冷轧钢板，机柜整体表面酸洗、磷化、高温静电喷粉。内部的电路板材料及部件应进行防潮、防腐、防盐雾的处理。室外机柜采用过滤进风、温控强制通风的结构，并在顶部设置隔热层，降低机柜内部温升，保证箱内主机和其他辅助设备在夏季高温下正常工作。保证在盐、酸环境下不被腐蚀。</w:t>
      </w:r>
    </w:p>
    <w:p>
      <w:pPr>
        <w:numPr>
          <w:ilvl w:val="0"/>
          <w:numId w:val="16"/>
        </w:num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室外机柜门的尺寸应尽可能接近机柜的外部尺寸。门应设有牢固的门锁以防止被非法使用者打开。门锁上应有保护装置，机柜门接缝处应有耐久并且有弹性的密封垫，密封垫应连续设置，不得有间断缺口。机柜表面采用喷塑工艺处理；锁具、门轴坚实牢固，机柜门锁上之后，不应有松动、变形现象；所有锁具可由一把钥匙打开。</w:t>
      </w:r>
    </w:p>
    <w:p>
      <w:pPr>
        <w:numPr>
          <w:ilvl w:val="0"/>
          <w:numId w:val="16"/>
        </w:num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机柜内含电源防雷、插排、空气开关等；含防静电插座，插座数≥3个。机柜内侧应设有存放说明书、接线图、维修记录等资料的存储位置。机柜所有门上喷涂“</w:t>
      </w:r>
      <w:r>
        <w:rPr>
          <w:rFonts w:hint="eastAsia" w:ascii="宋体" w:hAnsi="宋体" w:cs="宋体"/>
          <w:color w:val="auto"/>
          <w:sz w:val="24"/>
          <w:highlight w:val="none"/>
        </w:rPr>
        <w:t>台州</w:t>
      </w:r>
      <w:r>
        <w:rPr>
          <w:rFonts w:hint="eastAsia" w:ascii="宋体" w:hAnsi="宋体" w:cs="宋体"/>
          <w:color w:val="auto"/>
          <w:sz w:val="24"/>
          <w:highlight w:val="none"/>
          <w:lang w:val="zh-CN"/>
        </w:rPr>
        <w:t>交警”字样。</w:t>
      </w:r>
    </w:p>
    <w:p>
      <w:pPr>
        <w:spacing w:line="360" w:lineRule="auto"/>
        <w:outlineLvl w:val="3"/>
        <w:rPr>
          <w:rFonts w:ascii="宋体" w:hAnsi="宋体" w:cs="宋体"/>
          <w:b/>
          <w:bCs/>
          <w:color w:val="auto"/>
          <w:sz w:val="24"/>
          <w:highlight w:val="none"/>
          <w:lang w:val="zh-CN"/>
        </w:rPr>
      </w:pPr>
      <w:r>
        <w:rPr>
          <w:rFonts w:hint="eastAsia" w:ascii="宋体" w:hAnsi="宋体" w:cs="宋体"/>
          <w:b/>
          <w:bCs/>
          <w:color w:val="auto"/>
          <w:sz w:val="24"/>
          <w:highlight w:val="none"/>
          <w:lang w:val="zh-CN"/>
        </w:rPr>
        <w:t>（</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）落地式机柜施工工艺要求</w:t>
      </w:r>
    </w:p>
    <w:p>
      <w:pPr>
        <w:numPr>
          <w:ilvl w:val="0"/>
          <w:numId w:val="17"/>
        </w:num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机柜安装应稳固，垂直度允许偏差为0.2%，并根据现场实际情况选择机柜大门开启方向，当机柜安装在路边绿化带时，机柜门面向机动车道；当机柜安装在机非隔离带时，机柜门面向非机动车道。</w:t>
      </w:r>
    </w:p>
    <w:p>
      <w:pPr>
        <w:numPr>
          <w:ilvl w:val="0"/>
          <w:numId w:val="17"/>
        </w:num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机柜与底座之间连接紧固，需有一定离地高度及防撞防护措施，避免机柜外壳因雨季地面积水浸泡或被车辆碰撞而损坏，同时机柜的安装位置尽量靠近信号机柜、交警岗亭、变电箱等方便获取电源、光缆资源的地方。</w:t>
      </w:r>
    </w:p>
    <w:p>
      <w:pPr>
        <w:numPr>
          <w:ilvl w:val="0"/>
          <w:numId w:val="17"/>
        </w:num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与其它机柜并排时，要求做到整齐、一致，包括机柜门的开关方向。当若干机柜并排安装时，为了方便机柜小门的开启，要求小门位于开箱人的右手侧，并且两个机柜之间边沿间隔0.5米。</w:t>
      </w:r>
    </w:p>
    <w:p>
      <w:pPr>
        <w:numPr>
          <w:ilvl w:val="0"/>
          <w:numId w:val="17"/>
        </w:num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设备机箱基础埋入地下的深度大于300mm，突出地面高度大于200mm。采用地锚混凝土式基础，地脚螺栓上端为螺纹，下端为夹角小于60°的折弯，地脚螺栓焊接在下法兰盘上。所用机柜基础混凝土标号不低于C25。</w:t>
      </w:r>
    </w:p>
    <w:p>
      <w:pPr>
        <w:spacing w:line="360" w:lineRule="auto"/>
        <w:outlineLvl w:val="3"/>
        <w:rPr>
          <w:rFonts w:ascii="宋体" w:hAnsi="宋体" w:cs="宋体"/>
          <w:color w:val="auto"/>
          <w:sz w:val="24"/>
          <w:highlight w:val="none"/>
        </w:rPr>
      </w:pPr>
      <w:r>
        <w:rPr>
          <w:rFonts w:hint="eastAsia" w:ascii="宋体" w:hAnsi="宋体" w:cs="宋体"/>
          <w:b/>
          <w:bCs/>
          <w:color w:val="auto"/>
          <w:sz w:val="24"/>
          <w:highlight w:val="none"/>
          <w:lang w:val="zh-CN"/>
        </w:rPr>
        <w:t>（</w:t>
      </w:r>
      <w:r>
        <w:rPr>
          <w:rFonts w:hint="eastAsia" w:ascii="宋体" w:hAnsi="宋体" w:cs="宋体"/>
          <w:b/>
          <w:bCs/>
          <w:color w:val="auto"/>
          <w:sz w:val="24"/>
          <w:highlight w:val="none"/>
        </w:rPr>
        <w:t>3</w:t>
      </w:r>
      <w:r>
        <w:rPr>
          <w:rFonts w:hint="eastAsia" w:ascii="宋体" w:hAnsi="宋体" w:cs="宋体"/>
          <w:b/>
          <w:bCs/>
          <w:color w:val="auto"/>
          <w:sz w:val="24"/>
          <w:highlight w:val="none"/>
          <w:lang w:val="zh-CN"/>
        </w:rPr>
        <w:t>）悬挂式机柜通用要求：</w:t>
      </w:r>
      <w:r>
        <w:rPr>
          <w:rFonts w:hint="eastAsia" w:ascii="宋体" w:hAnsi="宋体" w:cs="宋体"/>
          <w:color w:val="auto"/>
          <w:sz w:val="24"/>
          <w:highlight w:val="none"/>
        </w:rPr>
        <w:t>悬挂式机柜施工工艺要求</w:t>
      </w:r>
    </w:p>
    <w:p>
      <w:pPr>
        <w:numPr>
          <w:ilvl w:val="0"/>
          <w:numId w:val="18"/>
        </w:num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悬挂式机柜应通过机柜抱箍固定于指定立杆上，进出机箱线缆需套管并呈U型防积水。</w:t>
      </w:r>
    </w:p>
    <w:p>
      <w:pPr>
        <w:numPr>
          <w:ilvl w:val="0"/>
          <w:numId w:val="18"/>
        </w:num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机柜安装平整，无倾斜或左右不对称现象。根据现场实际情况选择机柜大门开启方向，机柜安装净空3米以上，安装位置原则上避开行车区域，不影响车辆、行人通行。</w:t>
      </w:r>
    </w:p>
    <w:p>
      <w:pPr>
        <w:numPr>
          <w:ilvl w:val="0"/>
          <w:numId w:val="18"/>
        </w:num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机柜内应放置该杆件设备的接线图（注明标签扎带上线缆代号的具体含义）。机柜内接线对于多余的线缆要绑扎固定，线缆接线要美观，设备应用螺丝固定。所有的机柜内设备摆放、接线要规范统一。机柜内不放置多功能插座，正常运行的相关设备电源线应按电器要求分类接于机柜内各1P单级电源空开下端。</w:t>
      </w:r>
    </w:p>
    <w:bookmarkEnd w:id="120"/>
    <w:bookmarkEnd w:id="121"/>
    <w:p>
      <w:pPr>
        <w:pStyle w:val="5"/>
        <w:tabs>
          <w:tab w:val="left" w:pos="8280"/>
        </w:tabs>
        <w:spacing w:line="360" w:lineRule="auto"/>
        <w:rPr>
          <w:rFonts w:ascii="宋体" w:hAnsi="宋体" w:cs="宋体"/>
          <w:bCs w:val="0"/>
          <w:color w:val="auto"/>
          <w:sz w:val="24"/>
          <w:szCs w:val="24"/>
          <w:highlight w:val="none"/>
        </w:rPr>
      </w:pPr>
      <w:bookmarkStart w:id="122" w:name="_Toc10212799"/>
      <w:bookmarkStart w:id="123" w:name="_Toc15288147"/>
      <w:bookmarkStart w:id="124" w:name="_Toc10366"/>
      <w:bookmarkStart w:id="125" w:name="_Toc38375499"/>
      <w:bookmarkStart w:id="126" w:name="_Toc38376019"/>
      <w:r>
        <w:rPr>
          <w:rFonts w:hint="eastAsia" w:ascii="宋体" w:hAnsi="宋体" w:cs="宋体"/>
          <w:bCs w:val="0"/>
          <w:color w:val="auto"/>
          <w:sz w:val="24"/>
          <w:szCs w:val="24"/>
          <w:highlight w:val="none"/>
        </w:rPr>
        <w:t>7、供电</w:t>
      </w:r>
      <w:bookmarkEnd w:id="122"/>
      <w:r>
        <w:rPr>
          <w:rFonts w:hint="eastAsia" w:ascii="宋体" w:hAnsi="宋体" w:cs="宋体"/>
          <w:bCs w:val="0"/>
          <w:color w:val="auto"/>
          <w:sz w:val="24"/>
          <w:szCs w:val="24"/>
          <w:highlight w:val="none"/>
        </w:rPr>
        <w:t>和接地</w:t>
      </w:r>
      <w:bookmarkEnd w:id="123"/>
      <w:bookmarkEnd w:id="124"/>
      <w:bookmarkEnd w:id="125"/>
      <w:bookmarkEnd w:id="126"/>
    </w:p>
    <w:p>
      <w:pPr>
        <w:pStyle w:val="6"/>
        <w:tabs>
          <w:tab w:val="left" w:pos="142"/>
          <w:tab w:val="left" w:pos="993"/>
          <w:tab w:val="left" w:pos="1418"/>
          <w:tab w:val="left" w:pos="1560"/>
        </w:tabs>
        <w:spacing w:line="360" w:lineRule="auto"/>
        <w:rPr>
          <w:rFonts w:ascii="宋体" w:hAnsi="宋体" w:eastAsia="宋体" w:cs="宋体"/>
          <w:color w:val="auto"/>
          <w:sz w:val="24"/>
          <w:szCs w:val="24"/>
          <w:highlight w:val="none"/>
          <w:lang w:val="zh-CN"/>
        </w:rPr>
      </w:pPr>
      <w:bookmarkStart w:id="127" w:name="_Toc10212800"/>
      <w:bookmarkStart w:id="128" w:name="_Toc533860788"/>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）供电</w:t>
      </w:r>
    </w:p>
    <w:bookmarkEnd w:id="127"/>
    <w:bookmarkEnd w:id="128"/>
    <w:p>
      <w:pPr>
        <w:numPr>
          <w:ilvl w:val="0"/>
          <w:numId w:val="19"/>
        </w:num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供电接入点应根据各类设施供电需求预留供电输出，使用公共供电电源的智能交通设备应设置过载、接地、漏电、短路、防雷等防护措施，应符合国家相关安全标准，应具备来电后自动恢复供电的功能。</w:t>
      </w:r>
    </w:p>
    <w:p>
      <w:pPr>
        <w:numPr>
          <w:ilvl w:val="0"/>
          <w:numId w:val="19"/>
        </w:numPr>
        <w:spacing w:line="360" w:lineRule="auto"/>
        <w:ind w:firstLine="480"/>
        <w:outlineLvl w:val="3"/>
        <w:rPr>
          <w:rFonts w:ascii="宋体" w:hAnsi="宋体" w:cs="宋体"/>
          <w:color w:val="auto"/>
          <w:sz w:val="24"/>
          <w:highlight w:val="none"/>
          <w:lang w:val="zh-CN"/>
        </w:rPr>
      </w:pPr>
      <w:r>
        <w:rPr>
          <w:rFonts w:hint="eastAsia" w:ascii="宋体" w:hAnsi="宋体" w:cs="宋体"/>
          <w:color w:val="auto"/>
          <w:sz w:val="24"/>
          <w:highlight w:val="none"/>
          <w:lang w:val="zh-CN"/>
        </w:rPr>
        <w:t xml:space="preserve">设有智能交通设施的路口宜设置智能交通设施接入箱。 </w:t>
      </w:r>
    </w:p>
    <w:p>
      <w:pPr>
        <w:numPr>
          <w:ilvl w:val="0"/>
          <w:numId w:val="19"/>
        </w:num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应采用铠装线缆，外部供电点（路灯供电箱等）与智能设施接入箱用电接入点应分别加装容量开关、漏电保护措施及防雷、浪涌及电压保护等防护措施。</w:t>
      </w:r>
    </w:p>
    <w:p>
      <w:pPr>
        <w:numPr>
          <w:ilvl w:val="0"/>
          <w:numId w:val="19"/>
        </w:num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电子警察、智能卡口设备、大型LED</w:t>
      </w:r>
      <w:r>
        <w:rPr>
          <w:rFonts w:hint="eastAsia" w:ascii="宋体" w:hAnsi="宋体" w:cs="宋体"/>
          <w:color w:val="auto"/>
          <w:sz w:val="24"/>
          <w:highlight w:val="none"/>
        </w:rPr>
        <w:t>信息屏</w:t>
      </w:r>
      <w:r>
        <w:rPr>
          <w:rFonts w:hint="eastAsia" w:ascii="宋体" w:hAnsi="宋体" w:cs="宋体"/>
          <w:color w:val="auto"/>
          <w:sz w:val="24"/>
          <w:highlight w:val="none"/>
          <w:lang w:val="zh-CN"/>
        </w:rPr>
        <w:t>以及其</w:t>
      </w:r>
      <w:r>
        <w:rPr>
          <w:rFonts w:hint="eastAsia" w:ascii="宋体" w:hAnsi="宋体" w:cs="宋体"/>
          <w:color w:val="auto"/>
          <w:sz w:val="24"/>
          <w:highlight w:val="none"/>
        </w:rPr>
        <w:t>它</w:t>
      </w:r>
      <w:r>
        <w:rPr>
          <w:rFonts w:hint="eastAsia" w:ascii="宋体" w:hAnsi="宋体" w:cs="宋体"/>
          <w:color w:val="auto"/>
          <w:sz w:val="24"/>
          <w:highlight w:val="none"/>
          <w:lang w:val="zh-CN"/>
        </w:rPr>
        <w:t>大容量（200W以上）供电设施用电线路应在智能接入箱分相连接，不得与信号灯设施共相。</w:t>
      </w:r>
    </w:p>
    <w:p>
      <w:pPr>
        <w:numPr>
          <w:ilvl w:val="0"/>
          <w:numId w:val="19"/>
        </w:num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监控设施等小容量设备（200W及以下）可与信号灯设施共相用电。</w:t>
      </w:r>
    </w:p>
    <w:p>
      <w:pPr>
        <w:numPr>
          <w:ilvl w:val="0"/>
          <w:numId w:val="19"/>
        </w:numPr>
        <w:spacing w:line="360" w:lineRule="auto"/>
        <w:ind w:firstLine="480"/>
        <w:outlineLvl w:val="3"/>
        <w:rPr>
          <w:rFonts w:ascii="宋体" w:hAnsi="宋体" w:cs="宋体"/>
          <w:color w:val="auto"/>
          <w:sz w:val="24"/>
          <w:highlight w:val="none"/>
          <w:lang w:val="zh-CN"/>
        </w:rPr>
      </w:pPr>
      <w:r>
        <w:rPr>
          <w:rFonts w:hint="eastAsia" w:ascii="宋体" w:hAnsi="宋体" w:cs="宋体"/>
          <w:color w:val="auto"/>
          <w:sz w:val="24"/>
          <w:highlight w:val="none"/>
          <w:lang w:val="zh-CN"/>
        </w:rPr>
        <w:t>特殊供电区域，核算容量后可加装稳压电源或UPS设备。</w:t>
      </w:r>
    </w:p>
    <w:p>
      <w:pPr>
        <w:numPr>
          <w:ilvl w:val="0"/>
          <w:numId w:val="19"/>
        </w:num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在施工或维护工作中，凡是涉及供电单位用电设备（含灯杆、井盖、机箱、管道等），应报批供电单位审批后配合完成各类用电工作。</w:t>
      </w:r>
    </w:p>
    <w:p>
      <w:pPr>
        <w:numPr>
          <w:ilvl w:val="0"/>
          <w:numId w:val="19"/>
        </w:num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在外部电源（路灯供电箱等）连接处应悬挂智能设施用电铭牌，应进行编号管理。</w:t>
      </w:r>
    </w:p>
    <w:p>
      <w:pPr>
        <w:pStyle w:val="6"/>
        <w:tabs>
          <w:tab w:val="left" w:pos="142"/>
          <w:tab w:val="left" w:pos="993"/>
          <w:tab w:val="left" w:pos="1418"/>
          <w:tab w:val="left" w:pos="1560"/>
        </w:tabs>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接地</w:t>
      </w:r>
    </w:p>
    <w:p>
      <w:pPr>
        <w:numPr>
          <w:ilvl w:val="0"/>
          <w:numId w:val="20"/>
        </w:num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智能交通管理系统外场设备应可靠接地，设备保护接地线、避雷器工作接地线应分别汇接到接地装置上。</w:t>
      </w:r>
    </w:p>
    <w:p>
      <w:pPr>
        <w:numPr>
          <w:ilvl w:val="0"/>
          <w:numId w:val="20"/>
        </w:num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接地装置应采用热镀锌钢材，水平敷设的应采用圆钢和扁钢，垂直敷设的应采用角钢和钢管，接地电阻应小于</w:t>
      </w:r>
      <w:r>
        <w:rPr>
          <w:rFonts w:hint="eastAsia" w:ascii="宋体" w:hAnsi="宋体" w:cs="宋体"/>
          <w:color w:val="auto"/>
          <w:sz w:val="24"/>
          <w:highlight w:val="none"/>
        </w:rPr>
        <w:t>10</w:t>
      </w:r>
      <w:r>
        <w:rPr>
          <w:rFonts w:hint="eastAsia" w:ascii="宋体" w:hAnsi="宋体" w:cs="宋体"/>
          <w:color w:val="auto"/>
          <w:sz w:val="24"/>
          <w:highlight w:val="none"/>
          <w:lang w:val="zh-CN"/>
        </w:rPr>
        <w:t>Ω。接地装置规格不应小于《电气装置安装工程接地装置施工及验收规范》GB 50169中的要求。</w:t>
      </w:r>
    </w:p>
    <w:p>
      <w:pPr>
        <w:numPr>
          <w:ilvl w:val="0"/>
          <w:numId w:val="20"/>
        </w:num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接地装置施工应符合《电气装置安装工程接地装置施工及验收规范》GB 50169的要求。</w:t>
      </w:r>
    </w:p>
    <w:p>
      <w:pPr>
        <w:numPr>
          <w:ilvl w:val="0"/>
          <w:numId w:val="20"/>
        </w:numPr>
        <w:spacing w:line="360" w:lineRule="auto"/>
        <w:ind w:firstLine="480"/>
        <w:outlineLvl w:val="3"/>
        <w:rPr>
          <w:rFonts w:ascii="宋体" w:hAnsi="宋体" w:cs="宋体"/>
          <w:color w:val="auto"/>
          <w:sz w:val="24"/>
          <w:highlight w:val="none"/>
          <w:lang w:val="zh-CN"/>
        </w:rPr>
      </w:pPr>
      <w:r>
        <w:rPr>
          <w:rFonts w:hint="eastAsia" w:ascii="宋体" w:hAnsi="宋体" w:cs="宋体"/>
          <w:color w:val="auto"/>
          <w:sz w:val="24"/>
          <w:highlight w:val="none"/>
          <w:lang w:val="zh-CN"/>
        </w:rPr>
        <w:t>智能交通管理系统设备接地可利用电力系统的接地系统。</w:t>
      </w:r>
    </w:p>
    <w:p>
      <w:pPr>
        <w:numPr>
          <w:ilvl w:val="0"/>
          <w:numId w:val="20"/>
        </w:num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杆件应安装保护地线，保护地线宜采用规格为40mm×4mm以上的镀锌扁钢制作，焊接到每个钢制杆件的法兰盘上，焊接处应作防腐处理；保护地线应与接地装置有效连接，接地电阻应小于</w:t>
      </w:r>
      <w:r>
        <w:rPr>
          <w:rFonts w:hint="eastAsia" w:ascii="宋体" w:hAnsi="宋体" w:cs="宋体"/>
          <w:color w:val="auto"/>
          <w:sz w:val="24"/>
          <w:highlight w:val="none"/>
        </w:rPr>
        <w:t>10</w:t>
      </w:r>
      <w:r>
        <w:rPr>
          <w:rFonts w:hint="eastAsia" w:ascii="宋体" w:hAnsi="宋体" w:cs="宋体"/>
          <w:color w:val="auto"/>
          <w:sz w:val="24"/>
          <w:highlight w:val="none"/>
          <w:lang w:val="zh-CN"/>
        </w:rPr>
        <w:t>Ω。</w:t>
      </w:r>
    </w:p>
    <w:p>
      <w:pPr>
        <w:numPr>
          <w:ilvl w:val="0"/>
          <w:numId w:val="20"/>
        </w:num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设备机箱的专用接地铜排应与接地装置有效连接，接地电阻应小于</w:t>
      </w:r>
      <w:r>
        <w:rPr>
          <w:rFonts w:hint="eastAsia" w:ascii="宋体" w:hAnsi="宋体" w:cs="宋体"/>
          <w:color w:val="auto"/>
          <w:sz w:val="24"/>
          <w:highlight w:val="none"/>
        </w:rPr>
        <w:t>10</w:t>
      </w:r>
      <w:r>
        <w:rPr>
          <w:rFonts w:hint="eastAsia" w:ascii="宋体" w:hAnsi="宋体" w:cs="宋体"/>
          <w:color w:val="auto"/>
          <w:sz w:val="24"/>
          <w:highlight w:val="none"/>
          <w:lang w:val="zh-CN"/>
        </w:rPr>
        <w:t xml:space="preserve">Ω；引入设备机箱的接地线应使用软铜绞线，其截面不得小于10mm2 ；杆件与设备机箱可采用联合接地，接地电阻应小于 </w:t>
      </w:r>
      <w:r>
        <w:rPr>
          <w:rFonts w:hint="eastAsia" w:ascii="宋体" w:hAnsi="宋体" w:cs="宋体"/>
          <w:color w:val="auto"/>
          <w:sz w:val="24"/>
          <w:highlight w:val="none"/>
        </w:rPr>
        <w:t>10</w:t>
      </w:r>
      <w:r>
        <w:rPr>
          <w:rFonts w:hint="eastAsia" w:ascii="宋体" w:hAnsi="宋体" w:cs="宋体"/>
          <w:color w:val="auto"/>
          <w:sz w:val="24"/>
          <w:highlight w:val="none"/>
          <w:lang w:val="zh-CN"/>
        </w:rPr>
        <w:t>Ω。</w:t>
      </w:r>
    </w:p>
    <w:p>
      <w:pPr>
        <w:pStyle w:val="5"/>
        <w:tabs>
          <w:tab w:val="left" w:pos="8280"/>
        </w:tabs>
        <w:spacing w:line="360" w:lineRule="auto"/>
        <w:rPr>
          <w:rFonts w:ascii="宋体" w:hAnsi="宋体" w:cs="宋体"/>
          <w:bCs w:val="0"/>
          <w:color w:val="auto"/>
          <w:sz w:val="24"/>
          <w:szCs w:val="24"/>
          <w:highlight w:val="none"/>
        </w:rPr>
      </w:pPr>
      <w:bookmarkStart w:id="129" w:name="_Toc23867"/>
      <w:r>
        <w:rPr>
          <w:rFonts w:hint="eastAsia" w:ascii="宋体" w:hAnsi="宋体" w:cs="宋体"/>
          <w:bCs w:val="0"/>
          <w:color w:val="auto"/>
          <w:sz w:val="24"/>
          <w:szCs w:val="24"/>
          <w:highlight w:val="none"/>
        </w:rPr>
        <w:t>8、安全文明施工要求</w:t>
      </w:r>
      <w:bookmarkEnd w:id="129"/>
    </w:p>
    <w:p>
      <w:pPr>
        <w:numPr>
          <w:ilvl w:val="0"/>
          <w:numId w:val="21"/>
        </w:numPr>
        <w:spacing w:line="360" w:lineRule="auto"/>
        <w:outlineLvl w:val="3"/>
        <w:rPr>
          <w:rFonts w:ascii="宋体" w:hAnsi="宋体" w:cs="宋体"/>
          <w:color w:val="auto"/>
          <w:sz w:val="24"/>
          <w:highlight w:val="none"/>
        </w:rPr>
      </w:pPr>
      <w:r>
        <w:rPr>
          <w:rFonts w:hint="eastAsia" w:ascii="宋体" w:hAnsi="宋体" w:cs="宋体"/>
          <w:color w:val="auto"/>
          <w:sz w:val="24"/>
          <w:highlight w:val="none"/>
        </w:rPr>
        <w:t>施工人员商业保险必须在进场前购买齐全并报备。</w:t>
      </w:r>
    </w:p>
    <w:p>
      <w:pPr>
        <w:numPr>
          <w:ilvl w:val="0"/>
          <w:numId w:val="21"/>
        </w:numPr>
        <w:spacing w:line="360" w:lineRule="auto"/>
        <w:rPr>
          <w:rFonts w:ascii="宋体" w:hAnsi="宋体" w:cs="宋体"/>
          <w:color w:val="auto"/>
          <w:sz w:val="24"/>
          <w:highlight w:val="none"/>
        </w:rPr>
      </w:pPr>
      <w:r>
        <w:rPr>
          <w:rFonts w:hint="eastAsia" w:ascii="宋体" w:hAnsi="宋体" w:cs="宋体"/>
          <w:color w:val="auto"/>
          <w:sz w:val="24"/>
          <w:highlight w:val="none"/>
        </w:rPr>
        <w:t>施工安全措施必须配备齐全。根据施工场景配备足够的隔离锥桶、施工指示牌、导流牌、警示爆闪灯等。</w:t>
      </w:r>
    </w:p>
    <w:p>
      <w:pPr>
        <w:numPr>
          <w:ilvl w:val="0"/>
          <w:numId w:val="21"/>
        </w:numPr>
        <w:spacing w:line="360" w:lineRule="auto"/>
        <w:outlineLvl w:val="3"/>
        <w:rPr>
          <w:rFonts w:ascii="宋体" w:hAnsi="宋体" w:cs="宋体"/>
          <w:color w:val="auto"/>
          <w:sz w:val="24"/>
          <w:highlight w:val="none"/>
        </w:rPr>
      </w:pPr>
      <w:r>
        <w:rPr>
          <w:rFonts w:hint="eastAsia" w:ascii="宋体" w:hAnsi="宋体" w:cs="宋体"/>
          <w:color w:val="auto"/>
          <w:sz w:val="24"/>
          <w:highlight w:val="none"/>
        </w:rPr>
        <w:t>施工围挡水马、轻质锥桶必须进行注水或注沙。</w:t>
      </w:r>
    </w:p>
    <w:p>
      <w:pPr>
        <w:numPr>
          <w:ilvl w:val="0"/>
          <w:numId w:val="21"/>
        </w:numPr>
        <w:spacing w:line="360" w:lineRule="auto"/>
        <w:rPr>
          <w:rFonts w:ascii="宋体" w:hAnsi="宋体" w:cs="宋体"/>
          <w:color w:val="auto"/>
          <w:sz w:val="24"/>
          <w:highlight w:val="none"/>
        </w:rPr>
      </w:pPr>
      <w:r>
        <w:rPr>
          <w:rFonts w:hint="eastAsia" w:ascii="宋体" w:hAnsi="宋体" w:cs="宋体"/>
          <w:color w:val="auto"/>
          <w:sz w:val="24"/>
          <w:highlight w:val="none"/>
        </w:rPr>
        <w:t>管路开挖敷设、基础开挖及浇筑过程中，施工区域需按要求设置安全防护措施，做到全封闭施工，如：水马、圆锥筒、施工警示牌、爆闪灯、导流牌等，施工人员需穿反光背心佩戴安全帽。路面施工时，在来车方向30-50米处须放置施工警示牌并使用圆锥筒设置缓冲区域，提醒过往车辆注意安全。在城市快速路及高速公路施工安全防护要符合相关要求。</w:t>
      </w:r>
    </w:p>
    <w:p>
      <w:pPr>
        <w:pStyle w:val="50"/>
        <w:numPr>
          <w:ilvl w:val="0"/>
          <w:numId w:val="8"/>
        </w:numPr>
        <w:spacing w:line="360" w:lineRule="auto"/>
        <w:ind w:firstLineChars="0"/>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商务需求</w:t>
      </w:r>
    </w:p>
    <w:p>
      <w:pPr>
        <w:tabs>
          <w:tab w:val="left" w:pos="0"/>
        </w:tabs>
        <w:spacing w:line="360" w:lineRule="auto"/>
        <w:rPr>
          <w:rFonts w:ascii="宋体" w:hAnsi="宋体" w:cs="宋体"/>
          <w:color w:val="auto"/>
          <w:sz w:val="24"/>
          <w:highlight w:val="none"/>
        </w:rPr>
      </w:pPr>
      <w:r>
        <w:rPr>
          <w:rFonts w:hint="eastAsia" w:ascii="宋体" w:hAnsi="宋体" w:cs="宋体"/>
          <w:b/>
          <w:bCs/>
          <w:color w:val="auto"/>
          <w:sz w:val="24"/>
          <w:highlight w:val="none"/>
        </w:rPr>
        <w:t>1、交货期（交付期）：</w:t>
      </w:r>
      <w:r>
        <w:rPr>
          <w:rFonts w:hint="eastAsia" w:ascii="宋体" w:hAnsi="宋体" w:cs="宋体"/>
          <w:color w:val="auto"/>
          <w:sz w:val="24"/>
          <w:highlight w:val="none"/>
        </w:rPr>
        <w:t>2023年5月1日前完成200路视频上线（摄像机能抓拍过车和各类交通违法行为并符合处罚要求，其他设备开始工作）； 2023年6月1日前再完成200路视频上线（摄像机能抓拍过车和各类交通违法行为并符合处罚要求）；2023年7月1日前再完成300路视频上线（摄像机能抓拍过车和各类交通违法行为并符合处罚要求）；2023年7月31日前完成所有设备上线任务并初步验收通过（摄像机能抓拍过车和各类交通违法行为并符合处罚要求，其他设备开始工作） 要求项目初步验收通过且经试运行3个月后，通过准入验收。</w:t>
      </w:r>
    </w:p>
    <w:p>
      <w:pPr>
        <w:tabs>
          <w:tab w:val="left" w:pos="0"/>
        </w:tabs>
        <w:spacing w:line="360" w:lineRule="auto"/>
        <w:rPr>
          <w:rFonts w:ascii="宋体" w:hAnsi="宋体" w:cs="宋体"/>
          <w:color w:val="auto"/>
          <w:sz w:val="24"/>
          <w:highlight w:val="none"/>
        </w:rPr>
      </w:pPr>
      <w:r>
        <w:rPr>
          <w:rFonts w:hint="eastAsia" w:ascii="宋体" w:hAnsi="宋体" w:cs="宋体"/>
          <w:b/>
          <w:bCs/>
          <w:color w:val="auto"/>
          <w:sz w:val="24"/>
          <w:highlight w:val="none"/>
        </w:rPr>
        <w:t>2、服务期</w:t>
      </w:r>
      <w:r>
        <w:rPr>
          <w:rFonts w:hint="eastAsia" w:ascii="宋体" w:hAnsi="宋体" w:cs="宋体"/>
          <w:color w:val="auto"/>
          <w:sz w:val="24"/>
          <w:highlight w:val="none"/>
        </w:rPr>
        <w:t>：准入验收通过后进入36个月（30日为1个月）的服务期（自准入验收通过之日计起）。</w:t>
      </w:r>
    </w:p>
    <w:p>
      <w:pPr>
        <w:pStyle w:val="2"/>
        <w:spacing w:line="360" w:lineRule="auto"/>
        <w:ind w:left="0" w:leftChars="0"/>
        <w:rPr>
          <w:rFonts w:ascii="宋体" w:hAnsi="宋体" w:cs="宋体"/>
          <w:color w:val="auto"/>
          <w:sz w:val="24"/>
          <w:highlight w:val="none"/>
        </w:rPr>
      </w:pPr>
      <w:r>
        <w:rPr>
          <w:rFonts w:hint="eastAsia" w:ascii="宋体" w:hAnsi="宋体" w:cs="宋体"/>
          <w:b/>
          <w:bCs/>
          <w:color w:val="auto"/>
          <w:sz w:val="24"/>
          <w:highlight w:val="none"/>
        </w:rPr>
        <w:t>3、履约保证金：</w:t>
      </w:r>
      <w:r>
        <w:rPr>
          <w:rFonts w:hint="eastAsia" w:ascii="宋体" w:hAnsi="宋体" w:cs="宋体"/>
          <w:color w:val="auto"/>
          <w:sz w:val="24"/>
          <w:highlight w:val="none"/>
        </w:rPr>
        <w:t>履约保证金为合同金额的1%，签订合同后 3 个工作日内向采购人提交（履约保证金可采用支票、汇票、保函、担保等形式），准入验收通过后5个工作日无息退还。</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4、付款方式：</w:t>
      </w:r>
      <w:r>
        <w:rPr>
          <w:rFonts w:hint="eastAsia" w:ascii="宋体" w:hAnsi="宋体" w:cs="宋体"/>
          <w:color w:val="auto"/>
          <w:sz w:val="24"/>
          <w:highlight w:val="none"/>
        </w:rPr>
        <w:t>合同签订完成且财政资金落实后</w:t>
      </w:r>
      <w:r>
        <w:rPr>
          <w:rFonts w:ascii="宋体" w:hAnsi="宋体" w:cs="宋体"/>
          <w:color w:val="auto"/>
          <w:sz w:val="24"/>
          <w:highlight w:val="none"/>
        </w:rPr>
        <w:t>7日内支付合同金额的40%，剩余60%在通过准入验收后根据每月运营服务考核结果情况</w:t>
      </w:r>
      <w:r>
        <w:rPr>
          <w:rFonts w:hint="eastAsia" w:ascii="宋体" w:hAnsi="宋体" w:cs="宋体"/>
          <w:color w:val="auto"/>
          <w:sz w:val="24"/>
          <w:highlight w:val="none"/>
        </w:rPr>
        <w:t>按月支付（每月服务费=合同价格/</w:t>
      </w:r>
      <w:r>
        <w:rPr>
          <w:rFonts w:ascii="宋体" w:hAnsi="宋体" w:cs="宋体"/>
          <w:color w:val="auto"/>
          <w:sz w:val="24"/>
          <w:highlight w:val="none"/>
        </w:rPr>
        <w:t>36</w:t>
      </w:r>
      <w:r>
        <w:rPr>
          <w:rFonts w:hint="eastAsia" w:ascii="宋体" w:hAnsi="宋体" w:cs="宋体"/>
          <w:color w:val="auto"/>
          <w:sz w:val="24"/>
          <w:highlight w:val="none"/>
        </w:rPr>
        <w:t>个月，每月支付金额=每月服务费-每月服务费*40%-考核结果，考核方式及内容详见本章第三条第5点及公告附件《每日报审表》），每月1</w:t>
      </w:r>
      <w:r>
        <w:rPr>
          <w:rFonts w:ascii="宋体" w:hAnsi="宋体" w:cs="宋体"/>
          <w:color w:val="auto"/>
          <w:sz w:val="24"/>
          <w:highlight w:val="none"/>
        </w:rPr>
        <w:t>5</w:t>
      </w:r>
      <w:r>
        <w:rPr>
          <w:rFonts w:hint="eastAsia" w:ascii="宋体" w:hAnsi="宋体" w:cs="宋体"/>
          <w:color w:val="auto"/>
          <w:sz w:val="24"/>
          <w:highlight w:val="none"/>
        </w:rPr>
        <w:t>日前，中标供应商提供发票后的7个工作日内支付上月服务费。</w:t>
      </w:r>
    </w:p>
    <w:p>
      <w:pPr>
        <w:pStyle w:val="50"/>
        <w:spacing w:line="360" w:lineRule="auto"/>
        <w:ind w:firstLine="0" w:firstLineChars="0"/>
        <w:rPr>
          <w:rFonts w:ascii="宋体" w:hAnsi="宋体" w:cs="宋体"/>
          <w:b/>
          <w:bCs/>
          <w:color w:val="auto"/>
          <w:sz w:val="24"/>
          <w:szCs w:val="24"/>
          <w:highlight w:val="none"/>
        </w:rPr>
      </w:pPr>
      <w:r>
        <w:rPr>
          <w:rFonts w:hint="eastAsia" w:ascii="宋体" w:hAnsi="宋体" w:cs="宋体"/>
          <w:b/>
          <w:bCs/>
          <w:color w:val="auto"/>
          <w:sz w:val="24"/>
          <w:szCs w:val="24"/>
          <w:highlight w:val="none"/>
        </w:rPr>
        <w:t>5、其他说明：</w:t>
      </w:r>
    </w:p>
    <w:p>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 xml:space="preserve">（1）本项目投标报价包含实现标书的所有功能及安全保障工作，采购人不再另外增加费用，其应包括（但不限于）软硬件、全部附件、辅材、备品备件、专用工具等整套设备及运营维护服务等，对于其他招标文件未列明、且是设备清单配套所必需的文件、资料、设备等，或投标供应商认为必需的费用，成交供应商也应综合考虑，包含在投标报价中。    </w:t>
      </w:r>
    </w:p>
    <w:p>
      <w:pPr>
        <w:spacing w:line="360" w:lineRule="auto"/>
        <w:ind w:firstLine="482"/>
        <w:rPr>
          <w:color w:val="auto"/>
          <w:sz w:val="24"/>
          <w:highlight w:val="none"/>
        </w:rPr>
      </w:pPr>
      <w:r>
        <w:rPr>
          <w:rFonts w:hint="eastAsia" w:ascii="宋体" w:hAnsi="宋体"/>
          <w:bCs/>
          <w:snapToGrid w:val="0"/>
          <w:color w:val="auto"/>
          <w:sz w:val="24"/>
          <w:highlight w:val="none"/>
        </w:rPr>
        <w:t>（2）</w:t>
      </w:r>
      <w:r>
        <w:rPr>
          <w:rFonts w:hint="eastAsia"/>
          <w:color w:val="auto"/>
          <w:sz w:val="24"/>
          <w:highlight w:val="none"/>
        </w:rPr>
        <w:t>未经采购人事先书面同意，成交供应商不得部分转让、全部转让或委托其应履行的合同义务，否则取消其资格并要求赔偿相关损失。</w:t>
      </w:r>
    </w:p>
    <w:p>
      <w:pPr>
        <w:pStyle w:val="118"/>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（3）中标单位负责本项目所有点位服务期的日常运行及维护工作，保障视频信息服务正常及时准确，同时要求项目内每日正常运行率不小于98.5%，如有未达到要求的，按每下降1个百分点扣除2000元费用处理，并</w:t>
      </w:r>
      <w:r>
        <w:rPr>
          <w:rFonts w:hint="eastAsia"/>
          <w:color w:val="auto"/>
          <w:sz w:val="24"/>
          <w:highlight w:val="none"/>
        </w:rPr>
        <w:t>在下一次支付的服务费中扣除</w:t>
      </w:r>
      <w:r>
        <w:rPr>
          <w:rFonts w:hint="eastAsia" w:ascii="宋体" w:hAnsi="宋体" w:cs="宋体"/>
          <w:color w:val="auto"/>
          <w:sz w:val="24"/>
          <w:highlight w:val="none"/>
        </w:rPr>
        <w:t>。</w:t>
      </w:r>
    </w:p>
    <w:p>
      <w:pPr>
        <w:adjustRightInd w:val="0"/>
        <w:snapToGrid w:val="0"/>
        <w:spacing w:line="500" w:lineRule="exact"/>
        <w:ind w:firstLine="480"/>
        <w:rPr>
          <w:rFonts w:ascii="宋体" w:hAnsi="宋体" w:cs="宋体"/>
          <w:color w:val="auto"/>
          <w:sz w:val="24"/>
          <w:highlight w:val="none"/>
        </w:rPr>
      </w:pPr>
      <w:r>
        <w:rPr>
          <w:rFonts w:hint="eastAsia" w:ascii="宋体" w:hAnsi="宋体" w:cs="宋体"/>
          <w:color w:val="auto"/>
          <w:sz w:val="24"/>
          <w:highlight w:val="none"/>
        </w:rPr>
        <w:t>中标单位需每日对设备服务情况制作运行维护报表，应于每日下午16时前提供前一日的点位服务质量报表至采购人（使用人）或监理单位，由采购人（使用人）或监理单位生成每日考核报告；每月的第二周提交上月巡检结果、情况分析至采购人（使用人）或监理单位并确定月服务考核报告，并出具支付费用报表，中标单位应在3日内确认。中标单位不按要求提交相关报表的，采购人（使用人）有权每次扣除1000元/次扣除费用，中标单位应对提供的报告的真实性负责，如发现有弄虚作假等行为按5000元/次扣除费用。</w:t>
      </w:r>
    </w:p>
    <w:p>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对中标单位在报表中已说明的未按要求提供服务情况，采购人（使用人）实际情况按比例扣除相应费用或按实际缺失情况要求服务提供方补充服务时间；如因停电、道路改造等第三方原因造成无法按要求提供服务的不扣相应费用，但服务提供方需补充提供相应服务时间，一个月合计不足一天按一天计算（中标单位应提供上述原因相应纸质记录证明）。因道路交通事故或其它原因造成杆件和设备损坏等，由中标单位在十个工作日内先行修复,由采购人（使用人）协助中标单位做好赔偿追偿工作。</w:t>
      </w:r>
    </w:p>
    <w:p>
      <w:pPr>
        <w:adjustRightInd w:val="0"/>
        <w:snapToGrid w:val="0"/>
        <w:spacing w:line="360" w:lineRule="auto"/>
        <w:ind w:firstLine="482"/>
        <w:rPr>
          <w:rFonts w:ascii="宋体" w:hAnsi="宋体" w:cs="宋体"/>
          <w:color w:val="auto"/>
          <w:sz w:val="24"/>
          <w:highlight w:val="none"/>
        </w:rPr>
      </w:pPr>
      <w:r>
        <w:rPr>
          <w:rFonts w:hint="eastAsia" w:ascii="宋体" w:hAnsi="宋体" w:cs="宋体"/>
          <w:color w:val="auto"/>
          <w:sz w:val="24"/>
          <w:highlight w:val="none"/>
        </w:rPr>
        <w:t>（4）在服务期内中标单位至少提供</w:t>
      </w:r>
      <w:r>
        <w:rPr>
          <w:rFonts w:ascii="宋体" w:hAnsi="宋体" w:cs="宋体"/>
          <w:color w:val="auto"/>
          <w:sz w:val="24"/>
          <w:highlight w:val="none"/>
        </w:rPr>
        <w:t>2</w:t>
      </w:r>
      <w:r>
        <w:rPr>
          <w:rFonts w:hint="eastAsia" w:ascii="宋体" w:hAnsi="宋体" w:cs="宋体"/>
          <w:color w:val="auto"/>
          <w:sz w:val="24"/>
          <w:highlight w:val="none"/>
        </w:rPr>
        <w:t>名人员常驻采购人（使用人），负责各自项目内相关设备的数据、视频及网络的检查、配置和维护工作。采购人（使用人）将协助中标单位共同监督管理驻点工作人员的日常出勤与工作情况，并进行考核。中标单位因工作关系需要变动调离驻点工作人员的，应提前一个月告知采购人（使用人），并将变动后的方案上报采购人，经采购人（使用人）同意后方可调整。</w:t>
      </w:r>
    </w:p>
    <w:p>
      <w:pPr>
        <w:adjustRightInd w:val="0"/>
        <w:snapToGrid w:val="0"/>
        <w:spacing w:line="360" w:lineRule="auto"/>
        <w:ind w:firstLine="482"/>
        <w:outlineLvl w:val="3"/>
        <w:rPr>
          <w:rFonts w:ascii="宋体" w:hAnsi="宋体" w:cs="宋体"/>
          <w:color w:val="auto"/>
          <w:sz w:val="24"/>
          <w:highlight w:val="none"/>
        </w:rPr>
      </w:pPr>
      <w:r>
        <w:rPr>
          <w:rFonts w:hint="eastAsia" w:ascii="宋体" w:hAnsi="宋体" w:cs="宋体"/>
          <w:color w:val="auto"/>
          <w:sz w:val="24"/>
          <w:highlight w:val="none"/>
        </w:rPr>
        <w:t>（5）服务期及试运行期内维护响应要求：</w:t>
      </w:r>
    </w:p>
    <w:p>
      <w:pPr>
        <w:adjustRightInd w:val="0"/>
        <w:snapToGrid w:val="0"/>
        <w:spacing w:line="360" w:lineRule="auto"/>
        <w:ind w:firstLine="482"/>
        <w:rPr>
          <w:rFonts w:ascii="宋体" w:hAnsi="宋体" w:cs="宋体"/>
          <w:color w:val="auto"/>
          <w:sz w:val="24"/>
          <w:highlight w:val="none"/>
        </w:rPr>
      </w:pPr>
      <w:r>
        <w:rPr>
          <w:rFonts w:hint="eastAsia" w:ascii="宋体" w:hAnsi="宋体" w:cs="宋体"/>
          <w:color w:val="auto"/>
          <w:sz w:val="24"/>
          <w:highlight w:val="none"/>
        </w:rPr>
        <w:t>摄像机或其他设备出现故障，在接到采购人（或使用人）或监理单位的维修通知后，应在30分钟内响应，并在2小时内赶到现场维修，4小时恢复正常工作。若问题不能现场解决，也将采取相应措施以保证设备正常运行，必要时包括更换必要的软件、硬件或切换线路。维护结束恢复正常后须由采购人（或使用人）或监理单位书面确认，维护维修记录应当做记录（一式两份），未履行的每次扣款1000元。故障超过24小时仍未解决的，另按每个设备500元/天扣除费用，直至故障修复为止。有特殊情况的，经采购人（或使用人）同意，可以延长修复时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（6）平时在日常巡检过程中，摄像机的图像效果因灰尘等影响造成不清晰的，中标单位应在接到通知24小时内</w:t>
      </w:r>
      <w:r>
        <w:rPr>
          <w:rFonts w:ascii="宋体" w:hAnsi="宋体" w:cs="宋体"/>
          <w:color w:val="auto"/>
          <w:sz w:val="24"/>
          <w:highlight w:val="none"/>
        </w:rPr>
        <w:t>响应解</w:t>
      </w:r>
      <w:r>
        <w:rPr>
          <w:rFonts w:hint="eastAsia" w:ascii="宋体" w:hAnsi="宋体" w:cs="宋体"/>
          <w:color w:val="auto"/>
          <w:sz w:val="24"/>
          <w:highlight w:val="none"/>
        </w:rPr>
        <w:t>，未履行的每次扣款1000元，如遇树枝遮挡等问题造成不清晰的，中标单位应配合采购人（或使用人）排除故障，不配合的每次扣款500元。</w:t>
      </w:r>
      <w:r>
        <w:rPr>
          <w:rFonts w:ascii="宋体" w:hAnsi="宋体" w:cs="宋体"/>
          <w:color w:val="auto"/>
          <w:sz w:val="24"/>
          <w:highlight w:val="none"/>
        </w:rPr>
        <w:t>每年</w:t>
      </w:r>
      <w:r>
        <w:rPr>
          <w:rFonts w:hint="eastAsia" w:ascii="宋体" w:hAnsi="宋体" w:cs="宋体"/>
          <w:color w:val="auto"/>
          <w:sz w:val="24"/>
          <w:highlight w:val="none"/>
        </w:rPr>
        <w:t>应</w:t>
      </w:r>
      <w:r>
        <w:rPr>
          <w:rFonts w:ascii="宋体" w:hAnsi="宋体" w:cs="宋体"/>
          <w:color w:val="auto"/>
          <w:sz w:val="24"/>
          <w:highlight w:val="none"/>
        </w:rPr>
        <w:t>对各类</w:t>
      </w:r>
      <w:r>
        <w:rPr>
          <w:rFonts w:hint="eastAsia" w:ascii="宋体" w:hAnsi="宋体" w:cs="宋体"/>
          <w:color w:val="auto"/>
          <w:sz w:val="24"/>
          <w:highlight w:val="none"/>
        </w:rPr>
        <w:t>频闪灯、爆闪灯</w:t>
      </w:r>
      <w:r>
        <w:rPr>
          <w:rFonts w:ascii="宋体" w:hAnsi="宋体" w:cs="宋体"/>
          <w:color w:val="auto"/>
          <w:sz w:val="24"/>
          <w:highlight w:val="none"/>
        </w:rPr>
        <w:t>等补光设备流明</w:t>
      </w:r>
      <w:r>
        <w:rPr>
          <w:rFonts w:hint="eastAsia" w:ascii="宋体" w:hAnsi="宋体" w:cs="宋体"/>
          <w:color w:val="auto"/>
          <w:sz w:val="24"/>
          <w:highlight w:val="none"/>
        </w:rPr>
        <w:t>和</w:t>
      </w:r>
      <w:r>
        <w:rPr>
          <w:rFonts w:ascii="宋体" w:hAnsi="宋体" w:cs="宋体"/>
          <w:color w:val="auto"/>
          <w:sz w:val="24"/>
          <w:highlight w:val="none"/>
        </w:rPr>
        <w:t>接地电阻测试一次，</w:t>
      </w:r>
      <w:r>
        <w:rPr>
          <w:rFonts w:hint="eastAsia" w:ascii="宋体" w:hAnsi="宋体" w:cs="宋体"/>
          <w:color w:val="auto"/>
          <w:sz w:val="24"/>
          <w:highlight w:val="none"/>
        </w:rPr>
        <w:t>并</w:t>
      </w:r>
      <w:r>
        <w:rPr>
          <w:rFonts w:ascii="宋体" w:hAnsi="宋体" w:cs="宋体"/>
          <w:color w:val="auto"/>
          <w:sz w:val="24"/>
          <w:highlight w:val="none"/>
        </w:rPr>
        <w:t>做好记录</w:t>
      </w:r>
      <w:r>
        <w:rPr>
          <w:rFonts w:hint="eastAsia" w:ascii="宋体" w:hAnsi="宋体" w:cs="宋体"/>
          <w:color w:val="auto"/>
          <w:sz w:val="24"/>
          <w:highlight w:val="none"/>
        </w:rPr>
        <w:t>和</w:t>
      </w:r>
      <w:r>
        <w:rPr>
          <w:rFonts w:ascii="宋体" w:hAnsi="宋体" w:cs="宋体"/>
          <w:color w:val="auto"/>
          <w:sz w:val="24"/>
          <w:highlight w:val="none"/>
        </w:rPr>
        <w:t>测试台账备查</w:t>
      </w:r>
      <w:r>
        <w:rPr>
          <w:rFonts w:hint="eastAsia" w:ascii="宋体" w:hAnsi="宋体" w:cs="宋体"/>
          <w:color w:val="auto"/>
          <w:sz w:val="24"/>
          <w:highlight w:val="none"/>
        </w:rPr>
        <w:t>。</w:t>
      </w:r>
      <w:r>
        <w:rPr>
          <w:rFonts w:ascii="宋体" w:hAnsi="宋体" w:cs="宋体"/>
          <w:color w:val="auto"/>
          <w:sz w:val="24"/>
          <w:highlight w:val="none"/>
        </w:rPr>
        <w:t>对</w:t>
      </w:r>
      <w:r>
        <w:rPr>
          <w:rFonts w:hint="eastAsia" w:ascii="宋体" w:hAnsi="宋体" w:cs="宋体"/>
          <w:color w:val="auto"/>
          <w:sz w:val="24"/>
          <w:highlight w:val="none"/>
        </w:rPr>
        <w:t>采购人（或使用人）提出</w:t>
      </w:r>
      <w:r>
        <w:rPr>
          <w:rFonts w:ascii="宋体" w:hAnsi="宋体" w:cs="宋体"/>
          <w:color w:val="auto"/>
          <w:sz w:val="24"/>
          <w:highlight w:val="none"/>
        </w:rPr>
        <w:t>更换</w:t>
      </w:r>
      <w:r>
        <w:rPr>
          <w:rFonts w:hint="eastAsia" w:ascii="宋体" w:hAnsi="宋体" w:cs="宋体"/>
          <w:color w:val="auto"/>
          <w:sz w:val="24"/>
          <w:highlight w:val="none"/>
        </w:rPr>
        <w:t>不符合</w:t>
      </w:r>
      <w:r>
        <w:rPr>
          <w:rFonts w:ascii="宋体" w:hAnsi="宋体" w:cs="宋体"/>
          <w:color w:val="auto"/>
          <w:sz w:val="24"/>
          <w:highlight w:val="none"/>
        </w:rPr>
        <w:t>要求补光灯的，乙方应在24小时内响应解决</w:t>
      </w:r>
      <w:r>
        <w:rPr>
          <w:rFonts w:hint="eastAsia" w:ascii="宋体" w:hAnsi="宋体" w:cs="宋体"/>
          <w:color w:val="auto"/>
          <w:sz w:val="24"/>
          <w:highlight w:val="none"/>
        </w:rPr>
        <w:t>，未履行的每次扣款1000元</w:t>
      </w:r>
      <w:r>
        <w:rPr>
          <w:rFonts w:ascii="宋体" w:hAnsi="宋体" w:cs="宋体"/>
          <w:color w:val="auto"/>
          <w:sz w:val="24"/>
          <w:highlight w:val="none"/>
        </w:rPr>
        <w:t>。</w:t>
      </w:r>
    </w:p>
    <w:p>
      <w:pPr>
        <w:adjustRightInd w:val="0"/>
        <w:snapToGrid w:val="0"/>
        <w:spacing w:line="360" w:lineRule="auto"/>
        <w:ind w:firstLine="482"/>
        <w:rPr>
          <w:rFonts w:ascii="宋体" w:hAnsi="宋体" w:cs="宋体"/>
          <w:color w:val="auto"/>
          <w:sz w:val="24"/>
          <w:highlight w:val="none"/>
        </w:rPr>
      </w:pPr>
      <w:r>
        <w:rPr>
          <w:rFonts w:hint="eastAsia" w:ascii="宋体" w:hAnsi="宋体" w:cs="宋体"/>
          <w:color w:val="auto"/>
          <w:sz w:val="24"/>
          <w:highlight w:val="none"/>
        </w:rPr>
        <w:t>（7）管道、基础、窨井、线缆等破损的（排除不可抗力及人为破坏造成的情况），应2小时内响应，并在48小时内修复，未履行的每次扣款5000元，故障超过48小时仍未解决的，另按500元/天扣除费用，直至故障修复为止。特殊情况，经采购人（或使用人）同意，可以延长修复时间。修复后，中标单位须提供一式两份报告给采购人（或使用人）或监理单位，包括故障原因，解决措施完成修理所需时间及恢复正常运行日期。</w:t>
      </w:r>
    </w:p>
    <w:p>
      <w:pPr>
        <w:adjustRightInd w:val="0"/>
        <w:snapToGrid w:val="0"/>
        <w:spacing w:line="360" w:lineRule="auto"/>
        <w:ind w:firstLine="482"/>
        <w:rPr>
          <w:rFonts w:ascii="宋体" w:hAnsi="宋体" w:cs="宋体"/>
          <w:color w:val="auto"/>
          <w:sz w:val="24"/>
          <w:highlight w:val="none"/>
        </w:rPr>
      </w:pPr>
      <w:r>
        <w:rPr>
          <w:rFonts w:hint="eastAsia" w:ascii="宋体" w:hAnsi="宋体" w:cs="宋体"/>
          <w:color w:val="auto"/>
          <w:sz w:val="24"/>
          <w:highlight w:val="none"/>
        </w:rPr>
        <w:t xml:space="preserve">（8）中标单位应从召开项目启动会次日起至项目通过验收止，按采购人（或使用人）要求在每日19时前通过微信工作群上报截止当日17时的工作进度，不汇报工作进度的采购人（或使用人）有权每次扣除1000元/次，不按时汇报工作进度的采购人（或使用人）有权每次扣除500元/次。中标单位需按招、投标文件等要求做好相应工作及配合采购人（或使用人）完成相关建设项目的档案管理工作，否则采购人（或使用人）有权扣除500元/次/天。  </w:t>
      </w:r>
    </w:p>
    <w:p>
      <w:pPr>
        <w:adjustRightInd w:val="0"/>
        <w:snapToGrid w:val="0"/>
        <w:spacing w:line="360" w:lineRule="auto"/>
        <w:ind w:firstLine="482"/>
        <w:rPr>
          <w:rFonts w:ascii="宋体" w:hAnsi="宋体" w:cs="宋体"/>
          <w:color w:val="auto"/>
          <w:sz w:val="24"/>
          <w:highlight w:val="none"/>
        </w:rPr>
      </w:pPr>
      <w:r>
        <w:rPr>
          <w:rFonts w:hint="eastAsia" w:ascii="宋体" w:hAnsi="宋体" w:cs="宋体"/>
          <w:color w:val="auto"/>
          <w:sz w:val="24"/>
          <w:highlight w:val="none"/>
        </w:rPr>
        <w:t>（9）成交供应商必须完全配合本项目实施及合同履约期间监理单位工作，对经采购人（授权监理单位签发的通知单等，成交供应商都应按要求予以回复及执行。不及时回复或执行的，采购人（或使用人）有权每次扣除1000元/次。</w:t>
      </w:r>
    </w:p>
    <w:p>
      <w:pPr>
        <w:pStyle w:val="22"/>
        <w:adjustRightInd w:val="0"/>
        <w:snapToGrid w:val="0"/>
        <w:spacing w:line="360" w:lineRule="auto"/>
        <w:ind w:firstLine="480" w:firstLineChars="200"/>
        <w:outlineLvl w:val="2"/>
        <w:rPr>
          <w:rFonts w:asciiTheme="minorEastAsia" w:hAnsiTheme="minorEastAsia" w:eastAsiaTheme="minorEastAsia"/>
          <w:color w:val="auto"/>
          <w:kern w:val="0"/>
          <w:sz w:val="24"/>
          <w:highlight w:val="none"/>
        </w:rPr>
      </w:pPr>
      <w:r>
        <w:rPr>
          <w:rFonts w:hint="eastAsia" w:hAnsi="宋体" w:cs="宋体"/>
          <w:color w:val="auto"/>
          <w:sz w:val="24"/>
          <w:highlight w:val="none"/>
        </w:rPr>
        <w:t>(10)成交供应商需要根据《</w:t>
      </w:r>
      <w:r>
        <w:rPr>
          <w:rFonts w:hAnsi="宋体" w:cs="宋体"/>
          <w:color w:val="auto"/>
          <w:sz w:val="24"/>
          <w:highlight w:val="none"/>
        </w:rPr>
        <w:t>浙江省道路交通违法监控设备设置和使用管理工作规范</w:t>
      </w:r>
      <w:r>
        <w:rPr>
          <w:rFonts w:hint="eastAsia" w:hAnsi="宋体" w:cs="宋体"/>
          <w:color w:val="auto"/>
          <w:sz w:val="24"/>
          <w:highlight w:val="none"/>
        </w:rPr>
        <w:t>》</w:t>
      </w:r>
      <w:r>
        <w:rPr>
          <w:rFonts w:hAnsi="宋体" w:cs="宋体"/>
          <w:color w:val="auto"/>
          <w:sz w:val="24"/>
          <w:highlight w:val="none"/>
        </w:rPr>
        <w:t>的要求</w:t>
      </w:r>
      <w:r>
        <w:rPr>
          <w:rFonts w:hint="eastAsia" w:hAnsi="宋体" w:cs="宋体"/>
          <w:color w:val="auto"/>
          <w:sz w:val="24"/>
          <w:highlight w:val="none"/>
        </w:rPr>
        <w:t>，协助招标人编制项目内所有建设点位交通技术监控设备的备案审核表报上级交警部门审批，主要内容包括点位基本情况、设备标定或检定报告、所有违法行为的实际取证效果样片、监控设备设置目的评估、点位的守法率情况等。</w:t>
      </w:r>
    </w:p>
    <w:p>
      <w:pPr>
        <w:pStyle w:val="6"/>
        <w:rPr>
          <w:rFonts w:ascii="宋体" w:hAnsi="宋体" w:eastAsia="宋体" w:cs="宋体"/>
          <w:color w:val="auto"/>
          <w:highlight w:val="none"/>
        </w:rPr>
      </w:pPr>
    </w:p>
    <w:p>
      <w:pPr>
        <w:pStyle w:val="17"/>
        <w:spacing w:line="360" w:lineRule="auto"/>
        <w:ind w:firstLine="480"/>
        <w:rPr>
          <w:rFonts w:ascii="宋体" w:hAnsi="宋体" w:cs="宋体"/>
          <w:color w:val="auto"/>
          <w:kern w:val="0"/>
          <w:highlight w:val="none"/>
        </w:rPr>
      </w:pPr>
    </w:p>
    <w:p>
      <w:pPr>
        <w:pStyle w:val="4"/>
        <w:numPr>
          <w:ilvl w:val="1"/>
          <w:numId w:val="0"/>
        </w:numPr>
        <w:spacing w:line="360" w:lineRule="auto"/>
        <w:rPr>
          <w:rFonts w:ascii="宋体" w:hAnsi="宋体" w:eastAsia="宋体" w:cs="宋体"/>
          <w:color w:val="auto"/>
          <w:sz w:val="24"/>
          <w:szCs w:val="24"/>
          <w:highlight w:val="none"/>
        </w:rPr>
        <w:sectPr>
          <w:headerReference r:id="rId5" w:type="default"/>
          <w:footerReference r:id="rId6" w:type="default"/>
          <w:pgSz w:w="11906" w:h="16838"/>
          <w:pgMar w:top="1440" w:right="1803" w:bottom="1440" w:left="1803" w:header="851" w:footer="992" w:gutter="0"/>
          <w:pgNumType w:fmt="numberInDash"/>
          <w:cols w:space="0" w:num="1"/>
          <w:docGrid w:type="lines" w:linePitch="332" w:charSpace="0"/>
        </w:sectPr>
      </w:pPr>
    </w:p>
    <w:bookmarkEnd w:id="0"/>
    <w:p>
      <w:pPr>
        <w:numPr>
          <w:ilvl w:val="0"/>
          <w:numId w:val="5"/>
        </w:num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政府采购合同主要条款</w:t>
      </w:r>
    </w:p>
    <w:p>
      <w:pPr>
        <w:widowControl/>
        <w:shd w:val="clear" w:color="auto" w:fill="FFFFFF"/>
        <w:spacing w:after="150"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以下为成交后签订本项目合同的通用条款，成交供应商不得提出实质性的修改，如有特殊条款将由采购人与成交供应商结合本项目具体情况协商后签订。</w:t>
      </w:r>
    </w:p>
    <w:p>
      <w:pPr>
        <w:pStyle w:val="22"/>
        <w:snapToGrid w:val="0"/>
        <w:spacing w:before="120" w:after="120" w:line="360" w:lineRule="auto"/>
        <w:rPr>
          <w:rFonts w:hAnsi="宋体" w:cs="宋体"/>
          <w:color w:val="auto"/>
          <w:sz w:val="24"/>
          <w:highlight w:val="none"/>
        </w:rPr>
      </w:pPr>
      <w:r>
        <w:rPr>
          <w:rFonts w:hint="eastAsia" w:hAnsi="宋体" w:cs="宋体"/>
          <w:color w:val="auto"/>
          <w:sz w:val="24"/>
          <w:highlight w:val="none"/>
        </w:rPr>
        <w:t>项目名称：台州市公共视频监控服务（2022年）项目</w:t>
      </w:r>
    </w:p>
    <w:p>
      <w:pPr>
        <w:pStyle w:val="22"/>
        <w:snapToGrid w:val="0"/>
        <w:spacing w:before="120" w:after="120" w:line="360" w:lineRule="auto"/>
        <w:rPr>
          <w:rFonts w:hAnsi="宋体" w:cs="宋体"/>
          <w:color w:val="auto"/>
          <w:sz w:val="24"/>
          <w:highlight w:val="none"/>
        </w:rPr>
      </w:pPr>
      <w:r>
        <w:rPr>
          <w:rFonts w:hint="eastAsia" w:hAnsi="宋体" w:cs="宋体"/>
          <w:color w:val="auto"/>
          <w:sz w:val="24"/>
          <w:highlight w:val="none"/>
        </w:rPr>
        <w:t>项目编号：</w:t>
      </w:r>
    </w:p>
    <w:p>
      <w:pPr>
        <w:pStyle w:val="22"/>
        <w:snapToGrid w:val="0"/>
        <w:spacing w:before="120" w:after="120" w:line="360" w:lineRule="auto"/>
        <w:rPr>
          <w:rFonts w:hAnsi="宋体" w:cs="宋体"/>
          <w:color w:val="auto"/>
          <w:sz w:val="24"/>
          <w:highlight w:val="none"/>
        </w:rPr>
      </w:pPr>
      <w:r>
        <w:rPr>
          <w:rFonts w:hint="eastAsia" w:hAnsi="宋体" w:cs="宋体"/>
          <w:color w:val="auto"/>
          <w:sz w:val="24"/>
          <w:highlight w:val="none"/>
        </w:rPr>
        <w:t xml:space="preserve">甲方：（采购单位）                            所在地：                              </w:t>
      </w:r>
    </w:p>
    <w:p>
      <w:pPr>
        <w:pStyle w:val="22"/>
        <w:snapToGrid w:val="0"/>
        <w:spacing w:before="120" w:after="120" w:line="360" w:lineRule="auto"/>
        <w:rPr>
          <w:rFonts w:hAnsi="宋体" w:cs="宋体"/>
          <w:color w:val="auto"/>
          <w:sz w:val="24"/>
          <w:highlight w:val="none"/>
        </w:rPr>
      </w:pPr>
      <w:r>
        <w:rPr>
          <w:rFonts w:hint="eastAsia" w:hAnsi="宋体" w:cs="宋体"/>
          <w:color w:val="auto"/>
          <w:sz w:val="24"/>
          <w:highlight w:val="none"/>
        </w:rPr>
        <w:t>乙方：（中标供应商）                          所在地：</w:t>
      </w:r>
    </w:p>
    <w:p>
      <w:pPr>
        <w:pStyle w:val="22"/>
        <w:snapToGrid w:val="0"/>
        <w:spacing w:before="120" w:after="120" w:line="360" w:lineRule="auto"/>
        <w:rPr>
          <w:rFonts w:hAnsi="宋体" w:cs="宋体"/>
          <w:b/>
          <w:color w:val="auto"/>
          <w:sz w:val="24"/>
          <w:highlight w:val="none"/>
        </w:rPr>
      </w:pPr>
      <w:r>
        <w:rPr>
          <w:rFonts w:hint="eastAsia" w:hAnsi="宋体" w:cs="宋体"/>
          <w:color w:val="auto"/>
          <w:sz w:val="24"/>
          <w:highlight w:val="none"/>
        </w:rPr>
        <w:t>甲、乙双方根据台州市公共视频监控服务（2022年）项目公开招标的结果，签署本合同。</w:t>
      </w:r>
    </w:p>
    <w:p>
      <w:p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一、合同文件： </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1.合同条款。</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2.中标通知书。</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3.更正补充文件。</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4.招标文件。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5.《每日报审表》。</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6</w:t>
      </w:r>
      <w:r>
        <w:rPr>
          <w:rFonts w:hint="eastAsia" w:ascii="宋体" w:hAnsi="宋体" w:cs="宋体"/>
          <w:color w:val="auto"/>
          <w:sz w:val="24"/>
          <w:highlight w:val="none"/>
          <w:lang w:val="zh-CN"/>
        </w:rPr>
        <w:t>.中标供应商投标文件。</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7</w:t>
      </w:r>
      <w:r>
        <w:rPr>
          <w:rFonts w:hint="eastAsia" w:ascii="宋体" w:hAnsi="宋体" w:cs="宋体"/>
          <w:color w:val="auto"/>
          <w:sz w:val="24"/>
          <w:highlight w:val="none"/>
          <w:lang w:val="zh-CN"/>
        </w:rPr>
        <w:t>.其他。</w:t>
      </w:r>
    </w:p>
    <w:p>
      <w:pPr>
        <w:pStyle w:val="22"/>
        <w:snapToGrid w:val="0"/>
        <w:spacing w:line="360" w:lineRule="auto"/>
        <w:ind w:firstLine="480" w:firstLineChars="200"/>
        <w:rPr>
          <w:rFonts w:hAnsi="宋体" w:cs="宋体"/>
          <w:color w:val="auto"/>
          <w:sz w:val="24"/>
          <w:highlight w:val="none"/>
          <w:lang w:val="zh-CN"/>
        </w:rPr>
      </w:pPr>
      <w:r>
        <w:rPr>
          <w:rFonts w:hint="eastAsia" w:hAnsi="宋体" w:cs="宋体"/>
          <w:color w:val="auto"/>
          <w:sz w:val="24"/>
          <w:highlight w:val="none"/>
          <w:lang w:val="zh-CN"/>
        </w:rPr>
        <w:t>上述所指合同文件应认为是互相补充和解释的，但是有模棱两可或互相矛盾之处，以其所列内容顺序为准。</w:t>
      </w:r>
    </w:p>
    <w:p>
      <w:pPr>
        <w:pStyle w:val="22"/>
        <w:numPr>
          <w:ilvl w:val="0"/>
          <w:numId w:val="3"/>
        </w:numPr>
        <w:snapToGrid w:val="0"/>
        <w:spacing w:before="120" w:after="120" w:line="360" w:lineRule="auto"/>
        <w:ind w:left="539"/>
        <w:rPr>
          <w:rFonts w:hAnsi="宋体" w:cs="宋体"/>
          <w:b/>
          <w:color w:val="auto"/>
          <w:sz w:val="24"/>
          <w:highlight w:val="none"/>
        </w:rPr>
      </w:pPr>
      <w:r>
        <w:rPr>
          <w:rFonts w:hint="eastAsia" w:hAnsi="宋体" w:cs="宋体"/>
          <w:b/>
          <w:color w:val="auto"/>
          <w:sz w:val="24"/>
          <w:highlight w:val="none"/>
        </w:rPr>
        <w:t>货物内容</w:t>
      </w:r>
    </w:p>
    <w:tbl>
      <w:tblPr>
        <w:tblStyle w:val="35"/>
        <w:tblW w:w="91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3"/>
        <w:gridCol w:w="1878"/>
        <w:gridCol w:w="1268"/>
        <w:gridCol w:w="2183"/>
        <w:gridCol w:w="835"/>
        <w:gridCol w:w="800"/>
        <w:gridCol w:w="800"/>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6" w:hRule="atLeast"/>
          <w:jc w:val="center"/>
        </w:trPr>
        <w:tc>
          <w:tcPr>
            <w:tcW w:w="613" w:type="dxa"/>
            <w:tcBorders>
              <w:tl2br w:val="nil"/>
              <w:tr2bl w:val="nil"/>
            </w:tcBorders>
            <w:shd w:val="clear" w:color="auto" w:fill="D9D9D9"/>
            <w:vAlign w:val="center"/>
          </w:tcPr>
          <w:p>
            <w:pPr>
              <w:rPr>
                <w:rFonts w:ascii="宋体" w:hAnsi="宋体" w:cs="宋体"/>
                <w:color w:val="auto"/>
                <w:highlight w:val="none"/>
              </w:rPr>
            </w:pPr>
            <w:r>
              <w:rPr>
                <w:rFonts w:hint="eastAsia" w:ascii="宋体" w:hAnsi="宋体" w:cs="宋体"/>
                <w:color w:val="auto"/>
                <w:highlight w:val="none"/>
              </w:rPr>
              <w:t>序号</w:t>
            </w:r>
          </w:p>
        </w:tc>
        <w:tc>
          <w:tcPr>
            <w:tcW w:w="1878" w:type="dxa"/>
            <w:tcBorders>
              <w:tl2br w:val="nil"/>
              <w:tr2bl w:val="nil"/>
            </w:tcBorders>
            <w:shd w:val="clear" w:color="auto" w:fill="D9D9D9"/>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货物名称</w:t>
            </w:r>
          </w:p>
        </w:tc>
        <w:tc>
          <w:tcPr>
            <w:tcW w:w="1268" w:type="dxa"/>
            <w:tcBorders>
              <w:tl2br w:val="nil"/>
              <w:tr2bl w:val="nil"/>
            </w:tcBorders>
            <w:shd w:val="clear" w:color="auto" w:fill="D9D9D9"/>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品牌/厂商</w:t>
            </w:r>
          </w:p>
        </w:tc>
        <w:tc>
          <w:tcPr>
            <w:tcW w:w="2183" w:type="dxa"/>
            <w:tcBorders>
              <w:tl2br w:val="nil"/>
              <w:tr2bl w:val="nil"/>
            </w:tcBorders>
            <w:shd w:val="clear" w:color="auto" w:fill="D9D9D9"/>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技术参数</w:t>
            </w:r>
          </w:p>
        </w:tc>
        <w:tc>
          <w:tcPr>
            <w:tcW w:w="835" w:type="dxa"/>
            <w:tcBorders>
              <w:tl2br w:val="nil"/>
              <w:tr2bl w:val="nil"/>
            </w:tcBorders>
            <w:shd w:val="clear" w:color="auto" w:fill="D9D9D9"/>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800" w:type="dxa"/>
            <w:tcBorders>
              <w:tl2br w:val="nil"/>
              <w:tr2bl w:val="nil"/>
            </w:tcBorders>
            <w:shd w:val="clear" w:color="auto" w:fill="D9D9D9"/>
            <w:vAlign w:val="center"/>
          </w:tcPr>
          <w:p>
            <w:pPr>
              <w:widowControl/>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单价（元）</w:t>
            </w:r>
          </w:p>
        </w:tc>
        <w:tc>
          <w:tcPr>
            <w:tcW w:w="800" w:type="dxa"/>
            <w:tcBorders>
              <w:tl2br w:val="nil"/>
              <w:tr2bl w:val="nil"/>
            </w:tcBorders>
            <w:shd w:val="clear" w:color="auto" w:fill="D9D9D9"/>
            <w:vAlign w:val="center"/>
          </w:tcPr>
          <w:p>
            <w:pPr>
              <w:widowControl/>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合计（元）</w:t>
            </w:r>
          </w:p>
        </w:tc>
        <w:tc>
          <w:tcPr>
            <w:tcW w:w="800" w:type="dxa"/>
            <w:tcBorders>
              <w:tl2br w:val="nil"/>
              <w:tr2bl w:val="nil"/>
            </w:tcBorders>
            <w:shd w:val="clear" w:color="auto" w:fill="D9D9D9"/>
            <w:vAlign w:val="center"/>
          </w:tcPr>
          <w:p>
            <w:pPr>
              <w:widowControl/>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613" w:type="dxa"/>
            <w:tcBorders>
              <w:tl2br w:val="nil"/>
              <w:tr2bl w:val="nil"/>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878" w:type="dxa"/>
            <w:tcBorders>
              <w:tl2br w:val="nil"/>
              <w:tr2bl w:val="nil"/>
            </w:tcBorders>
            <w:shd w:val="clear" w:color="auto" w:fill="auto"/>
            <w:noWrap/>
            <w:vAlign w:val="center"/>
          </w:tcPr>
          <w:p>
            <w:pPr>
              <w:widowControl/>
              <w:jc w:val="center"/>
              <w:rPr>
                <w:rFonts w:ascii="宋体" w:hAnsi="宋体" w:cs="宋体"/>
                <w:color w:val="auto"/>
                <w:szCs w:val="21"/>
                <w:highlight w:val="none"/>
              </w:rPr>
            </w:pPr>
          </w:p>
        </w:tc>
        <w:tc>
          <w:tcPr>
            <w:tcW w:w="1268" w:type="dxa"/>
            <w:tcBorders>
              <w:tl2br w:val="nil"/>
              <w:tr2bl w:val="nil"/>
            </w:tcBorders>
            <w:shd w:val="clear" w:color="auto" w:fill="auto"/>
            <w:noWrap/>
            <w:vAlign w:val="center"/>
          </w:tcPr>
          <w:p>
            <w:pPr>
              <w:pStyle w:val="34"/>
              <w:ind w:firstLine="0" w:firstLineChars="0"/>
              <w:rPr>
                <w:rFonts w:ascii="宋体" w:hAnsi="宋体" w:cs="宋体"/>
                <w:color w:val="auto"/>
                <w:szCs w:val="21"/>
                <w:highlight w:val="none"/>
              </w:rPr>
            </w:pPr>
          </w:p>
        </w:tc>
        <w:tc>
          <w:tcPr>
            <w:tcW w:w="2183" w:type="dxa"/>
            <w:tcBorders>
              <w:tl2br w:val="nil"/>
              <w:tr2bl w:val="nil"/>
            </w:tcBorders>
            <w:shd w:val="clear" w:color="auto" w:fill="auto"/>
            <w:noWrap/>
            <w:vAlign w:val="center"/>
          </w:tcPr>
          <w:p>
            <w:pPr>
              <w:pStyle w:val="34"/>
              <w:ind w:firstLine="0" w:firstLineChars="0"/>
              <w:rPr>
                <w:rFonts w:ascii="宋体" w:hAnsi="宋体" w:cs="宋体"/>
                <w:color w:val="auto"/>
                <w:szCs w:val="21"/>
                <w:highlight w:val="none"/>
              </w:rPr>
            </w:pPr>
          </w:p>
        </w:tc>
        <w:tc>
          <w:tcPr>
            <w:tcW w:w="835" w:type="dxa"/>
            <w:tcBorders>
              <w:tl2br w:val="nil"/>
              <w:tr2bl w:val="nil"/>
            </w:tcBorders>
            <w:shd w:val="clear" w:color="auto" w:fill="auto"/>
            <w:noWrap/>
            <w:vAlign w:val="center"/>
          </w:tcPr>
          <w:p>
            <w:pPr>
              <w:widowControl/>
              <w:jc w:val="center"/>
              <w:textAlignment w:val="center"/>
              <w:rPr>
                <w:rFonts w:ascii="宋体" w:hAnsi="宋体" w:cs="宋体"/>
                <w:color w:val="auto"/>
                <w:szCs w:val="21"/>
                <w:highlight w:val="none"/>
              </w:rPr>
            </w:pPr>
          </w:p>
        </w:tc>
        <w:tc>
          <w:tcPr>
            <w:tcW w:w="800" w:type="dxa"/>
            <w:tcBorders>
              <w:tl2br w:val="nil"/>
              <w:tr2bl w:val="nil"/>
            </w:tcBorders>
            <w:shd w:val="clear" w:color="auto" w:fill="auto"/>
            <w:noWrap/>
            <w:vAlign w:val="center"/>
          </w:tcPr>
          <w:p>
            <w:pPr>
              <w:widowControl/>
              <w:jc w:val="center"/>
              <w:textAlignment w:val="center"/>
              <w:rPr>
                <w:rFonts w:ascii="宋体" w:hAnsi="宋体" w:cs="宋体"/>
                <w:color w:val="auto"/>
                <w:kern w:val="0"/>
                <w:szCs w:val="21"/>
                <w:highlight w:val="none"/>
                <w:lang w:bidi="ar"/>
              </w:rPr>
            </w:pPr>
          </w:p>
        </w:tc>
        <w:tc>
          <w:tcPr>
            <w:tcW w:w="800" w:type="dxa"/>
            <w:tcBorders>
              <w:tl2br w:val="nil"/>
              <w:tr2bl w:val="nil"/>
            </w:tcBorders>
            <w:shd w:val="clear" w:color="auto" w:fill="auto"/>
            <w:noWrap/>
            <w:vAlign w:val="center"/>
          </w:tcPr>
          <w:p>
            <w:pPr>
              <w:widowControl/>
              <w:jc w:val="center"/>
              <w:textAlignment w:val="center"/>
              <w:rPr>
                <w:rFonts w:ascii="宋体" w:hAnsi="宋体" w:cs="宋体"/>
                <w:color w:val="auto"/>
                <w:kern w:val="0"/>
                <w:szCs w:val="21"/>
                <w:highlight w:val="none"/>
                <w:lang w:bidi="ar"/>
              </w:rPr>
            </w:pPr>
          </w:p>
        </w:tc>
        <w:tc>
          <w:tcPr>
            <w:tcW w:w="800" w:type="dxa"/>
            <w:tcBorders>
              <w:tl2br w:val="nil"/>
              <w:tr2bl w:val="nil"/>
            </w:tcBorders>
            <w:shd w:val="clear" w:color="auto" w:fill="auto"/>
            <w:noWrap/>
            <w:vAlign w:val="center"/>
          </w:tcPr>
          <w:p>
            <w:pPr>
              <w:widowControl/>
              <w:jc w:val="center"/>
              <w:textAlignment w:val="center"/>
              <w:rPr>
                <w:rFonts w:ascii="宋体" w:hAnsi="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613" w:type="dxa"/>
            <w:tcBorders>
              <w:tl2br w:val="nil"/>
              <w:tr2bl w:val="nil"/>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878" w:type="dxa"/>
            <w:tcBorders>
              <w:tl2br w:val="nil"/>
              <w:tr2bl w:val="nil"/>
            </w:tcBorders>
            <w:shd w:val="clear" w:color="auto" w:fill="auto"/>
            <w:noWrap/>
            <w:vAlign w:val="center"/>
          </w:tcPr>
          <w:p>
            <w:pPr>
              <w:widowControl/>
              <w:jc w:val="center"/>
              <w:rPr>
                <w:rFonts w:ascii="宋体" w:hAnsi="宋体" w:cs="宋体"/>
                <w:color w:val="auto"/>
                <w:szCs w:val="21"/>
                <w:highlight w:val="none"/>
              </w:rPr>
            </w:pPr>
          </w:p>
        </w:tc>
        <w:tc>
          <w:tcPr>
            <w:tcW w:w="1268" w:type="dxa"/>
            <w:tcBorders>
              <w:tl2br w:val="nil"/>
              <w:tr2bl w:val="nil"/>
            </w:tcBorders>
            <w:shd w:val="clear" w:color="auto" w:fill="auto"/>
            <w:noWrap/>
            <w:vAlign w:val="center"/>
          </w:tcPr>
          <w:p>
            <w:pPr>
              <w:pStyle w:val="109"/>
              <w:ind w:firstLine="0" w:firstLineChars="0"/>
              <w:rPr>
                <w:color w:val="auto"/>
                <w:sz w:val="21"/>
                <w:szCs w:val="21"/>
                <w:highlight w:val="none"/>
              </w:rPr>
            </w:pPr>
          </w:p>
        </w:tc>
        <w:tc>
          <w:tcPr>
            <w:tcW w:w="2183" w:type="dxa"/>
            <w:tcBorders>
              <w:tl2br w:val="nil"/>
              <w:tr2bl w:val="nil"/>
            </w:tcBorders>
            <w:shd w:val="clear" w:color="auto" w:fill="auto"/>
            <w:noWrap/>
            <w:vAlign w:val="center"/>
          </w:tcPr>
          <w:p>
            <w:pPr>
              <w:pStyle w:val="109"/>
              <w:ind w:firstLine="0" w:firstLineChars="0"/>
              <w:rPr>
                <w:color w:val="auto"/>
                <w:sz w:val="21"/>
                <w:szCs w:val="21"/>
                <w:highlight w:val="none"/>
              </w:rPr>
            </w:pPr>
          </w:p>
        </w:tc>
        <w:tc>
          <w:tcPr>
            <w:tcW w:w="835" w:type="dxa"/>
            <w:tcBorders>
              <w:tl2br w:val="nil"/>
              <w:tr2bl w:val="nil"/>
            </w:tcBorders>
            <w:shd w:val="clear" w:color="auto" w:fill="auto"/>
            <w:noWrap/>
            <w:vAlign w:val="center"/>
          </w:tcPr>
          <w:p>
            <w:pPr>
              <w:widowControl/>
              <w:jc w:val="center"/>
              <w:textAlignment w:val="center"/>
              <w:rPr>
                <w:rFonts w:ascii="宋体" w:hAnsi="宋体" w:cs="宋体"/>
                <w:color w:val="auto"/>
                <w:szCs w:val="21"/>
                <w:highlight w:val="none"/>
              </w:rPr>
            </w:pPr>
          </w:p>
        </w:tc>
        <w:tc>
          <w:tcPr>
            <w:tcW w:w="800" w:type="dxa"/>
            <w:tcBorders>
              <w:tl2br w:val="nil"/>
              <w:tr2bl w:val="nil"/>
            </w:tcBorders>
            <w:shd w:val="clear" w:color="auto" w:fill="auto"/>
            <w:noWrap/>
            <w:vAlign w:val="center"/>
          </w:tcPr>
          <w:p>
            <w:pPr>
              <w:widowControl/>
              <w:jc w:val="center"/>
              <w:textAlignment w:val="center"/>
              <w:rPr>
                <w:rFonts w:ascii="宋体" w:hAnsi="宋体" w:cs="宋体"/>
                <w:color w:val="auto"/>
                <w:kern w:val="0"/>
                <w:szCs w:val="21"/>
                <w:highlight w:val="none"/>
                <w:lang w:bidi="ar"/>
              </w:rPr>
            </w:pPr>
          </w:p>
        </w:tc>
        <w:tc>
          <w:tcPr>
            <w:tcW w:w="800" w:type="dxa"/>
            <w:tcBorders>
              <w:tl2br w:val="nil"/>
              <w:tr2bl w:val="nil"/>
            </w:tcBorders>
            <w:shd w:val="clear" w:color="auto" w:fill="auto"/>
            <w:noWrap/>
            <w:vAlign w:val="center"/>
          </w:tcPr>
          <w:p>
            <w:pPr>
              <w:widowControl/>
              <w:jc w:val="center"/>
              <w:textAlignment w:val="center"/>
              <w:rPr>
                <w:rFonts w:ascii="宋体" w:hAnsi="宋体" w:cs="宋体"/>
                <w:color w:val="auto"/>
                <w:kern w:val="0"/>
                <w:szCs w:val="21"/>
                <w:highlight w:val="none"/>
                <w:lang w:bidi="ar"/>
              </w:rPr>
            </w:pPr>
          </w:p>
        </w:tc>
        <w:tc>
          <w:tcPr>
            <w:tcW w:w="800" w:type="dxa"/>
            <w:tcBorders>
              <w:tl2br w:val="nil"/>
              <w:tr2bl w:val="nil"/>
            </w:tcBorders>
            <w:shd w:val="clear" w:color="auto" w:fill="auto"/>
            <w:noWrap/>
            <w:vAlign w:val="center"/>
          </w:tcPr>
          <w:p>
            <w:pPr>
              <w:widowControl/>
              <w:jc w:val="center"/>
              <w:textAlignment w:val="center"/>
              <w:rPr>
                <w:rFonts w:ascii="宋体" w:hAnsi="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613" w:type="dxa"/>
            <w:tcBorders>
              <w:tl2br w:val="nil"/>
              <w:tr2bl w:val="nil"/>
            </w:tcBorders>
            <w:shd w:val="clear" w:color="auto" w:fill="auto"/>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c>
          <w:tcPr>
            <w:tcW w:w="1878" w:type="dxa"/>
            <w:tcBorders>
              <w:tl2br w:val="nil"/>
              <w:tr2bl w:val="nil"/>
            </w:tcBorders>
            <w:shd w:val="clear" w:color="auto" w:fill="auto"/>
            <w:noWrap/>
            <w:vAlign w:val="center"/>
          </w:tcPr>
          <w:p>
            <w:pPr>
              <w:widowControl/>
              <w:jc w:val="center"/>
              <w:rPr>
                <w:rFonts w:ascii="宋体" w:hAnsi="宋体" w:cs="宋体"/>
                <w:color w:val="auto"/>
                <w:szCs w:val="21"/>
                <w:highlight w:val="none"/>
              </w:rPr>
            </w:pPr>
          </w:p>
        </w:tc>
        <w:tc>
          <w:tcPr>
            <w:tcW w:w="1268" w:type="dxa"/>
            <w:tcBorders>
              <w:tl2br w:val="nil"/>
              <w:tr2bl w:val="nil"/>
            </w:tcBorders>
            <w:shd w:val="clear" w:color="auto" w:fill="auto"/>
            <w:noWrap/>
            <w:vAlign w:val="center"/>
          </w:tcPr>
          <w:p>
            <w:pPr>
              <w:pStyle w:val="109"/>
              <w:ind w:firstLine="0" w:firstLineChars="0"/>
              <w:rPr>
                <w:color w:val="auto"/>
                <w:sz w:val="21"/>
                <w:szCs w:val="21"/>
                <w:highlight w:val="none"/>
              </w:rPr>
            </w:pPr>
          </w:p>
        </w:tc>
        <w:tc>
          <w:tcPr>
            <w:tcW w:w="2183" w:type="dxa"/>
            <w:tcBorders>
              <w:tl2br w:val="nil"/>
              <w:tr2bl w:val="nil"/>
            </w:tcBorders>
            <w:shd w:val="clear" w:color="auto" w:fill="auto"/>
            <w:noWrap/>
            <w:vAlign w:val="center"/>
          </w:tcPr>
          <w:p>
            <w:pPr>
              <w:pStyle w:val="109"/>
              <w:ind w:firstLine="0" w:firstLineChars="0"/>
              <w:rPr>
                <w:color w:val="auto"/>
                <w:sz w:val="21"/>
                <w:szCs w:val="21"/>
                <w:highlight w:val="none"/>
              </w:rPr>
            </w:pPr>
          </w:p>
        </w:tc>
        <w:tc>
          <w:tcPr>
            <w:tcW w:w="835" w:type="dxa"/>
            <w:tcBorders>
              <w:tl2br w:val="nil"/>
              <w:tr2bl w:val="nil"/>
            </w:tcBorders>
            <w:shd w:val="clear" w:color="auto" w:fill="auto"/>
            <w:noWrap/>
            <w:vAlign w:val="center"/>
          </w:tcPr>
          <w:p>
            <w:pPr>
              <w:widowControl/>
              <w:jc w:val="center"/>
              <w:textAlignment w:val="center"/>
              <w:rPr>
                <w:rFonts w:ascii="宋体" w:hAnsi="宋体" w:cs="宋体"/>
                <w:color w:val="auto"/>
                <w:szCs w:val="21"/>
                <w:highlight w:val="none"/>
              </w:rPr>
            </w:pPr>
          </w:p>
        </w:tc>
        <w:tc>
          <w:tcPr>
            <w:tcW w:w="800" w:type="dxa"/>
            <w:tcBorders>
              <w:tl2br w:val="nil"/>
              <w:tr2bl w:val="nil"/>
            </w:tcBorders>
            <w:shd w:val="clear" w:color="auto" w:fill="auto"/>
            <w:noWrap/>
            <w:vAlign w:val="center"/>
          </w:tcPr>
          <w:p>
            <w:pPr>
              <w:widowControl/>
              <w:jc w:val="center"/>
              <w:textAlignment w:val="center"/>
              <w:rPr>
                <w:rFonts w:ascii="宋体" w:hAnsi="宋体" w:cs="宋体"/>
                <w:color w:val="auto"/>
                <w:kern w:val="0"/>
                <w:szCs w:val="21"/>
                <w:highlight w:val="none"/>
                <w:lang w:bidi="ar"/>
              </w:rPr>
            </w:pPr>
          </w:p>
        </w:tc>
        <w:tc>
          <w:tcPr>
            <w:tcW w:w="800" w:type="dxa"/>
            <w:tcBorders>
              <w:tl2br w:val="nil"/>
              <w:tr2bl w:val="nil"/>
            </w:tcBorders>
            <w:shd w:val="clear" w:color="auto" w:fill="auto"/>
            <w:noWrap/>
            <w:vAlign w:val="center"/>
          </w:tcPr>
          <w:p>
            <w:pPr>
              <w:widowControl/>
              <w:jc w:val="center"/>
              <w:textAlignment w:val="center"/>
              <w:rPr>
                <w:rFonts w:ascii="宋体" w:hAnsi="宋体" w:cs="宋体"/>
                <w:color w:val="auto"/>
                <w:kern w:val="0"/>
                <w:szCs w:val="21"/>
                <w:highlight w:val="none"/>
                <w:lang w:bidi="ar"/>
              </w:rPr>
            </w:pPr>
          </w:p>
        </w:tc>
        <w:tc>
          <w:tcPr>
            <w:tcW w:w="800" w:type="dxa"/>
            <w:tcBorders>
              <w:tl2br w:val="nil"/>
              <w:tr2bl w:val="nil"/>
            </w:tcBorders>
            <w:shd w:val="clear" w:color="auto" w:fill="auto"/>
            <w:noWrap/>
            <w:vAlign w:val="center"/>
          </w:tcPr>
          <w:p>
            <w:pPr>
              <w:widowControl/>
              <w:jc w:val="center"/>
              <w:textAlignment w:val="center"/>
              <w:rPr>
                <w:rFonts w:ascii="宋体" w:hAnsi="宋体" w:cs="宋体"/>
                <w:color w:val="auto"/>
                <w:kern w:val="0"/>
                <w:szCs w:val="21"/>
                <w:highlight w:val="none"/>
                <w:lang w:bidi="ar"/>
              </w:rPr>
            </w:pPr>
          </w:p>
        </w:tc>
      </w:tr>
    </w:tbl>
    <w:p>
      <w:pPr>
        <w:pStyle w:val="22"/>
        <w:numPr>
          <w:ilvl w:val="0"/>
          <w:numId w:val="3"/>
        </w:numPr>
        <w:snapToGrid w:val="0"/>
        <w:spacing w:before="120" w:after="120" w:line="360" w:lineRule="auto"/>
        <w:ind w:left="539"/>
        <w:rPr>
          <w:rFonts w:hAnsi="宋体" w:cs="宋体"/>
          <w:color w:val="auto"/>
          <w:sz w:val="24"/>
          <w:highlight w:val="none"/>
        </w:rPr>
      </w:pPr>
      <w:r>
        <w:rPr>
          <w:rFonts w:hint="eastAsia" w:hAnsi="宋体" w:cs="宋体"/>
          <w:b/>
          <w:color w:val="auto"/>
          <w:sz w:val="24"/>
          <w:highlight w:val="none"/>
        </w:rPr>
        <w:t>合同金额</w:t>
      </w:r>
    </w:p>
    <w:p>
      <w:pPr>
        <w:pStyle w:val="22"/>
        <w:snapToGrid w:val="0"/>
        <w:spacing w:before="120" w:after="120" w:line="360" w:lineRule="auto"/>
        <w:rPr>
          <w:rFonts w:hAnsi="宋体" w:cs="宋体"/>
          <w:color w:val="auto"/>
          <w:sz w:val="24"/>
          <w:highlight w:val="none"/>
        </w:rPr>
      </w:pPr>
      <w:r>
        <w:rPr>
          <w:rFonts w:hint="eastAsia" w:hAnsi="宋体" w:cs="宋体"/>
          <w:color w:val="auto"/>
          <w:sz w:val="24"/>
          <w:highlight w:val="none"/>
        </w:rPr>
        <w:t>1.本合同金额为（大写）：_____________元（￥________元）人民币。</w:t>
      </w:r>
    </w:p>
    <w:p>
      <w:pPr>
        <w:pStyle w:val="22"/>
        <w:snapToGrid w:val="0"/>
        <w:spacing w:before="120" w:after="120" w:line="360" w:lineRule="auto"/>
        <w:ind w:left="410" w:hanging="410" w:hangingChars="171"/>
        <w:rPr>
          <w:color w:val="auto"/>
          <w:highlight w:val="none"/>
        </w:rPr>
      </w:pPr>
      <w:r>
        <w:rPr>
          <w:rFonts w:hint="eastAsia" w:hAnsi="宋体" w:cs="宋体"/>
          <w:color w:val="auto"/>
          <w:sz w:val="24"/>
          <w:highlight w:val="none"/>
        </w:rPr>
        <w:t>2.</w:t>
      </w:r>
      <w:r>
        <w:rPr>
          <w:rFonts w:hint="eastAsia" w:hAnsi="宋体" w:cs="宋体"/>
          <w:color w:val="auto"/>
          <w:kern w:val="0"/>
          <w:sz w:val="24"/>
          <w:szCs w:val="21"/>
          <w:highlight w:val="none"/>
        </w:rPr>
        <w:t>本合同金额</w:t>
      </w:r>
      <w:r>
        <w:rPr>
          <w:rFonts w:hint="eastAsia" w:hAnsi="宋体" w:cs="宋体"/>
          <w:bCs/>
          <w:color w:val="auto"/>
          <w:sz w:val="24"/>
          <w:highlight w:val="none"/>
        </w:rPr>
        <w:t>包含实现本项目招标文件中的所有功能及安全保障工作，甲方不再另外增加费用，</w:t>
      </w:r>
      <w:r>
        <w:rPr>
          <w:rFonts w:hint="eastAsia" w:hAnsi="宋体" w:cs="宋体"/>
          <w:color w:val="auto"/>
          <w:kern w:val="0"/>
          <w:sz w:val="24"/>
          <w:szCs w:val="21"/>
          <w:highlight w:val="none"/>
        </w:rPr>
        <w:t>其应包括（但不限于）软硬件</w:t>
      </w:r>
      <w:r>
        <w:rPr>
          <w:rFonts w:hint="eastAsia" w:hAnsi="宋体" w:cs="宋体"/>
          <w:color w:val="auto"/>
          <w:sz w:val="24"/>
          <w:highlight w:val="none"/>
        </w:rPr>
        <w:t>、全部附件、辅材、备品备件、专用工具等整套设备及运营维护服务等，对于其他</w:t>
      </w:r>
      <w:r>
        <w:rPr>
          <w:rFonts w:hint="eastAsia" w:hAnsi="宋体" w:cs="宋体"/>
          <w:color w:val="auto"/>
          <w:kern w:val="0"/>
          <w:sz w:val="24"/>
          <w:szCs w:val="21"/>
          <w:highlight w:val="none"/>
        </w:rPr>
        <w:t>招标文件未列明、</w:t>
      </w:r>
      <w:r>
        <w:rPr>
          <w:rFonts w:hint="eastAsia" w:hAnsi="宋体" w:cs="宋体"/>
          <w:color w:val="auto"/>
          <w:sz w:val="24"/>
          <w:highlight w:val="none"/>
        </w:rPr>
        <w:t>且是设备清单配套所必需的文件、资料、设备等，或</w:t>
      </w:r>
      <w:r>
        <w:rPr>
          <w:rFonts w:hint="eastAsia" w:hAnsi="宋体" w:cs="宋体"/>
          <w:color w:val="auto"/>
          <w:kern w:val="0"/>
          <w:sz w:val="24"/>
          <w:szCs w:val="21"/>
          <w:highlight w:val="none"/>
        </w:rPr>
        <w:t>乙方认为必需的费用，</w:t>
      </w:r>
      <w:r>
        <w:rPr>
          <w:rFonts w:hint="eastAsia" w:hAnsi="宋体" w:cs="宋体"/>
          <w:color w:val="auto"/>
          <w:sz w:val="24"/>
          <w:highlight w:val="none"/>
        </w:rPr>
        <w:t>乙方也应综合考虑，包含在本合同金额中。</w:t>
      </w:r>
    </w:p>
    <w:p>
      <w:pPr>
        <w:pStyle w:val="22"/>
        <w:snapToGrid w:val="0"/>
        <w:spacing w:before="120" w:after="120" w:line="360" w:lineRule="auto"/>
        <w:rPr>
          <w:rFonts w:hAnsi="宋体" w:cs="宋体"/>
          <w:b/>
          <w:color w:val="auto"/>
          <w:sz w:val="24"/>
          <w:highlight w:val="none"/>
        </w:rPr>
      </w:pPr>
      <w:r>
        <w:rPr>
          <w:rFonts w:hint="eastAsia" w:hAnsi="宋体" w:cs="宋体"/>
          <w:b/>
          <w:color w:val="auto"/>
          <w:sz w:val="24"/>
          <w:highlight w:val="none"/>
        </w:rPr>
        <w:t>四、技术资料</w:t>
      </w:r>
    </w:p>
    <w:p>
      <w:pPr>
        <w:pStyle w:val="22"/>
        <w:snapToGrid w:val="0"/>
        <w:spacing w:before="120" w:after="120" w:line="360" w:lineRule="auto"/>
        <w:ind w:left="410" w:hanging="410" w:hangingChars="171"/>
        <w:rPr>
          <w:rFonts w:hAnsi="宋体" w:cs="宋体"/>
          <w:color w:val="auto"/>
          <w:sz w:val="24"/>
          <w:highlight w:val="none"/>
        </w:rPr>
      </w:pPr>
      <w:r>
        <w:rPr>
          <w:rFonts w:hint="eastAsia" w:hAnsi="宋体" w:cs="宋体"/>
          <w:color w:val="auto"/>
          <w:sz w:val="24"/>
          <w:highlight w:val="none"/>
        </w:rPr>
        <w:t>1.乙方应按招标文件规定的时间向甲方提供使用货物的有关技术资料。</w:t>
      </w:r>
    </w:p>
    <w:p>
      <w:pPr>
        <w:pStyle w:val="22"/>
        <w:snapToGrid w:val="0"/>
        <w:spacing w:before="120" w:after="120" w:line="360" w:lineRule="auto"/>
        <w:ind w:left="410" w:hanging="410" w:hangingChars="171"/>
        <w:rPr>
          <w:rFonts w:hAnsi="宋体" w:cs="宋体"/>
          <w:color w:val="auto"/>
          <w:sz w:val="24"/>
          <w:highlight w:val="none"/>
        </w:rPr>
      </w:pPr>
      <w:r>
        <w:rPr>
          <w:rFonts w:hint="eastAsia" w:hAnsi="宋体" w:cs="宋体"/>
          <w:color w:val="auto"/>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2"/>
        <w:snapToGrid w:val="0"/>
        <w:spacing w:before="120" w:after="120" w:line="360" w:lineRule="auto"/>
        <w:ind w:left="412" w:hanging="412" w:hangingChars="171"/>
        <w:rPr>
          <w:rFonts w:hAnsi="宋体" w:cs="宋体"/>
          <w:b/>
          <w:color w:val="auto"/>
          <w:sz w:val="24"/>
          <w:highlight w:val="none"/>
        </w:rPr>
      </w:pPr>
      <w:r>
        <w:rPr>
          <w:rFonts w:hint="eastAsia" w:hAnsi="宋体" w:cs="宋体"/>
          <w:b/>
          <w:color w:val="auto"/>
          <w:sz w:val="24"/>
          <w:highlight w:val="none"/>
        </w:rPr>
        <w:t>五、知识产权</w:t>
      </w:r>
    </w:p>
    <w:p>
      <w:pPr>
        <w:pStyle w:val="22"/>
        <w:snapToGrid w:val="0"/>
        <w:spacing w:before="120" w:after="120" w:line="360" w:lineRule="auto"/>
        <w:rPr>
          <w:rFonts w:hAnsi="宋体" w:cs="宋体"/>
          <w:color w:val="auto"/>
          <w:sz w:val="24"/>
          <w:highlight w:val="none"/>
        </w:rPr>
      </w:pPr>
      <w:r>
        <w:rPr>
          <w:rFonts w:hint="eastAsia" w:hAnsi="宋体" w:cs="宋体"/>
          <w:color w:val="auto"/>
          <w:sz w:val="24"/>
          <w:highlight w:val="none"/>
        </w:rPr>
        <w:t>1.乙方应保证所提供的货物或其任何一部分均不会侵犯任何第三方的知识产权。</w:t>
      </w:r>
    </w:p>
    <w:p>
      <w:pPr>
        <w:pStyle w:val="22"/>
        <w:snapToGrid w:val="0"/>
        <w:spacing w:before="120" w:after="120" w:line="360" w:lineRule="auto"/>
        <w:rPr>
          <w:rFonts w:hAnsi="宋体" w:cs="宋体"/>
          <w:color w:val="auto"/>
          <w:sz w:val="24"/>
          <w:highlight w:val="none"/>
        </w:rPr>
      </w:pPr>
      <w:r>
        <w:rPr>
          <w:rFonts w:hint="eastAsia" w:hAnsi="宋体" w:cs="宋体"/>
          <w:color w:val="auto"/>
          <w:sz w:val="24"/>
          <w:highlight w:val="none"/>
        </w:rPr>
        <w:t>2.若侵犯,由乙方赔偿甲方因此遭受的损失（包括但不限于应对及追偿过程中所支付的律师费、差旅费、诉讼费、保全费、鉴定费、评估费等）。</w:t>
      </w:r>
    </w:p>
    <w:p>
      <w:pPr>
        <w:pStyle w:val="22"/>
        <w:snapToGrid w:val="0"/>
        <w:spacing w:before="120" w:after="120" w:line="360" w:lineRule="auto"/>
        <w:rPr>
          <w:rFonts w:hAnsi="宋体" w:cs="宋体"/>
          <w:color w:val="auto"/>
          <w:sz w:val="24"/>
          <w:highlight w:val="none"/>
          <w:u w:val="single"/>
        </w:rPr>
      </w:pPr>
      <w:r>
        <w:rPr>
          <w:rFonts w:hint="eastAsia" w:hAnsi="宋体" w:cs="宋体"/>
          <w:b/>
          <w:color w:val="auto"/>
          <w:sz w:val="24"/>
          <w:highlight w:val="none"/>
        </w:rPr>
        <w:t>六、产权担保</w:t>
      </w:r>
    </w:p>
    <w:p>
      <w:pPr>
        <w:pStyle w:val="22"/>
        <w:snapToGrid w:val="0"/>
        <w:spacing w:before="120" w:after="120" w:line="360" w:lineRule="auto"/>
        <w:rPr>
          <w:rFonts w:hAnsi="宋体" w:cs="宋体"/>
          <w:color w:val="auto"/>
          <w:sz w:val="24"/>
          <w:highlight w:val="none"/>
          <w:u w:val="single"/>
        </w:rPr>
      </w:pPr>
      <w:r>
        <w:rPr>
          <w:rFonts w:hint="eastAsia" w:hAnsi="宋体" w:cs="宋体"/>
          <w:color w:val="auto"/>
          <w:sz w:val="24"/>
          <w:highlight w:val="none"/>
        </w:rPr>
        <w:t>乙方保证所交付的货物的所有权完全属于乙方且无任何抵押、查封等产权瑕疵。</w:t>
      </w:r>
    </w:p>
    <w:p>
      <w:pPr>
        <w:pStyle w:val="22"/>
        <w:snapToGrid w:val="0"/>
        <w:spacing w:before="120" w:after="120" w:line="360" w:lineRule="auto"/>
        <w:ind w:left="410" w:hanging="410" w:hangingChars="170"/>
        <w:rPr>
          <w:rFonts w:hAnsi="宋体" w:cs="宋体"/>
          <w:b/>
          <w:color w:val="auto"/>
          <w:sz w:val="24"/>
          <w:highlight w:val="none"/>
        </w:rPr>
      </w:pPr>
      <w:r>
        <w:rPr>
          <w:rFonts w:hint="eastAsia" w:hAnsi="宋体" w:cs="宋体"/>
          <w:b/>
          <w:color w:val="auto"/>
          <w:sz w:val="24"/>
          <w:highlight w:val="none"/>
        </w:rPr>
        <w:t>七、履约保证金</w:t>
      </w:r>
    </w:p>
    <w:p>
      <w:pPr>
        <w:pStyle w:val="22"/>
        <w:snapToGrid w:val="0"/>
        <w:spacing w:before="120" w:after="120" w:line="360" w:lineRule="auto"/>
        <w:ind w:left="408" w:hanging="408" w:hangingChars="170"/>
        <w:rPr>
          <w:rFonts w:hAnsi="宋体" w:cs="宋体"/>
          <w:color w:val="auto"/>
          <w:sz w:val="24"/>
          <w:highlight w:val="none"/>
          <w:lang w:val="zh-CN"/>
        </w:rPr>
      </w:pPr>
      <w:r>
        <w:rPr>
          <w:rFonts w:hint="eastAsia" w:hAnsi="宋体" w:cs="宋体"/>
          <w:color w:val="auto"/>
          <w:sz w:val="24"/>
          <w:highlight w:val="none"/>
        </w:rPr>
        <w:t>履约保证金金额为</w:t>
      </w:r>
      <w:r>
        <w:rPr>
          <w:rFonts w:hint="eastAsia" w:hAnsi="宋体" w:cs="宋体"/>
          <w:color w:val="auto"/>
          <w:sz w:val="24"/>
          <w:highlight w:val="none"/>
          <w:u w:val="single"/>
        </w:rPr>
        <w:t xml:space="preserve">              </w:t>
      </w:r>
      <w:r>
        <w:rPr>
          <w:rFonts w:hint="eastAsia" w:hAnsi="宋体" w:cs="宋体"/>
          <w:color w:val="auto"/>
          <w:sz w:val="24"/>
          <w:highlight w:val="none"/>
        </w:rPr>
        <w:t>元，</w:t>
      </w:r>
      <w:r>
        <w:rPr>
          <w:rFonts w:hint="eastAsia" w:hAnsi="宋体" w:cs="宋体"/>
          <w:color w:val="auto"/>
          <w:sz w:val="24"/>
          <w:highlight w:val="none"/>
          <w:lang w:val="zh-CN"/>
        </w:rPr>
        <w:t>签订合同后 3 个工作日内向甲方提交</w:t>
      </w:r>
    </w:p>
    <w:p>
      <w:pPr>
        <w:pStyle w:val="22"/>
        <w:snapToGrid w:val="0"/>
        <w:spacing w:before="120" w:after="120" w:line="360" w:lineRule="auto"/>
        <w:rPr>
          <w:rFonts w:hAnsi="宋体" w:cs="宋体"/>
          <w:color w:val="auto"/>
          <w:sz w:val="24"/>
          <w:highlight w:val="none"/>
        </w:rPr>
      </w:pPr>
      <w:r>
        <w:rPr>
          <w:rFonts w:hint="eastAsia" w:hAnsi="宋体" w:cs="宋体"/>
          <w:color w:val="auto"/>
          <w:sz w:val="24"/>
          <w:highlight w:val="none"/>
        </w:rPr>
        <w:t>（履约保证金可采用支票、汇票、保函、担保等形式），准入验收通过后5个工作日无息退还。</w:t>
      </w:r>
    </w:p>
    <w:p>
      <w:pPr>
        <w:pStyle w:val="22"/>
        <w:snapToGrid w:val="0"/>
        <w:spacing w:before="120" w:after="120" w:line="360" w:lineRule="auto"/>
        <w:ind w:left="410" w:hanging="410" w:hangingChars="170"/>
        <w:rPr>
          <w:rFonts w:hAnsi="宋体" w:cs="宋体"/>
          <w:b/>
          <w:color w:val="auto"/>
          <w:sz w:val="24"/>
          <w:highlight w:val="none"/>
        </w:rPr>
      </w:pPr>
      <w:r>
        <w:rPr>
          <w:rFonts w:hint="eastAsia" w:hAnsi="宋体" w:cs="宋体"/>
          <w:b/>
          <w:color w:val="auto"/>
          <w:sz w:val="24"/>
          <w:highlight w:val="none"/>
        </w:rPr>
        <w:t>八、转包或分包</w:t>
      </w:r>
    </w:p>
    <w:p>
      <w:pPr>
        <w:snapToGrid w:val="0"/>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1.本合同范围的货物，应由乙方直接供应，不得转让他人供应；</w:t>
      </w:r>
    </w:p>
    <w:p>
      <w:pPr>
        <w:snapToGrid w:val="0"/>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2.除非得到甲方的书面同意，乙方不得将本合同范围的货物全部或部分分包给他人供应；</w:t>
      </w:r>
    </w:p>
    <w:p>
      <w:pPr>
        <w:snapToGrid w:val="0"/>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3.如有转让和未经甲方同意的分包行为，甲方有权解除合同，没收履约保证金并追究乙方的违约责任。</w:t>
      </w:r>
    </w:p>
    <w:p>
      <w:pPr>
        <w:pStyle w:val="22"/>
        <w:snapToGrid w:val="0"/>
        <w:spacing w:before="120" w:after="120" w:line="360" w:lineRule="auto"/>
        <w:rPr>
          <w:rFonts w:hAnsi="宋体" w:cs="宋体"/>
          <w:color w:val="auto"/>
          <w:sz w:val="24"/>
          <w:highlight w:val="none"/>
        </w:rPr>
      </w:pPr>
      <w:r>
        <w:rPr>
          <w:rFonts w:hint="eastAsia" w:hAnsi="宋体" w:cs="宋体"/>
          <w:b/>
          <w:color w:val="auto"/>
          <w:sz w:val="24"/>
          <w:highlight w:val="none"/>
        </w:rPr>
        <w:t>九、质保期：/</w:t>
      </w:r>
    </w:p>
    <w:p>
      <w:pPr>
        <w:pStyle w:val="22"/>
        <w:snapToGrid w:val="0"/>
        <w:spacing w:before="120" w:after="120" w:line="360" w:lineRule="auto"/>
        <w:rPr>
          <w:rFonts w:hAnsi="宋体" w:cs="宋体"/>
          <w:b/>
          <w:color w:val="auto"/>
          <w:sz w:val="24"/>
          <w:highlight w:val="none"/>
        </w:rPr>
      </w:pPr>
      <w:r>
        <w:rPr>
          <w:rFonts w:hint="eastAsia" w:hAnsi="宋体" w:cs="宋体"/>
          <w:b/>
          <w:color w:val="auto"/>
          <w:sz w:val="24"/>
          <w:highlight w:val="none"/>
        </w:rPr>
        <w:t>十、交货期、交货方式及交货地点</w:t>
      </w:r>
    </w:p>
    <w:p>
      <w:pPr>
        <w:tabs>
          <w:tab w:val="left" w:pos="0"/>
        </w:tabs>
        <w:spacing w:line="360" w:lineRule="auto"/>
        <w:rPr>
          <w:rFonts w:ascii="宋体" w:hAnsi="宋体" w:cs="宋体"/>
          <w:color w:val="auto"/>
          <w:sz w:val="24"/>
          <w:highlight w:val="none"/>
        </w:rPr>
      </w:pPr>
      <w:r>
        <w:rPr>
          <w:rFonts w:hint="eastAsia" w:ascii="宋体" w:hAnsi="宋体" w:cs="宋体"/>
          <w:bCs/>
          <w:color w:val="auto"/>
          <w:sz w:val="24"/>
          <w:highlight w:val="none"/>
        </w:rPr>
        <w:t>1.交货期（交付期）</w:t>
      </w:r>
      <w:r>
        <w:rPr>
          <w:rFonts w:hint="eastAsia" w:ascii="宋体" w:hAnsi="宋体" w:cs="宋体"/>
          <w:b/>
          <w:bCs/>
          <w:color w:val="auto"/>
          <w:sz w:val="24"/>
          <w:highlight w:val="none"/>
        </w:rPr>
        <w:t>：</w:t>
      </w:r>
      <w:r>
        <w:rPr>
          <w:rFonts w:hint="eastAsia" w:ascii="宋体" w:hAnsi="宋体" w:cs="宋体"/>
          <w:color w:val="auto"/>
          <w:sz w:val="24"/>
          <w:highlight w:val="none"/>
        </w:rPr>
        <w:t>2023年5月1日前完成200路视频上线（摄像机能抓拍过车和各类交通违法行为并符合处罚要求，其他设备开始工作）； 2023年6月1日前再完成200路视频上线（摄像机能抓拍过车和各类交通违法行为并符合处罚要求）；2023年7月1日前再完成300路视频上线（摄像机能抓拍过车和各类交通违法行为并符合处罚要求）；2023年7月31日前完成所有设备上线任务并初步验收通过（摄像机能抓拍过车和各类交通违法行为并符合处罚要求，其他设备开始工作） 要求项目初步验收通过且经试运行3个月后，通过准入验收。</w:t>
      </w:r>
    </w:p>
    <w:p>
      <w:pPr>
        <w:tabs>
          <w:tab w:val="left" w:pos="0"/>
        </w:tabs>
        <w:spacing w:line="360" w:lineRule="auto"/>
        <w:rPr>
          <w:rFonts w:ascii="宋体" w:hAnsi="宋体" w:cs="宋体"/>
          <w:bCs/>
          <w:color w:val="auto"/>
          <w:sz w:val="24"/>
          <w:highlight w:val="none"/>
        </w:rPr>
      </w:pPr>
      <w:r>
        <w:rPr>
          <w:rFonts w:hint="eastAsia" w:ascii="宋体" w:hAnsi="宋体" w:cs="宋体"/>
          <w:color w:val="auto"/>
          <w:sz w:val="24"/>
          <w:highlight w:val="none"/>
        </w:rPr>
        <w:t>2.服务期：准入验收通过后进入36个月（30日为1个月）的服务期（自准入验收通过之日计起）。</w:t>
      </w:r>
    </w:p>
    <w:p>
      <w:pPr>
        <w:pStyle w:val="22"/>
        <w:snapToGrid w:val="0"/>
        <w:spacing w:before="120" w:after="120" w:line="360" w:lineRule="auto"/>
        <w:rPr>
          <w:rFonts w:hAnsi="宋体" w:cs="宋体"/>
          <w:bCs/>
          <w:color w:val="auto"/>
          <w:sz w:val="24"/>
          <w:highlight w:val="none"/>
        </w:rPr>
      </w:pPr>
      <w:r>
        <w:rPr>
          <w:rFonts w:hint="eastAsia" w:hAnsi="宋体" w:cs="宋体"/>
          <w:bCs/>
          <w:color w:val="auto"/>
          <w:sz w:val="24"/>
          <w:highlight w:val="none"/>
        </w:rPr>
        <w:t>3. 交货方式：</w:t>
      </w:r>
    </w:p>
    <w:p>
      <w:pPr>
        <w:pStyle w:val="22"/>
        <w:snapToGrid w:val="0"/>
        <w:spacing w:before="120" w:after="120" w:line="360" w:lineRule="auto"/>
        <w:rPr>
          <w:rFonts w:hAnsi="宋体" w:cs="宋体"/>
          <w:b/>
          <w:color w:val="auto"/>
          <w:sz w:val="24"/>
          <w:highlight w:val="none"/>
        </w:rPr>
      </w:pPr>
      <w:r>
        <w:rPr>
          <w:rFonts w:hint="eastAsia" w:hAnsi="宋体" w:cs="宋体"/>
          <w:bCs/>
          <w:color w:val="auto"/>
          <w:sz w:val="24"/>
          <w:highlight w:val="none"/>
        </w:rPr>
        <w:t>4. 交货地点：甲方指定地点</w:t>
      </w:r>
    </w:p>
    <w:p>
      <w:pPr>
        <w:pStyle w:val="22"/>
        <w:snapToGrid w:val="0"/>
        <w:spacing w:before="120" w:after="120" w:line="360" w:lineRule="auto"/>
        <w:rPr>
          <w:rFonts w:hAnsi="宋体" w:cs="宋体"/>
          <w:b/>
          <w:color w:val="auto"/>
          <w:sz w:val="24"/>
          <w:highlight w:val="none"/>
        </w:rPr>
      </w:pPr>
      <w:r>
        <w:rPr>
          <w:rFonts w:hint="eastAsia" w:hAnsi="宋体" w:cs="宋体"/>
          <w:b/>
          <w:color w:val="auto"/>
          <w:sz w:val="24"/>
          <w:highlight w:val="none"/>
        </w:rPr>
        <w:t>十一、货款支付</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付款方式：</w:t>
      </w:r>
      <w:r>
        <w:rPr>
          <w:rFonts w:hint="eastAsia" w:ascii="宋体" w:hAnsi="宋体" w:cs="宋体"/>
          <w:color w:val="auto"/>
          <w:sz w:val="24"/>
          <w:highlight w:val="none"/>
        </w:rPr>
        <w:t>合同签订完成且财政资金落实后</w:t>
      </w:r>
      <w:r>
        <w:rPr>
          <w:rFonts w:ascii="宋体" w:hAnsi="宋体" w:cs="宋体"/>
          <w:color w:val="auto"/>
          <w:sz w:val="24"/>
          <w:highlight w:val="none"/>
        </w:rPr>
        <w:t>7日内支付合同金额的40%，剩余60%在通过准入验收后根据每月运营服务考核结果情况</w:t>
      </w:r>
      <w:r>
        <w:rPr>
          <w:rFonts w:hint="eastAsia" w:ascii="宋体" w:hAnsi="宋体" w:cs="宋体"/>
          <w:color w:val="auto"/>
          <w:sz w:val="24"/>
          <w:highlight w:val="none"/>
        </w:rPr>
        <w:t>按月支付（每月服务费=合同价格/</w:t>
      </w:r>
      <w:r>
        <w:rPr>
          <w:rFonts w:ascii="宋体" w:hAnsi="宋体" w:cs="宋体"/>
          <w:color w:val="auto"/>
          <w:sz w:val="24"/>
          <w:highlight w:val="none"/>
        </w:rPr>
        <w:t>36</w:t>
      </w:r>
      <w:r>
        <w:rPr>
          <w:rFonts w:hint="eastAsia" w:ascii="宋体" w:hAnsi="宋体" w:cs="宋体"/>
          <w:color w:val="auto"/>
          <w:sz w:val="24"/>
          <w:highlight w:val="none"/>
        </w:rPr>
        <w:t>个月，每月支付金额=每月服务费-每月服务费*40%-考核结果，考核方式及内容详见招标文件第四章第三条第5点及合同附件《每日报审表》），每月1</w:t>
      </w:r>
      <w:r>
        <w:rPr>
          <w:rFonts w:ascii="宋体" w:hAnsi="宋体" w:cs="宋体"/>
          <w:color w:val="auto"/>
          <w:sz w:val="24"/>
          <w:highlight w:val="none"/>
        </w:rPr>
        <w:t>5</w:t>
      </w:r>
      <w:r>
        <w:rPr>
          <w:rFonts w:hint="eastAsia" w:ascii="宋体" w:hAnsi="宋体" w:cs="宋体"/>
          <w:color w:val="auto"/>
          <w:sz w:val="24"/>
          <w:highlight w:val="none"/>
        </w:rPr>
        <w:t>日前，乙方提供发票后的7个工作日内支付上月服务费。</w:t>
      </w:r>
    </w:p>
    <w:p>
      <w:pPr>
        <w:snapToGrid w:val="0"/>
        <w:spacing w:before="156" w:beforeLines="50" w:after="156" w:afterLines="50" w:line="360" w:lineRule="auto"/>
        <w:rPr>
          <w:rFonts w:ascii="宋体" w:hAnsi="宋体" w:cs="宋体"/>
          <w:b/>
          <w:color w:val="auto"/>
          <w:sz w:val="24"/>
          <w:highlight w:val="none"/>
        </w:rPr>
      </w:pPr>
      <w:r>
        <w:rPr>
          <w:rFonts w:hint="eastAsia" w:ascii="宋体" w:hAnsi="宋体" w:cs="宋体"/>
          <w:b/>
          <w:color w:val="auto"/>
          <w:sz w:val="24"/>
          <w:highlight w:val="none"/>
        </w:rPr>
        <w:t>十二、税费</w:t>
      </w:r>
    </w:p>
    <w:p>
      <w:pPr>
        <w:snapToGrid w:val="0"/>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pPr>
        <w:pStyle w:val="22"/>
        <w:snapToGrid w:val="0"/>
        <w:spacing w:before="120" w:after="120" w:line="360" w:lineRule="auto"/>
        <w:ind w:left="412" w:hanging="412" w:hangingChars="171"/>
        <w:rPr>
          <w:rFonts w:hAnsi="宋体" w:cs="宋体"/>
          <w:color w:val="auto"/>
          <w:sz w:val="24"/>
          <w:highlight w:val="none"/>
        </w:rPr>
      </w:pPr>
      <w:r>
        <w:rPr>
          <w:rFonts w:hint="eastAsia" w:hAnsi="宋体" w:cs="宋体"/>
          <w:b/>
          <w:color w:val="auto"/>
          <w:sz w:val="24"/>
          <w:highlight w:val="none"/>
        </w:rPr>
        <w:t>十三、质量保证及运维服务</w:t>
      </w:r>
    </w:p>
    <w:p>
      <w:pPr>
        <w:pStyle w:val="22"/>
        <w:snapToGrid w:val="0"/>
        <w:spacing w:before="120" w:after="120" w:line="360" w:lineRule="auto"/>
        <w:ind w:left="410" w:hanging="410" w:hangingChars="171"/>
        <w:rPr>
          <w:rFonts w:hAnsi="宋体" w:cs="宋体"/>
          <w:color w:val="auto"/>
          <w:sz w:val="24"/>
          <w:highlight w:val="none"/>
        </w:rPr>
      </w:pPr>
      <w:r>
        <w:rPr>
          <w:rFonts w:hint="eastAsia" w:hAnsi="宋体" w:cs="宋体"/>
          <w:color w:val="auto"/>
          <w:sz w:val="24"/>
          <w:highlight w:val="none"/>
        </w:rPr>
        <w:t>1. 乙方应按招标文件规定的货物性能、技术要求、质量标准向甲方提供未经使用的全新产品。</w:t>
      </w:r>
    </w:p>
    <w:p>
      <w:pPr>
        <w:pStyle w:val="22"/>
        <w:snapToGrid w:val="0"/>
        <w:spacing w:before="120" w:after="120" w:line="360" w:lineRule="auto"/>
        <w:ind w:left="480" w:hanging="480" w:hangingChars="200"/>
        <w:rPr>
          <w:rFonts w:hAnsi="宋体" w:cs="宋体"/>
          <w:color w:val="auto"/>
          <w:sz w:val="24"/>
          <w:highlight w:val="none"/>
        </w:rPr>
      </w:pPr>
      <w:r>
        <w:rPr>
          <w:rFonts w:hint="eastAsia" w:hAnsi="宋体" w:cs="宋体"/>
          <w:color w:val="auto"/>
          <w:sz w:val="24"/>
          <w:highlight w:val="none"/>
        </w:rPr>
        <w:t>2. 乙方提供的成果内因本身的质量问题发生故障，乙方应负责免费提供后续服务。对达不到技术要求者，根据实际情况，经双方协商，可按以下办法处理：</w:t>
      </w:r>
    </w:p>
    <w:p>
      <w:pPr>
        <w:pStyle w:val="22"/>
        <w:snapToGrid w:val="0"/>
        <w:spacing w:before="120" w:after="120" w:line="360" w:lineRule="auto"/>
        <w:ind w:firstLine="420"/>
        <w:rPr>
          <w:rFonts w:hAnsi="宋体" w:cs="宋体"/>
          <w:color w:val="auto"/>
          <w:sz w:val="24"/>
          <w:highlight w:val="none"/>
        </w:rPr>
      </w:pPr>
      <w:r>
        <w:rPr>
          <w:rFonts w:hint="eastAsia" w:hAnsi="宋体" w:cs="宋体"/>
          <w:color w:val="auto"/>
          <w:sz w:val="24"/>
          <w:highlight w:val="none"/>
        </w:rPr>
        <w:t>⑴重做：由乙方承担所发生的全部费用。</w:t>
      </w:r>
    </w:p>
    <w:p>
      <w:pPr>
        <w:pStyle w:val="22"/>
        <w:snapToGrid w:val="0"/>
        <w:spacing w:before="120" w:after="120" w:line="360" w:lineRule="auto"/>
        <w:ind w:firstLine="420"/>
        <w:rPr>
          <w:rFonts w:hAnsi="宋体" w:cs="宋体"/>
          <w:color w:val="auto"/>
          <w:sz w:val="24"/>
          <w:highlight w:val="none"/>
        </w:rPr>
      </w:pPr>
      <w:r>
        <w:rPr>
          <w:rFonts w:hint="eastAsia" w:hAnsi="宋体" w:cs="宋体"/>
          <w:color w:val="auto"/>
          <w:sz w:val="24"/>
          <w:highlight w:val="none"/>
        </w:rPr>
        <w:t>⑵贬值处理：由甲乙双方合议定价。</w:t>
      </w:r>
    </w:p>
    <w:p>
      <w:pPr>
        <w:pStyle w:val="22"/>
        <w:snapToGrid w:val="0"/>
        <w:spacing w:before="120" w:after="120" w:line="360" w:lineRule="auto"/>
        <w:ind w:firstLine="420"/>
        <w:rPr>
          <w:rFonts w:cs="宋体" w:asciiTheme="minorEastAsia" w:hAnsiTheme="minorEastAsia" w:eastAsiaTheme="minorEastAsia"/>
          <w:color w:val="auto"/>
          <w:sz w:val="24"/>
          <w:highlight w:val="none"/>
        </w:rPr>
      </w:pPr>
      <w:r>
        <w:rPr>
          <w:rFonts w:hint="eastAsia" w:hAnsi="宋体" w:cs="宋体"/>
          <w:color w:val="auto"/>
          <w:sz w:val="24"/>
          <w:highlight w:val="none"/>
        </w:rPr>
        <w:t>⑶退货处理：乙方应退还甲方支付的合同款，同时应承担该货物的直接费用</w:t>
      </w:r>
      <w:r>
        <w:rPr>
          <w:rFonts w:hint="eastAsia" w:cs="宋体" w:asciiTheme="minorEastAsia" w:hAnsiTheme="minorEastAsia" w:eastAsiaTheme="minorEastAsia"/>
          <w:color w:val="auto"/>
          <w:sz w:val="24"/>
          <w:highlight w:val="none"/>
        </w:rPr>
        <w:t>（运输、清洗、保险、检验、货款利息及银行手续费等）。</w:t>
      </w:r>
    </w:p>
    <w:p>
      <w:pPr>
        <w:pStyle w:val="12"/>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本项目服务期结束后，甲方继续免费拥有所有设备的永久使用权，未得到甲方事先允许不得进行相应更改（不包含光纤链路）。</w:t>
      </w:r>
    </w:p>
    <w:p>
      <w:pPr>
        <w:pStyle w:val="118"/>
        <w:spacing w:line="360" w:lineRule="auto"/>
        <w:ind w:left="240" w:hanging="240" w:hanging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乙方负责本项目所有点位服务期的日常运行及维护工作，保障视频信息服务正常及时准确，同时要求项目内每日正常运行率不小于98.5%，如有未达到要求的按每下降1个百分点扣除2000元费用处理，并</w:t>
      </w:r>
      <w:r>
        <w:rPr>
          <w:rFonts w:hint="eastAsia" w:asciiTheme="minorEastAsia" w:hAnsiTheme="minorEastAsia" w:eastAsiaTheme="minorEastAsia"/>
          <w:color w:val="auto"/>
          <w:sz w:val="24"/>
          <w:highlight w:val="none"/>
        </w:rPr>
        <w:t>在下一次支付的服务费中扣除</w:t>
      </w:r>
      <w:r>
        <w:rPr>
          <w:rFonts w:hint="eastAsia" w:cs="宋体" w:asciiTheme="minorEastAsia" w:hAnsiTheme="minorEastAsia" w:eastAsiaTheme="minorEastAsia"/>
          <w:color w:val="auto"/>
          <w:sz w:val="24"/>
          <w:highlight w:val="none"/>
        </w:rPr>
        <w:t>。</w:t>
      </w:r>
    </w:p>
    <w:p>
      <w:pPr>
        <w:adjustRightInd w:val="0"/>
        <w:snapToGrid w:val="0"/>
        <w:spacing w:line="360" w:lineRule="auto"/>
        <w:ind w:left="240" w:hanging="240" w:hanging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乙方需每日对设备服务情况制作运行维护报表，应于每日下午16时前提供前一日的点位服务质量报表至业主单位或监理单位，由甲方或监理单位生成每日考核报告；每月的第二周提交上月巡检结果、情况分析至业主单位或监理单位并确定月服务考核报告，并出具支付费用报表，乙方应在3日内确认。乙方不按要求提交相关报表的，甲方有权每次扣除1000元/次扣除费用，乙方应对提供的报告的真实性负责，如发现有弄虚作假等行为按5000元/次扣除费用。</w:t>
      </w:r>
    </w:p>
    <w:p>
      <w:pPr>
        <w:adjustRightInd w:val="0"/>
        <w:snapToGrid w:val="0"/>
        <w:spacing w:line="360" w:lineRule="auto"/>
        <w:ind w:left="240" w:hanging="240" w:hanging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对乙方在报表中已说明的未按要求提供服务情况，甲方根据实际情况按比例扣除相应费用或按实际缺失情况要求服务提供方补充服务时间；如因停电、道路改造等第三方原因造成无法按要求提供服务的不扣相应费用，但服务提供方需补充提供相应服务时间，一个月合计不足一天按一天计算（乙方应提供上述原因相应纸质记录证明）。因道路交通事故或其它原因造成杆件和设备损坏等，由乙方在十个工作日内先行修复,由甲方协助乙方做好赔偿追偿工作。</w:t>
      </w:r>
    </w:p>
    <w:p>
      <w:pPr>
        <w:adjustRightInd w:val="0"/>
        <w:snapToGrid w:val="0"/>
        <w:spacing w:line="360" w:lineRule="auto"/>
        <w:ind w:left="240" w:hanging="240" w:hanging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在服务期内乙方至少提供</w:t>
      </w:r>
      <w:r>
        <w:rPr>
          <w:rFonts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rPr>
        <w:t>名人员常驻甲方单位，负责各自项目内相关设备的数据、视频及网络的检查、配置和维护工作。甲方将协助乙方共同监督管理驻点工作人员的日常出勤与工作情况，并进行考核。乙方因工作关系需要变动调离驻点工作人员的，应提前一个月告知甲方，并将变动后的方案上报采购人，经甲方同意后方可调整。</w:t>
      </w:r>
    </w:p>
    <w:p>
      <w:pPr>
        <w:adjustRightInd w:val="0"/>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服务期及试运行期内维护响应要求：</w:t>
      </w:r>
    </w:p>
    <w:p>
      <w:pPr>
        <w:adjustRightInd w:val="0"/>
        <w:snapToGrid w:val="0"/>
        <w:spacing w:line="360" w:lineRule="auto"/>
        <w:ind w:left="420" w:left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摄像机或其他设备出现故障，在接到甲方（或使用人）或监理单位的维修通知后，应在30分钟内响应，并在2小时内赶到现场维修，4小时恢复正常工作。若问题不能现场解决，也将采取相应措施以保证设备正常运行，必要时包括更换必要的软件、硬件或切换线路。维护结束恢复正常后须由采购人（或使用人）或监理单位书面确认，维护维修记录应当做记录（一式两份），未履行的每次扣款1000元。故障超过24小时仍未解决的，另按每个设备500元/天扣除费用，直至故障修复为止。有特殊情况的，经甲方（或使用人）同意，可以延长修复时间。</w:t>
      </w:r>
    </w:p>
    <w:p>
      <w:pPr>
        <w:spacing w:line="360" w:lineRule="auto"/>
        <w:ind w:left="420" w:left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rPr>
        <w:t>）平时在日常巡检过程中，摄像机的图像效果因灰尘等影响造成不清晰的，乙方应在接到通知24小时内</w:t>
      </w:r>
      <w:r>
        <w:rPr>
          <w:rFonts w:cs="宋体" w:asciiTheme="minorEastAsia" w:hAnsiTheme="minorEastAsia" w:eastAsiaTheme="minorEastAsia"/>
          <w:color w:val="auto"/>
          <w:sz w:val="24"/>
          <w:highlight w:val="none"/>
        </w:rPr>
        <w:t>响应解</w:t>
      </w:r>
      <w:r>
        <w:rPr>
          <w:rFonts w:hint="eastAsia" w:cs="宋体" w:asciiTheme="minorEastAsia" w:hAnsiTheme="minorEastAsia" w:eastAsiaTheme="minorEastAsia"/>
          <w:color w:val="auto"/>
          <w:sz w:val="24"/>
          <w:highlight w:val="none"/>
        </w:rPr>
        <w:t>，未履行的每次扣款1000元，如遇树枝遮挡等问题造成不清晰的，乙方应配合甲方（或使用人）排除故障，不配合的每次扣款500元。</w:t>
      </w:r>
      <w:r>
        <w:rPr>
          <w:rFonts w:cs="宋体" w:asciiTheme="minorEastAsia" w:hAnsiTheme="minorEastAsia" w:eastAsiaTheme="minorEastAsia"/>
          <w:color w:val="auto"/>
          <w:sz w:val="24"/>
          <w:highlight w:val="none"/>
        </w:rPr>
        <w:t>每年</w:t>
      </w:r>
      <w:r>
        <w:rPr>
          <w:rFonts w:hint="eastAsia" w:cs="宋体" w:asciiTheme="minorEastAsia" w:hAnsiTheme="minorEastAsia" w:eastAsiaTheme="minorEastAsia"/>
          <w:color w:val="auto"/>
          <w:sz w:val="24"/>
          <w:highlight w:val="none"/>
        </w:rPr>
        <w:t>应</w:t>
      </w:r>
      <w:r>
        <w:rPr>
          <w:rFonts w:cs="宋体" w:asciiTheme="minorEastAsia" w:hAnsiTheme="minorEastAsia" w:eastAsiaTheme="minorEastAsia"/>
          <w:color w:val="auto"/>
          <w:sz w:val="24"/>
          <w:highlight w:val="none"/>
        </w:rPr>
        <w:t>对各类</w:t>
      </w:r>
      <w:r>
        <w:rPr>
          <w:rFonts w:hint="eastAsia" w:cs="宋体" w:asciiTheme="minorEastAsia" w:hAnsiTheme="minorEastAsia" w:eastAsiaTheme="minorEastAsia"/>
          <w:color w:val="auto"/>
          <w:sz w:val="24"/>
          <w:highlight w:val="none"/>
        </w:rPr>
        <w:t>频闪灯、爆闪灯</w:t>
      </w:r>
      <w:r>
        <w:rPr>
          <w:rFonts w:cs="宋体" w:asciiTheme="minorEastAsia" w:hAnsiTheme="minorEastAsia" w:eastAsiaTheme="minorEastAsia"/>
          <w:color w:val="auto"/>
          <w:sz w:val="24"/>
          <w:highlight w:val="none"/>
        </w:rPr>
        <w:t>等补光设备流明</w:t>
      </w:r>
      <w:r>
        <w:rPr>
          <w:rFonts w:hint="eastAsia" w:cs="宋体" w:asciiTheme="minorEastAsia" w:hAnsiTheme="minorEastAsia" w:eastAsiaTheme="minorEastAsia"/>
          <w:color w:val="auto"/>
          <w:sz w:val="24"/>
          <w:highlight w:val="none"/>
        </w:rPr>
        <w:t>和</w:t>
      </w:r>
      <w:r>
        <w:rPr>
          <w:rFonts w:cs="宋体" w:asciiTheme="minorEastAsia" w:hAnsiTheme="minorEastAsia" w:eastAsiaTheme="minorEastAsia"/>
          <w:color w:val="auto"/>
          <w:sz w:val="24"/>
          <w:highlight w:val="none"/>
        </w:rPr>
        <w:t>接地电阻测试一次，</w:t>
      </w:r>
      <w:r>
        <w:rPr>
          <w:rFonts w:hint="eastAsia" w:cs="宋体" w:asciiTheme="minorEastAsia" w:hAnsiTheme="minorEastAsia" w:eastAsiaTheme="minorEastAsia"/>
          <w:color w:val="auto"/>
          <w:sz w:val="24"/>
          <w:highlight w:val="none"/>
        </w:rPr>
        <w:t>并</w:t>
      </w:r>
      <w:r>
        <w:rPr>
          <w:rFonts w:cs="宋体" w:asciiTheme="minorEastAsia" w:hAnsiTheme="minorEastAsia" w:eastAsiaTheme="minorEastAsia"/>
          <w:color w:val="auto"/>
          <w:sz w:val="24"/>
          <w:highlight w:val="none"/>
        </w:rPr>
        <w:t>做好记录</w:t>
      </w:r>
      <w:r>
        <w:rPr>
          <w:rFonts w:hint="eastAsia" w:cs="宋体" w:asciiTheme="minorEastAsia" w:hAnsiTheme="minorEastAsia" w:eastAsiaTheme="minorEastAsia"/>
          <w:color w:val="auto"/>
          <w:sz w:val="24"/>
          <w:highlight w:val="none"/>
        </w:rPr>
        <w:t>和</w:t>
      </w:r>
      <w:r>
        <w:rPr>
          <w:rFonts w:cs="宋体" w:asciiTheme="minorEastAsia" w:hAnsiTheme="minorEastAsia" w:eastAsiaTheme="minorEastAsia"/>
          <w:color w:val="auto"/>
          <w:sz w:val="24"/>
          <w:highlight w:val="none"/>
        </w:rPr>
        <w:t>测试台账备查</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对</w:t>
      </w:r>
      <w:r>
        <w:rPr>
          <w:rFonts w:hint="eastAsia" w:cs="宋体" w:asciiTheme="minorEastAsia" w:hAnsiTheme="minorEastAsia" w:eastAsiaTheme="minorEastAsia"/>
          <w:color w:val="auto"/>
          <w:sz w:val="24"/>
          <w:highlight w:val="none"/>
        </w:rPr>
        <w:t>甲方（或使用人）提出</w:t>
      </w:r>
      <w:r>
        <w:rPr>
          <w:rFonts w:cs="宋体" w:asciiTheme="minorEastAsia" w:hAnsiTheme="minorEastAsia" w:eastAsiaTheme="minorEastAsia"/>
          <w:color w:val="auto"/>
          <w:sz w:val="24"/>
          <w:highlight w:val="none"/>
        </w:rPr>
        <w:t>更换</w:t>
      </w:r>
      <w:r>
        <w:rPr>
          <w:rFonts w:hint="eastAsia" w:cs="宋体" w:asciiTheme="minorEastAsia" w:hAnsiTheme="minorEastAsia" w:eastAsiaTheme="minorEastAsia"/>
          <w:color w:val="auto"/>
          <w:sz w:val="24"/>
          <w:highlight w:val="none"/>
        </w:rPr>
        <w:t>不符合</w:t>
      </w:r>
      <w:r>
        <w:rPr>
          <w:rFonts w:cs="宋体" w:asciiTheme="minorEastAsia" w:hAnsiTheme="minorEastAsia" w:eastAsiaTheme="minorEastAsia"/>
          <w:color w:val="auto"/>
          <w:sz w:val="24"/>
          <w:highlight w:val="none"/>
        </w:rPr>
        <w:t>要求补光灯的，乙方应在24小时内响应解决</w:t>
      </w:r>
      <w:r>
        <w:rPr>
          <w:rFonts w:hint="eastAsia" w:cs="宋体" w:asciiTheme="minorEastAsia" w:hAnsiTheme="minorEastAsia" w:eastAsiaTheme="minorEastAsia"/>
          <w:color w:val="auto"/>
          <w:sz w:val="24"/>
          <w:highlight w:val="none"/>
        </w:rPr>
        <w:t>，未履行的每次扣款1000元</w:t>
      </w:r>
      <w:r>
        <w:rPr>
          <w:rFonts w:cs="宋体" w:asciiTheme="minorEastAsia" w:hAnsiTheme="minorEastAsia" w:eastAsiaTheme="minorEastAsia"/>
          <w:color w:val="auto"/>
          <w:sz w:val="24"/>
          <w:highlight w:val="none"/>
        </w:rPr>
        <w:t>。</w:t>
      </w:r>
    </w:p>
    <w:p>
      <w:pPr>
        <w:adjustRightInd w:val="0"/>
        <w:snapToGrid w:val="0"/>
        <w:spacing w:line="360" w:lineRule="auto"/>
        <w:ind w:left="450" w:leftChars="100" w:hanging="240" w:hanging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）管道、基础、窨井、线缆等破损的（排除不可抗力及人为破坏造成的 情况），应2小时内响应，并在48小时内修复，未履行的每次扣款5000元，故障超过48小时仍未解决的，另按500元/天扣除费用，直至故障修复为止。特殊情况，经甲方（或使用人）同意，可以延长修复时间。修复后，乙方须提供一式两份报告给甲方（或使用人）或监理单位，包括故障原因，解决措施完成修理所需时间及恢复正常运行日期。</w:t>
      </w:r>
    </w:p>
    <w:p>
      <w:pPr>
        <w:adjustRightInd w:val="0"/>
        <w:snapToGrid w:val="0"/>
        <w:spacing w:line="360" w:lineRule="auto"/>
        <w:ind w:left="450" w:leftChars="100" w:hanging="240" w:hanging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 xml:space="preserve">）乙方应从召开项目启动会次日起至项目通过验收止，按甲方（或使用人）要求在每日19时前通过微信工作群上报截止当日17时的工作进度，不汇报工作进度的，甲方（或使用人）有权每次扣除1000元/次，不按时汇报工作进度的，甲方（或使用人）有权每次扣除500元/次。乙方需按招、投标文件等要求做好相应工作及配合甲方（或使用人）完成相关建设项目的档案管理工作，否则甲方（或使用人）有权扣除500元/次/天。  </w:t>
      </w:r>
    </w:p>
    <w:p>
      <w:pPr>
        <w:adjustRightInd w:val="0"/>
        <w:snapToGrid w:val="0"/>
        <w:spacing w:line="360" w:lineRule="auto"/>
        <w:ind w:left="450" w:leftChars="100" w:hanging="240" w:hanging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）乙方必须完全配合本项目实施及合同履约期间监理单位工作，对经甲方（授权监理单位签发的通知单等，乙方都应按要求予以回复及执行。不及时回复或执行的，采购人（或使用人）有权每次扣除1000元/次。</w:t>
      </w:r>
    </w:p>
    <w:p>
      <w:pPr>
        <w:pStyle w:val="12"/>
        <w:numPr>
          <w:ilvl w:val="0"/>
          <w:numId w:val="0"/>
        </w:numPr>
        <w:spacing w:line="360" w:lineRule="auto"/>
        <w:ind w:left="360" w:hanging="36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9</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乙方需要根据《</w:t>
      </w:r>
      <w:r>
        <w:rPr>
          <w:rFonts w:cs="宋体" w:asciiTheme="minorEastAsia" w:hAnsiTheme="minorEastAsia" w:eastAsiaTheme="minorEastAsia"/>
          <w:color w:val="auto"/>
          <w:sz w:val="24"/>
          <w:highlight w:val="none"/>
        </w:rPr>
        <w:t>浙江省道路交通违法监控设备设置和使用管理工作规范</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的要求</w:t>
      </w:r>
      <w:r>
        <w:rPr>
          <w:rFonts w:hint="eastAsia" w:cs="宋体" w:asciiTheme="minorEastAsia" w:hAnsiTheme="minorEastAsia" w:eastAsiaTheme="minorEastAsia"/>
          <w:color w:val="auto"/>
          <w:sz w:val="24"/>
          <w:highlight w:val="none"/>
        </w:rPr>
        <w:t>，协助甲方编制项目内所有建设点位交通技术监控设备的备案审核表报上级交警部门审批，主要内容包括点位基本情况、设备标定或检定报告、所有违法行为的实际取证效果样片、监控设备设置目的评估、点位的守法率情况等。</w:t>
      </w:r>
    </w:p>
    <w:p>
      <w:pPr>
        <w:pStyle w:val="22"/>
        <w:snapToGrid w:val="0"/>
        <w:spacing w:before="120" w:after="120" w:line="360" w:lineRule="auto"/>
        <w:rPr>
          <w:rFonts w:hAnsi="宋体" w:cs="宋体"/>
          <w:b/>
          <w:color w:val="auto"/>
          <w:sz w:val="24"/>
          <w:highlight w:val="none"/>
        </w:rPr>
      </w:pPr>
      <w:r>
        <w:rPr>
          <w:rFonts w:hint="eastAsia" w:hAnsi="宋体" w:cs="宋体"/>
          <w:b/>
          <w:color w:val="auto"/>
          <w:sz w:val="24"/>
          <w:highlight w:val="none"/>
        </w:rPr>
        <w:t>十四、调试和验收</w:t>
      </w:r>
    </w:p>
    <w:p>
      <w:pPr>
        <w:pStyle w:val="22"/>
        <w:snapToGrid w:val="0"/>
        <w:spacing w:before="120" w:after="120" w:line="360" w:lineRule="auto"/>
        <w:jc w:val="left"/>
        <w:rPr>
          <w:rFonts w:hAnsi="宋体" w:cs="宋体"/>
          <w:color w:val="auto"/>
          <w:sz w:val="24"/>
          <w:highlight w:val="none"/>
        </w:rPr>
      </w:pPr>
      <w:r>
        <w:rPr>
          <w:rFonts w:hint="eastAsia" w:hAnsi="宋体" w:cs="宋体"/>
          <w:color w:val="auto"/>
          <w:sz w:val="24"/>
          <w:highlight w:val="none"/>
        </w:rPr>
        <w:t>1. 甲方对乙方提交的货物依据招标文件上的技术规格要求和国家有关质量标准</w:t>
      </w:r>
    </w:p>
    <w:p>
      <w:pPr>
        <w:pStyle w:val="22"/>
        <w:snapToGrid w:val="0"/>
        <w:spacing w:before="120" w:after="120" w:line="360" w:lineRule="auto"/>
        <w:ind w:firstLine="360" w:firstLineChars="150"/>
        <w:jc w:val="left"/>
        <w:rPr>
          <w:rFonts w:hAnsi="宋体" w:cs="宋体"/>
          <w:color w:val="auto"/>
          <w:sz w:val="24"/>
          <w:highlight w:val="none"/>
        </w:rPr>
      </w:pPr>
      <w:r>
        <w:rPr>
          <w:rFonts w:hint="eastAsia" w:hAnsi="宋体" w:cs="宋体"/>
          <w:color w:val="auto"/>
          <w:sz w:val="24"/>
          <w:highlight w:val="none"/>
        </w:rPr>
        <w:t>进行现场初步验收，外观、说明书符合招标文件技术要求的，给予签收，初</w:t>
      </w:r>
    </w:p>
    <w:p>
      <w:pPr>
        <w:pStyle w:val="22"/>
        <w:snapToGrid w:val="0"/>
        <w:spacing w:before="120" w:after="120" w:line="360" w:lineRule="auto"/>
        <w:ind w:firstLine="360" w:firstLineChars="150"/>
        <w:jc w:val="left"/>
        <w:rPr>
          <w:rFonts w:hAnsi="宋体" w:cs="宋体"/>
          <w:color w:val="auto"/>
          <w:sz w:val="24"/>
          <w:highlight w:val="none"/>
        </w:rPr>
      </w:pPr>
      <w:r>
        <w:rPr>
          <w:rFonts w:hint="eastAsia" w:hAnsi="宋体" w:cs="宋体"/>
          <w:color w:val="auto"/>
          <w:sz w:val="24"/>
          <w:highlight w:val="none"/>
        </w:rPr>
        <w:t>步验收不合格的不予签收。</w:t>
      </w:r>
    </w:p>
    <w:p>
      <w:pPr>
        <w:pStyle w:val="22"/>
        <w:snapToGrid w:val="0"/>
        <w:spacing w:before="120" w:after="120" w:line="360" w:lineRule="auto"/>
        <w:jc w:val="left"/>
        <w:rPr>
          <w:rFonts w:hAnsi="宋体" w:cs="宋体"/>
          <w:color w:val="auto"/>
          <w:kern w:val="0"/>
          <w:sz w:val="24"/>
          <w:szCs w:val="21"/>
          <w:highlight w:val="none"/>
        </w:rPr>
      </w:pPr>
      <w:r>
        <w:rPr>
          <w:rFonts w:hint="eastAsia" w:hAnsi="宋体" w:cs="宋体"/>
          <w:color w:val="auto"/>
          <w:kern w:val="0"/>
          <w:sz w:val="24"/>
          <w:szCs w:val="21"/>
          <w:highlight w:val="none"/>
        </w:rPr>
        <w:t>（1）验收合格条件：</w:t>
      </w:r>
    </w:p>
    <w:p>
      <w:pPr>
        <w:spacing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①货物使用效果符合采购要求及国家相关标准；</w:t>
      </w:r>
    </w:p>
    <w:p>
      <w:pPr>
        <w:spacing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②在进行测试和试用过程中发生的故障和发现的问题已被排除，并得到采购人的认可；</w:t>
      </w:r>
    </w:p>
    <w:p>
      <w:pPr>
        <w:spacing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③所有合同中规定的材料、配件和资料都已提交并得到接受。</w:t>
      </w:r>
    </w:p>
    <w:p>
      <w:pPr>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（2）验收要求。</w:t>
      </w:r>
    </w:p>
    <w:p>
      <w:pPr>
        <w:spacing w:line="360" w:lineRule="auto"/>
        <w:ind w:firstLine="480" w:firstLineChars="200"/>
        <w:rPr>
          <w:color w:val="auto"/>
          <w:sz w:val="24"/>
          <w:highlight w:val="none"/>
        </w:rPr>
      </w:pPr>
      <w:r>
        <w:rPr>
          <w:rFonts w:hint="eastAsia" w:ascii="宋体" w:hAnsi="宋体" w:cs="宋体"/>
          <w:color w:val="auto"/>
          <w:kern w:val="0"/>
          <w:sz w:val="24"/>
          <w:szCs w:val="21"/>
          <w:highlight w:val="none"/>
        </w:rPr>
        <w:t>①初步验收：</w:t>
      </w:r>
      <w:r>
        <w:rPr>
          <w:rFonts w:hint="eastAsia"/>
          <w:color w:val="auto"/>
          <w:sz w:val="24"/>
          <w:highlight w:val="none"/>
        </w:rPr>
        <w:t>2023年5月1日前完成</w:t>
      </w:r>
      <w:r>
        <w:rPr>
          <w:color w:val="auto"/>
          <w:sz w:val="24"/>
          <w:highlight w:val="none"/>
        </w:rPr>
        <w:t>2</w:t>
      </w:r>
      <w:r>
        <w:rPr>
          <w:rFonts w:hint="eastAsia"/>
          <w:color w:val="auto"/>
          <w:sz w:val="24"/>
          <w:highlight w:val="none"/>
        </w:rPr>
        <w:t>00路视频上线（摄像机能抓拍过车和各类交通违法行为并符合处罚要求，其他设备开始工作）； 2023年6月1日前再完成</w:t>
      </w:r>
      <w:r>
        <w:rPr>
          <w:color w:val="auto"/>
          <w:sz w:val="24"/>
          <w:highlight w:val="none"/>
        </w:rPr>
        <w:t>2</w:t>
      </w:r>
      <w:r>
        <w:rPr>
          <w:rFonts w:hint="eastAsia"/>
          <w:color w:val="auto"/>
          <w:sz w:val="24"/>
          <w:highlight w:val="none"/>
        </w:rPr>
        <w:t>00路视频上线（摄像机能抓拍过车和各类交通违法行为并符合处罚要求）；2023年7月1日前再完成</w:t>
      </w:r>
      <w:r>
        <w:rPr>
          <w:color w:val="auto"/>
          <w:sz w:val="24"/>
          <w:highlight w:val="none"/>
        </w:rPr>
        <w:t>3</w:t>
      </w:r>
      <w:r>
        <w:rPr>
          <w:rFonts w:hint="eastAsia"/>
          <w:color w:val="auto"/>
          <w:sz w:val="24"/>
          <w:highlight w:val="none"/>
        </w:rPr>
        <w:t>00路视频上线（摄像机能抓拍过车和各类交通违法行为并符合处罚要求）；2023年7月31日前完成所有设备上线任务并初步验收通过（摄像机能抓拍过车和各类交通违法行为并符合处罚要求，其他设备开始工作）</w:t>
      </w:r>
    </w:p>
    <w:p>
      <w:pPr>
        <w:spacing w:line="360" w:lineRule="auto"/>
        <w:ind w:firstLine="480" w:firstLineChars="200"/>
        <w:rPr>
          <w:rFonts w:ascii="宋体" w:hAnsi="宋体" w:cs="宋体"/>
          <w:bCs/>
          <w:color w:val="auto"/>
          <w:sz w:val="24"/>
          <w:highlight w:val="none"/>
        </w:rPr>
      </w:pPr>
      <w:r>
        <w:rPr>
          <w:rFonts w:hint="eastAsia" w:ascii="宋体" w:hAnsi="宋体" w:cs="宋体"/>
          <w:color w:val="auto"/>
          <w:kern w:val="0"/>
          <w:sz w:val="24"/>
          <w:szCs w:val="21"/>
          <w:highlight w:val="none"/>
        </w:rPr>
        <w:t>②准入验收：初步</w:t>
      </w:r>
      <w:r>
        <w:rPr>
          <w:rFonts w:hint="eastAsia" w:asciiTheme="minorEastAsia" w:hAnsiTheme="minorEastAsia" w:eastAsiaTheme="minorEastAsia"/>
          <w:bCs/>
          <w:color w:val="auto"/>
          <w:sz w:val="24"/>
          <w:highlight w:val="none"/>
        </w:rPr>
        <w:t>验收通过且经试运行</w:t>
      </w:r>
      <w:r>
        <w:rPr>
          <w:rFonts w:asciiTheme="minorEastAsia" w:hAnsiTheme="minorEastAsia" w:eastAsiaTheme="minorEastAsia"/>
          <w:bCs/>
          <w:color w:val="auto"/>
          <w:sz w:val="24"/>
          <w:highlight w:val="none"/>
        </w:rPr>
        <w:t>3个月后，进行</w:t>
      </w:r>
      <w:r>
        <w:rPr>
          <w:rFonts w:hint="eastAsia" w:ascii="宋体" w:hAnsi="宋体" w:cs="宋体"/>
          <w:color w:val="auto"/>
          <w:kern w:val="0"/>
          <w:sz w:val="24"/>
          <w:szCs w:val="21"/>
          <w:highlight w:val="none"/>
        </w:rPr>
        <w:t>准入验收；</w:t>
      </w:r>
    </w:p>
    <w:p>
      <w:pPr>
        <w:spacing w:line="360" w:lineRule="auto"/>
        <w:ind w:firstLine="480"/>
        <w:rPr>
          <w:rFonts w:ascii="宋体" w:hAnsi="宋体" w:cs="宋体"/>
          <w:b/>
          <w:color w:val="auto"/>
          <w:kern w:val="0"/>
          <w:sz w:val="24"/>
          <w:szCs w:val="21"/>
          <w:highlight w:val="none"/>
        </w:rPr>
      </w:pPr>
      <w:r>
        <w:rPr>
          <w:rFonts w:hint="eastAsia" w:ascii="宋体" w:hAnsi="宋体" w:cs="宋体"/>
          <w:color w:val="auto"/>
          <w:kern w:val="0"/>
          <w:sz w:val="24"/>
          <w:szCs w:val="21"/>
          <w:highlight w:val="none"/>
        </w:rPr>
        <w:t>③最终验收：准入验收</w:t>
      </w:r>
      <w:r>
        <w:rPr>
          <w:rFonts w:hint="eastAsia" w:ascii="宋体" w:hAnsi="宋体" w:cs="宋体"/>
          <w:bCs/>
          <w:color w:val="auto"/>
          <w:sz w:val="24"/>
          <w:highlight w:val="none"/>
        </w:rPr>
        <w:t>通过后进入36个月（30日为1个月）运营服务期（运营服务期自最终验收通过之日计起，）运营服务期结束后项目终验。</w:t>
      </w:r>
    </w:p>
    <w:p>
      <w:pPr>
        <w:spacing w:line="360" w:lineRule="auto"/>
        <w:ind w:firstLine="480"/>
        <w:rPr>
          <w:rFonts w:ascii="宋体" w:hAnsi="宋体" w:cs="宋体"/>
          <w:color w:val="auto"/>
          <w:kern w:val="0"/>
          <w:sz w:val="24"/>
          <w:szCs w:val="21"/>
          <w:highlight w:val="none"/>
        </w:rPr>
      </w:pPr>
      <w:r>
        <w:rPr>
          <w:rFonts w:hint="eastAsia" w:ascii="宋体" w:hAnsi="宋体" w:cs="宋体"/>
          <w:color w:val="auto"/>
          <w:kern w:val="0"/>
          <w:sz w:val="24"/>
          <w:szCs w:val="21"/>
          <w:highlight w:val="none"/>
        </w:rPr>
        <w:t>（4）甲方根据上述规定进行验收，并不能免除乙方根据本合同质量保证条款规定所应承担的质量保证责任。</w:t>
      </w:r>
    </w:p>
    <w:p>
      <w:pPr>
        <w:spacing w:line="360" w:lineRule="auto"/>
        <w:ind w:firstLine="480"/>
        <w:rPr>
          <w:rFonts w:ascii="宋体" w:hAnsi="宋体" w:cs="宋体"/>
          <w:color w:val="auto"/>
          <w:highlight w:val="none"/>
        </w:rPr>
      </w:pPr>
      <w:r>
        <w:rPr>
          <w:rFonts w:hint="eastAsia" w:ascii="宋体" w:hAnsi="宋体" w:cs="宋体"/>
          <w:color w:val="auto"/>
          <w:kern w:val="0"/>
          <w:sz w:val="24"/>
          <w:szCs w:val="21"/>
          <w:highlight w:val="none"/>
        </w:rPr>
        <w:t>（5）本项目验收需满足招标文件及投标文件要求外还应满足国家有关质量标准或行业规范（有新文件的按新文件执行）。</w:t>
      </w:r>
    </w:p>
    <w:p>
      <w:pPr>
        <w:pStyle w:val="22"/>
        <w:snapToGrid w:val="0"/>
        <w:spacing w:before="120" w:after="120" w:line="360" w:lineRule="auto"/>
        <w:rPr>
          <w:rFonts w:hAnsi="宋体" w:cs="宋体"/>
          <w:color w:val="auto"/>
          <w:sz w:val="24"/>
          <w:highlight w:val="none"/>
        </w:rPr>
      </w:pPr>
      <w:r>
        <w:rPr>
          <w:rFonts w:hint="eastAsia" w:hAnsi="宋体" w:cs="宋体"/>
          <w:color w:val="auto"/>
          <w:sz w:val="24"/>
          <w:highlight w:val="none"/>
        </w:rPr>
        <w:t>2. 乙方交付前应对产品作出全面检查和对验收文件进行整理，并列出清单，作</w:t>
      </w:r>
    </w:p>
    <w:p>
      <w:pPr>
        <w:pStyle w:val="22"/>
        <w:snapToGrid w:val="0"/>
        <w:spacing w:before="120" w:after="120" w:line="360" w:lineRule="auto"/>
        <w:ind w:firstLine="360" w:firstLineChars="150"/>
        <w:rPr>
          <w:rFonts w:hAnsi="宋体" w:cs="宋体"/>
          <w:color w:val="auto"/>
          <w:sz w:val="24"/>
          <w:highlight w:val="none"/>
        </w:rPr>
      </w:pPr>
      <w:r>
        <w:rPr>
          <w:rFonts w:hint="eastAsia" w:hAnsi="宋体" w:cs="宋体"/>
          <w:color w:val="auto"/>
          <w:sz w:val="24"/>
          <w:highlight w:val="none"/>
        </w:rPr>
        <w:t>为甲方收货验收和使用的技术条件依据，检验的结果交甲方。</w:t>
      </w:r>
    </w:p>
    <w:p>
      <w:pPr>
        <w:pStyle w:val="22"/>
        <w:snapToGrid w:val="0"/>
        <w:spacing w:before="120" w:after="120" w:line="360" w:lineRule="auto"/>
        <w:rPr>
          <w:rFonts w:hAnsi="宋体" w:cs="宋体"/>
          <w:color w:val="auto"/>
          <w:sz w:val="24"/>
          <w:highlight w:val="none"/>
        </w:rPr>
      </w:pPr>
      <w:r>
        <w:rPr>
          <w:rFonts w:hint="eastAsia" w:hAnsi="宋体" w:cs="宋体"/>
          <w:color w:val="auto"/>
          <w:sz w:val="24"/>
          <w:highlight w:val="none"/>
        </w:rPr>
        <w:t>3. 甲方对乙方提供的货物在使用前进行调试时，乙方需负责安装并培训甲方的</w:t>
      </w:r>
    </w:p>
    <w:p>
      <w:pPr>
        <w:pStyle w:val="22"/>
        <w:snapToGrid w:val="0"/>
        <w:spacing w:before="120" w:after="120" w:line="360" w:lineRule="auto"/>
        <w:ind w:firstLine="360" w:firstLineChars="150"/>
        <w:rPr>
          <w:rFonts w:hAnsi="宋体" w:cs="宋体"/>
          <w:color w:val="auto"/>
          <w:sz w:val="24"/>
          <w:highlight w:val="none"/>
        </w:rPr>
      </w:pPr>
      <w:r>
        <w:rPr>
          <w:rFonts w:hint="eastAsia" w:hAnsi="宋体" w:cs="宋体"/>
          <w:color w:val="auto"/>
          <w:sz w:val="24"/>
          <w:highlight w:val="none"/>
        </w:rPr>
        <w:t>使用操作人员，并协助甲方一起调试，直到符合技术要求，甲方才做验</w:t>
      </w:r>
    </w:p>
    <w:p>
      <w:pPr>
        <w:pStyle w:val="22"/>
        <w:snapToGrid w:val="0"/>
        <w:spacing w:before="120" w:after="120" w:line="360" w:lineRule="auto"/>
        <w:ind w:firstLine="360" w:firstLineChars="150"/>
        <w:rPr>
          <w:rFonts w:hAnsi="宋体" w:cs="宋体"/>
          <w:color w:val="auto"/>
          <w:sz w:val="24"/>
          <w:highlight w:val="none"/>
          <w:u w:val="single"/>
        </w:rPr>
      </w:pPr>
      <w:r>
        <w:rPr>
          <w:rFonts w:hint="eastAsia" w:hAnsi="宋体" w:cs="宋体"/>
          <w:color w:val="auto"/>
          <w:sz w:val="24"/>
          <w:highlight w:val="none"/>
        </w:rPr>
        <w:t>收。</w:t>
      </w:r>
    </w:p>
    <w:p>
      <w:pPr>
        <w:pStyle w:val="22"/>
        <w:snapToGrid w:val="0"/>
        <w:spacing w:before="120" w:after="120" w:line="360" w:lineRule="auto"/>
        <w:rPr>
          <w:rFonts w:hAnsi="宋体" w:cs="宋体"/>
          <w:color w:val="auto"/>
          <w:sz w:val="24"/>
          <w:highlight w:val="none"/>
        </w:rPr>
      </w:pPr>
      <w:r>
        <w:rPr>
          <w:rFonts w:hint="eastAsia" w:hAnsi="宋体" w:cs="宋体"/>
          <w:color w:val="auto"/>
          <w:sz w:val="24"/>
          <w:highlight w:val="none"/>
        </w:rPr>
        <w:t>4.对技术复杂的货物，甲方应请国家认可的专业检测机构参与初步验收及最终</w:t>
      </w:r>
    </w:p>
    <w:p>
      <w:pPr>
        <w:pStyle w:val="22"/>
        <w:snapToGrid w:val="0"/>
        <w:spacing w:before="120" w:after="120" w:line="360" w:lineRule="auto"/>
        <w:ind w:firstLine="360" w:firstLineChars="150"/>
        <w:rPr>
          <w:rFonts w:hAnsi="宋体" w:cs="宋体"/>
          <w:color w:val="auto"/>
          <w:sz w:val="24"/>
          <w:highlight w:val="none"/>
        </w:rPr>
      </w:pPr>
      <w:r>
        <w:rPr>
          <w:rFonts w:hint="eastAsia" w:hAnsi="宋体" w:cs="宋体"/>
          <w:color w:val="auto"/>
          <w:sz w:val="24"/>
          <w:highlight w:val="none"/>
        </w:rPr>
        <w:t>验收，并由其出具质量检测报告。</w:t>
      </w:r>
    </w:p>
    <w:p>
      <w:pPr>
        <w:pStyle w:val="22"/>
        <w:snapToGrid w:val="0"/>
        <w:spacing w:before="120" w:after="120" w:line="360" w:lineRule="auto"/>
        <w:rPr>
          <w:rFonts w:hAnsi="宋体" w:cs="宋体"/>
          <w:color w:val="auto"/>
          <w:sz w:val="24"/>
          <w:highlight w:val="none"/>
        </w:rPr>
      </w:pPr>
      <w:r>
        <w:rPr>
          <w:rFonts w:hint="eastAsia" w:hAnsi="宋体" w:cs="宋体"/>
          <w:color w:val="auto"/>
          <w:sz w:val="24"/>
          <w:highlight w:val="none"/>
        </w:rPr>
        <w:t>5.验收时乙方必须在现场，验收完毕后作出验收结果报告；验收费用由乙方负</w:t>
      </w:r>
    </w:p>
    <w:p>
      <w:pPr>
        <w:pStyle w:val="22"/>
        <w:snapToGrid w:val="0"/>
        <w:spacing w:before="120" w:after="120" w:line="360" w:lineRule="auto"/>
        <w:ind w:firstLine="360" w:firstLineChars="150"/>
        <w:rPr>
          <w:rFonts w:hAnsi="宋体" w:cs="宋体"/>
          <w:color w:val="auto"/>
          <w:sz w:val="24"/>
          <w:highlight w:val="none"/>
        </w:rPr>
      </w:pPr>
      <w:r>
        <w:rPr>
          <w:rFonts w:hint="eastAsia" w:hAnsi="宋体" w:cs="宋体"/>
          <w:color w:val="auto"/>
          <w:sz w:val="24"/>
          <w:highlight w:val="none"/>
        </w:rPr>
        <w:t>责。</w:t>
      </w:r>
    </w:p>
    <w:p>
      <w:pPr>
        <w:pStyle w:val="22"/>
        <w:snapToGrid w:val="0"/>
        <w:spacing w:before="120" w:after="120" w:line="360" w:lineRule="auto"/>
        <w:rPr>
          <w:rFonts w:hAnsi="宋体" w:cs="宋体"/>
          <w:b/>
          <w:color w:val="auto"/>
          <w:sz w:val="24"/>
          <w:highlight w:val="none"/>
        </w:rPr>
      </w:pPr>
      <w:r>
        <w:rPr>
          <w:rFonts w:hint="eastAsia" w:hAnsi="宋体" w:cs="宋体"/>
          <w:b/>
          <w:color w:val="auto"/>
          <w:sz w:val="24"/>
          <w:highlight w:val="none"/>
        </w:rPr>
        <w:t>十五、货物包装、发运及运输</w:t>
      </w:r>
    </w:p>
    <w:p>
      <w:pPr>
        <w:pStyle w:val="22"/>
        <w:snapToGrid w:val="0"/>
        <w:spacing w:before="120" w:after="120" w:line="360" w:lineRule="auto"/>
        <w:ind w:left="480" w:hanging="480" w:hangingChars="200"/>
        <w:rPr>
          <w:rFonts w:hAnsi="宋体" w:cs="宋体"/>
          <w:color w:val="auto"/>
          <w:sz w:val="24"/>
          <w:highlight w:val="none"/>
        </w:rPr>
      </w:pPr>
      <w:r>
        <w:rPr>
          <w:rFonts w:hint="eastAsia" w:hAnsi="宋体" w:cs="宋体"/>
          <w:color w:val="auto"/>
          <w:sz w:val="24"/>
          <w:highlight w:val="none"/>
        </w:rPr>
        <w:t>1. 乙方应在货物发运前对其进行满足运输距离、防潮、防震、防锈和防破损装卸等要求包装，以保证货物安全运达甲方指定地点。</w:t>
      </w:r>
    </w:p>
    <w:p>
      <w:pPr>
        <w:pStyle w:val="22"/>
        <w:snapToGrid w:val="0"/>
        <w:spacing w:before="120" w:after="120" w:line="360" w:lineRule="auto"/>
        <w:ind w:left="480" w:hanging="480" w:hangingChars="200"/>
        <w:rPr>
          <w:rFonts w:hAnsi="宋体" w:cs="宋体"/>
          <w:color w:val="auto"/>
          <w:sz w:val="24"/>
          <w:highlight w:val="none"/>
        </w:rPr>
      </w:pPr>
      <w:r>
        <w:rPr>
          <w:rFonts w:hint="eastAsia" w:hAnsi="宋体" w:cs="宋体"/>
          <w:color w:val="auto"/>
          <w:sz w:val="24"/>
          <w:highlight w:val="none"/>
        </w:rPr>
        <w:t>2. 使用说明书、质量检验证明书、随配附件和工具以及清单一并附于货物内。</w:t>
      </w:r>
    </w:p>
    <w:p>
      <w:pPr>
        <w:pStyle w:val="22"/>
        <w:snapToGrid w:val="0"/>
        <w:spacing w:before="120" w:after="120" w:line="360" w:lineRule="auto"/>
        <w:ind w:left="480" w:hanging="480" w:hangingChars="200"/>
        <w:rPr>
          <w:rFonts w:hAnsi="宋体" w:cs="宋体"/>
          <w:color w:val="auto"/>
          <w:sz w:val="24"/>
          <w:highlight w:val="none"/>
        </w:rPr>
      </w:pPr>
      <w:r>
        <w:rPr>
          <w:rFonts w:hint="eastAsia" w:hAnsi="宋体" w:cs="宋体"/>
          <w:color w:val="auto"/>
          <w:sz w:val="24"/>
          <w:highlight w:val="none"/>
        </w:rPr>
        <w:t>3. 乙方在货物发运手续办理完毕后24小时内或货到甲方48小时前通知甲方，以准备接货。</w:t>
      </w:r>
    </w:p>
    <w:p>
      <w:pPr>
        <w:pStyle w:val="22"/>
        <w:snapToGrid w:val="0"/>
        <w:spacing w:before="120" w:after="120" w:line="360" w:lineRule="auto"/>
        <w:ind w:left="480" w:hanging="480" w:hangingChars="200"/>
        <w:rPr>
          <w:rFonts w:hAnsi="宋体" w:cs="宋体"/>
          <w:color w:val="auto"/>
          <w:sz w:val="24"/>
          <w:highlight w:val="none"/>
        </w:rPr>
      </w:pPr>
      <w:r>
        <w:rPr>
          <w:rFonts w:hint="eastAsia" w:hAnsi="宋体" w:cs="宋体"/>
          <w:color w:val="auto"/>
          <w:sz w:val="24"/>
          <w:highlight w:val="none"/>
        </w:rPr>
        <w:t>4. 货物在交付甲方前发生的风险均由乙方负责。</w:t>
      </w:r>
    </w:p>
    <w:p>
      <w:pPr>
        <w:pStyle w:val="22"/>
        <w:snapToGrid w:val="0"/>
        <w:spacing w:line="360" w:lineRule="auto"/>
        <w:ind w:left="480" w:right="26" w:hanging="480" w:hangingChars="200"/>
        <w:rPr>
          <w:rFonts w:hAnsi="宋体" w:cs="宋体"/>
          <w:color w:val="auto"/>
          <w:sz w:val="24"/>
          <w:highlight w:val="none"/>
        </w:rPr>
      </w:pPr>
      <w:r>
        <w:rPr>
          <w:rFonts w:hint="eastAsia" w:hAnsi="宋体" w:cs="宋体"/>
          <w:color w:val="auto"/>
          <w:sz w:val="24"/>
          <w:highlight w:val="none"/>
        </w:rPr>
        <w:t>5. 货物在规定的交付期限内由乙方送达甲方指定的地点视为交付，乙方同时需</w:t>
      </w:r>
    </w:p>
    <w:p>
      <w:pPr>
        <w:pStyle w:val="22"/>
        <w:snapToGrid w:val="0"/>
        <w:spacing w:line="360" w:lineRule="auto"/>
        <w:ind w:left="479" w:leftChars="171" w:right="26" w:hanging="120" w:hangingChars="50"/>
        <w:rPr>
          <w:rFonts w:hAnsi="宋体" w:cs="宋体"/>
          <w:color w:val="auto"/>
          <w:sz w:val="24"/>
          <w:highlight w:val="none"/>
        </w:rPr>
      </w:pPr>
      <w:r>
        <w:rPr>
          <w:rFonts w:hint="eastAsia" w:hAnsi="宋体" w:cs="宋体"/>
          <w:color w:val="auto"/>
          <w:sz w:val="24"/>
          <w:highlight w:val="none"/>
        </w:rPr>
        <w:t>通知甲方货物已送达。</w:t>
      </w:r>
    </w:p>
    <w:p>
      <w:pPr>
        <w:pStyle w:val="22"/>
        <w:snapToGrid w:val="0"/>
        <w:spacing w:line="360" w:lineRule="auto"/>
        <w:ind w:right="26"/>
        <w:rPr>
          <w:rFonts w:hAnsi="宋体" w:cs="宋体"/>
          <w:color w:val="auto"/>
          <w:sz w:val="24"/>
          <w:highlight w:val="none"/>
        </w:rPr>
      </w:pPr>
      <w:r>
        <w:rPr>
          <w:rFonts w:hint="eastAsia" w:hAnsi="宋体" w:cs="宋体"/>
          <w:color w:val="auto"/>
          <w:sz w:val="24"/>
          <w:highlight w:val="none"/>
        </w:rPr>
        <w:t>6.乙方运送的货物涉及商品包装和快递包装的，参考《商品包装政府采购需求标准（试行）》、《快递包装政府采购需求标准（试行）》（财办库〔2020〕123号）</w:t>
      </w:r>
    </w:p>
    <w:p>
      <w:pPr>
        <w:pStyle w:val="22"/>
        <w:snapToGrid w:val="0"/>
        <w:spacing w:before="120" w:after="120" w:line="360" w:lineRule="auto"/>
        <w:rPr>
          <w:rFonts w:hAnsi="宋体" w:cs="宋体"/>
          <w:b/>
          <w:color w:val="auto"/>
          <w:sz w:val="24"/>
          <w:highlight w:val="none"/>
        </w:rPr>
      </w:pPr>
      <w:r>
        <w:rPr>
          <w:rFonts w:hint="eastAsia" w:hAnsi="宋体" w:cs="宋体"/>
          <w:b/>
          <w:color w:val="auto"/>
          <w:sz w:val="24"/>
          <w:highlight w:val="none"/>
        </w:rPr>
        <w:t>十六、违约责任</w:t>
      </w:r>
    </w:p>
    <w:p>
      <w:pPr>
        <w:pStyle w:val="22"/>
        <w:snapToGrid w:val="0"/>
        <w:spacing w:before="120" w:after="120" w:line="360" w:lineRule="auto"/>
        <w:ind w:left="410" w:hanging="410" w:hangingChars="171"/>
        <w:rPr>
          <w:rFonts w:hAnsi="宋体" w:cs="宋体"/>
          <w:color w:val="auto"/>
          <w:sz w:val="24"/>
          <w:highlight w:val="none"/>
        </w:rPr>
      </w:pPr>
      <w:r>
        <w:rPr>
          <w:rFonts w:hint="eastAsia" w:hAnsi="宋体" w:cs="宋体"/>
          <w:color w:val="auto"/>
          <w:sz w:val="24"/>
          <w:highlight w:val="none"/>
        </w:rPr>
        <w:t>1. 甲方无正当理由拒收货物的，甲方向乙方偿付拒收货款总值的</w:t>
      </w:r>
      <w:r>
        <w:rPr>
          <w:rFonts w:hint="eastAsia" w:hAnsi="宋体" w:cs="宋体"/>
          <w:color w:val="auto"/>
          <w:sz w:val="24"/>
          <w:highlight w:val="none"/>
          <w:u w:val="single"/>
        </w:rPr>
        <w:t>百分之五</w:t>
      </w:r>
      <w:r>
        <w:rPr>
          <w:rFonts w:hint="eastAsia" w:hAnsi="宋体" w:cs="宋体"/>
          <w:color w:val="auto"/>
          <w:sz w:val="24"/>
          <w:highlight w:val="none"/>
        </w:rPr>
        <w:t>违约金。</w:t>
      </w:r>
    </w:p>
    <w:p>
      <w:pPr>
        <w:pStyle w:val="22"/>
        <w:snapToGrid w:val="0"/>
        <w:spacing w:before="120" w:after="120" w:line="360" w:lineRule="auto"/>
        <w:ind w:left="410" w:hanging="410" w:hangingChars="171"/>
        <w:rPr>
          <w:rFonts w:hAnsi="宋体" w:cs="宋体"/>
          <w:color w:val="auto"/>
          <w:sz w:val="24"/>
          <w:highlight w:val="none"/>
        </w:rPr>
      </w:pPr>
      <w:r>
        <w:rPr>
          <w:rFonts w:hint="eastAsia" w:hAnsi="宋体" w:cs="宋体"/>
          <w:color w:val="auto"/>
          <w:sz w:val="24"/>
          <w:highlight w:val="none"/>
        </w:rPr>
        <w:t>2. 甲方无故逾期验收和办理货款支付手续的,甲方应按逾期付款金额</w:t>
      </w:r>
      <w:r>
        <w:rPr>
          <w:rFonts w:hint="eastAsia" w:hAnsi="宋体" w:cs="宋体"/>
          <w:color w:val="auto"/>
          <w:sz w:val="24"/>
          <w:highlight w:val="none"/>
          <w:u w:val="single"/>
        </w:rPr>
        <w:t>万分之五</w:t>
      </w:r>
      <w:r>
        <w:rPr>
          <w:rFonts w:hint="eastAsia" w:hAnsi="宋体" w:cs="宋体"/>
          <w:color w:val="auto"/>
          <w:sz w:val="24"/>
          <w:highlight w:val="none"/>
        </w:rPr>
        <w:t>每日向乙方支付违约金。</w:t>
      </w:r>
    </w:p>
    <w:p>
      <w:pPr>
        <w:spacing w:line="360" w:lineRule="auto"/>
        <w:ind w:left="240" w:hanging="240" w:hangingChars="100"/>
        <w:outlineLvl w:val="2"/>
        <w:rPr>
          <w:rFonts w:ascii="宋体" w:hAnsi="宋体" w:cs="宋体"/>
          <w:color w:val="auto"/>
          <w:sz w:val="24"/>
          <w:highlight w:val="none"/>
        </w:rPr>
      </w:pPr>
      <w:r>
        <w:rPr>
          <w:rFonts w:hint="eastAsia" w:ascii="宋体" w:hAnsi="宋体" w:cs="宋体"/>
          <w:color w:val="auto"/>
          <w:sz w:val="24"/>
          <w:highlight w:val="none"/>
        </w:rPr>
        <w:t>3. 若因乙方原因导致未按期上线或通过初步准入验收的，甲方有权在下一次支付的服务费中扣除10万元/次的违约金作为违约赔偿，同时，甲方有权视具体逾期情节上报监管部门，建议将成交供应商列入政府采购供应商“黑名单”</w:t>
      </w:r>
    </w:p>
    <w:p>
      <w:pPr>
        <w:spacing w:line="360" w:lineRule="auto"/>
        <w:ind w:left="240" w:hanging="240" w:hangingChars="100"/>
        <w:outlineLvl w:val="2"/>
        <w:rPr>
          <w:rFonts w:hAnsi="宋体" w:cs="宋体"/>
          <w:color w:val="auto"/>
          <w:sz w:val="24"/>
          <w:highlight w:val="none"/>
        </w:rPr>
      </w:pPr>
      <w:r>
        <w:rPr>
          <w:rFonts w:hint="eastAsia" w:ascii="宋体" w:hAnsi="宋体" w:cs="宋体"/>
          <w:color w:val="auto"/>
          <w:sz w:val="24"/>
          <w:highlight w:val="none"/>
        </w:rPr>
        <w:t>4.</w:t>
      </w:r>
      <w:r>
        <w:rPr>
          <w:rFonts w:hint="eastAsia" w:hAnsi="宋体" w:cs="宋体"/>
          <w:color w:val="auto"/>
          <w:sz w:val="24"/>
          <w:highlight w:val="none"/>
        </w:rPr>
        <w:t>乙方所交的设备品种、型号、规格、技术参数、质量不符合合同规定及招标文件规定标准的，甲方有权拒收该货物，乙方愿意更换货物但逾期交货的，按乙方逾期交货处理。乙方拒绝更换货物的，甲方可单方面解除合同。</w:t>
      </w:r>
    </w:p>
    <w:p>
      <w:pPr>
        <w:pStyle w:val="22"/>
        <w:snapToGrid w:val="0"/>
        <w:spacing w:before="120" w:after="120" w:line="360" w:lineRule="auto"/>
        <w:ind w:left="240" w:hanging="240" w:hangingChars="100"/>
        <w:rPr>
          <w:rFonts w:hAnsi="宋体" w:cs="宋体"/>
          <w:color w:val="auto"/>
          <w:sz w:val="24"/>
          <w:highlight w:val="none"/>
        </w:rPr>
      </w:pPr>
      <w:r>
        <w:rPr>
          <w:rFonts w:hint="eastAsia" w:hAnsi="宋体" w:cs="宋体"/>
          <w:color w:val="auto"/>
          <w:sz w:val="24"/>
          <w:highlight w:val="none"/>
        </w:rPr>
        <w:t>5.若发生纠纷，由违约方赔偿守约方因纠纷所支付的费用（包括但不限于律师费、差旅费、诉讼费、保全费、鉴定费、评估费等）</w:t>
      </w:r>
    </w:p>
    <w:p>
      <w:pPr>
        <w:pStyle w:val="22"/>
        <w:snapToGrid w:val="0"/>
        <w:spacing w:before="120" w:after="120" w:line="360" w:lineRule="auto"/>
        <w:rPr>
          <w:rFonts w:hAnsi="宋体" w:cs="宋体"/>
          <w:b/>
          <w:color w:val="auto"/>
          <w:sz w:val="24"/>
          <w:highlight w:val="none"/>
        </w:rPr>
      </w:pPr>
      <w:r>
        <w:rPr>
          <w:rFonts w:hint="eastAsia" w:hAnsi="宋体" w:cs="宋体"/>
          <w:b/>
          <w:color w:val="auto"/>
          <w:sz w:val="24"/>
          <w:highlight w:val="none"/>
        </w:rPr>
        <w:t>十七、不可抗力事件处理</w:t>
      </w:r>
    </w:p>
    <w:p>
      <w:pPr>
        <w:pStyle w:val="22"/>
        <w:snapToGrid w:val="0"/>
        <w:spacing w:before="120" w:after="120" w:line="360" w:lineRule="auto"/>
        <w:rPr>
          <w:rFonts w:hAnsi="宋体" w:cs="宋体"/>
          <w:color w:val="auto"/>
          <w:sz w:val="24"/>
          <w:highlight w:val="none"/>
        </w:rPr>
      </w:pPr>
      <w:r>
        <w:rPr>
          <w:rFonts w:hint="eastAsia" w:hAnsi="宋体" w:cs="宋体"/>
          <w:color w:val="auto"/>
          <w:sz w:val="24"/>
          <w:highlight w:val="none"/>
        </w:rPr>
        <w:t>1. 在合同有效期内，任何一方因不可抗力事件导致不能履行合同，则合同履行</w:t>
      </w:r>
    </w:p>
    <w:p>
      <w:pPr>
        <w:pStyle w:val="22"/>
        <w:snapToGrid w:val="0"/>
        <w:spacing w:before="120" w:after="120" w:line="360" w:lineRule="auto"/>
        <w:ind w:firstLine="360" w:firstLineChars="150"/>
        <w:rPr>
          <w:rFonts w:hAnsi="宋体" w:cs="宋体"/>
          <w:color w:val="auto"/>
          <w:sz w:val="24"/>
          <w:highlight w:val="none"/>
        </w:rPr>
      </w:pPr>
      <w:r>
        <w:rPr>
          <w:rFonts w:hint="eastAsia" w:hAnsi="宋体" w:cs="宋体"/>
          <w:color w:val="auto"/>
          <w:sz w:val="24"/>
          <w:highlight w:val="none"/>
        </w:rPr>
        <w:t>期可延长，其延长期与不可抗力影响期相同。</w:t>
      </w:r>
    </w:p>
    <w:p>
      <w:pPr>
        <w:pStyle w:val="22"/>
        <w:snapToGrid w:val="0"/>
        <w:spacing w:before="120" w:after="120" w:line="360" w:lineRule="auto"/>
        <w:rPr>
          <w:rFonts w:hAnsi="宋体" w:cs="宋体"/>
          <w:color w:val="auto"/>
          <w:sz w:val="24"/>
          <w:highlight w:val="none"/>
        </w:rPr>
      </w:pPr>
      <w:r>
        <w:rPr>
          <w:rFonts w:hint="eastAsia" w:hAnsi="宋体" w:cs="宋体"/>
          <w:color w:val="auto"/>
          <w:sz w:val="24"/>
          <w:highlight w:val="none"/>
        </w:rPr>
        <w:t>2. 不可抗力事件发生后，应立即通知对方，并寄送有关权威机构出具的证明。</w:t>
      </w:r>
    </w:p>
    <w:p>
      <w:pPr>
        <w:pStyle w:val="22"/>
        <w:snapToGrid w:val="0"/>
        <w:spacing w:before="120" w:after="120" w:line="360" w:lineRule="auto"/>
        <w:rPr>
          <w:rFonts w:hAnsi="宋体" w:cs="宋体"/>
          <w:color w:val="auto"/>
          <w:sz w:val="24"/>
          <w:highlight w:val="none"/>
        </w:rPr>
      </w:pPr>
      <w:r>
        <w:rPr>
          <w:rFonts w:hint="eastAsia" w:hAnsi="宋体" w:cs="宋体"/>
          <w:color w:val="auto"/>
          <w:sz w:val="24"/>
          <w:highlight w:val="none"/>
        </w:rPr>
        <w:t>3. 不可抗力事件延续120天以上，双方应通过友好协商，确定是否继续履行合</w:t>
      </w:r>
    </w:p>
    <w:p>
      <w:pPr>
        <w:pStyle w:val="22"/>
        <w:snapToGrid w:val="0"/>
        <w:spacing w:before="120" w:after="120" w:line="360" w:lineRule="auto"/>
        <w:ind w:firstLine="360" w:firstLineChars="150"/>
        <w:rPr>
          <w:rFonts w:hAnsi="宋体" w:cs="宋体"/>
          <w:color w:val="auto"/>
          <w:sz w:val="24"/>
          <w:highlight w:val="none"/>
        </w:rPr>
      </w:pPr>
      <w:r>
        <w:rPr>
          <w:rFonts w:hint="eastAsia" w:hAnsi="宋体" w:cs="宋体"/>
          <w:color w:val="auto"/>
          <w:sz w:val="24"/>
          <w:highlight w:val="none"/>
        </w:rPr>
        <w:t>同。</w:t>
      </w:r>
    </w:p>
    <w:p>
      <w:pPr>
        <w:pStyle w:val="22"/>
        <w:snapToGrid w:val="0"/>
        <w:spacing w:before="120" w:after="120" w:line="360" w:lineRule="auto"/>
        <w:rPr>
          <w:rFonts w:hAnsi="宋体" w:cs="宋体"/>
          <w:b/>
          <w:color w:val="auto"/>
          <w:sz w:val="24"/>
          <w:highlight w:val="none"/>
        </w:rPr>
      </w:pPr>
      <w:r>
        <w:rPr>
          <w:rFonts w:hint="eastAsia" w:hAnsi="宋体" w:cs="宋体"/>
          <w:b/>
          <w:color w:val="auto"/>
          <w:sz w:val="24"/>
          <w:highlight w:val="none"/>
        </w:rPr>
        <w:t>十八、解决争议的方法</w:t>
      </w:r>
    </w:p>
    <w:p>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1. 如双方在履行合同时发生纠纷，应协商解决；协商不成时，可提请政府采购管理部门调解；调解不成的通过依法向甲方所在地人民法院提起诉讼方式解决</w:t>
      </w:r>
    </w:p>
    <w:p>
      <w:pPr>
        <w:pStyle w:val="22"/>
        <w:tabs>
          <w:tab w:val="left" w:pos="5790"/>
        </w:tabs>
        <w:snapToGrid w:val="0"/>
        <w:spacing w:before="120" w:after="120" w:line="360" w:lineRule="auto"/>
        <w:rPr>
          <w:rFonts w:hAnsi="宋体" w:cs="宋体"/>
          <w:b/>
          <w:color w:val="auto"/>
          <w:sz w:val="24"/>
          <w:highlight w:val="none"/>
        </w:rPr>
      </w:pPr>
      <w:r>
        <w:rPr>
          <w:rFonts w:hint="eastAsia" w:hAnsi="宋体" w:cs="宋体"/>
          <w:b/>
          <w:color w:val="auto"/>
          <w:sz w:val="24"/>
          <w:highlight w:val="none"/>
        </w:rPr>
        <w:t>十九、合同生效及其它</w:t>
      </w:r>
      <w:r>
        <w:rPr>
          <w:rFonts w:hint="eastAsia" w:hAnsi="宋体" w:cs="宋体"/>
          <w:b/>
          <w:color w:val="auto"/>
          <w:sz w:val="24"/>
          <w:highlight w:val="none"/>
        </w:rPr>
        <w:tab/>
      </w:r>
    </w:p>
    <w:p>
      <w:pPr>
        <w:pStyle w:val="17"/>
        <w:widowControl/>
        <w:spacing w:line="360" w:lineRule="auto"/>
        <w:ind w:right="-88"/>
        <w:rPr>
          <w:rFonts w:ascii="宋体" w:hAnsi="宋体" w:cs="宋体"/>
          <w:color w:val="auto"/>
          <w:highlight w:val="none"/>
        </w:rPr>
      </w:pPr>
      <w:r>
        <w:rPr>
          <w:rFonts w:hint="eastAsia" w:ascii="宋体" w:hAnsi="宋体" w:cs="宋体"/>
          <w:color w:val="auto"/>
          <w:highlight w:val="none"/>
        </w:rPr>
        <w:t>1.合同经双方法定代表人或授权代表签字并盖章后生效。</w:t>
      </w:r>
    </w:p>
    <w:p>
      <w:pPr>
        <w:pStyle w:val="17"/>
        <w:widowControl/>
        <w:spacing w:line="360" w:lineRule="auto"/>
        <w:ind w:right="-88"/>
        <w:rPr>
          <w:rFonts w:ascii="宋体" w:hAnsi="宋体" w:cs="宋体"/>
          <w:color w:val="auto"/>
          <w:highlight w:val="none"/>
        </w:rPr>
      </w:pPr>
      <w:r>
        <w:rPr>
          <w:rFonts w:hint="eastAsia" w:ascii="宋体" w:hAnsi="宋体" w:cs="宋体"/>
          <w:color w:val="auto"/>
          <w:highlight w:val="none"/>
        </w:rPr>
        <w:t>2.本合同未尽事宜，遵照《</w:t>
      </w:r>
      <w:r>
        <w:rPr>
          <w:color w:val="auto"/>
          <w:highlight w:val="none"/>
        </w:rPr>
        <w:fldChar w:fldCharType="begin"/>
      </w:r>
      <w:r>
        <w:rPr>
          <w:color w:val="auto"/>
          <w:highlight w:val="none"/>
        </w:rPr>
        <w:instrText xml:space="preserve"> HYPERLINK "https://baike.so.com/doc/24285488-25517578.html" \t "https://www.so.com/_blank" </w:instrText>
      </w:r>
      <w:r>
        <w:rPr>
          <w:color w:val="auto"/>
          <w:highlight w:val="none"/>
        </w:rPr>
        <w:fldChar w:fldCharType="separate"/>
      </w:r>
      <w:r>
        <w:rPr>
          <w:rFonts w:hint="eastAsia" w:ascii="宋体" w:hAnsi="宋体" w:cs="宋体"/>
          <w:color w:val="auto"/>
          <w:highlight w:val="none"/>
        </w:rPr>
        <w:t>中华人民共和国民法典</w:t>
      </w:r>
      <w:r>
        <w:rPr>
          <w:rFonts w:hint="eastAsia" w:ascii="宋体" w:hAnsi="宋体" w:cs="宋体"/>
          <w:color w:val="auto"/>
          <w:highlight w:val="none"/>
        </w:rPr>
        <w:fldChar w:fldCharType="end"/>
      </w:r>
      <w:r>
        <w:rPr>
          <w:rFonts w:hint="eastAsia" w:ascii="宋体" w:hAnsi="宋体" w:cs="宋体"/>
          <w:color w:val="auto"/>
          <w:highlight w:val="none"/>
        </w:rPr>
        <w:t>》有关条文执行。</w:t>
      </w:r>
    </w:p>
    <w:p>
      <w:pPr>
        <w:pStyle w:val="17"/>
        <w:widowControl/>
        <w:spacing w:line="360" w:lineRule="auto"/>
        <w:ind w:right="-88"/>
        <w:rPr>
          <w:rFonts w:ascii="宋体" w:hAnsi="宋体" w:cs="宋体"/>
          <w:color w:val="auto"/>
          <w:highlight w:val="none"/>
        </w:rPr>
      </w:pPr>
      <w:r>
        <w:rPr>
          <w:rFonts w:hint="eastAsia" w:ascii="宋体" w:hAnsi="宋体" w:cs="宋体"/>
          <w:color w:val="auto"/>
          <w:highlight w:val="none"/>
        </w:rPr>
        <w:t>3.本合同一式伍份。甲、乙双方各执贰份，采购组织机构向同级人民政府财政部门备案一份。本项目未尽事宜以招标文件、投标文件及澄清文件等为准。</w:t>
      </w:r>
    </w:p>
    <w:p>
      <w:pPr>
        <w:widowControl/>
        <w:spacing w:line="360" w:lineRule="auto"/>
        <w:rPr>
          <w:rFonts w:ascii="宋体" w:hAnsi="宋体" w:cs="宋体"/>
          <w:b/>
          <w:color w:val="auto"/>
          <w:sz w:val="24"/>
          <w:highlight w:val="none"/>
        </w:rPr>
      </w:pPr>
    </w:p>
    <w:p>
      <w:pPr>
        <w:widowControl/>
        <w:spacing w:line="360" w:lineRule="auto"/>
        <w:rPr>
          <w:rFonts w:ascii="宋体" w:hAnsi="宋体" w:cs="宋体"/>
          <w:b/>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甲方（章）                                     乙方（章）</w:t>
      </w:r>
    </w:p>
    <w:p>
      <w:pPr>
        <w:spacing w:line="360" w:lineRule="auto"/>
        <w:rPr>
          <w:rFonts w:ascii="宋体" w:hAnsi="宋体" w:cs="宋体"/>
          <w:color w:val="auto"/>
          <w:sz w:val="24"/>
          <w:highlight w:val="none"/>
        </w:rPr>
      </w:pPr>
      <w:r>
        <w:rPr>
          <w:rFonts w:hint="eastAsia" w:ascii="宋体" w:hAnsi="宋体" w:cs="宋体"/>
          <w:color w:val="auto"/>
          <w:sz w:val="24"/>
          <w:highlight w:val="none"/>
        </w:rPr>
        <w:t>法定代表人：                                     法定代表人：</w:t>
      </w:r>
    </w:p>
    <w:p>
      <w:pPr>
        <w:spacing w:line="360" w:lineRule="auto"/>
        <w:rPr>
          <w:rFonts w:ascii="宋体" w:hAnsi="宋体" w:cs="宋体"/>
          <w:color w:val="auto"/>
          <w:sz w:val="24"/>
          <w:highlight w:val="none"/>
        </w:rPr>
      </w:pPr>
      <w:r>
        <w:rPr>
          <w:rFonts w:hint="eastAsia" w:ascii="宋体" w:hAnsi="宋体" w:cs="宋体"/>
          <w:color w:val="auto"/>
          <w:sz w:val="24"/>
          <w:highlight w:val="none"/>
        </w:rPr>
        <w:t>委托代理人：                                     委托代理人：</w:t>
      </w:r>
    </w:p>
    <w:p>
      <w:pPr>
        <w:spacing w:line="360" w:lineRule="auto"/>
        <w:rPr>
          <w:rFonts w:ascii="宋体" w:hAnsi="宋体" w:cs="宋体"/>
          <w:color w:val="auto"/>
          <w:sz w:val="24"/>
          <w:highlight w:val="none"/>
        </w:rPr>
      </w:pPr>
      <w:r>
        <w:rPr>
          <w:rFonts w:hint="eastAsia" w:ascii="宋体" w:hAnsi="宋体" w:cs="宋体"/>
          <w:color w:val="auto"/>
          <w:sz w:val="24"/>
          <w:highlight w:val="none"/>
        </w:rPr>
        <w:t>联系电话：                                       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开户银行：                                       开户银行：</w:t>
      </w:r>
    </w:p>
    <w:p>
      <w:pPr>
        <w:spacing w:line="360" w:lineRule="auto"/>
        <w:rPr>
          <w:rFonts w:ascii="宋体" w:hAnsi="宋体" w:cs="宋体"/>
          <w:color w:val="auto"/>
          <w:sz w:val="24"/>
          <w:highlight w:val="none"/>
        </w:rPr>
      </w:pPr>
      <w:r>
        <w:rPr>
          <w:rFonts w:hint="eastAsia" w:ascii="宋体" w:hAnsi="宋体" w:cs="宋体"/>
          <w:color w:val="auto"/>
          <w:sz w:val="24"/>
          <w:highlight w:val="none"/>
        </w:rPr>
        <w:t>帐号：                                           帐号：</w:t>
      </w:r>
    </w:p>
    <w:p>
      <w:pPr>
        <w:spacing w:line="360" w:lineRule="auto"/>
        <w:rPr>
          <w:rFonts w:ascii="宋体" w:hAnsi="宋体" w:cs="宋体"/>
          <w:color w:val="auto"/>
          <w:sz w:val="24"/>
          <w:highlight w:val="none"/>
        </w:rPr>
      </w:pPr>
      <w:r>
        <w:rPr>
          <w:rFonts w:hint="eastAsia" w:ascii="宋体" w:hAnsi="宋体" w:cs="宋体"/>
          <w:color w:val="auto"/>
          <w:sz w:val="24"/>
          <w:highlight w:val="none"/>
        </w:rPr>
        <w:t>地址及邮编：                                     地址及邮编：</w:t>
      </w:r>
    </w:p>
    <w:p>
      <w:pPr>
        <w:spacing w:line="360" w:lineRule="auto"/>
        <w:rPr>
          <w:rFonts w:ascii="宋体" w:hAnsi="宋体" w:cs="宋体"/>
          <w:color w:val="auto"/>
          <w:sz w:val="24"/>
          <w:highlight w:val="none"/>
        </w:rPr>
      </w:pPr>
    </w:p>
    <w:p>
      <w:pPr>
        <w:autoSpaceDE w:val="0"/>
        <w:autoSpaceDN w:val="0"/>
        <w:adjustRightInd w:val="0"/>
        <w:spacing w:line="360" w:lineRule="auto"/>
        <w:rPr>
          <w:rFonts w:ascii="宋体" w:hAnsi="宋体" w:cs="宋体"/>
          <w:b/>
          <w:color w:val="auto"/>
          <w:kern w:val="0"/>
          <w:sz w:val="30"/>
          <w:highlight w:val="none"/>
        </w:rPr>
      </w:pPr>
      <w:r>
        <w:rPr>
          <w:rFonts w:hint="eastAsia" w:ascii="宋体" w:hAnsi="宋体" w:cs="宋体"/>
          <w:color w:val="auto"/>
          <w:sz w:val="24"/>
          <w:highlight w:val="none"/>
        </w:rPr>
        <w:t>签订时间：    年   月    日</w:t>
      </w:r>
    </w:p>
    <w:p>
      <w:pPr>
        <w:pStyle w:val="34"/>
        <w:ind w:firstLine="482"/>
        <w:rPr>
          <w:rFonts w:ascii="宋体" w:hAnsi="宋体" w:cs="宋体"/>
          <w:b/>
          <w:snapToGrid w:val="0"/>
          <w:color w:val="auto"/>
          <w:kern w:val="0"/>
          <w:sz w:val="24"/>
          <w:highlight w:val="none"/>
        </w:rPr>
      </w:pPr>
    </w:p>
    <w:p>
      <w:pPr>
        <w:jc w:val="center"/>
        <w:rPr>
          <w:rFonts w:ascii="宋体" w:hAnsi="宋体" w:cs="宋体"/>
          <w:color w:val="auto"/>
          <w:highlight w:val="none"/>
        </w:rPr>
      </w:pPr>
    </w:p>
    <w:p>
      <w:pPr>
        <w:pStyle w:val="34"/>
        <w:ind w:left="0" w:leftChars="0" w:firstLine="0" w:firstLineChars="0"/>
        <w:rPr>
          <w:rFonts w:ascii="宋体" w:hAnsi="宋体" w:cs="宋体"/>
          <w:color w:val="auto"/>
          <w:highlight w:val="none"/>
        </w:rPr>
      </w:pPr>
    </w:p>
    <w:p>
      <w:pPr>
        <w:pStyle w:val="3"/>
        <w:rPr>
          <w:rFonts w:ascii="宋体" w:hAnsi="宋体" w:cs="宋体"/>
          <w:color w:val="auto"/>
          <w:sz w:val="32"/>
          <w:szCs w:val="32"/>
          <w:highlight w:val="none"/>
        </w:rPr>
      </w:pPr>
    </w:p>
    <w:p>
      <w:pPr>
        <w:rPr>
          <w:rFonts w:ascii="宋体" w:hAnsi="宋体" w:cs="宋体"/>
          <w:color w:val="auto"/>
          <w:sz w:val="32"/>
          <w:szCs w:val="32"/>
          <w:highlight w:val="none"/>
        </w:rPr>
      </w:pPr>
    </w:p>
    <w:p>
      <w:pPr>
        <w:pStyle w:val="44"/>
        <w:rPr>
          <w:rFonts w:ascii="宋体" w:hAnsi="宋体" w:cs="宋体"/>
          <w:color w:val="auto"/>
          <w:sz w:val="32"/>
          <w:szCs w:val="32"/>
          <w:highlight w:val="none"/>
        </w:rPr>
      </w:pPr>
    </w:p>
    <w:p>
      <w:pPr>
        <w:pStyle w:val="17"/>
        <w:rPr>
          <w:rFonts w:ascii="宋体" w:hAnsi="宋体" w:cs="宋体"/>
          <w:color w:val="auto"/>
          <w:sz w:val="32"/>
          <w:szCs w:val="32"/>
          <w:highlight w:val="none"/>
        </w:rPr>
      </w:pPr>
    </w:p>
    <w:p>
      <w:pPr>
        <w:pStyle w:val="18"/>
        <w:ind w:firstLine="210"/>
        <w:rPr>
          <w:rFonts w:ascii="宋体" w:hAnsi="宋体" w:cs="宋体"/>
          <w:color w:val="auto"/>
          <w:highlight w:val="none"/>
        </w:rPr>
      </w:pPr>
    </w:p>
    <w:p>
      <w:pPr>
        <w:rPr>
          <w:rFonts w:ascii="宋体" w:hAnsi="宋体" w:cs="宋体"/>
          <w:b/>
          <w:bCs/>
          <w:color w:val="auto"/>
          <w:sz w:val="24"/>
          <w:highlight w:val="none"/>
        </w:rPr>
      </w:pPr>
    </w:p>
    <w:p>
      <w:pPr>
        <w:rPr>
          <w:rFonts w:ascii="宋体" w:hAnsi="宋体" w:cs="宋体"/>
          <w:b/>
          <w:bCs/>
          <w:color w:val="auto"/>
          <w:sz w:val="24"/>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t>合同附件一</w:t>
      </w:r>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公安网络与信息安全保密协议</w:t>
      </w:r>
    </w:p>
    <w:p>
      <w:pPr>
        <w:rPr>
          <w:rFonts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color w:val="auto"/>
          <w:sz w:val="24"/>
          <w:highlight w:val="none"/>
          <w:u w:val="single"/>
        </w:rPr>
        <w:t>台州市公安局</w:t>
      </w:r>
    </w:p>
    <w:p>
      <w:pPr>
        <w:rPr>
          <w:rFonts w:ascii="宋体" w:hAnsi="宋体" w:cs="宋体"/>
          <w:color w:val="auto"/>
          <w:sz w:val="24"/>
          <w:highlight w:val="non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为切实保障公安网络和信息安全保密，根据《中华人民共和国保守国家秘密法》和有关法律、法规之规定，为确保甲方所涉及的国家秘密和**工作秘密的网络与信息安全，双方同意签订如下保密协议：</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一、保密范围</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1、乙方为甲方提供技术咨询、技术服务、系统建设而了解、掌握的甲方公安信息网络系统的拓扑结构、安全保密措施、各项参数等，以及甲方场地环境、硬件、软件、电子信息和所有资料内容（以上简称专有信息）。</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二、保密责任</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2、乙方须确定项目开发与维护的专门人员，并将有关人员情况报甲方备案并须通过甲方审查和书面确认。其中，对涉密数据加载运行后承担系统维护的人员，甲乙双方须按照各自职责进行更为严格的审查。</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3、乙方须在签订本保密协议后，才可使用甲方提供的有关专有信息开展相关工作。</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4、乙方须与参加项目的有关人员签订《保密协议》，经常对有关人员进行保密教育，监督个人履约情况；未经甲方书面确认，乙方不得随意增减、更换有关技术人员。</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5、乙方须严格控制使用甲方的专有信息，保证不向第三方泄露甲方提供的任何专有信息，并对专有信息提供管理良好的安全保密措施。乙方不能将甲方的专有信息用于其他任何目的。除乙方直接参与本项目工程的员工之外，不将专有信息透露给其他任何人，禁止无关人员介入或了解项目相关情况。乙方及其参与本项工作的员工严禁在系统建设中私设“后门”，非法访问系统。</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6、建设涉密信息系统，乙方须具有国家保密工作部门核发的《资质证书》，制定甲方认可的安全保密管理方案，并采用适当的安全保密技术和措施对涉密系统进行集成。</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7、对项目实施过程中乙方出现的不符合保密规定的问题，甲方有责任及时指出，并督促乙方纠正。</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8、甲方向乙方提供的所有资料，仅供项目小组人员参考使用，乙方须严守资料中所涉及秘密，妥善保管，不得遗失、复制。乙方发现保密范围内的有关事项已经泄露或可能泄露时应当报告甲方，并及时采取补救措施。</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9、当甲方以书面形式要求乙方交回专有信息时，乙方应当立即交回所有书面的或其他形式的专有信息以及所有描述和概括该专有信息的文件资料，不能以任何形式保留或擅自处理。</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10、乙方在进行现场系统维护时，非经允许，不得使用自行携带的笔记本电脑，应使用甲方提供的工作环境完成现场维护任务。原则上不允许乙方使用U盘、移动硬盘等存储设备；若因特殊情况要使用U盘、移动硬盘等存储设备的，须提出书面申请，通过甲方审查和确认后方可使用；在将移动存储设备带离现场前，须经甲方检查确认。</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11、乙方不得在任何场合介绍和演示甲方产品项目的任何信息。</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三、违约责任</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12、乙方应严格遵守协议的全部内容，凡违反本协议造成失密泄密事件，乙方须承担有关法律责任并视情节追究有关人员责任，并赔偿相应经济损失。给国家安全和国家利益造成严重损害、触犯刑律的，要追究有关人员的刑事责任。</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四、保密期限</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13、本协议在双方主合同签字盖章后生效，并长期有效。自本协议生效之日起，双方的合作交流都要符合本协议的条款。除非甲方通过书面通知明确说明对本协议所涉及的某项专有信息予以解密或同意共享，乙方必须按照本协议所承担的保密义务对在各项工作中所掌握的专有信息进行保密。</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五、附则</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14、本协议是合同有效组成部分。</w:t>
      </w:r>
    </w:p>
    <w:p>
      <w:pPr>
        <w:pStyle w:val="13"/>
        <w:ind w:firstLine="480"/>
        <w:rPr>
          <w:rFonts w:ascii="宋体" w:hAnsi="宋体" w:cs="宋体"/>
          <w:color w:val="auto"/>
          <w:sz w:val="24"/>
          <w:szCs w:val="24"/>
          <w:highlight w:val="none"/>
        </w:rPr>
      </w:pPr>
    </w:p>
    <w:p>
      <w:pPr>
        <w:spacing w:line="312" w:lineRule="auto"/>
        <w:rPr>
          <w:rFonts w:ascii="宋体" w:hAnsi="宋体" w:cs="宋体"/>
          <w:color w:val="auto"/>
          <w:sz w:val="24"/>
          <w:highlight w:val="none"/>
        </w:rPr>
      </w:pPr>
    </w:p>
    <w:p>
      <w:pPr>
        <w:widowControl/>
        <w:spacing w:line="312" w:lineRule="auto"/>
        <w:rPr>
          <w:rFonts w:ascii="宋体" w:hAnsi="宋体" w:cs="宋体"/>
          <w:snapToGrid w:val="0"/>
          <w:color w:val="auto"/>
          <w:sz w:val="24"/>
          <w:highlight w:val="none"/>
        </w:rPr>
        <w:sectPr>
          <w:pgSz w:w="11906" w:h="16838"/>
          <w:pgMar w:top="1440" w:right="1800" w:bottom="1440" w:left="1800" w:header="851" w:footer="992" w:gutter="0"/>
          <w:pgNumType w:fmt="numberInDash"/>
          <w:cols w:space="720" w:num="1"/>
          <w:docGrid w:type="lines" w:linePitch="312" w:charSpace="0"/>
        </w:sectPr>
      </w:pPr>
    </w:p>
    <w:p>
      <w:pPr>
        <w:rPr>
          <w:rFonts w:ascii="宋体" w:hAnsi="宋体" w:cs="宋体"/>
          <w:color w:val="auto"/>
          <w:highlight w:val="none"/>
        </w:rPr>
      </w:pPr>
      <w:r>
        <w:rPr>
          <w:rFonts w:hint="eastAsia" w:ascii="宋体" w:hAnsi="宋体" w:cs="宋体"/>
          <w:b/>
          <w:bCs/>
          <w:color w:val="auto"/>
          <w:sz w:val="28"/>
          <w:szCs w:val="28"/>
          <w:highlight w:val="none"/>
        </w:rPr>
        <w:t>合同附件二</w:t>
      </w:r>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廉洁诚信协议</w:t>
      </w:r>
    </w:p>
    <w:p>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加强台州市公安局政府采购项目廉政建设，预防违法违规行为，确保双方在业务交往中保持廉洁自律，防止各种不正当行为的发生，保证合作双方在业务交往活动中做到诚信廉洁、高效共赢，根据国家相关法律法规及政策规定，经双方协商一致，在签订合同的同时订立本廉洁诚信协议，内容如下：</w:t>
      </w:r>
    </w:p>
    <w:p>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1、双方在整个项目采购、建设活动中，做到公平、公正、公开，不搞暗箱操作，不搞不正当竞争，双方工作人员及亲属不得违反以下规定：</w:t>
      </w:r>
    </w:p>
    <w:p>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（1）不得收受或向对方馈送现金、贵重物品、有价证券、购物卡、充值卡等，不得收受回扣；</w:t>
      </w:r>
    </w:p>
    <w:p>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不得介绍亲友或为对方亲友安排从事与双方合作有关的业务活动，甲方项目相关员工及其配偶、父母、子女、利害关系人及控股、参股企业不得在乙方或乙方关联企业中投资入股，甲方员工不得在乙方或乙方关联企业担任兼职，不得以咨询费、服务费或其他任何形式从乙方或乙方关联企业获得收入； </w:t>
      </w:r>
    </w:p>
    <w:p>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（3）不得接受对方或向对方在住房建修、婚丧嫁娶、出国考察、旅游、攻读学历学位等方面提供资助；</w:t>
      </w:r>
    </w:p>
    <w:p>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（4）不得参加或提供可能影响合作业务公平、公正的娱乐、宴请、健身等活动；</w:t>
      </w:r>
    </w:p>
    <w:p>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（5）不得报销或为对方报销应由个人支付的费用。</w:t>
      </w:r>
    </w:p>
    <w:p>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2、乙方人员若有违反第1条规定的行为，或者存在其它违反商业道德与市场规则的情况,甲方有义务向对方监察或相应部门举报。</w:t>
      </w:r>
    </w:p>
    <w:p>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3、甲方人员有违反第1条规定的行为，或者存在其它索贿、受贿行为或者徇私舞弊、滥用职权、严重渎职等情况时，乙方有义务向对方监察或相应部门举报。</w:t>
      </w:r>
    </w:p>
    <w:p>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4、双方及相关人员违反上述规定及其他廉洁诚信准则的，愿意接受党纪政纪及法律惩处。</w:t>
      </w:r>
    </w:p>
    <w:p>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5、本保证及承诺的有效期与对应的合同或交易事项相同。</w:t>
      </w:r>
    </w:p>
    <w:p>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6、本廉洁承诺约定作为双方签订的合同附件，具有同等法律效力。</w:t>
      </w:r>
    </w:p>
    <w:p>
      <w:pPr>
        <w:spacing w:line="300" w:lineRule="auto"/>
        <w:rPr>
          <w:rFonts w:ascii="宋体" w:hAnsi="宋体" w:cs="宋体"/>
          <w:color w:val="auto"/>
          <w:sz w:val="24"/>
          <w:highlight w:val="none"/>
        </w:rPr>
      </w:pPr>
    </w:p>
    <w:p>
      <w:pPr>
        <w:pStyle w:val="44"/>
        <w:rPr>
          <w:rFonts w:ascii="宋体" w:hAnsi="宋体" w:cs="宋体"/>
          <w:color w:val="auto"/>
          <w:sz w:val="24"/>
          <w:highlight w:val="none"/>
        </w:rPr>
      </w:pPr>
    </w:p>
    <w:p>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台州市公安局举报渠道：   合作方举报渠道：</w:t>
      </w:r>
    </w:p>
    <w:p>
      <w:pPr>
        <w:pStyle w:val="13"/>
        <w:spacing w:line="30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电话：12389                        电话：</w:t>
      </w:r>
    </w:p>
    <w:p>
      <w:pPr>
        <w:spacing w:line="360" w:lineRule="auto"/>
        <w:jc w:val="left"/>
        <w:rPr>
          <w:rFonts w:ascii="宋体" w:hAnsi="宋体" w:cs="宋体"/>
          <w:color w:val="auto"/>
          <w:sz w:val="28"/>
          <w:szCs w:val="28"/>
          <w:highlight w:val="none"/>
        </w:rPr>
        <w:sectPr>
          <w:pgSz w:w="11906" w:h="16838"/>
          <w:pgMar w:top="1440" w:right="1800" w:bottom="1440" w:left="1800" w:header="851" w:footer="992" w:gutter="0"/>
          <w:pgNumType w:fmt="numberInDash"/>
          <w:cols w:space="425" w:num="1"/>
          <w:docGrid w:type="lines" w:linePitch="312" w:charSpace="0"/>
        </w:sectPr>
      </w:pPr>
    </w:p>
    <w:p>
      <w:pPr>
        <w:numPr>
          <w:ilvl w:val="0"/>
          <w:numId w:val="5"/>
        </w:num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投标文件格式附件</w:t>
      </w:r>
    </w:p>
    <w:p>
      <w:pPr>
        <w:spacing w:line="360" w:lineRule="auto"/>
        <w:rPr>
          <w:rFonts w:ascii="宋体" w:hAnsi="宋体" w:cs="宋体"/>
          <w:b/>
          <w:color w:val="auto"/>
          <w:kern w:val="0"/>
          <w:sz w:val="28"/>
          <w:szCs w:val="28"/>
          <w:highlight w:val="none"/>
        </w:rPr>
      </w:pPr>
    </w:p>
    <w:p>
      <w:pPr>
        <w:snapToGrid w:val="0"/>
        <w:spacing w:before="50" w:after="50" w:line="360" w:lineRule="auto"/>
        <w:rPr>
          <w:rFonts w:ascii="宋体" w:hAnsi="宋体" w:cs="宋体"/>
          <w:b/>
          <w:color w:val="auto"/>
          <w:sz w:val="36"/>
          <w:szCs w:val="36"/>
          <w:highlight w:val="none"/>
        </w:rPr>
      </w:pPr>
    </w:p>
    <w:p>
      <w:pPr>
        <w:snapToGrid w:val="0"/>
        <w:spacing w:before="50" w:after="50"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资格证明文件目录</w:t>
      </w:r>
    </w:p>
    <w:p>
      <w:pPr>
        <w:snapToGrid w:val="0"/>
        <w:spacing w:before="50" w:after="50" w:line="360" w:lineRule="auto"/>
        <w:jc w:val="center"/>
        <w:rPr>
          <w:rFonts w:ascii="宋体" w:hAnsi="宋体" w:cs="宋体"/>
          <w:b/>
          <w:bCs/>
          <w:color w:val="auto"/>
          <w:sz w:val="36"/>
          <w:szCs w:val="36"/>
          <w:highlight w:val="none"/>
        </w:rPr>
      </w:pPr>
    </w:p>
    <w:p>
      <w:pPr>
        <w:numPr>
          <w:ilvl w:val="0"/>
          <w:numId w:val="22"/>
        </w:numPr>
        <w:snapToGrid w:val="0"/>
        <w:spacing w:line="360" w:lineRule="auto"/>
        <w:ind w:firstLine="549"/>
        <w:rPr>
          <w:rFonts w:ascii="宋体" w:hAnsi="宋体" w:cs="宋体"/>
          <w:color w:val="auto"/>
          <w:sz w:val="28"/>
          <w:szCs w:val="28"/>
          <w:highlight w:val="none"/>
        </w:rPr>
      </w:pPr>
      <w:r>
        <w:rPr>
          <w:rFonts w:hint="eastAsia" w:ascii="宋体" w:hAnsi="宋体" w:cs="宋体"/>
          <w:color w:val="auto"/>
          <w:sz w:val="28"/>
          <w:szCs w:val="28"/>
          <w:highlight w:val="none"/>
        </w:rPr>
        <w:t>声明书（附件1）</w:t>
      </w:r>
    </w:p>
    <w:p>
      <w:pPr>
        <w:numPr>
          <w:ilvl w:val="0"/>
          <w:numId w:val="22"/>
        </w:numPr>
        <w:snapToGrid w:val="0"/>
        <w:spacing w:line="360" w:lineRule="auto"/>
        <w:ind w:firstLine="549"/>
        <w:rPr>
          <w:rFonts w:ascii="宋体" w:hAnsi="宋体" w:cs="宋体"/>
          <w:color w:val="auto"/>
          <w:sz w:val="28"/>
          <w:szCs w:val="28"/>
          <w:highlight w:val="none"/>
        </w:rPr>
      </w:pPr>
      <w:r>
        <w:rPr>
          <w:rFonts w:hint="eastAsia" w:ascii="宋体" w:hAnsi="宋体" w:cs="宋体"/>
          <w:color w:val="auto"/>
          <w:sz w:val="28"/>
          <w:szCs w:val="28"/>
          <w:highlight w:val="none"/>
        </w:rPr>
        <w:t>授权委托书（附件2）</w:t>
      </w:r>
    </w:p>
    <w:p>
      <w:pPr>
        <w:numPr>
          <w:ilvl w:val="0"/>
          <w:numId w:val="22"/>
        </w:numPr>
        <w:snapToGrid w:val="0"/>
        <w:spacing w:line="360" w:lineRule="auto"/>
        <w:ind w:firstLine="549"/>
        <w:rPr>
          <w:rFonts w:ascii="宋体" w:hAnsi="宋体" w:cs="宋体"/>
          <w:color w:val="auto"/>
          <w:sz w:val="28"/>
          <w:szCs w:val="28"/>
          <w:highlight w:val="none"/>
        </w:rPr>
      </w:pPr>
      <w:r>
        <w:rPr>
          <w:rFonts w:hint="eastAsia" w:ascii="宋体" w:hAnsi="宋体" w:cs="宋体"/>
          <w:color w:val="auto"/>
          <w:sz w:val="28"/>
          <w:szCs w:val="28"/>
          <w:highlight w:val="none"/>
        </w:rPr>
        <w:t>法人或者其他组织的营业执照等证明文件，自然人的身份证明；</w:t>
      </w:r>
    </w:p>
    <w:p>
      <w:pPr>
        <w:numPr>
          <w:ilvl w:val="0"/>
          <w:numId w:val="22"/>
        </w:numPr>
        <w:snapToGrid w:val="0"/>
        <w:spacing w:line="360" w:lineRule="auto"/>
        <w:ind w:firstLine="549"/>
        <w:rPr>
          <w:rFonts w:ascii="宋体" w:hAnsi="宋体" w:cs="宋体"/>
          <w:color w:val="auto"/>
          <w:sz w:val="28"/>
          <w:szCs w:val="28"/>
          <w:highlight w:val="none"/>
        </w:rPr>
      </w:pPr>
      <w:r>
        <w:rPr>
          <w:rFonts w:hint="eastAsia" w:ascii="宋体" w:hAnsi="宋体" w:cs="宋体"/>
          <w:color w:val="auto"/>
          <w:sz w:val="28"/>
          <w:szCs w:val="28"/>
          <w:highlight w:val="none"/>
        </w:rPr>
        <w:t>具有良好的商业信誉和健全的财务会计制度的承诺函；</w:t>
      </w:r>
    </w:p>
    <w:p>
      <w:pPr>
        <w:numPr>
          <w:ilvl w:val="0"/>
          <w:numId w:val="22"/>
        </w:numPr>
        <w:snapToGrid w:val="0"/>
        <w:spacing w:line="360" w:lineRule="auto"/>
        <w:ind w:firstLine="549"/>
        <w:rPr>
          <w:rFonts w:ascii="宋体" w:hAnsi="宋体" w:cs="宋体"/>
          <w:color w:val="auto"/>
          <w:sz w:val="28"/>
          <w:szCs w:val="28"/>
          <w:highlight w:val="none"/>
        </w:rPr>
      </w:pPr>
      <w:r>
        <w:rPr>
          <w:rFonts w:hint="eastAsia" w:ascii="宋体" w:hAnsi="宋体" w:cs="宋体"/>
          <w:color w:val="auto"/>
          <w:sz w:val="28"/>
          <w:szCs w:val="28"/>
          <w:highlight w:val="none"/>
        </w:rPr>
        <w:t>具有依法缴纳税收和社会保障资金证明的承诺函；</w:t>
      </w:r>
    </w:p>
    <w:p>
      <w:pPr>
        <w:numPr>
          <w:ilvl w:val="0"/>
          <w:numId w:val="22"/>
        </w:numPr>
        <w:snapToGrid w:val="0"/>
        <w:spacing w:line="360" w:lineRule="auto"/>
        <w:ind w:firstLine="549"/>
        <w:rPr>
          <w:rFonts w:ascii="宋体" w:hAnsi="宋体" w:cs="宋体"/>
          <w:color w:val="auto"/>
          <w:sz w:val="28"/>
          <w:szCs w:val="28"/>
          <w:highlight w:val="none"/>
        </w:rPr>
      </w:pPr>
      <w:r>
        <w:rPr>
          <w:rFonts w:hint="eastAsia" w:ascii="宋体" w:hAnsi="宋体" w:cs="宋体"/>
          <w:color w:val="auto"/>
          <w:sz w:val="28"/>
          <w:szCs w:val="28"/>
          <w:highlight w:val="none"/>
        </w:rPr>
        <w:t>投标人没有失信记录承诺函；</w:t>
      </w:r>
    </w:p>
    <w:p>
      <w:pPr>
        <w:numPr>
          <w:ilvl w:val="0"/>
          <w:numId w:val="22"/>
        </w:numPr>
        <w:snapToGrid w:val="0"/>
        <w:spacing w:line="360" w:lineRule="auto"/>
        <w:ind w:firstLine="549"/>
        <w:rPr>
          <w:rFonts w:ascii="宋体" w:hAnsi="宋体" w:cs="宋体"/>
          <w:color w:val="auto"/>
          <w:sz w:val="28"/>
          <w:szCs w:val="28"/>
          <w:highlight w:val="none"/>
        </w:rPr>
      </w:pPr>
      <w:r>
        <w:rPr>
          <w:rFonts w:hint="eastAsia" w:ascii="宋体" w:hAnsi="宋体" w:cs="宋体"/>
          <w:color w:val="auto"/>
          <w:sz w:val="28"/>
          <w:szCs w:val="28"/>
          <w:highlight w:val="none"/>
        </w:rPr>
        <w:t xml:space="preserve">基础电信业务经营许可证扫描件或电子与智能化工程专业承包一级资质证书扫描件；  </w:t>
      </w:r>
    </w:p>
    <w:p>
      <w:pPr>
        <w:widowControl/>
        <w:spacing w:line="360" w:lineRule="auto"/>
        <w:ind w:right="60" w:firstLine="560" w:firstLineChars="200"/>
        <w:jc w:val="left"/>
        <w:outlineLvl w:val="0"/>
        <w:rPr>
          <w:rFonts w:ascii="宋体" w:hAnsi="宋体" w:cs="宋体"/>
          <w:bCs/>
          <w:color w:val="auto"/>
          <w:sz w:val="28"/>
          <w:szCs w:val="28"/>
          <w:highlight w:val="none"/>
        </w:rPr>
      </w:pPr>
      <w:r>
        <w:rPr>
          <w:rFonts w:hint="eastAsia" w:ascii="宋体" w:hAnsi="宋体" w:cs="宋体"/>
          <w:bCs/>
          <w:color w:val="auto"/>
          <w:sz w:val="28"/>
          <w:szCs w:val="28"/>
          <w:highlight w:val="none"/>
        </w:rPr>
        <w:br w:type="page"/>
      </w:r>
    </w:p>
    <w:p>
      <w:pPr>
        <w:spacing w:line="360" w:lineRule="auto"/>
        <w:rPr>
          <w:rFonts w:ascii="宋体" w:hAnsi="宋体" w:cs="宋体"/>
          <w:b/>
          <w:color w:val="auto"/>
          <w:sz w:val="28"/>
          <w:highlight w:val="none"/>
        </w:rPr>
      </w:pPr>
      <w:r>
        <w:rPr>
          <w:rFonts w:hint="eastAsia" w:ascii="宋体" w:hAnsi="宋体" w:cs="宋体"/>
          <w:b/>
          <w:color w:val="auto"/>
          <w:sz w:val="28"/>
          <w:highlight w:val="none"/>
        </w:rPr>
        <w:t>附件1</w:t>
      </w:r>
    </w:p>
    <w:p>
      <w:pPr>
        <w:adjustRightInd w:val="0"/>
        <w:snapToGrid w:val="0"/>
        <w:spacing w:line="360" w:lineRule="auto"/>
        <w:ind w:right="480"/>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投标声明书</w:t>
      </w:r>
    </w:p>
    <w:p>
      <w:pPr>
        <w:snapToGrid w:val="0"/>
        <w:spacing w:before="156" w:beforeLines="50" w:after="50" w:line="360" w:lineRule="exact"/>
        <w:rPr>
          <w:rFonts w:ascii="宋体" w:hAnsi="宋体" w:cs="宋体"/>
          <w:color w:val="auto"/>
          <w:kern w:val="0"/>
          <w:sz w:val="24"/>
          <w:highlight w:val="none"/>
        </w:rPr>
      </w:pPr>
      <w:r>
        <w:rPr>
          <w:rFonts w:hint="eastAsia" w:ascii="宋体" w:hAnsi="宋体" w:cs="宋体"/>
          <w:color w:val="auto"/>
          <w:sz w:val="24"/>
          <w:highlight w:val="none"/>
          <w:u w:val="single"/>
        </w:rPr>
        <w:t>浙江百和工程咨询有限公司</w:t>
      </w:r>
      <w:r>
        <w:rPr>
          <w:rFonts w:hint="eastAsia" w:ascii="宋体" w:hAnsi="宋体" w:cs="宋体"/>
          <w:color w:val="auto"/>
          <w:kern w:val="0"/>
          <w:sz w:val="24"/>
          <w:highlight w:val="none"/>
        </w:rPr>
        <w:t>：</w:t>
      </w:r>
    </w:p>
    <w:p>
      <w:pPr>
        <w:snapToGrid w:val="0"/>
        <w:spacing w:before="156" w:beforeLines="50" w:after="50"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（投标人名称）系中华人民共和国合法企业，经营地址。</w:t>
      </w:r>
    </w:p>
    <w:p>
      <w:pPr>
        <w:snapToGrid w:val="0"/>
        <w:spacing w:before="156" w:beforeLines="50" w:after="50"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投标人名称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）的投标，为此，我公司就本次投标有关事项郑重声明如下：</w:t>
      </w:r>
    </w:p>
    <w:p>
      <w:pPr>
        <w:snapToGrid w:val="0"/>
        <w:spacing w:before="156" w:beforeLines="50" w:after="50" w:line="360" w:lineRule="exact"/>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156" w:beforeLines="50" w:after="50"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numPr>
          <w:ilvl w:val="255"/>
          <w:numId w:val="0"/>
        </w:numPr>
        <w:snapToGrid w:val="0"/>
        <w:spacing w:before="156" w:beforeLines="50" w:after="50"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w:t>
      </w:r>
      <w:r>
        <w:rPr>
          <w:rFonts w:hint="eastAsia" w:ascii="宋体" w:hAnsi="宋体" w:cs="宋体"/>
          <w:color w:val="auto"/>
          <w:kern w:val="0"/>
          <w:sz w:val="24"/>
          <w:highlight w:val="none"/>
          <w:lang w:val="zh-CN"/>
        </w:rPr>
        <w:t>公司</w:t>
      </w:r>
      <w:r>
        <w:rPr>
          <w:rFonts w:hint="eastAsia" w:ascii="宋体" w:hAnsi="宋体" w:cs="宋体"/>
          <w:color w:val="auto"/>
          <w:sz w:val="24"/>
          <w:highlight w:val="none"/>
        </w:rPr>
        <w:t>不是采购人的附属机构；在获知本项目采购信息后，与采购人聘请的为此项目提供咨询服务的公司及其附属机构没有任何联系。</w:t>
      </w:r>
    </w:p>
    <w:p>
      <w:pPr>
        <w:snapToGrid w:val="0"/>
        <w:spacing w:before="156" w:beforeLines="50" w:after="50" w:line="360" w:lineRule="exact"/>
        <w:ind w:firstLine="480" w:firstLineChars="200"/>
        <w:rPr>
          <w:rFonts w:ascii="宋体" w:hAnsi="宋体" w:cs="宋体"/>
          <w:color w:val="auto"/>
          <w:kern w:val="0"/>
          <w:sz w:val="24"/>
          <w:highlight w:val="none"/>
          <w:lang w:val="af-ZA"/>
        </w:rPr>
      </w:pPr>
      <w:r>
        <w:rPr>
          <w:rFonts w:hint="eastAsia" w:ascii="宋体" w:hAnsi="宋体" w:cs="宋体"/>
          <w:color w:val="auto"/>
          <w:sz w:val="24"/>
          <w:highlight w:val="none"/>
        </w:rPr>
        <w:t>4、</w:t>
      </w: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s="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before="156" w:beforeLines="50" w:after="50" w:line="36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pPr>
        <w:snapToGrid w:val="0"/>
        <w:spacing w:before="156" w:beforeLines="50" w:after="50"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6、以上事项如有虚假或隐瞒，我</w:t>
      </w:r>
      <w:r>
        <w:rPr>
          <w:rFonts w:hint="eastAsia" w:ascii="宋体" w:hAnsi="宋体" w:cs="宋体"/>
          <w:color w:val="auto"/>
          <w:kern w:val="0"/>
          <w:sz w:val="24"/>
          <w:highlight w:val="none"/>
          <w:lang w:val="zh-CN"/>
        </w:rPr>
        <w:t>公司</w:t>
      </w:r>
      <w:r>
        <w:rPr>
          <w:rFonts w:hint="eastAsia" w:ascii="宋体" w:hAnsi="宋体" w:cs="宋体"/>
          <w:color w:val="auto"/>
          <w:sz w:val="24"/>
          <w:highlight w:val="none"/>
        </w:rPr>
        <w:t>愿意承担一切后果，并不再寻求任何旨在减轻或免除法律责任的辩解。</w:t>
      </w:r>
    </w:p>
    <w:p>
      <w:pPr>
        <w:adjustRightInd w:val="0"/>
        <w:snapToGrid w:val="0"/>
        <w:spacing w:line="360" w:lineRule="exact"/>
        <w:ind w:firstLine="480"/>
        <w:rPr>
          <w:rFonts w:ascii="宋体" w:hAnsi="宋体" w:cs="宋体"/>
          <w:color w:val="auto"/>
          <w:kern w:val="0"/>
          <w:sz w:val="24"/>
          <w:highlight w:val="none"/>
        </w:rPr>
      </w:pPr>
    </w:p>
    <w:p>
      <w:pPr>
        <w:adjustRightInd w:val="0"/>
        <w:snapToGrid w:val="0"/>
        <w:spacing w:line="360" w:lineRule="exact"/>
        <w:ind w:firstLine="4680" w:firstLineChars="19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投标人名称（公章）：</w:t>
      </w:r>
    </w:p>
    <w:p>
      <w:pPr>
        <w:adjustRightInd w:val="0"/>
        <w:snapToGrid w:val="0"/>
        <w:spacing w:line="360" w:lineRule="exac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法定代表人或授权委托人（签章或签字）：</w:t>
      </w:r>
    </w:p>
    <w:p>
      <w:pPr>
        <w:adjustRightInd w:val="0"/>
        <w:snapToGrid w:val="0"/>
        <w:spacing w:line="360" w:lineRule="exact"/>
        <w:ind w:right="48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日</w:t>
      </w:r>
    </w:p>
    <w:p>
      <w:pPr>
        <w:adjustRightInd w:val="0"/>
        <w:snapToGrid w:val="0"/>
        <w:spacing w:line="360" w:lineRule="auto"/>
        <w:ind w:right="480"/>
        <w:rPr>
          <w:rFonts w:ascii="宋体" w:hAnsi="宋体" w:cs="宋体"/>
          <w:b/>
          <w:color w:val="auto"/>
          <w:sz w:val="28"/>
          <w:highlight w:val="none"/>
        </w:rPr>
      </w:pPr>
    </w:p>
    <w:p>
      <w:pPr>
        <w:adjustRightInd w:val="0"/>
        <w:snapToGrid w:val="0"/>
        <w:spacing w:line="360" w:lineRule="auto"/>
        <w:ind w:right="480"/>
        <w:rPr>
          <w:rFonts w:ascii="宋体" w:hAnsi="宋体" w:cs="宋体"/>
          <w:b/>
          <w:color w:val="auto"/>
          <w:sz w:val="28"/>
          <w:highlight w:val="none"/>
        </w:rPr>
      </w:pPr>
    </w:p>
    <w:p>
      <w:pPr>
        <w:adjustRightInd w:val="0"/>
        <w:snapToGrid w:val="0"/>
        <w:spacing w:line="360" w:lineRule="auto"/>
        <w:ind w:right="480"/>
        <w:rPr>
          <w:rFonts w:ascii="宋体" w:hAnsi="宋体" w:cs="宋体"/>
          <w:b/>
          <w:color w:val="auto"/>
          <w:sz w:val="28"/>
          <w:highlight w:val="none"/>
        </w:rPr>
        <w:sectPr>
          <w:pgSz w:w="11906" w:h="16838"/>
          <w:pgMar w:top="1440" w:right="1800" w:bottom="1440" w:left="1800" w:header="851" w:footer="992" w:gutter="0"/>
          <w:pgNumType w:fmt="numberInDash"/>
          <w:cols w:space="425" w:num="1"/>
          <w:docGrid w:type="lines" w:linePitch="312" w:charSpace="0"/>
        </w:sectPr>
      </w:pPr>
    </w:p>
    <w:p>
      <w:pPr>
        <w:adjustRightInd w:val="0"/>
        <w:snapToGrid w:val="0"/>
        <w:spacing w:line="360" w:lineRule="auto"/>
        <w:ind w:right="480"/>
        <w:rPr>
          <w:rFonts w:ascii="宋体" w:hAnsi="宋体" w:cs="宋体"/>
          <w:b/>
          <w:color w:val="auto"/>
          <w:sz w:val="30"/>
          <w:szCs w:val="30"/>
          <w:highlight w:val="none"/>
        </w:rPr>
      </w:pPr>
      <w:r>
        <w:rPr>
          <w:rFonts w:hint="eastAsia" w:ascii="宋体" w:hAnsi="宋体" w:cs="宋体"/>
          <w:b/>
          <w:color w:val="auto"/>
          <w:sz w:val="28"/>
          <w:highlight w:val="none"/>
        </w:rPr>
        <w:t>附件2</w:t>
      </w:r>
    </w:p>
    <w:p>
      <w:pPr>
        <w:spacing w:line="360" w:lineRule="auto"/>
        <w:ind w:firstLine="321" w:firstLineChars="100"/>
        <w:jc w:val="center"/>
        <w:rPr>
          <w:rFonts w:ascii="宋体" w:hAnsi="宋体" w:cs="宋体"/>
          <w:b/>
          <w:color w:val="auto"/>
          <w:sz w:val="32"/>
          <w:szCs w:val="32"/>
          <w:highlight w:val="none"/>
          <w:u w:val="single"/>
        </w:rPr>
      </w:pPr>
      <w:r>
        <w:rPr>
          <w:rFonts w:hint="eastAsia" w:ascii="宋体" w:hAnsi="宋体" w:cs="宋体"/>
          <w:b/>
          <w:color w:val="auto"/>
          <w:sz w:val="32"/>
          <w:szCs w:val="32"/>
          <w:highlight w:val="none"/>
        </w:rPr>
        <w:t>授权委托书</w:t>
      </w:r>
    </w:p>
    <w:p>
      <w:pPr>
        <w:snapToGrid w:val="0"/>
        <w:spacing w:before="156" w:beforeLines="50" w:after="50" w:line="360" w:lineRule="auto"/>
        <w:rPr>
          <w:rFonts w:ascii="宋体" w:hAnsi="宋体" w:cs="宋体"/>
          <w:color w:val="auto"/>
          <w:kern w:val="0"/>
          <w:sz w:val="24"/>
          <w:highlight w:val="none"/>
        </w:rPr>
      </w:pPr>
      <w:r>
        <w:rPr>
          <w:rFonts w:hint="eastAsia" w:ascii="宋体" w:hAnsi="宋体" w:cs="宋体"/>
          <w:color w:val="auto"/>
          <w:sz w:val="24"/>
          <w:highlight w:val="none"/>
          <w:u w:val="single"/>
        </w:rPr>
        <w:t>浙江百和工程咨询有限公司</w:t>
      </w:r>
      <w:r>
        <w:rPr>
          <w:rFonts w:hint="eastAsia" w:ascii="宋体" w:hAnsi="宋体" w:cs="宋体"/>
          <w:color w:val="auto"/>
          <w:kern w:val="0"/>
          <w:sz w:val="24"/>
          <w:highlight w:val="none"/>
        </w:rPr>
        <w:t>：</w:t>
      </w:r>
    </w:p>
    <w:p>
      <w:pPr>
        <w:pStyle w:val="22"/>
        <w:spacing w:line="360" w:lineRule="auto"/>
        <w:ind w:left="240" w:hanging="240" w:hangingChars="100"/>
        <w:rPr>
          <w:rFonts w:hAnsi="宋体" w:cs="宋体"/>
          <w:color w:val="auto"/>
          <w:sz w:val="24"/>
          <w:highlight w:val="none"/>
        </w:rPr>
      </w:pPr>
      <w:r>
        <w:rPr>
          <w:rFonts w:hint="eastAsia" w:hAnsi="宋体" w:cs="宋体"/>
          <w:color w:val="auto"/>
          <w:sz w:val="24"/>
          <w:highlight w:val="none"/>
          <w:u w:val="single"/>
        </w:rPr>
        <w:t xml:space="preserve">  （投标人全称）  </w:t>
      </w:r>
      <w:r>
        <w:rPr>
          <w:rFonts w:hint="eastAsia" w:hAnsi="宋体" w:cs="宋体"/>
          <w:color w:val="auto"/>
          <w:sz w:val="24"/>
          <w:highlight w:val="none"/>
        </w:rPr>
        <w:t>法定代表人（或营业执照中单位负责人）</w:t>
      </w:r>
      <w:r>
        <w:rPr>
          <w:rFonts w:hint="eastAsia" w:hAnsi="宋体" w:cs="宋体"/>
          <w:color w:val="auto"/>
          <w:sz w:val="24"/>
          <w:highlight w:val="none"/>
          <w:u w:val="single"/>
        </w:rPr>
        <w:tab/>
      </w:r>
      <w:r>
        <w:rPr>
          <w:rFonts w:hint="eastAsia" w:hAnsi="宋体" w:cs="宋体"/>
          <w:color w:val="auto"/>
          <w:sz w:val="24"/>
          <w:highlight w:val="none"/>
          <w:u w:val="single"/>
        </w:rPr>
        <w:t xml:space="preserve">（法定代表人或营业执照中单位负责人姓名） </w:t>
      </w:r>
      <w:r>
        <w:rPr>
          <w:rFonts w:hint="eastAsia" w:hAnsi="宋体" w:cs="宋体"/>
          <w:color w:val="auto"/>
          <w:sz w:val="24"/>
          <w:highlight w:val="none"/>
        </w:rPr>
        <w:t>授权</w:t>
      </w:r>
      <w:r>
        <w:rPr>
          <w:rFonts w:hint="eastAsia" w:hAnsi="宋体" w:cs="宋体"/>
          <w:color w:val="auto"/>
          <w:sz w:val="24"/>
          <w:highlight w:val="none"/>
          <w:u w:val="single"/>
        </w:rPr>
        <w:t xml:space="preserve">   （全权代表姓名） </w:t>
      </w:r>
      <w:r>
        <w:rPr>
          <w:rFonts w:hint="eastAsia" w:hAnsi="宋体" w:cs="宋体"/>
          <w:color w:val="auto"/>
          <w:sz w:val="24"/>
          <w:highlight w:val="none"/>
        </w:rPr>
        <w:t>为全权代表，参加贵单位组织的</w:t>
      </w:r>
      <w:r>
        <w:rPr>
          <w:rFonts w:hint="eastAsia" w:hAnsi="宋体" w:cs="宋体"/>
          <w:color w:val="auto"/>
          <w:sz w:val="24"/>
          <w:highlight w:val="none"/>
          <w:u w:val="single"/>
        </w:rPr>
        <w:tab/>
      </w:r>
      <w:r>
        <w:rPr>
          <w:rFonts w:hint="eastAsia" w:hAnsi="宋体" w:cs="宋体"/>
          <w:color w:val="auto"/>
          <w:sz w:val="24"/>
          <w:highlight w:val="none"/>
          <w:u w:val="single"/>
        </w:rPr>
        <w:t xml:space="preserve">            </w:t>
      </w:r>
      <w:r>
        <w:rPr>
          <w:rFonts w:hint="eastAsia" w:hAnsi="宋体" w:cs="宋体"/>
          <w:color w:val="auto"/>
          <w:sz w:val="24"/>
          <w:highlight w:val="none"/>
        </w:rPr>
        <w:t>项目的采购活动，并代表我方全权办理针对上述项目的投标、开标、评标、签约等具体事务和签署相关文件。我方对全权代表的签字事项负全部责任。</w:t>
      </w:r>
    </w:p>
    <w:p>
      <w:pPr>
        <w:pStyle w:val="22"/>
        <w:spacing w:line="360" w:lineRule="auto"/>
        <w:ind w:left="139" w:leftChars="66" w:firstLine="480" w:firstLineChars="200"/>
        <w:rPr>
          <w:rFonts w:hAnsi="宋体" w:cs="宋体"/>
          <w:color w:val="auto"/>
          <w:sz w:val="24"/>
          <w:highlight w:val="none"/>
        </w:rPr>
      </w:pPr>
      <w:r>
        <w:rPr>
          <w:rFonts w:hint="eastAsia" w:hAnsi="宋体" w:cs="宋体"/>
          <w:color w:val="auto"/>
          <w:sz w:val="24"/>
          <w:highlight w:val="none"/>
        </w:rPr>
        <w:t>在撤销授权的书面通知以前，本授权书一直有效。全权代表在授权委托书有效期内签署的所有文件不因授权的撤销而失效。</w:t>
      </w:r>
    </w:p>
    <w:p>
      <w:pPr>
        <w:pStyle w:val="22"/>
        <w:spacing w:line="360" w:lineRule="auto"/>
        <w:ind w:left="139" w:leftChars="66" w:firstLine="480" w:firstLineChars="200"/>
        <w:rPr>
          <w:rFonts w:hAnsi="宋体" w:cs="宋体"/>
          <w:color w:val="auto"/>
          <w:sz w:val="24"/>
          <w:highlight w:val="none"/>
        </w:rPr>
      </w:pPr>
      <w:r>
        <w:rPr>
          <w:rFonts w:hint="eastAsia" w:hAnsi="宋体" w:cs="宋体"/>
          <w:color w:val="auto"/>
          <w:sz w:val="24"/>
          <w:highlight w:val="none"/>
        </w:rPr>
        <w:t>全权代表无转委托权，特此委托。</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法定代表人签字或盖章：</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投标人全称（公章）：                              日期：</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附：</w:t>
      </w:r>
    </w:p>
    <w:tbl>
      <w:tblPr>
        <w:tblStyle w:val="3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hAnsi="宋体" w:cs="宋体"/>
                <w:b/>
                <w:color w:val="auto"/>
                <w:sz w:val="24"/>
                <w:highlight w:val="none"/>
              </w:rPr>
            </w:pPr>
          </w:p>
          <w:p>
            <w:pPr>
              <w:spacing w:line="360" w:lineRule="auto"/>
              <w:ind w:firstLine="361" w:firstLineChars="150"/>
              <w:rPr>
                <w:rFonts w:ascii="宋体" w:hAnsi="宋体" w:cs="宋体"/>
                <w:b/>
                <w:color w:val="auto"/>
                <w:sz w:val="24"/>
                <w:highlight w:val="none"/>
              </w:rPr>
            </w:pPr>
            <w:r>
              <w:rPr>
                <w:rFonts w:hint="eastAsia" w:ascii="宋体" w:hAnsi="宋体" w:cs="宋体"/>
                <w:b/>
                <w:color w:val="auto"/>
                <w:sz w:val="24"/>
                <w:highlight w:val="none"/>
              </w:rPr>
              <w:t>法定代表身份证扫描件粘帖处</w:t>
            </w:r>
          </w:p>
        </w:tc>
      </w:tr>
    </w:tbl>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法定代表人姓名：                                 </w:t>
      </w:r>
    </w:p>
    <w:p>
      <w:pPr>
        <w:spacing w:line="360" w:lineRule="auto"/>
        <w:rPr>
          <w:rFonts w:ascii="宋体" w:hAnsi="宋体" w:cs="宋体"/>
          <w:color w:val="auto"/>
          <w:sz w:val="24"/>
          <w:highlight w:val="none"/>
        </w:rPr>
      </w:pPr>
      <w:r>
        <w:rPr>
          <w:rFonts w:hint="eastAsia" w:ascii="宋体" w:hAnsi="宋体" w:cs="宋体"/>
          <w:color w:val="auto"/>
          <w:sz w:val="24"/>
          <w:highlight w:val="none"/>
        </w:rPr>
        <w:t>传真：</w:t>
      </w:r>
    </w:p>
    <w:p>
      <w:pPr>
        <w:spacing w:line="360" w:lineRule="auto"/>
        <w:rPr>
          <w:rFonts w:ascii="宋体" w:hAnsi="宋体" w:cs="宋体"/>
          <w:color w:val="auto"/>
          <w:sz w:val="24"/>
          <w:highlight w:val="none"/>
        </w:rPr>
      </w:pPr>
      <w:r>
        <w:rPr>
          <w:rFonts w:hint="eastAsia" w:ascii="宋体" w:hAnsi="宋体" w:cs="宋体"/>
          <w:color w:val="auto"/>
          <w:sz w:val="24"/>
          <w:highlight w:val="none"/>
        </w:rPr>
        <w:t>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详细通讯地址：</w:t>
      </w:r>
    </w:p>
    <w:p>
      <w:pPr>
        <w:spacing w:line="360" w:lineRule="auto"/>
        <w:rPr>
          <w:rFonts w:ascii="宋体" w:hAnsi="宋体" w:cs="宋体"/>
          <w:color w:val="auto"/>
          <w:sz w:val="24"/>
          <w:highlight w:val="none"/>
        </w:rPr>
      </w:pPr>
      <w:r>
        <w:rPr>
          <w:rFonts w:hint="eastAsia" w:ascii="宋体" w:hAnsi="宋体" w:cs="宋体"/>
          <w:color w:val="auto"/>
          <w:sz w:val="24"/>
          <w:highlight w:val="none"/>
        </w:rPr>
        <w:t>邮政编码：</w:t>
      </w:r>
    </w:p>
    <w:p>
      <w:pPr>
        <w:spacing w:line="360" w:lineRule="auto"/>
        <w:rPr>
          <w:rFonts w:ascii="宋体" w:hAnsi="宋体" w:cs="宋体"/>
          <w:b/>
          <w:color w:val="auto"/>
          <w:sz w:val="24"/>
          <w:highlight w:val="none"/>
        </w:rPr>
      </w:pPr>
    </w:p>
    <w:tbl>
      <w:tblPr>
        <w:tblStyle w:val="3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hAnsi="宋体" w:cs="宋体"/>
                <w:b/>
                <w:color w:val="auto"/>
                <w:sz w:val="24"/>
                <w:highlight w:val="none"/>
              </w:rPr>
            </w:pPr>
          </w:p>
          <w:p>
            <w:pPr>
              <w:spacing w:line="360" w:lineRule="auto"/>
              <w:ind w:firstLine="361" w:firstLineChars="150"/>
              <w:rPr>
                <w:rFonts w:ascii="宋体" w:hAnsi="宋体" w:cs="宋体"/>
                <w:b/>
                <w:color w:val="auto"/>
                <w:sz w:val="24"/>
                <w:highlight w:val="none"/>
              </w:rPr>
            </w:pPr>
            <w:r>
              <w:rPr>
                <w:rFonts w:hint="eastAsia" w:ascii="宋体" w:hAnsi="宋体" w:cs="宋体"/>
                <w:b/>
                <w:color w:val="auto"/>
                <w:sz w:val="24"/>
                <w:highlight w:val="none"/>
              </w:rPr>
              <w:t>全权代表身份证扫描件粘帖处</w:t>
            </w:r>
          </w:p>
        </w:tc>
      </w:tr>
    </w:tbl>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全权代表姓名：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职务：                           </w:t>
      </w:r>
    </w:p>
    <w:p>
      <w:pPr>
        <w:spacing w:line="360" w:lineRule="auto"/>
        <w:rPr>
          <w:rFonts w:ascii="宋体" w:hAnsi="宋体" w:cs="宋体"/>
          <w:color w:val="auto"/>
          <w:sz w:val="24"/>
          <w:highlight w:val="none"/>
        </w:rPr>
      </w:pPr>
      <w:r>
        <w:rPr>
          <w:rFonts w:hint="eastAsia" w:ascii="宋体" w:hAnsi="宋体" w:cs="宋体"/>
          <w:color w:val="auto"/>
          <w:sz w:val="24"/>
          <w:highlight w:val="none"/>
        </w:rPr>
        <w:t>传真：</w:t>
      </w:r>
    </w:p>
    <w:p>
      <w:pPr>
        <w:spacing w:line="360" w:lineRule="auto"/>
        <w:rPr>
          <w:rFonts w:ascii="宋体" w:hAnsi="宋体" w:cs="宋体"/>
          <w:color w:val="auto"/>
          <w:sz w:val="24"/>
          <w:highlight w:val="none"/>
        </w:rPr>
      </w:pPr>
      <w:r>
        <w:rPr>
          <w:rFonts w:hint="eastAsia" w:ascii="宋体" w:hAnsi="宋体" w:cs="宋体"/>
          <w:color w:val="auto"/>
          <w:sz w:val="24"/>
          <w:highlight w:val="none"/>
        </w:rPr>
        <w:t>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详细通讯地址：</w:t>
      </w:r>
    </w:p>
    <w:p>
      <w:pPr>
        <w:spacing w:line="360" w:lineRule="auto"/>
        <w:rPr>
          <w:rFonts w:ascii="宋体" w:hAnsi="宋体" w:cs="宋体"/>
          <w:color w:val="auto"/>
          <w:sz w:val="24"/>
          <w:highlight w:val="none"/>
        </w:rPr>
      </w:pPr>
      <w:r>
        <w:rPr>
          <w:rFonts w:hint="eastAsia" w:ascii="宋体" w:hAnsi="宋体" w:cs="宋体"/>
          <w:color w:val="auto"/>
          <w:sz w:val="24"/>
          <w:highlight w:val="none"/>
        </w:rPr>
        <w:t>邮政编码：</w:t>
      </w:r>
    </w:p>
    <w:p>
      <w:pPr>
        <w:rPr>
          <w:rFonts w:ascii="宋体" w:hAnsi="宋体" w:cs="宋体"/>
          <w:b/>
          <w:color w:val="auto"/>
          <w:sz w:val="28"/>
          <w:highlight w:val="none"/>
        </w:rPr>
      </w:pPr>
      <w:r>
        <w:rPr>
          <w:rFonts w:hint="eastAsia" w:ascii="宋体" w:hAnsi="宋体" w:cs="宋体"/>
          <w:b/>
          <w:color w:val="auto"/>
          <w:sz w:val="28"/>
          <w:highlight w:val="none"/>
        </w:rPr>
        <w:br w:type="page"/>
      </w:r>
    </w:p>
    <w:p>
      <w:pPr>
        <w:adjustRightInd w:val="0"/>
        <w:snapToGrid w:val="0"/>
        <w:spacing w:line="360" w:lineRule="auto"/>
        <w:ind w:right="480"/>
        <w:rPr>
          <w:rFonts w:ascii="宋体" w:hAnsi="宋体" w:cs="宋体"/>
          <w:b/>
          <w:color w:val="auto"/>
          <w:sz w:val="28"/>
          <w:highlight w:val="none"/>
        </w:rPr>
      </w:pPr>
      <w:r>
        <w:rPr>
          <w:rFonts w:hint="eastAsia" w:ascii="宋体" w:hAnsi="宋体" w:cs="宋体"/>
          <w:b/>
          <w:color w:val="auto"/>
          <w:sz w:val="28"/>
          <w:highlight w:val="none"/>
        </w:rPr>
        <w:t>附件3</w:t>
      </w:r>
    </w:p>
    <w:p>
      <w:pPr>
        <w:ind w:left="74" w:leftChars="-150" w:right="-296" w:rightChars="-141" w:hanging="389" w:hangingChars="121"/>
        <w:jc w:val="center"/>
        <w:rPr>
          <w:rFonts w:ascii="宋体" w:hAnsi="宋体"/>
          <w:b/>
          <w:bCs/>
          <w:color w:val="auto"/>
          <w:sz w:val="32"/>
          <w:szCs w:val="32"/>
          <w:highlight w:val="none"/>
        </w:rPr>
      </w:pPr>
      <w:r>
        <w:rPr>
          <w:rFonts w:hint="eastAsia" w:ascii="宋体" w:hAnsi="宋体"/>
          <w:b/>
          <w:bCs/>
          <w:color w:val="auto"/>
          <w:sz w:val="32"/>
          <w:szCs w:val="32"/>
          <w:highlight w:val="none"/>
        </w:rPr>
        <w:t>具有良好的商业信誉和健全的财务会计制度的承诺函</w:t>
      </w:r>
    </w:p>
    <w:p>
      <w:pPr>
        <w:ind w:left="120" w:leftChars="-150" w:right="-296" w:rightChars="-141" w:hanging="435" w:hangingChars="121"/>
        <w:jc w:val="center"/>
        <w:rPr>
          <w:rFonts w:ascii="宋体" w:hAnsi="宋体"/>
          <w:b/>
          <w:bCs/>
          <w:color w:val="auto"/>
          <w:sz w:val="32"/>
          <w:szCs w:val="32"/>
          <w:highlight w:val="none"/>
        </w:rPr>
      </w:pPr>
      <w:r>
        <w:rPr>
          <w:rFonts w:hint="eastAsia" w:ascii="宋体" w:hAnsi="宋体"/>
          <w:color w:val="auto"/>
          <w:sz w:val="36"/>
          <w:szCs w:val="36"/>
          <w:highlight w:val="none"/>
        </w:rPr>
        <w:t>（标段</w:t>
      </w:r>
      <w:r>
        <w:rPr>
          <w:rFonts w:hint="eastAsia" w:ascii="宋体" w:hAnsi="宋体"/>
          <w:color w:val="auto"/>
          <w:sz w:val="36"/>
          <w:szCs w:val="36"/>
          <w:highlight w:val="none"/>
          <w:u w:val="single"/>
        </w:rPr>
        <w:t xml:space="preserve"> </w:t>
      </w:r>
      <w:r>
        <w:rPr>
          <w:rFonts w:ascii="宋体" w:hAnsi="宋体"/>
          <w:color w:val="auto"/>
          <w:sz w:val="36"/>
          <w:szCs w:val="36"/>
          <w:highlight w:val="none"/>
          <w:u w:val="single"/>
        </w:rPr>
        <w:t xml:space="preserve">  </w:t>
      </w:r>
      <w:r>
        <w:rPr>
          <w:rFonts w:hint="eastAsia" w:ascii="宋体" w:hAnsi="宋体"/>
          <w:color w:val="auto"/>
          <w:sz w:val="36"/>
          <w:szCs w:val="36"/>
          <w:highlight w:val="none"/>
        </w:rPr>
        <w:t>）</w:t>
      </w:r>
    </w:p>
    <w:p>
      <w:pPr>
        <w:spacing w:line="6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olor w:val="auto"/>
          <w:sz w:val="24"/>
          <w:highlight w:val="none"/>
          <w:u w:val="single"/>
        </w:rPr>
        <w:t>浙江百和工程咨询有限公司</w:t>
      </w:r>
    </w:p>
    <w:p>
      <w:pPr>
        <w:spacing w:line="6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我公司参加</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w:t>
      </w:r>
      <w:r>
        <w:rPr>
          <w:rFonts w:hint="eastAsia" w:ascii="宋体" w:hAnsi="宋体" w:cs="宋体"/>
          <w:color w:val="auto"/>
          <w:sz w:val="24"/>
          <w:highlight w:val="none"/>
        </w:rPr>
        <w:t>（编号为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）的投标活动，作如下承诺：</w:t>
      </w:r>
    </w:p>
    <w:p>
      <w:pPr>
        <w:spacing w:line="6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我公司在参加本项目政府采购活动前，没有处于被责令停产、财产被接管、冻结或破产状态，具有足够的流动资金，有能力履行合同；我公司具有良好的商业信誉和健全的财务会计制度。</w:t>
      </w:r>
    </w:p>
    <w:p>
      <w:pPr>
        <w:spacing w:line="6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如违反以上承诺，本公司愿承担一切法律责任。</w:t>
      </w:r>
    </w:p>
    <w:p>
      <w:pPr>
        <w:spacing w:line="600" w:lineRule="exact"/>
        <w:ind w:firstLine="480" w:firstLineChars="200"/>
        <w:jc w:val="left"/>
        <w:rPr>
          <w:rFonts w:ascii="宋体" w:hAnsi="宋体" w:cs="宋体"/>
          <w:color w:val="auto"/>
          <w:sz w:val="24"/>
          <w:highlight w:val="none"/>
          <w:lang w:val="zh-CN"/>
        </w:rPr>
      </w:pPr>
    </w:p>
    <w:p>
      <w:pPr>
        <w:spacing w:line="360" w:lineRule="auto"/>
        <w:rPr>
          <w:rFonts w:ascii="宋体" w:hAnsi="宋体"/>
          <w:b/>
          <w:color w:val="auto"/>
          <w:sz w:val="24"/>
          <w:highlight w:val="none"/>
        </w:rPr>
      </w:pPr>
      <w:r>
        <w:rPr>
          <w:rFonts w:hint="eastAsia" w:ascii="宋体" w:hAnsi="宋体"/>
          <w:color w:val="auto"/>
          <w:sz w:val="24"/>
          <w:highlight w:val="none"/>
        </w:rPr>
        <w:t>供应商名称（盖章）：</w:t>
      </w:r>
      <w:r>
        <w:rPr>
          <w:rFonts w:hint="eastAsia" w:ascii="宋体" w:hAnsi="宋体"/>
          <w:color w:val="auto"/>
          <w:sz w:val="24"/>
          <w:highlight w:val="none"/>
          <w:u w:val="single"/>
        </w:rPr>
        <w:t xml:space="preserve">                      </w:t>
      </w:r>
    </w:p>
    <w:p>
      <w:pPr>
        <w:spacing w:line="320" w:lineRule="exact"/>
        <w:ind w:left="420"/>
        <w:rPr>
          <w:rFonts w:ascii="宋体" w:hAnsi="宋体"/>
          <w:color w:val="auto"/>
          <w:sz w:val="24"/>
          <w:highlight w:val="none"/>
        </w:rPr>
      </w:pPr>
      <w:r>
        <w:rPr>
          <w:rFonts w:hint="eastAsia" w:ascii="宋体" w:hAnsi="宋体"/>
          <w:color w:val="auto"/>
          <w:sz w:val="24"/>
          <w:highlight w:val="none"/>
        </w:rPr>
        <w:t xml:space="preserve"> </w:t>
      </w:r>
    </w:p>
    <w:p>
      <w:pPr>
        <w:spacing w:line="320" w:lineRule="exact"/>
        <w:rPr>
          <w:rFonts w:ascii="宋体" w:hAnsi="宋体"/>
          <w:color w:val="auto"/>
          <w:sz w:val="24"/>
          <w:highlight w:val="none"/>
          <w:u w:val="single"/>
        </w:rPr>
      </w:pPr>
      <w:r>
        <w:rPr>
          <w:rFonts w:hint="eastAsia" w:ascii="宋体" w:hAnsi="宋体"/>
          <w:color w:val="auto"/>
          <w:sz w:val="24"/>
          <w:highlight w:val="none"/>
        </w:rPr>
        <w:t>法定代表人或授权代表（签字或盖章）：</w:t>
      </w:r>
      <w:r>
        <w:rPr>
          <w:rFonts w:hint="eastAsia" w:ascii="宋体" w:hAnsi="宋体"/>
          <w:color w:val="auto"/>
          <w:sz w:val="24"/>
          <w:highlight w:val="none"/>
          <w:u w:val="single"/>
        </w:rPr>
        <w:t xml:space="preserve">        </w:t>
      </w:r>
    </w:p>
    <w:p>
      <w:pPr>
        <w:pStyle w:val="13"/>
        <w:ind w:firstLine="0"/>
        <w:rPr>
          <w:color w:val="auto"/>
          <w:highlight w:val="none"/>
        </w:rPr>
      </w:pPr>
    </w:p>
    <w:p>
      <w:pPr>
        <w:rPr>
          <w:rFonts w:ascii="宋体" w:hAnsi="宋体"/>
          <w:color w:val="auto"/>
          <w:sz w:val="24"/>
          <w:highlight w:val="none"/>
          <w:u w:val="singl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pPr>
        <w:adjustRightInd w:val="0"/>
        <w:snapToGrid w:val="0"/>
        <w:spacing w:line="360" w:lineRule="auto"/>
        <w:ind w:firstLine="4680" w:firstLineChars="1950"/>
        <w:rPr>
          <w:rFonts w:ascii="宋体" w:hAnsi="宋体" w:cs="仿宋_GB2312"/>
          <w:color w:val="auto"/>
          <w:kern w:val="0"/>
          <w:sz w:val="24"/>
          <w:highlight w:val="none"/>
          <w:lang w:val="zh-CN"/>
        </w:rPr>
      </w:pPr>
    </w:p>
    <w:p>
      <w:pPr>
        <w:pStyle w:val="119"/>
        <w:ind w:firstLine="420"/>
        <w:rPr>
          <w:rFonts w:hAnsi="宋体" w:eastAsia="宋体"/>
          <w:b/>
          <w:color w:val="auto"/>
          <w:sz w:val="24"/>
          <w:szCs w:val="24"/>
          <w:highlight w:val="none"/>
        </w:rPr>
      </w:pPr>
    </w:p>
    <w:p>
      <w:pPr>
        <w:spacing w:line="360" w:lineRule="exact"/>
        <w:rPr>
          <w:rFonts w:hAnsi="宋体"/>
          <w:b/>
          <w:color w:val="auto"/>
          <w:sz w:val="24"/>
          <w:highlight w:val="none"/>
        </w:rPr>
      </w:pPr>
      <w:r>
        <w:rPr>
          <w:rFonts w:hAnsi="宋体"/>
          <w:b/>
          <w:color w:val="auto"/>
          <w:sz w:val="24"/>
          <w:highlight w:val="none"/>
        </w:rPr>
        <w:br w:type="page"/>
      </w:r>
    </w:p>
    <w:p>
      <w:pPr>
        <w:adjustRightInd w:val="0"/>
        <w:snapToGrid w:val="0"/>
        <w:spacing w:line="360" w:lineRule="auto"/>
        <w:ind w:right="480"/>
        <w:rPr>
          <w:rFonts w:ascii="宋体" w:hAnsi="宋体" w:cs="宋体"/>
          <w:b/>
          <w:color w:val="auto"/>
          <w:sz w:val="28"/>
          <w:highlight w:val="none"/>
        </w:rPr>
      </w:pPr>
      <w:r>
        <w:rPr>
          <w:rFonts w:hint="eastAsia" w:ascii="宋体" w:hAnsi="宋体" w:cs="宋体"/>
          <w:b/>
          <w:color w:val="auto"/>
          <w:sz w:val="28"/>
          <w:highlight w:val="none"/>
        </w:rPr>
        <w:t>附件4</w:t>
      </w:r>
    </w:p>
    <w:p>
      <w:pPr>
        <w:ind w:left="74" w:leftChars="-150" w:right="-296" w:rightChars="-141" w:hanging="389" w:hangingChars="121"/>
        <w:jc w:val="center"/>
        <w:rPr>
          <w:rFonts w:ascii="宋体" w:hAnsi="宋体"/>
          <w:b/>
          <w:bCs/>
          <w:color w:val="auto"/>
          <w:sz w:val="32"/>
          <w:szCs w:val="32"/>
          <w:highlight w:val="none"/>
        </w:rPr>
      </w:pPr>
      <w:r>
        <w:rPr>
          <w:rFonts w:hint="eastAsia" w:ascii="宋体" w:hAnsi="宋体"/>
          <w:b/>
          <w:bCs/>
          <w:color w:val="auto"/>
          <w:sz w:val="32"/>
          <w:szCs w:val="32"/>
          <w:highlight w:val="none"/>
        </w:rPr>
        <w:t>具有依法缴纳税收和社会保障资金证明的承诺函</w:t>
      </w:r>
    </w:p>
    <w:p>
      <w:pPr>
        <w:ind w:left="120" w:leftChars="-150" w:right="-296" w:rightChars="-141" w:hanging="435" w:hangingChars="121"/>
        <w:jc w:val="center"/>
        <w:rPr>
          <w:rFonts w:ascii="宋体" w:hAnsi="宋体"/>
          <w:b/>
          <w:bCs/>
          <w:color w:val="auto"/>
          <w:sz w:val="32"/>
          <w:szCs w:val="32"/>
          <w:highlight w:val="none"/>
        </w:rPr>
      </w:pPr>
      <w:r>
        <w:rPr>
          <w:rFonts w:hint="eastAsia" w:ascii="宋体" w:hAnsi="宋体"/>
          <w:color w:val="auto"/>
          <w:sz w:val="36"/>
          <w:szCs w:val="36"/>
          <w:highlight w:val="none"/>
        </w:rPr>
        <w:t>（标段</w:t>
      </w:r>
      <w:r>
        <w:rPr>
          <w:rFonts w:hint="eastAsia" w:ascii="宋体" w:hAnsi="宋体"/>
          <w:color w:val="auto"/>
          <w:sz w:val="36"/>
          <w:szCs w:val="36"/>
          <w:highlight w:val="none"/>
          <w:u w:val="single"/>
        </w:rPr>
        <w:t xml:space="preserve"> </w:t>
      </w:r>
      <w:r>
        <w:rPr>
          <w:rFonts w:ascii="宋体" w:hAnsi="宋体"/>
          <w:color w:val="auto"/>
          <w:sz w:val="36"/>
          <w:szCs w:val="36"/>
          <w:highlight w:val="none"/>
          <w:u w:val="single"/>
        </w:rPr>
        <w:t xml:space="preserve">  </w:t>
      </w:r>
      <w:r>
        <w:rPr>
          <w:rFonts w:hint="eastAsia" w:ascii="宋体" w:hAnsi="宋体"/>
          <w:color w:val="auto"/>
          <w:sz w:val="36"/>
          <w:szCs w:val="36"/>
          <w:highlight w:val="none"/>
        </w:rPr>
        <w:t>）</w:t>
      </w:r>
    </w:p>
    <w:p>
      <w:pPr>
        <w:spacing w:line="6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olor w:val="auto"/>
          <w:sz w:val="24"/>
          <w:highlight w:val="none"/>
          <w:u w:val="single"/>
        </w:rPr>
        <w:t>浙江百和工程咨询有限公司</w:t>
      </w:r>
    </w:p>
    <w:p>
      <w:pPr>
        <w:spacing w:line="6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我公司参加</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w:t>
      </w:r>
      <w:r>
        <w:rPr>
          <w:rFonts w:hint="eastAsia" w:ascii="宋体" w:hAnsi="宋体" w:cs="宋体"/>
          <w:color w:val="auto"/>
          <w:sz w:val="24"/>
          <w:highlight w:val="none"/>
        </w:rPr>
        <w:t>（编号为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）的投标活动，作如下承诺：</w:t>
      </w:r>
    </w:p>
    <w:p>
      <w:pPr>
        <w:pStyle w:val="17"/>
        <w:spacing w:after="156" w:line="600" w:lineRule="exact"/>
        <w:ind w:firstLine="480" w:firstLineChars="200"/>
        <w:rPr>
          <w:rFonts w:ascii="宋体" w:hAnsi="宋体" w:cs="宋体"/>
          <w:color w:val="auto"/>
          <w:highlight w:val="none"/>
        </w:rPr>
      </w:pPr>
      <w:r>
        <w:rPr>
          <w:rFonts w:hint="eastAsia" w:ascii="宋体" w:hAnsi="宋体" w:cs="宋体"/>
          <w:color w:val="auto"/>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pPr>
        <w:spacing w:line="6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如违反以上承诺，本公司愿承担一切法律责任。</w:t>
      </w:r>
    </w:p>
    <w:p>
      <w:pPr>
        <w:spacing w:line="600" w:lineRule="exact"/>
        <w:ind w:firstLine="480" w:firstLineChars="200"/>
        <w:jc w:val="left"/>
        <w:rPr>
          <w:rFonts w:ascii="宋体" w:hAnsi="宋体" w:cs="宋体"/>
          <w:color w:val="auto"/>
          <w:sz w:val="24"/>
          <w:highlight w:val="none"/>
          <w:lang w:val="zh-CN"/>
        </w:rPr>
      </w:pPr>
    </w:p>
    <w:p>
      <w:pPr>
        <w:spacing w:line="360" w:lineRule="auto"/>
        <w:rPr>
          <w:rFonts w:ascii="宋体" w:hAnsi="宋体"/>
          <w:b/>
          <w:color w:val="auto"/>
          <w:sz w:val="24"/>
          <w:highlight w:val="none"/>
        </w:rPr>
      </w:pPr>
      <w:r>
        <w:rPr>
          <w:rFonts w:hint="eastAsia" w:ascii="宋体" w:hAnsi="宋体"/>
          <w:color w:val="auto"/>
          <w:sz w:val="24"/>
          <w:highlight w:val="none"/>
        </w:rPr>
        <w:t>供应商名称（盖章）：</w:t>
      </w:r>
      <w:r>
        <w:rPr>
          <w:rFonts w:hint="eastAsia" w:ascii="宋体" w:hAnsi="宋体"/>
          <w:color w:val="auto"/>
          <w:sz w:val="24"/>
          <w:highlight w:val="none"/>
          <w:u w:val="single"/>
        </w:rPr>
        <w:t xml:space="preserve">                      </w:t>
      </w:r>
    </w:p>
    <w:p>
      <w:pPr>
        <w:spacing w:line="320" w:lineRule="exact"/>
        <w:ind w:left="420"/>
        <w:rPr>
          <w:rFonts w:ascii="宋体" w:hAnsi="宋体"/>
          <w:color w:val="auto"/>
          <w:sz w:val="24"/>
          <w:highlight w:val="none"/>
        </w:rPr>
      </w:pPr>
      <w:r>
        <w:rPr>
          <w:rFonts w:hint="eastAsia" w:ascii="宋体" w:hAnsi="宋体"/>
          <w:color w:val="auto"/>
          <w:sz w:val="24"/>
          <w:highlight w:val="none"/>
        </w:rPr>
        <w:t xml:space="preserve"> </w:t>
      </w:r>
    </w:p>
    <w:p>
      <w:pPr>
        <w:spacing w:line="320" w:lineRule="exact"/>
        <w:rPr>
          <w:rFonts w:ascii="宋体" w:hAnsi="宋体"/>
          <w:color w:val="auto"/>
          <w:sz w:val="24"/>
          <w:highlight w:val="none"/>
          <w:u w:val="single"/>
        </w:rPr>
      </w:pPr>
      <w:r>
        <w:rPr>
          <w:rFonts w:hint="eastAsia" w:ascii="宋体" w:hAnsi="宋体"/>
          <w:color w:val="auto"/>
          <w:sz w:val="24"/>
          <w:highlight w:val="none"/>
        </w:rPr>
        <w:t>法定代表人或授权代表（签字或盖章）：</w:t>
      </w:r>
      <w:r>
        <w:rPr>
          <w:rFonts w:hint="eastAsia" w:ascii="宋体" w:hAnsi="宋体"/>
          <w:color w:val="auto"/>
          <w:sz w:val="24"/>
          <w:highlight w:val="none"/>
          <w:u w:val="single"/>
        </w:rPr>
        <w:t xml:space="preserve">        </w:t>
      </w:r>
    </w:p>
    <w:p>
      <w:pPr>
        <w:pStyle w:val="13"/>
        <w:ind w:firstLine="0"/>
        <w:rPr>
          <w:color w:val="auto"/>
          <w:highlight w:val="none"/>
        </w:rPr>
      </w:pPr>
    </w:p>
    <w:p>
      <w:pPr>
        <w:rPr>
          <w:rFonts w:ascii="宋体" w:hAnsi="宋体"/>
          <w:color w:val="auto"/>
          <w:sz w:val="24"/>
          <w:highlight w:val="none"/>
          <w:u w:val="singl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pPr>
        <w:adjustRightInd w:val="0"/>
        <w:snapToGrid w:val="0"/>
        <w:spacing w:line="360" w:lineRule="auto"/>
        <w:ind w:firstLine="4680" w:firstLineChars="1950"/>
        <w:rPr>
          <w:rFonts w:ascii="宋体" w:hAnsi="宋体" w:cs="仿宋_GB2312"/>
          <w:color w:val="auto"/>
          <w:kern w:val="0"/>
          <w:sz w:val="24"/>
          <w:highlight w:val="none"/>
          <w:lang w:val="zh-CN"/>
        </w:rPr>
      </w:pPr>
    </w:p>
    <w:p>
      <w:pPr>
        <w:pStyle w:val="119"/>
        <w:ind w:firstLine="420"/>
        <w:rPr>
          <w:rFonts w:hAnsi="宋体" w:eastAsia="宋体"/>
          <w:b/>
          <w:color w:val="auto"/>
          <w:sz w:val="24"/>
          <w:szCs w:val="24"/>
          <w:highlight w:val="none"/>
        </w:rPr>
      </w:pPr>
    </w:p>
    <w:p>
      <w:pPr>
        <w:pStyle w:val="119"/>
        <w:ind w:firstLine="420"/>
        <w:rPr>
          <w:rFonts w:hAnsi="宋体" w:eastAsia="宋体"/>
          <w:b/>
          <w:color w:val="auto"/>
          <w:sz w:val="24"/>
          <w:szCs w:val="24"/>
          <w:highlight w:val="none"/>
        </w:rPr>
      </w:pPr>
    </w:p>
    <w:p>
      <w:pPr>
        <w:spacing w:line="360" w:lineRule="exact"/>
        <w:rPr>
          <w:rFonts w:hAnsi="宋体"/>
          <w:b/>
          <w:color w:val="auto"/>
          <w:sz w:val="24"/>
          <w:highlight w:val="none"/>
        </w:rPr>
      </w:pPr>
      <w:r>
        <w:rPr>
          <w:rFonts w:hAnsi="宋体"/>
          <w:b/>
          <w:color w:val="auto"/>
          <w:sz w:val="24"/>
          <w:highlight w:val="none"/>
        </w:rPr>
        <w:br w:type="page"/>
      </w:r>
    </w:p>
    <w:p>
      <w:pPr>
        <w:adjustRightInd w:val="0"/>
        <w:snapToGrid w:val="0"/>
        <w:spacing w:line="360" w:lineRule="auto"/>
        <w:ind w:right="480"/>
        <w:rPr>
          <w:rFonts w:ascii="宋体" w:hAnsi="宋体" w:cs="宋体"/>
          <w:b/>
          <w:color w:val="auto"/>
          <w:sz w:val="28"/>
          <w:highlight w:val="none"/>
        </w:rPr>
      </w:pPr>
      <w:r>
        <w:rPr>
          <w:rFonts w:hint="eastAsia" w:ascii="宋体" w:hAnsi="宋体" w:cs="宋体"/>
          <w:b/>
          <w:color w:val="auto"/>
          <w:sz w:val="28"/>
          <w:highlight w:val="none"/>
        </w:rPr>
        <w:t>附件5</w:t>
      </w:r>
    </w:p>
    <w:p>
      <w:pPr>
        <w:ind w:left="74" w:leftChars="-150" w:right="-296" w:rightChars="-141" w:hanging="389" w:hangingChars="121"/>
        <w:jc w:val="center"/>
        <w:rPr>
          <w:rFonts w:ascii="宋体" w:hAnsi="宋体"/>
          <w:b/>
          <w:bCs/>
          <w:color w:val="auto"/>
          <w:sz w:val="32"/>
          <w:szCs w:val="32"/>
          <w:highlight w:val="none"/>
        </w:rPr>
      </w:pPr>
      <w:r>
        <w:rPr>
          <w:rFonts w:hint="eastAsia" w:ascii="宋体" w:hAnsi="宋体"/>
          <w:b/>
          <w:bCs/>
          <w:color w:val="auto"/>
          <w:sz w:val="32"/>
          <w:szCs w:val="32"/>
          <w:highlight w:val="none"/>
        </w:rPr>
        <w:t>投标人没有失信记录承诺函</w:t>
      </w:r>
    </w:p>
    <w:p>
      <w:pPr>
        <w:ind w:left="120" w:leftChars="-150" w:right="-296" w:rightChars="-141" w:hanging="435" w:hangingChars="121"/>
        <w:jc w:val="center"/>
        <w:rPr>
          <w:rFonts w:ascii="宋体" w:hAnsi="宋体"/>
          <w:b/>
          <w:bCs/>
          <w:color w:val="auto"/>
          <w:sz w:val="32"/>
          <w:szCs w:val="32"/>
          <w:highlight w:val="none"/>
        </w:rPr>
      </w:pPr>
      <w:r>
        <w:rPr>
          <w:rFonts w:hint="eastAsia" w:ascii="宋体" w:hAnsi="宋体"/>
          <w:color w:val="auto"/>
          <w:sz w:val="36"/>
          <w:szCs w:val="36"/>
          <w:highlight w:val="none"/>
        </w:rPr>
        <w:t>（标段</w:t>
      </w:r>
      <w:r>
        <w:rPr>
          <w:rFonts w:hint="eastAsia" w:ascii="宋体" w:hAnsi="宋体"/>
          <w:color w:val="auto"/>
          <w:sz w:val="36"/>
          <w:szCs w:val="36"/>
          <w:highlight w:val="none"/>
          <w:u w:val="single"/>
        </w:rPr>
        <w:t xml:space="preserve"> </w:t>
      </w:r>
      <w:r>
        <w:rPr>
          <w:rFonts w:ascii="宋体" w:hAnsi="宋体"/>
          <w:color w:val="auto"/>
          <w:sz w:val="36"/>
          <w:szCs w:val="36"/>
          <w:highlight w:val="none"/>
          <w:u w:val="single"/>
        </w:rPr>
        <w:t xml:space="preserve">  </w:t>
      </w:r>
      <w:r>
        <w:rPr>
          <w:rFonts w:hint="eastAsia" w:ascii="宋体" w:hAnsi="宋体"/>
          <w:color w:val="auto"/>
          <w:sz w:val="36"/>
          <w:szCs w:val="36"/>
          <w:highlight w:val="none"/>
        </w:rPr>
        <w:t>）</w:t>
      </w:r>
    </w:p>
    <w:p>
      <w:pPr>
        <w:spacing w:line="6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olor w:val="auto"/>
          <w:sz w:val="24"/>
          <w:highlight w:val="none"/>
          <w:u w:val="single"/>
        </w:rPr>
        <w:t>浙江百和工程咨询有限公司</w:t>
      </w:r>
    </w:p>
    <w:p>
      <w:pPr>
        <w:spacing w:line="6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我公司参加</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w:t>
      </w:r>
      <w:r>
        <w:rPr>
          <w:rFonts w:hint="eastAsia" w:ascii="宋体" w:hAnsi="宋体" w:cs="宋体"/>
          <w:color w:val="auto"/>
          <w:sz w:val="24"/>
          <w:highlight w:val="none"/>
        </w:rPr>
        <w:t>（编号为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）的投标活动，作如下承诺：</w:t>
      </w:r>
    </w:p>
    <w:p>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公司郑重承诺在参加本项目政府采购活动前三年内，在经营活动中没有重大违法（失信）记录，重大违法（失信）记录是指供应商因违法经营受到刑事处罚或者责令停产停业、吊销许可证或者执照、较大数额罚款等行政处罚。</w:t>
      </w:r>
    </w:p>
    <w:p>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以上事项如有虚假或隐瞒，我方愿意承担一切后果和责任。</w:t>
      </w:r>
    </w:p>
    <w:p>
      <w:pPr>
        <w:spacing w:line="600" w:lineRule="exact"/>
        <w:ind w:firstLine="456" w:firstLineChars="200"/>
        <w:jc w:val="left"/>
        <w:rPr>
          <w:rFonts w:ascii="宋体" w:hAnsi="宋体" w:cs="宋体"/>
          <w:color w:val="auto"/>
          <w:sz w:val="24"/>
          <w:highlight w:val="none"/>
        </w:rPr>
      </w:pPr>
      <w:r>
        <w:rPr>
          <w:rFonts w:hint="eastAsia" w:ascii="宋体" w:hAnsi="宋体" w:cs="宋体"/>
          <w:color w:val="auto"/>
          <w:spacing w:val="-6"/>
          <w:sz w:val="24"/>
          <w:highlight w:val="none"/>
        </w:rPr>
        <w:t>特此声明。</w:t>
      </w:r>
    </w:p>
    <w:p>
      <w:pPr>
        <w:spacing w:line="600" w:lineRule="exact"/>
        <w:ind w:firstLine="480" w:firstLineChars="200"/>
        <w:jc w:val="left"/>
        <w:rPr>
          <w:rFonts w:ascii="宋体" w:hAnsi="宋体" w:cs="宋体"/>
          <w:color w:val="auto"/>
          <w:sz w:val="24"/>
          <w:highlight w:val="none"/>
          <w:lang w:val="zh-CN"/>
        </w:rPr>
      </w:pPr>
    </w:p>
    <w:p>
      <w:pPr>
        <w:spacing w:line="360" w:lineRule="auto"/>
        <w:rPr>
          <w:rFonts w:ascii="宋体" w:hAnsi="宋体"/>
          <w:b/>
          <w:color w:val="auto"/>
          <w:sz w:val="24"/>
          <w:highlight w:val="none"/>
        </w:rPr>
      </w:pPr>
      <w:r>
        <w:rPr>
          <w:rFonts w:hint="eastAsia" w:ascii="宋体" w:hAnsi="宋体"/>
          <w:color w:val="auto"/>
          <w:sz w:val="24"/>
          <w:highlight w:val="none"/>
        </w:rPr>
        <w:t>供应商名称（盖章）：</w:t>
      </w:r>
      <w:r>
        <w:rPr>
          <w:rFonts w:hint="eastAsia" w:ascii="宋体" w:hAnsi="宋体"/>
          <w:color w:val="auto"/>
          <w:sz w:val="24"/>
          <w:highlight w:val="none"/>
          <w:u w:val="single"/>
        </w:rPr>
        <w:t xml:space="preserve">                      </w:t>
      </w:r>
    </w:p>
    <w:p>
      <w:pPr>
        <w:spacing w:line="320" w:lineRule="exact"/>
        <w:ind w:left="420"/>
        <w:rPr>
          <w:rFonts w:ascii="宋体" w:hAnsi="宋体"/>
          <w:color w:val="auto"/>
          <w:sz w:val="24"/>
          <w:highlight w:val="none"/>
        </w:rPr>
      </w:pPr>
      <w:r>
        <w:rPr>
          <w:rFonts w:hint="eastAsia" w:ascii="宋体" w:hAnsi="宋体"/>
          <w:color w:val="auto"/>
          <w:sz w:val="24"/>
          <w:highlight w:val="none"/>
        </w:rPr>
        <w:t xml:space="preserve"> </w:t>
      </w:r>
    </w:p>
    <w:p>
      <w:pPr>
        <w:spacing w:line="320" w:lineRule="exact"/>
        <w:rPr>
          <w:rFonts w:ascii="宋体" w:hAnsi="宋体"/>
          <w:color w:val="auto"/>
          <w:sz w:val="24"/>
          <w:highlight w:val="none"/>
          <w:u w:val="single"/>
        </w:rPr>
      </w:pPr>
      <w:r>
        <w:rPr>
          <w:rFonts w:hint="eastAsia" w:ascii="宋体" w:hAnsi="宋体"/>
          <w:color w:val="auto"/>
          <w:sz w:val="24"/>
          <w:highlight w:val="none"/>
        </w:rPr>
        <w:t>法定代表人或授权代表（签字或盖章）：</w:t>
      </w:r>
      <w:r>
        <w:rPr>
          <w:rFonts w:hint="eastAsia" w:ascii="宋体" w:hAnsi="宋体"/>
          <w:color w:val="auto"/>
          <w:sz w:val="24"/>
          <w:highlight w:val="none"/>
          <w:u w:val="single"/>
        </w:rPr>
        <w:t xml:space="preserve">        </w:t>
      </w:r>
    </w:p>
    <w:p>
      <w:pPr>
        <w:pStyle w:val="13"/>
        <w:ind w:firstLine="0"/>
        <w:rPr>
          <w:color w:val="auto"/>
          <w:highlight w:val="none"/>
        </w:rPr>
      </w:pPr>
    </w:p>
    <w:p>
      <w:pPr>
        <w:rPr>
          <w:rFonts w:ascii="宋体" w:hAnsi="宋体"/>
          <w:color w:val="auto"/>
          <w:sz w:val="24"/>
          <w:highlight w:val="none"/>
          <w:u w:val="singl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pPr>
        <w:adjustRightInd w:val="0"/>
        <w:snapToGrid w:val="0"/>
        <w:spacing w:line="360" w:lineRule="auto"/>
        <w:ind w:firstLine="4680" w:firstLineChars="1950"/>
        <w:rPr>
          <w:rFonts w:ascii="宋体" w:hAnsi="宋体" w:cs="仿宋_GB2312"/>
          <w:color w:val="auto"/>
          <w:kern w:val="0"/>
          <w:sz w:val="24"/>
          <w:highlight w:val="none"/>
          <w:lang w:val="zh-CN"/>
        </w:rPr>
      </w:pPr>
    </w:p>
    <w:p>
      <w:pPr>
        <w:pStyle w:val="119"/>
        <w:ind w:firstLine="420"/>
        <w:rPr>
          <w:rFonts w:hAnsi="宋体" w:eastAsia="宋体"/>
          <w:b/>
          <w:color w:val="auto"/>
          <w:sz w:val="24"/>
          <w:szCs w:val="24"/>
          <w:highlight w:val="none"/>
        </w:rPr>
      </w:pPr>
    </w:p>
    <w:p>
      <w:pPr>
        <w:pStyle w:val="119"/>
        <w:ind w:firstLine="420"/>
        <w:rPr>
          <w:rFonts w:hAnsi="宋体" w:eastAsia="宋体"/>
          <w:b/>
          <w:color w:val="auto"/>
          <w:sz w:val="24"/>
          <w:szCs w:val="24"/>
          <w:highlight w:val="none"/>
        </w:rPr>
      </w:pPr>
    </w:p>
    <w:p>
      <w:pPr>
        <w:pStyle w:val="119"/>
        <w:ind w:firstLine="420"/>
        <w:rPr>
          <w:rFonts w:hAnsi="宋体" w:eastAsia="宋体"/>
          <w:b/>
          <w:color w:val="auto"/>
          <w:sz w:val="24"/>
          <w:szCs w:val="24"/>
          <w:highlight w:val="none"/>
        </w:rPr>
      </w:pPr>
    </w:p>
    <w:p>
      <w:pPr>
        <w:pStyle w:val="2"/>
        <w:rPr>
          <w:color w:val="auto"/>
          <w:highlight w:val="none"/>
        </w:rPr>
      </w:pPr>
      <w:r>
        <w:rPr>
          <w:rFonts w:hAnsi="宋体"/>
          <w:b/>
          <w:color w:val="auto"/>
          <w:sz w:val="24"/>
          <w:highlight w:val="none"/>
        </w:rPr>
        <w:br w:type="page"/>
      </w:r>
    </w:p>
    <w:p>
      <w:pPr>
        <w:snapToGrid w:val="0"/>
        <w:spacing w:before="50" w:after="50"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商务与技术文件</w:t>
      </w:r>
      <w:r>
        <w:rPr>
          <w:rFonts w:hint="eastAsia" w:ascii="宋体" w:hAnsi="宋体" w:cs="宋体"/>
          <w:b/>
          <w:bCs/>
          <w:color w:val="auto"/>
          <w:sz w:val="32"/>
          <w:szCs w:val="32"/>
          <w:highlight w:val="none"/>
        </w:rPr>
        <w:t>目录</w:t>
      </w:r>
    </w:p>
    <w:p>
      <w:pPr>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1、供应商基本情况表（附件6）</w:t>
      </w:r>
    </w:p>
    <w:p>
      <w:pPr>
        <w:pStyle w:val="46"/>
        <w:spacing w:line="360" w:lineRule="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2、供货清单（附件9）；</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3、商务及技术需求响应表等（附件10）；</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4、其余内容根据评标办法自拟；（格式可参考附件）；</w:t>
      </w:r>
    </w:p>
    <w:p>
      <w:pPr>
        <w:pStyle w:val="46"/>
        <w:rPr>
          <w:rFonts w:ascii="宋体" w:hAnsi="宋体" w:eastAsia="宋体" w:cs="宋体"/>
          <w:color w:val="auto"/>
          <w:highlight w:val="none"/>
        </w:rPr>
      </w:pPr>
    </w:p>
    <w:p>
      <w:pPr>
        <w:pStyle w:val="22"/>
        <w:adjustRightInd w:val="0"/>
        <w:snapToGrid w:val="0"/>
        <w:spacing w:line="360" w:lineRule="auto"/>
        <w:rPr>
          <w:rFonts w:hAnsi="宋体" w:cs="宋体"/>
          <w:color w:val="auto"/>
          <w:sz w:val="24"/>
          <w:highlight w:val="none"/>
        </w:rPr>
        <w:sectPr>
          <w:pgSz w:w="11906" w:h="16838"/>
          <w:pgMar w:top="1440" w:right="1800" w:bottom="1440" w:left="1800" w:header="851" w:footer="992" w:gutter="0"/>
          <w:pgNumType w:fmt="numberInDash"/>
          <w:cols w:space="425" w:num="1"/>
          <w:docGrid w:type="lines" w:linePitch="312" w:charSpace="0"/>
        </w:sectPr>
      </w:pPr>
      <w:r>
        <w:rPr>
          <w:rFonts w:hint="eastAsia" w:hAnsi="宋体" w:cs="宋体"/>
          <w:color w:val="auto"/>
          <w:sz w:val="24"/>
          <w:highlight w:val="none"/>
        </w:rPr>
        <w:t>招标需求中要求提供的相关证明材料及根据评标办法提供的证明材料均需在投标文件中提供扫描件。</w:t>
      </w:r>
    </w:p>
    <w:p>
      <w:pPr>
        <w:pStyle w:val="53"/>
        <w:shd w:val="clear" w:color="auto" w:fill="FFFFFF"/>
        <w:spacing w:before="0" w:beforeAutospacing="0" w:after="0" w:afterAutospacing="0" w:line="360" w:lineRule="auto"/>
        <w:rPr>
          <w:b/>
          <w:color w:val="auto"/>
          <w:sz w:val="28"/>
          <w:highlight w:val="none"/>
        </w:rPr>
      </w:pPr>
      <w:r>
        <w:rPr>
          <w:rFonts w:hint="eastAsia"/>
          <w:b/>
          <w:color w:val="auto"/>
          <w:sz w:val="28"/>
          <w:highlight w:val="none"/>
        </w:rPr>
        <w:t>附件6</w:t>
      </w:r>
    </w:p>
    <w:p>
      <w:pPr>
        <w:pStyle w:val="53"/>
        <w:shd w:val="clear" w:color="auto" w:fill="FFFFFF"/>
        <w:spacing w:before="0" w:beforeAutospacing="0" w:after="0" w:afterAutospacing="0" w:line="360" w:lineRule="auto"/>
        <w:jc w:val="center"/>
        <w:rPr>
          <w:b/>
          <w:bCs/>
          <w:color w:val="auto"/>
          <w:spacing w:val="21"/>
          <w:sz w:val="32"/>
          <w:szCs w:val="32"/>
          <w:highlight w:val="none"/>
        </w:rPr>
      </w:pPr>
      <w:r>
        <w:rPr>
          <w:rFonts w:hint="eastAsia"/>
          <w:b/>
          <w:color w:val="auto"/>
          <w:sz w:val="32"/>
          <w:szCs w:val="32"/>
          <w:highlight w:val="none"/>
        </w:rPr>
        <w:t>供应商</w:t>
      </w:r>
      <w:r>
        <w:rPr>
          <w:rFonts w:hint="eastAsia"/>
          <w:b/>
          <w:bCs/>
          <w:color w:val="auto"/>
          <w:spacing w:val="21"/>
          <w:sz w:val="32"/>
          <w:szCs w:val="32"/>
          <w:highlight w:val="none"/>
        </w:rPr>
        <w:t>基本情况表</w:t>
      </w:r>
    </w:p>
    <w:tbl>
      <w:tblPr>
        <w:tblStyle w:val="35"/>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pPr>
              <w:pStyle w:val="53"/>
              <w:shd w:val="clear" w:color="auto" w:fill="FFFFFF"/>
              <w:spacing w:line="360" w:lineRule="auto"/>
              <w:rPr>
                <w:bCs/>
                <w:color w:val="auto"/>
                <w:highlight w:val="none"/>
              </w:rPr>
            </w:pPr>
            <w:r>
              <w:rPr>
                <w:rFonts w:hint="eastAsia"/>
                <w:bCs/>
                <w:color w:val="auto"/>
                <w:spacing w:val="27"/>
                <w:highlight w:val="none"/>
              </w:rPr>
              <w:t>企业名称</w:t>
            </w:r>
          </w:p>
        </w:tc>
        <w:tc>
          <w:tcPr>
            <w:tcW w:w="3979" w:type="dxa"/>
            <w:gridSpan w:val="6"/>
          </w:tcPr>
          <w:p>
            <w:pPr>
              <w:pStyle w:val="53"/>
              <w:shd w:val="clear" w:color="auto" w:fill="FFFFFF"/>
              <w:spacing w:line="360" w:lineRule="auto"/>
              <w:rPr>
                <w:bCs/>
                <w:color w:val="auto"/>
                <w:highlight w:val="none"/>
              </w:rPr>
            </w:pPr>
          </w:p>
        </w:tc>
        <w:tc>
          <w:tcPr>
            <w:tcW w:w="2001" w:type="dxa"/>
            <w:gridSpan w:val="3"/>
          </w:tcPr>
          <w:p>
            <w:pPr>
              <w:pStyle w:val="53"/>
              <w:shd w:val="clear" w:color="auto" w:fill="FFFFFF"/>
              <w:spacing w:line="360" w:lineRule="auto"/>
              <w:rPr>
                <w:bCs/>
                <w:color w:val="auto"/>
                <w:highlight w:val="none"/>
              </w:rPr>
            </w:pPr>
            <w:r>
              <w:rPr>
                <w:rFonts w:hint="eastAsia"/>
                <w:bCs/>
                <w:color w:val="auto"/>
                <w:spacing w:val="16"/>
                <w:highlight w:val="none"/>
              </w:rPr>
              <w:t>法人代表</w:t>
            </w:r>
          </w:p>
        </w:tc>
        <w:tc>
          <w:tcPr>
            <w:tcW w:w="2151" w:type="dxa"/>
            <w:gridSpan w:val="2"/>
          </w:tcPr>
          <w:p>
            <w:pPr>
              <w:pStyle w:val="53"/>
              <w:shd w:val="clear" w:color="auto" w:fill="FFFFFF"/>
              <w:spacing w:line="360" w:lineRule="auto"/>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pPr>
              <w:pStyle w:val="53"/>
              <w:shd w:val="clear" w:color="auto" w:fill="FFFFFF"/>
              <w:spacing w:line="360" w:lineRule="auto"/>
              <w:rPr>
                <w:bCs/>
                <w:color w:val="auto"/>
                <w:spacing w:val="16"/>
                <w:highlight w:val="none"/>
              </w:rPr>
            </w:pPr>
            <w:r>
              <w:rPr>
                <w:rFonts w:hint="eastAsia"/>
                <w:bCs/>
                <w:color w:val="auto"/>
                <w:spacing w:val="27"/>
                <w:highlight w:val="none"/>
              </w:rPr>
              <w:t>地址</w:t>
            </w:r>
          </w:p>
        </w:tc>
        <w:tc>
          <w:tcPr>
            <w:tcW w:w="3979" w:type="dxa"/>
            <w:gridSpan w:val="6"/>
            <w:tcBorders>
              <w:bottom w:val="single" w:color="auto" w:sz="4" w:space="0"/>
            </w:tcBorders>
          </w:tcPr>
          <w:p>
            <w:pPr>
              <w:pStyle w:val="53"/>
              <w:shd w:val="clear" w:color="auto" w:fill="FFFFFF"/>
              <w:spacing w:line="360" w:lineRule="auto"/>
              <w:rPr>
                <w:bCs/>
                <w:color w:val="auto"/>
                <w:spacing w:val="16"/>
                <w:highlight w:val="none"/>
              </w:rPr>
            </w:pPr>
          </w:p>
        </w:tc>
        <w:tc>
          <w:tcPr>
            <w:tcW w:w="2001" w:type="dxa"/>
            <w:gridSpan w:val="3"/>
          </w:tcPr>
          <w:p>
            <w:pPr>
              <w:pStyle w:val="53"/>
              <w:shd w:val="clear" w:color="auto" w:fill="FFFFFF"/>
              <w:spacing w:line="360" w:lineRule="auto"/>
              <w:rPr>
                <w:bCs/>
                <w:color w:val="auto"/>
                <w:spacing w:val="16"/>
                <w:highlight w:val="none"/>
              </w:rPr>
            </w:pPr>
            <w:r>
              <w:rPr>
                <w:rFonts w:hint="eastAsia"/>
                <w:bCs/>
                <w:color w:val="auto"/>
                <w:spacing w:val="16"/>
                <w:highlight w:val="none"/>
              </w:rPr>
              <w:t>企业性质</w:t>
            </w:r>
          </w:p>
        </w:tc>
        <w:tc>
          <w:tcPr>
            <w:tcW w:w="2151" w:type="dxa"/>
            <w:gridSpan w:val="2"/>
          </w:tcPr>
          <w:p>
            <w:pPr>
              <w:pStyle w:val="53"/>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53"/>
              <w:shd w:val="clear" w:color="auto" w:fill="FFFFFF"/>
              <w:spacing w:line="360" w:lineRule="auto"/>
              <w:rPr>
                <w:bCs/>
                <w:color w:val="auto"/>
                <w:spacing w:val="16"/>
                <w:highlight w:val="none"/>
              </w:rPr>
            </w:pPr>
            <w:r>
              <w:rPr>
                <w:rFonts w:hint="eastAsia"/>
                <w:bCs/>
                <w:color w:val="auto"/>
                <w:spacing w:val="27"/>
                <w:highlight w:val="none"/>
              </w:rPr>
              <w:t>股东姓名</w:t>
            </w:r>
          </w:p>
        </w:tc>
        <w:tc>
          <w:tcPr>
            <w:tcW w:w="701" w:type="dxa"/>
            <w:tcBorders>
              <w:bottom w:val="single" w:color="auto" w:sz="4" w:space="0"/>
            </w:tcBorders>
          </w:tcPr>
          <w:p>
            <w:pPr>
              <w:pStyle w:val="53"/>
              <w:shd w:val="clear" w:color="auto" w:fill="FFFFFF"/>
              <w:spacing w:before="0" w:beforeAutospacing="0" w:after="0" w:afterAutospacing="0" w:line="360" w:lineRule="auto"/>
              <w:rPr>
                <w:bCs/>
                <w:color w:val="auto"/>
                <w:spacing w:val="16"/>
                <w:highlight w:val="none"/>
              </w:rPr>
            </w:pPr>
          </w:p>
        </w:tc>
        <w:tc>
          <w:tcPr>
            <w:tcW w:w="910" w:type="dxa"/>
            <w:gridSpan w:val="2"/>
            <w:tcBorders>
              <w:bottom w:val="single" w:color="auto" w:sz="4" w:space="0"/>
            </w:tcBorders>
          </w:tcPr>
          <w:p>
            <w:pPr>
              <w:pStyle w:val="53"/>
              <w:shd w:val="clear" w:color="auto" w:fill="FFFFFF"/>
              <w:spacing w:line="360" w:lineRule="auto"/>
              <w:rPr>
                <w:bCs/>
                <w:color w:val="auto"/>
                <w:spacing w:val="16"/>
                <w:highlight w:val="none"/>
              </w:rPr>
            </w:pPr>
            <w:r>
              <w:rPr>
                <w:rFonts w:hint="eastAsia"/>
                <w:bCs/>
                <w:color w:val="auto"/>
                <w:spacing w:val="16"/>
                <w:highlight w:val="none"/>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auto"/>
                <w:spacing w:val="16"/>
                <w:kern w:val="0"/>
                <w:sz w:val="24"/>
                <w:highlight w:val="none"/>
              </w:rPr>
            </w:pPr>
          </w:p>
          <w:p>
            <w:pPr>
              <w:pStyle w:val="53"/>
              <w:shd w:val="clear" w:color="auto" w:fill="FFFFFF"/>
              <w:spacing w:line="360" w:lineRule="auto"/>
              <w:rPr>
                <w:bCs/>
                <w:color w:val="auto"/>
                <w:spacing w:val="16"/>
                <w:highlight w:val="none"/>
              </w:rPr>
            </w:pPr>
          </w:p>
        </w:tc>
        <w:tc>
          <w:tcPr>
            <w:tcW w:w="2001" w:type="dxa"/>
            <w:gridSpan w:val="3"/>
          </w:tcPr>
          <w:p>
            <w:pPr>
              <w:pStyle w:val="53"/>
              <w:shd w:val="clear" w:color="auto" w:fill="FFFFFF"/>
              <w:spacing w:line="360" w:lineRule="auto"/>
              <w:ind w:left="107"/>
              <w:rPr>
                <w:bCs/>
                <w:color w:val="auto"/>
                <w:spacing w:val="16"/>
                <w:highlight w:val="none"/>
              </w:rPr>
            </w:pPr>
            <w:r>
              <w:rPr>
                <w:rFonts w:hint="eastAsia"/>
                <w:bCs/>
                <w:color w:val="auto"/>
                <w:spacing w:val="16"/>
                <w:highlight w:val="none"/>
              </w:rPr>
              <w:t>股东关系</w:t>
            </w:r>
          </w:p>
        </w:tc>
        <w:tc>
          <w:tcPr>
            <w:tcW w:w="2151" w:type="dxa"/>
            <w:gridSpan w:val="2"/>
          </w:tcPr>
          <w:p>
            <w:pPr>
              <w:pStyle w:val="53"/>
              <w:shd w:val="clear" w:color="auto" w:fill="FFFFFF"/>
              <w:spacing w:line="360" w:lineRule="auto"/>
              <w:ind w:left="107"/>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pPr>
              <w:pStyle w:val="53"/>
              <w:shd w:val="clear" w:color="auto" w:fill="FFFFFF"/>
              <w:spacing w:line="360" w:lineRule="auto"/>
              <w:rPr>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701" w:type="dxa"/>
            <w:vMerge w:val="restart"/>
            <w:tcBorders>
              <w:top w:val="nil"/>
            </w:tcBorders>
          </w:tcPr>
          <w:p>
            <w:pPr>
              <w:pStyle w:val="53"/>
              <w:shd w:val="clear" w:color="auto" w:fill="FFFFFF"/>
              <w:spacing w:line="360" w:lineRule="auto"/>
              <w:rPr>
                <w:bCs/>
                <w:color w:val="auto"/>
                <w:spacing w:val="16"/>
                <w:highlight w:val="none"/>
              </w:rPr>
            </w:pPr>
          </w:p>
        </w:tc>
        <w:tc>
          <w:tcPr>
            <w:tcW w:w="910" w:type="dxa"/>
            <w:gridSpan w:val="2"/>
            <w:tcBorders>
              <w:top w:val="nil"/>
              <w:bottom w:val="single" w:color="auto" w:sz="4" w:space="0"/>
            </w:tcBorders>
          </w:tcPr>
          <w:p>
            <w:pPr>
              <w:pStyle w:val="53"/>
              <w:shd w:val="clear" w:color="auto" w:fill="FFFFFF"/>
              <w:spacing w:line="360" w:lineRule="auto"/>
              <w:rPr>
                <w:bCs/>
                <w:color w:val="auto"/>
                <w:spacing w:val="16"/>
                <w:highlight w:val="none"/>
              </w:rPr>
            </w:pPr>
            <w:r>
              <w:rPr>
                <w:rFonts w:hint="eastAsia"/>
                <w:bCs/>
                <w:color w:val="auto"/>
                <w:spacing w:val="16"/>
                <w:highlight w:val="none"/>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auto"/>
                <w:spacing w:val="16"/>
                <w:kern w:val="0"/>
                <w:sz w:val="24"/>
                <w:highlight w:val="none"/>
              </w:rPr>
            </w:pPr>
          </w:p>
          <w:p>
            <w:pPr>
              <w:pStyle w:val="53"/>
              <w:shd w:val="clear" w:color="auto" w:fill="FFFFFF"/>
              <w:spacing w:line="360" w:lineRule="auto"/>
              <w:rPr>
                <w:bCs/>
                <w:color w:val="auto"/>
                <w:spacing w:val="16"/>
                <w:highlight w:val="none"/>
              </w:rPr>
            </w:pPr>
          </w:p>
        </w:tc>
        <w:tc>
          <w:tcPr>
            <w:tcW w:w="2001" w:type="dxa"/>
            <w:gridSpan w:val="3"/>
            <w:vMerge w:val="restart"/>
          </w:tcPr>
          <w:p>
            <w:pPr>
              <w:pStyle w:val="53"/>
              <w:shd w:val="clear" w:color="auto" w:fill="FFFFFF"/>
              <w:spacing w:before="0" w:beforeAutospacing="0" w:after="0" w:afterAutospacing="0" w:line="360" w:lineRule="auto"/>
              <w:rPr>
                <w:bCs/>
                <w:color w:val="auto"/>
                <w:spacing w:val="16"/>
                <w:highlight w:val="none"/>
              </w:rPr>
            </w:pPr>
            <w:r>
              <w:rPr>
                <w:rFonts w:hint="eastAsia"/>
                <w:bCs/>
                <w:color w:val="auto"/>
                <w:spacing w:val="16"/>
                <w:highlight w:val="none"/>
              </w:rPr>
              <w:t>传真</w:t>
            </w:r>
          </w:p>
        </w:tc>
        <w:tc>
          <w:tcPr>
            <w:tcW w:w="2151" w:type="dxa"/>
            <w:gridSpan w:val="2"/>
            <w:vMerge w:val="restart"/>
          </w:tcPr>
          <w:p>
            <w:pPr>
              <w:pStyle w:val="53"/>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53"/>
              <w:shd w:val="clear" w:color="auto" w:fill="FFFFFF"/>
              <w:spacing w:line="360" w:lineRule="auto"/>
              <w:ind w:left="107"/>
              <w:rPr>
                <w:bCs/>
                <w:color w:val="auto"/>
                <w:highlight w:val="none"/>
              </w:rPr>
            </w:pPr>
          </w:p>
        </w:tc>
        <w:tc>
          <w:tcPr>
            <w:tcW w:w="701" w:type="dxa"/>
            <w:vMerge w:val="continue"/>
            <w:tcBorders>
              <w:bottom w:val="single" w:color="auto" w:sz="4" w:space="0"/>
            </w:tcBorders>
          </w:tcPr>
          <w:p>
            <w:pPr>
              <w:pStyle w:val="53"/>
              <w:shd w:val="clear" w:color="auto" w:fill="FFFFFF"/>
              <w:spacing w:line="360" w:lineRule="auto"/>
              <w:rPr>
                <w:bCs/>
                <w:color w:val="auto"/>
                <w:spacing w:val="16"/>
                <w:highlight w:val="none"/>
              </w:rPr>
            </w:pPr>
          </w:p>
        </w:tc>
        <w:tc>
          <w:tcPr>
            <w:tcW w:w="910" w:type="dxa"/>
            <w:gridSpan w:val="2"/>
            <w:tcBorders>
              <w:bottom w:val="single" w:color="auto" w:sz="4" w:space="0"/>
            </w:tcBorders>
          </w:tcPr>
          <w:p>
            <w:pPr>
              <w:pStyle w:val="53"/>
              <w:shd w:val="clear" w:color="auto" w:fill="FFFFFF"/>
              <w:spacing w:line="360" w:lineRule="auto"/>
              <w:rPr>
                <w:bCs/>
                <w:color w:val="auto"/>
                <w:spacing w:val="16"/>
                <w:highlight w:val="none"/>
              </w:rPr>
            </w:pPr>
            <w:r>
              <w:rPr>
                <w:rFonts w:hint="eastAsia"/>
                <w:bCs/>
                <w:color w:val="auto"/>
                <w:spacing w:val="27"/>
                <w:highlight w:val="none"/>
              </w:rPr>
              <w:t>手机</w:t>
            </w:r>
          </w:p>
        </w:tc>
        <w:tc>
          <w:tcPr>
            <w:tcW w:w="2368" w:type="dxa"/>
            <w:gridSpan w:val="3"/>
            <w:tcBorders>
              <w:bottom w:val="single" w:color="auto" w:sz="4" w:space="0"/>
            </w:tcBorders>
          </w:tcPr>
          <w:p>
            <w:pPr>
              <w:pStyle w:val="53"/>
              <w:shd w:val="clear" w:color="auto" w:fill="FFFFFF"/>
              <w:spacing w:line="360" w:lineRule="auto"/>
              <w:rPr>
                <w:bCs/>
                <w:color w:val="auto"/>
                <w:spacing w:val="16"/>
                <w:highlight w:val="none"/>
              </w:rPr>
            </w:pPr>
          </w:p>
        </w:tc>
        <w:tc>
          <w:tcPr>
            <w:tcW w:w="2001" w:type="dxa"/>
            <w:gridSpan w:val="3"/>
            <w:vMerge w:val="continue"/>
          </w:tcPr>
          <w:p>
            <w:pPr>
              <w:pStyle w:val="53"/>
              <w:shd w:val="clear" w:color="auto" w:fill="FFFFFF"/>
              <w:spacing w:line="360" w:lineRule="auto"/>
              <w:rPr>
                <w:bCs/>
                <w:color w:val="auto"/>
                <w:spacing w:val="16"/>
                <w:highlight w:val="none"/>
              </w:rPr>
            </w:pPr>
          </w:p>
        </w:tc>
        <w:tc>
          <w:tcPr>
            <w:tcW w:w="2151" w:type="dxa"/>
            <w:gridSpan w:val="2"/>
            <w:vMerge w:val="continue"/>
          </w:tcPr>
          <w:p>
            <w:pPr>
              <w:pStyle w:val="53"/>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pPr>
              <w:pStyle w:val="53"/>
              <w:shd w:val="clear" w:color="auto" w:fill="FFFFFF"/>
              <w:spacing w:line="360" w:lineRule="auto"/>
              <w:ind w:left="107"/>
              <w:rPr>
                <w:bCs/>
                <w:color w:val="auto"/>
                <w:highlight w:val="none"/>
              </w:rPr>
            </w:pPr>
            <w:r>
              <w:rPr>
                <w:rFonts w:hint="eastAsia"/>
                <w:bCs/>
                <w:color w:val="auto"/>
                <w:highlight w:val="none"/>
              </w:rPr>
              <w:t>1.</w:t>
            </w:r>
          </w:p>
          <w:p>
            <w:pPr>
              <w:pStyle w:val="53"/>
              <w:shd w:val="clear" w:color="auto" w:fill="FFFFFF"/>
              <w:spacing w:line="360" w:lineRule="auto"/>
              <w:ind w:left="107"/>
              <w:rPr>
                <w:bCs/>
                <w:color w:val="auto"/>
                <w:highlight w:val="none"/>
              </w:rPr>
            </w:pPr>
            <w:r>
              <w:rPr>
                <w:rFonts w:hint="eastAsia"/>
                <w:bCs/>
                <w:color w:val="auto"/>
                <w:highlight w:val="none"/>
              </w:rPr>
              <w:t>企</w:t>
            </w:r>
          </w:p>
          <w:p>
            <w:pPr>
              <w:pStyle w:val="53"/>
              <w:shd w:val="clear" w:color="auto" w:fill="FFFFFF"/>
              <w:spacing w:line="360" w:lineRule="auto"/>
              <w:ind w:left="107"/>
              <w:rPr>
                <w:bCs/>
                <w:color w:val="auto"/>
                <w:highlight w:val="none"/>
              </w:rPr>
            </w:pPr>
            <w:r>
              <w:rPr>
                <w:rFonts w:hint="eastAsia"/>
                <w:bCs/>
                <w:color w:val="auto"/>
                <w:highlight w:val="none"/>
              </w:rPr>
              <w:t>业</w:t>
            </w:r>
          </w:p>
          <w:p>
            <w:pPr>
              <w:pStyle w:val="53"/>
              <w:shd w:val="clear" w:color="auto" w:fill="FFFFFF"/>
              <w:spacing w:line="360" w:lineRule="auto"/>
              <w:ind w:left="107"/>
              <w:rPr>
                <w:bCs/>
                <w:color w:val="auto"/>
                <w:spacing w:val="27"/>
                <w:highlight w:val="none"/>
              </w:rPr>
            </w:pPr>
            <w:r>
              <w:rPr>
                <w:rFonts w:hint="eastAsia"/>
                <w:bCs/>
                <w:color w:val="auto"/>
                <w:spacing w:val="27"/>
                <w:highlight w:val="none"/>
              </w:rPr>
              <w:t>概</w:t>
            </w:r>
          </w:p>
          <w:p>
            <w:pPr>
              <w:pStyle w:val="53"/>
              <w:shd w:val="clear" w:color="auto" w:fill="FFFFFF"/>
              <w:spacing w:line="360" w:lineRule="auto"/>
              <w:ind w:left="107"/>
              <w:rPr>
                <w:bCs/>
                <w:color w:val="auto"/>
                <w:highlight w:val="none"/>
              </w:rPr>
            </w:pPr>
            <w:r>
              <w:rPr>
                <w:rFonts w:hint="eastAsia"/>
                <w:bCs/>
                <w:color w:val="auto"/>
                <w:spacing w:val="27"/>
                <w:highlight w:val="none"/>
              </w:rPr>
              <w:t>况</w:t>
            </w:r>
          </w:p>
        </w:tc>
        <w:tc>
          <w:tcPr>
            <w:tcW w:w="701" w:type="dxa"/>
            <w:tcBorders>
              <w:top w:val="nil"/>
            </w:tcBorders>
          </w:tcPr>
          <w:p>
            <w:pPr>
              <w:pStyle w:val="53"/>
              <w:shd w:val="clear" w:color="auto" w:fill="FFFFFF"/>
              <w:spacing w:line="360" w:lineRule="auto"/>
              <w:rPr>
                <w:bCs/>
                <w:color w:val="auto"/>
                <w:spacing w:val="16"/>
                <w:highlight w:val="none"/>
              </w:rPr>
            </w:pPr>
            <w:r>
              <w:rPr>
                <w:rFonts w:hint="eastAsia"/>
                <w:bCs/>
                <w:color w:val="auto"/>
                <w:spacing w:val="16"/>
                <w:highlight w:val="none"/>
              </w:rPr>
              <w:t>职工人数</w:t>
            </w:r>
          </w:p>
        </w:tc>
        <w:tc>
          <w:tcPr>
            <w:tcW w:w="910" w:type="dxa"/>
            <w:gridSpan w:val="2"/>
            <w:tcBorders>
              <w:top w:val="nil"/>
            </w:tcBorders>
          </w:tcPr>
          <w:p>
            <w:pPr>
              <w:pStyle w:val="53"/>
              <w:shd w:val="clear" w:color="auto" w:fill="FFFFFF"/>
              <w:spacing w:line="360" w:lineRule="auto"/>
              <w:rPr>
                <w:bCs/>
                <w:color w:val="auto"/>
                <w:spacing w:val="16"/>
                <w:highlight w:val="none"/>
              </w:rPr>
            </w:pPr>
          </w:p>
        </w:tc>
        <w:tc>
          <w:tcPr>
            <w:tcW w:w="1163" w:type="dxa"/>
            <w:tcBorders>
              <w:top w:val="nil"/>
            </w:tcBorders>
          </w:tcPr>
          <w:p>
            <w:pPr>
              <w:pStyle w:val="53"/>
              <w:shd w:val="clear" w:color="auto" w:fill="FFFFFF"/>
              <w:spacing w:before="0" w:beforeAutospacing="0" w:after="0" w:afterAutospacing="0" w:line="360" w:lineRule="auto"/>
              <w:rPr>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205" w:type="dxa"/>
            <w:gridSpan w:val="2"/>
            <w:tcBorders>
              <w:top w:val="nil"/>
            </w:tcBorders>
          </w:tcPr>
          <w:p>
            <w:pPr>
              <w:widowControl/>
              <w:spacing w:line="360" w:lineRule="auto"/>
              <w:jc w:val="left"/>
              <w:rPr>
                <w:rFonts w:ascii="宋体" w:hAnsi="宋体" w:cs="宋体"/>
                <w:bCs/>
                <w:color w:val="auto"/>
                <w:spacing w:val="16"/>
                <w:kern w:val="0"/>
                <w:sz w:val="24"/>
                <w:highlight w:val="none"/>
              </w:rPr>
            </w:pPr>
          </w:p>
          <w:p>
            <w:pPr>
              <w:widowControl/>
              <w:spacing w:line="360" w:lineRule="auto"/>
              <w:jc w:val="left"/>
              <w:rPr>
                <w:rFonts w:ascii="宋体" w:hAnsi="宋体" w:cs="宋体"/>
                <w:bCs/>
                <w:color w:val="auto"/>
                <w:spacing w:val="16"/>
                <w:kern w:val="0"/>
                <w:sz w:val="24"/>
                <w:highlight w:val="none"/>
              </w:rPr>
            </w:pPr>
          </w:p>
          <w:p>
            <w:pPr>
              <w:pStyle w:val="53"/>
              <w:shd w:val="clear" w:color="auto" w:fill="FFFFFF"/>
              <w:spacing w:line="360" w:lineRule="auto"/>
              <w:rPr>
                <w:bCs/>
                <w:color w:val="auto"/>
                <w:spacing w:val="16"/>
                <w:highlight w:val="none"/>
              </w:rPr>
            </w:pPr>
          </w:p>
        </w:tc>
        <w:tc>
          <w:tcPr>
            <w:tcW w:w="2001" w:type="dxa"/>
            <w:gridSpan w:val="3"/>
          </w:tcPr>
          <w:p>
            <w:pPr>
              <w:pStyle w:val="53"/>
              <w:shd w:val="clear" w:color="auto" w:fill="FFFFFF"/>
              <w:spacing w:line="360" w:lineRule="auto"/>
              <w:rPr>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151" w:type="dxa"/>
            <w:gridSpan w:val="2"/>
          </w:tcPr>
          <w:p>
            <w:pPr>
              <w:widowControl/>
              <w:spacing w:line="360" w:lineRule="auto"/>
              <w:jc w:val="left"/>
              <w:rPr>
                <w:rFonts w:ascii="宋体" w:hAnsi="宋体" w:cs="宋体"/>
                <w:bCs/>
                <w:color w:val="auto"/>
                <w:spacing w:val="16"/>
                <w:kern w:val="0"/>
                <w:sz w:val="24"/>
                <w:highlight w:val="none"/>
              </w:rPr>
            </w:pPr>
          </w:p>
          <w:p>
            <w:pPr>
              <w:pStyle w:val="53"/>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pPr>
              <w:pStyle w:val="53"/>
              <w:shd w:val="clear" w:color="auto" w:fill="FFFFFF"/>
              <w:spacing w:line="360" w:lineRule="auto"/>
              <w:ind w:left="107"/>
              <w:rPr>
                <w:bCs/>
                <w:color w:val="auto"/>
                <w:highlight w:val="none"/>
              </w:rPr>
            </w:pPr>
          </w:p>
        </w:tc>
        <w:tc>
          <w:tcPr>
            <w:tcW w:w="701" w:type="dxa"/>
          </w:tcPr>
          <w:p>
            <w:pPr>
              <w:pStyle w:val="53"/>
              <w:shd w:val="clear" w:color="auto" w:fill="FFFFFF"/>
              <w:spacing w:line="360" w:lineRule="auto"/>
              <w:rPr>
                <w:bCs/>
                <w:color w:val="auto"/>
                <w:highlight w:val="none"/>
              </w:rPr>
            </w:pPr>
            <w:r>
              <w:rPr>
                <w:rFonts w:hint="eastAsia"/>
                <w:bCs/>
                <w:color w:val="auto"/>
                <w:spacing w:val="16"/>
                <w:highlight w:val="none"/>
              </w:rPr>
              <w:t>占地面积</w:t>
            </w:r>
          </w:p>
        </w:tc>
        <w:tc>
          <w:tcPr>
            <w:tcW w:w="910" w:type="dxa"/>
            <w:gridSpan w:val="2"/>
          </w:tcPr>
          <w:p>
            <w:pPr>
              <w:pStyle w:val="53"/>
              <w:shd w:val="clear" w:color="auto" w:fill="FFFFFF"/>
              <w:spacing w:line="360" w:lineRule="auto"/>
              <w:rPr>
                <w:bCs/>
                <w:color w:val="auto"/>
                <w:highlight w:val="none"/>
              </w:rPr>
            </w:pPr>
          </w:p>
        </w:tc>
        <w:tc>
          <w:tcPr>
            <w:tcW w:w="1163" w:type="dxa"/>
          </w:tcPr>
          <w:p>
            <w:pPr>
              <w:pStyle w:val="53"/>
              <w:shd w:val="clear" w:color="auto" w:fill="FFFFFF"/>
              <w:spacing w:line="360" w:lineRule="auto"/>
              <w:rPr>
                <w:bCs/>
                <w:color w:val="auto"/>
                <w:highlight w:val="none"/>
              </w:rPr>
            </w:pPr>
            <w:r>
              <w:rPr>
                <w:rFonts w:hint="eastAsia"/>
                <w:bCs/>
                <w:color w:val="auto"/>
                <w:spacing w:val="16"/>
                <w:highlight w:val="none"/>
              </w:rPr>
              <w:t>建筑面积</w:t>
            </w:r>
          </w:p>
        </w:tc>
        <w:tc>
          <w:tcPr>
            <w:tcW w:w="1205" w:type="dxa"/>
            <w:gridSpan w:val="2"/>
          </w:tcPr>
          <w:p>
            <w:pPr>
              <w:pStyle w:val="53"/>
              <w:shd w:val="clear" w:color="auto" w:fill="FFFFFF"/>
              <w:spacing w:line="360" w:lineRule="auto"/>
              <w:ind w:firstLine="480" w:firstLineChars="200"/>
              <w:rPr>
                <w:bCs/>
                <w:color w:val="auto"/>
                <w:highlight w:val="none"/>
              </w:rPr>
            </w:pPr>
            <w:r>
              <w:rPr>
                <w:rFonts w:hint="eastAsia"/>
                <w:bCs/>
                <w:color w:val="auto"/>
                <w:highlight w:val="none"/>
              </w:rPr>
              <w:t xml:space="preserve">平方米 </w:t>
            </w:r>
          </w:p>
          <w:p>
            <w:pPr>
              <w:pStyle w:val="53"/>
              <w:shd w:val="clear" w:color="auto" w:fill="FFFFFF"/>
              <w:spacing w:line="360" w:lineRule="auto"/>
              <w:rPr>
                <w:bCs/>
                <w:color w:val="auto"/>
                <w:highlight w:val="none"/>
              </w:rPr>
            </w:pPr>
            <w:r>
              <w:rPr>
                <w:rFonts w:hint="eastAsia"/>
                <w:bCs/>
                <w:color w:val="auto"/>
                <w:spacing w:val="16"/>
                <w:highlight w:val="none"/>
              </w:rPr>
              <w:t>□自有□租賃</w:t>
            </w:r>
          </w:p>
        </w:tc>
        <w:tc>
          <w:tcPr>
            <w:tcW w:w="2001" w:type="dxa"/>
            <w:gridSpan w:val="3"/>
          </w:tcPr>
          <w:p>
            <w:pPr>
              <w:pStyle w:val="53"/>
              <w:shd w:val="clear" w:color="auto" w:fill="FFFFFF"/>
              <w:spacing w:line="360" w:lineRule="auto"/>
              <w:rPr>
                <w:bCs/>
                <w:color w:val="auto"/>
                <w:highlight w:val="none"/>
              </w:rPr>
            </w:pPr>
            <w:r>
              <w:rPr>
                <w:rFonts w:hint="eastAsia"/>
                <w:bCs/>
                <w:color w:val="auto"/>
                <w:spacing w:val="16"/>
                <w:highlight w:val="none"/>
              </w:rPr>
              <w:t>生产经营场所及场所的设施与设备</w:t>
            </w:r>
          </w:p>
        </w:tc>
        <w:tc>
          <w:tcPr>
            <w:tcW w:w="2151" w:type="dxa"/>
            <w:gridSpan w:val="2"/>
          </w:tcPr>
          <w:p>
            <w:pPr>
              <w:pStyle w:val="53"/>
              <w:shd w:val="clear" w:color="auto" w:fill="FFFFFF"/>
              <w:spacing w:before="0" w:beforeAutospacing="0" w:after="0" w:afterAutospacing="0"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pPr>
              <w:pStyle w:val="53"/>
              <w:shd w:val="clear" w:color="auto" w:fill="FFFFFF"/>
              <w:spacing w:line="360" w:lineRule="auto"/>
              <w:ind w:left="107"/>
              <w:rPr>
                <w:bCs/>
                <w:color w:val="auto"/>
                <w:highlight w:val="none"/>
              </w:rPr>
            </w:pPr>
          </w:p>
        </w:tc>
        <w:tc>
          <w:tcPr>
            <w:tcW w:w="701" w:type="dxa"/>
          </w:tcPr>
          <w:p>
            <w:pPr>
              <w:pStyle w:val="53"/>
              <w:shd w:val="clear" w:color="auto" w:fill="FFFFFF"/>
              <w:spacing w:line="360" w:lineRule="auto"/>
              <w:ind w:left="2"/>
              <w:rPr>
                <w:bCs/>
                <w:color w:val="auto"/>
                <w:spacing w:val="16"/>
                <w:highlight w:val="none"/>
              </w:rPr>
            </w:pPr>
            <w:r>
              <w:rPr>
                <w:rFonts w:hint="eastAsia"/>
                <w:bCs/>
                <w:color w:val="auto"/>
                <w:spacing w:val="16"/>
                <w:highlight w:val="none"/>
              </w:rPr>
              <w:t>注册资金</w:t>
            </w:r>
          </w:p>
        </w:tc>
        <w:tc>
          <w:tcPr>
            <w:tcW w:w="910" w:type="dxa"/>
            <w:gridSpan w:val="2"/>
          </w:tcPr>
          <w:p>
            <w:pPr>
              <w:pStyle w:val="53"/>
              <w:shd w:val="clear" w:color="auto" w:fill="FFFFFF"/>
              <w:spacing w:line="360" w:lineRule="auto"/>
              <w:ind w:left="2"/>
              <w:rPr>
                <w:bCs/>
                <w:color w:val="auto"/>
                <w:highlight w:val="none"/>
              </w:rPr>
            </w:pPr>
          </w:p>
        </w:tc>
        <w:tc>
          <w:tcPr>
            <w:tcW w:w="1163" w:type="dxa"/>
          </w:tcPr>
          <w:p>
            <w:pPr>
              <w:pStyle w:val="53"/>
              <w:shd w:val="clear" w:color="auto" w:fill="FFFFFF"/>
              <w:spacing w:line="360" w:lineRule="auto"/>
              <w:ind w:left="107"/>
              <w:rPr>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3206" w:type="dxa"/>
            <w:gridSpan w:val="5"/>
          </w:tcPr>
          <w:p>
            <w:pPr>
              <w:widowControl/>
              <w:spacing w:line="360" w:lineRule="auto"/>
              <w:jc w:val="left"/>
              <w:rPr>
                <w:rFonts w:ascii="宋体" w:hAnsi="宋体" w:cs="宋体"/>
                <w:bCs/>
                <w:color w:val="auto"/>
                <w:kern w:val="0"/>
                <w:sz w:val="24"/>
                <w:highlight w:val="none"/>
              </w:rPr>
            </w:pPr>
          </w:p>
          <w:p>
            <w:pPr>
              <w:pStyle w:val="53"/>
              <w:shd w:val="clear" w:color="auto" w:fill="FFFFFF"/>
              <w:spacing w:line="360" w:lineRule="auto"/>
              <w:ind w:left="107"/>
              <w:rPr>
                <w:bCs/>
                <w:color w:val="auto"/>
                <w:highlight w:val="none"/>
              </w:rPr>
            </w:pPr>
          </w:p>
        </w:tc>
        <w:tc>
          <w:tcPr>
            <w:tcW w:w="1218" w:type="dxa"/>
          </w:tcPr>
          <w:p>
            <w:pPr>
              <w:pStyle w:val="53"/>
              <w:shd w:val="clear" w:color="auto" w:fill="FFFFFF"/>
              <w:spacing w:line="360" w:lineRule="auto"/>
              <w:ind w:left="107"/>
              <w:rPr>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tcPr>
          <w:p>
            <w:pPr>
              <w:pStyle w:val="53"/>
              <w:shd w:val="clear" w:color="auto" w:fill="FFFFFF"/>
              <w:spacing w:line="360" w:lineRule="auto"/>
              <w:ind w:left="107"/>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pPr>
              <w:pStyle w:val="53"/>
              <w:shd w:val="clear" w:color="auto" w:fill="FFFFFF"/>
              <w:spacing w:line="360" w:lineRule="auto"/>
              <w:ind w:left="107"/>
              <w:rPr>
                <w:bCs/>
                <w:color w:val="auto"/>
                <w:highlight w:val="none"/>
              </w:rPr>
            </w:pPr>
          </w:p>
        </w:tc>
        <w:tc>
          <w:tcPr>
            <w:tcW w:w="701" w:type="dxa"/>
          </w:tcPr>
          <w:p>
            <w:pPr>
              <w:pStyle w:val="53"/>
              <w:shd w:val="clear" w:color="auto" w:fill="FFFFFF"/>
              <w:spacing w:line="360" w:lineRule="auto"/>
              <w:ind w:left="2"/>
              <w:rPr>
                <w:bCs/>
                <w:color w:val="auto"/>
                <w:highlight w:val="none"/>
              </w:rPr>
            </w:pPr>
            <w:r>
              <w:rPr>
                <w:rFonts w:hint="eastAsia"/>
                <w:bCs/>
                <w:color w:val="auto"/>
                <w:highlight w:val="none"/>
              </w:rPr>
              <w:t>核准经营范围</w:t>
            </w:r>
          </w:p>
        </w:tc>
        <w:tc>
          <w:tcPr>
            <w:tcW w:w="7430" w:type="dxa"/>
            <w:gridSpan w:val="10"/>
          </w:tcPr>
          <w:p>
            <w:pPr>
              <w:pStyle w:val="53"/>
              <w:shd w:val="clear" w:color="auto" w:fill="FFFFFF"/>
              <w:spacing w:line="360" w:lineRule="auto"/>
              <w:ind w:left="107"/>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pPr>
              <w:pStyle w:val="53"/>
              <w:shd w:val="clear" w:color="auto" w:fill="FFFFFF"/>
              <w:spacing w:line="360" w:lineRule="auto"/>
              <w:ind w:left="107"/>
              <w:rPr>
                <w:bCs/>
                <w:color w:val="auto"/>
                <w:highlight w:val="none"/>
              </w:rPr>
            </w:pPr>
          </w:p>
        </w:tc>
        <w:tc>
          <w:tcPr>
            <w:tcW w:w="8131" w:type="dxa"/>
            <w:gridSpan w:val="11"/>
          </w:tcPr>
          <w:p>
            <w:pPr>
              <w:pStyle w:val="53"/>
              <w:shd w:val="clear" w:color="auto" w:fill="FFFFFF"/>
              <w:spacing w:line="360" w:lineRule="auto"/>
              <w:rPr>
                <w:bCs/>
                <w:color w:val="auto"/>
                <w:spacing w:val="13"/>
                <w:highlight w:val="none"/>
              </w:rPr>
            </w:pPr>
            <w:r>
              <w:rPr>
                <w:rFonts w:hint="eastAsia"/>
                <w:bCs/>
                <w:color w:val="auto"/>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pPr>
              <w:pStyle w:val="53"/>
              <w:shd w:val="clear" w:color="auto" w:fill="FFFFFF"/>
              <w:spacing w:line="360" w:lineRule="auto"/>
              <w:ind w:left="107"/>
              <w:rPr>
                <w:bCs/>
                <w:color w:val="auto"/>
                <w:highlight w:val="none"/>
              </w:rPr>
            </w:pPr>
            <w:r>
              <w:rPr>
                <w:rFonts w:hint="eastAsia"/>
                <w:bCs/>
                <w:color w:val="auto"/>
                <w:highlight w:val="none"/>
              </w:rPr>
              <w:t>2．</w:t>
            </w:r>
          </w:p>
          <w:p>
            <w:pPr>
              <w:pStyle w:val="53"/>
              <w:shd w:val="clear" w:color="auto" w:fill="FFFFFF"/>
              <w:spacing w:line="360" w:lineRule="auto"/>
              <w:ind w:left="107"/>
              <w:rPr>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553" w:type="dxa"/>
            <w:gridSpan w:val="2"/>
            <w:vMerge w:val="restart"/>
          </w:tcPr>
          <w:p>
            <w:pPr>
              <w:pStyle w:val="53"/>
              <w:shd w:val="clear" w:color="auto" w:fill="FFFFFF"/>
              <w:spacing w:before="0" w:beforeAutospacing="0" w:after="0" w:afterAutospacing="0" w:line="360" w:lineRule="auto"/>
              <w:rPr>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tcPr>
          <w:p>
            <w:pPr>
              <w:pStyle w:val="53"/>
              <w:shd w:val="clear" w:color="auto" w:fill="FFFFFF"/>
              <w:spacing w:line="360" w:lineRule="auto"/>
              <w:ind w:right="-78" w:rightChars="-37"/>
              <w:rPr>
                <w:bCs/>
                <w:color w:val="auto"/>
                <w:spacing w:val="16"/>
                <w:highlight w:val="none"/>
              </w:rPr>
            </w:pPr>
            <w:r>
              <w:rPr>
                <w:rFonts w:hint="eastAsia"/>
                <w:bCs/>
                <w:color w:val="auto"/>
                <w:spacing w:val="16"/>
                <w:highlight w:val="none"/>
              </w:rPr>
              <w:t>产品名称</w:t>
            </w:r>
          </w:p>
        </w:tc>
        <w:tc>
          <w:tcPr>
            <w:tcW w:w="1418" w:type="dxa"/>
            <w:gridSpan w:val="2"/>
          </w:tcPr>
          <w:p>
            <w:pPr>
              <w:pStyle w:val="53"/>
              <w:shd w:val="clear" w:color="auto" w:fill="FFFFFF"/>
              <w:spacing w:before="0" w:beforeAutospacing="0" w:after="0" w:afterAutospacing="0" w:line="360" w:lineRule="auto"/>
              <w:rPr>
                <w:bCs/>
                <w:color w:val="auto"/>
                <w:highlight w:val="none"/>
              </w:rPr>
            </w:pPr>
            <w:r>
              <w:rPr>
                <w:rFonts w:hint="eastAsia"/>
                <w:bCs/>
                <w:color w:val="auto"/>
                <w:spacing w:val="16"/>
                <w:highlight w:val="none"/>
              </w:rPr>
              <w:t>发证机关</w:t>
            </w:r>
          </w:p>
        </w:tc>
        <w:tc>
          <w:tcPr>
            <w:tcW w:w="1276" w:type="dxa"/>
          </w:tcPr>
          <w:p>
            <w:pPr>
              <w:pStyle w:val="53"/>
              <w:shd w:val="clear" w:color="auto" w:fill="FFFFFF"/>
              <w:spacing w:line="360" w:lineRule="auto"/>
              <w:jc w:val="center"/>
              <w:rPr>
                <w:bCs/>
                <w:color w:val="auto"/>
                <w:highlight w:val="none"/>
              </w:rPr>
            </w:pPr>
            <w:r>
              <w:rPr>
                <w:rFonts w:hint="eastAsia"/>
                <w:bCs/>
                <w:color w:val="auto"/>
                <w:spacing w:val="27"/>
                <w:highlight w:val="none"/>
              </w:rPr>
              <w:t>编号</w:t>
            </w:r>
          </w:p>
        </w:tc>
        <w:tc>
          <w:tcPr>
            <w:tcW w:w="1618" w:type="dxa"/>
            <w:gridSpan w:val="2"/>
          </w:tcPr>
          <w:p>
            <w:pPr>
              <w:pStyle w:val="53"/>
              <w:shd w:val="clear" w:color="auto" w:fill="FFFFFF"/>
              <w:spacing w:line="360" w:lineRule="auto"/>
              <w:jc w:val="center"/>
              <w:rPr>
                <w:bCs/>
                <w:color w:val="auto"/>
                <w:highlight w:val="none"/>
              </w:rPr>
            </w:pPr>
            <w:r>
              <w:rPr>
                <w:rFonts w:hint="eastAsia"/>
                <w:bCs/>
                <w:color w:val="auto"/>
                <w:spacing w:val="16"/>
                <w:highlight w:val="none"/>
              </w:rPr>
              <w:t>发证时间</w:t>
            </w:r>
          </w:p>
        </w:tc>
        <w:tc>
          <w:tcPr>
            <w:tcW w:w="933" w:type="dxa"/>
          </w:tcPr>
          <w:p>
            <w:pPr>
              <w:pStyle w:val="53"/>
              <w:shd w:val="clear" w:color="auto" w:fill="FFFFFF"/>
              <w:spacing w:before="0" w:beforeAutospacing="0" w:after="0" w:afterAutospacing="0" w:line="360" w:lineRule="auto"/>
              <w:jc w:val="center"/>
              <w:rPr>
                <w:bCs/>
                <w:color w:val="auto"/>
                <w:highlight w:val="none"/>
              </w:rPr>
            </w:pPr>
            <w:r>
              <w:rPr>
                <w:rFonts w:hint="eastAsia"/>
                <w:bCs/>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pPr>
              <w:pStyle w:val="53"/>
              <w:shd w:val="clear" w:color="auto" w:fill="FFFFFF"/>
              <w:spacing w:line="360" w:lineRule="auto"/>
              <w:ind w:left="107"/>
              <w:rPr>
                <w:bCs/>
                <w:color w:val="auto"/>
                <w:highlight w:val="none"/>
              </w:rPr>
            </w:pPr>
          </w:p>
        </w:tc>
        <w:tc>
          <w:tcPr>
            <w:tcW w:w="1553" w:type="dxa"/>
            <w:gridSpan w:val="2"/>
            <w:vMerge w:val="continue"/>
          </w:tcPr>
          <w:p>
            <w:pPr>
              <w:pStyle w:val="53"/>
              <w:shd w:val="clear" w:color="auto" w:fill="FFFFFF"/>
              <w:spacing w:line="360" w:lineRule="auto"/>
              <w:rPr>
                <w:bCs/>
                <w:color w:val="auto"/>
                <w:highlight w:val="none"/>
              </w:rPr>
            </w:pPr>
          </w:p>
        </w:tc>
        <w:tc>
          <w:tcPr>
            <w:tcW w:w="1333" w:type="dxa"/>
            <w:gridSpan w:val="3"/>
          </w:tcPr>
          <w:p>
            <w:pPr>
              <w:pStyle w:val="53"/>
              <w:shd w:val="clear" w:color="auto" w:fill="FFFFFF"/>
              <w:spacing w:line="360" w:lineRule="auto"/>
              <w:rPr>
                <w:bCs/>
                <w:color w:val="auto"/>
                <w:highlight w:val="none"/>
              </w:rPr>
            </w:pPr>
          </w:p>
        </w:tc>
        <w:tc>
          <w:tcPr>
            <w:tcW w:w="1418" w:type="dxa"/>
            <w:gridSpan w:val="2"/>
          </w:tcPr>
          <w:p>
            <w:pPr>
              <w:pStyle w:val="53"/>
              <w:shd w:val="clear" w:color="auto" w:fill="FFFFFF"/>
              <w:spacing w:line="360" w:lineRule="auto"/>
              <w:rPr>
                <w:bCs/>
                <w:color w:val="auto"/>
                <w:highlight w:val="none"/>
              </w:rPr>
            </w:pPr>
          </w:p>
        </w:tc>
        <w:tc>
          <w:tcPr>
            <w:tcW w:w="1276" w:type="dxa"/>
          </w:tcPr>
          <w:p>
            <w:pPr>
              <w:pStyle w:val="53"/>
              <w:shd w:val="clear" w:color="auto" w:fill="FFFFFF"/>
              <w:spacing w:line="360" w:lineRule="auto"/>
              <w:rPr>
                <w:bCs/>
                <w:color w:val="auto"/>
                <w:highlight w:val="none"/>
              </w:rPr>
            </w:pPr>
          </w:p>
        </w:tc>
        <w:tc>
          <w:tcPr>
            <w:tcW w:w="2551" w:type="dxa"/>
            <w:gridSpan w:val="3"/>
          </w:tcPr>
          <w:p>
            <w:pPr>
              <w:pStyle w:val="53"/>
              <w:shd w:val="clear" w:color="auto" w:fill="FFFFFF"/>
              <w:spacing w:line="360" w:lineRule="auto"/>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pPr>
              <w:pStyle w:val="53"/>
              <w:shd w:val="clear" w:color="auto" w:fill="FFFFFF"/>
              <w:spacing w:line="360" w:lineRule="auto"/>
              <w:ind w:left="107"/>
              <w:rPr>
                <w:bCs/>
                <w:color w:val="auto"/>
                <w:spacing w:val="16"/>
                <w:highlight w:val="none"/>
              </w:rPr>
            </w:pPr>
          </w:p>
        </w:tc>
        <w:tc>
          <w:tcPr>
            <w:tcW w:w="1553" w:type="dxa"/>
            <w:gridSpan w:val="2"/>
          </w:tcPr>
          <w:p>
            <w:pPr>
              <w:pStyle w:val="53"/>
              <w:shd w:val="clear" w:color="auto" w:fill="FFFFFF"/>
              <w:spacing w:before="0" w:beforeAutospacing="0" w:after="0" w:afterAutospacing="0" w:line="360" w:lineRule="auto"/>
              <w:ind w:right="-107" w:rightChars="-51"/>
              <w:rPr>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9"/>
          </w:tcPr>
          <w:p>
            <w:pPr>
              <w:pStyle w:val="53"/>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pPr>
              <w:pStyle w:val="53"/>
              <w:shd w:val="clear" w:color="auto" w:fill="FFFFFF"/>
              <w:spacing w:line="360" w:lineRule="auto"/>
              <w:ind w:left="107"/>
              <w:rPr>
                <w:bCs/>
                <w:color w:val="auto"/>
                <w:spacing w:val="27"/>
                <w:highlight w:val="none"/>
              </w:rPr>
            </w:pPr>
          </w:p>
        </w:tc>
        <w:tc>
          <w:tcPr>
            <w:tcW w:w="1553" w:type="dxa"/>
            <w:gridSpan w:val="2"/>
          </w:tcPr>
          <w:p>
            <w:pPr>
              <w:pStyle w:val="53"/>
              <w:shd w:val="clear" w:color="auto" w:fill="FFFFFF"/>
              <w:spacing w:line="360" w:lineRule="auto"/>
              <w:rPr>
                <w:bCs/>
                <w:color w:val="auto"/>
                <w:spacing w:val="16"/>
                <w:highlight w:val="none"/>
              </w:rPr>
            </w:pPr>
            <w:r>
              <w:rPr>
                <w:rFonts w:hint="eastAsia"/>
                <w:bCs/>
                <w:color w:val="auto"/>
                <w:spacing w:val="10"/>
                <w:highlight w:val="none"/>
              </w:rPr>
              <w:t>企业获得专利情况</w:t>
            </w:r>
          </w:p>
        </w:tc>
        <w:tc>
          <w:tcPr>
            <w:tcW w:w="6578" w:type="dxa"/>
            <w:gridSpan w:val="9"/>
          </w:tcPr>
          <w:p>
            <w:pPr>
              <w:pStyle w:val="53"/>
              <w:shd w:val="clear" w:color="auto" w:fill="FFFFFF"/>
              <w:spacing w:line="360" w:lineRule="auto"/>
              <w:rPr>
                <w:bCs/>
                <w:color w:val="auto"/>
                <w:spacing w:val="16"/>
                <w:highlight w:val="none"/>
              </w:rPr>
            </w:pPr>
          </w:p>
        </w:tc>
      </w:tr>
    </w:tbl>
    <w:p>
      <w:pPr>
        <w:pStyle w:val="53"/>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pPr>
        <w:pStyle w:val="53"/>
        <w:shd w:val="clear" w:color="auto" w:fill="FFFFFF"/>
        <w:spacing w:before="0" w:beforeAutospacing="0" w:after="0" w:afterAutospacing="0" w:line="360" w:lineRule="auto"/>
        <w:ind w:firstLine="424" w:firstLineChars="202"/>
        <w:rPr>
          <w:color w:val="auto"/>
          <w:sz w:val="21"/>
          <w:szCs w:val="21"/>
          <w:highlight w:val="none"/>
        </w:rPr>
      </w:pPr>
      <w:r>
        <w:rPr>
          <w:rFonts w:hint="eastAsia"/>
          <w:color w:val="auto"/>
          <w:sz w:val="21"/>
          <w:szCs w:val="21"/>
          <w:highlight w:val="none"/>
        </w:rPr>
        <w:t>1.姓名栏必须将所有股东都统计在内，若非股份公司此行（第三行）无需填写；</w:t>
      </w:r>
    </w:p>
    <w:p>
      <w:pPr>
        <w:spacing w:line="360" w:lineRule="auto"/>
        <w:rPr>
          <w:rFonts w:ascii="宋体" w:hAnsi="宋体" w:cs="宋体"/>
          <w:color w:val="auto"/>
          <w:sz w:val="24"/>
          <w:highlight w:val="none"/>
        </w:rPr>
      </w:pPr>
    </w:p>
    <w:p>
      <w:pPr>
        <w:spacing w:line="360" w:lineRule="auto"/>
        <w:ind w:firstLine="424" w:firstLineChars="177"/>
        <w:rPr>
          <w:rFonts w:ascii="宋体" w:hAnsi="宋体" w:cs="宋体"/>
          <w:color w:val="auto"/>
          <w:sz w:val="24"/>
          <w:highlight w:val="none"/>
          <w:u w:val="single"/>
        </w:rPr>
      </w:pPr>
      <w:r>
        <w:rPr>
          <w:rFonts w:hint="eastAsia" w:ascii="宋体" w:hAnsi="宋体" w:cs="宋体"/>
          <w:color w:val="auto"/>
          <w:sz w:val="24"/>
          <w:highlight w:val="none"/>
        </w:rPr>
        <w:t>投标人名称（公章）：</w:t>
      </w:r>
    </w:p>
    <w:p>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投标人代表签字或盖章：</w:t>
      </w:r>
    </w:p>
    <w:p>
      <w:pPr>
        <w:spacing w:line="360" w:lineRule="auto"/>
        <w:ind w:firstLine="424" w:firstLineChars="177"/>
        <w:rPr>
          <w:rFonts w:ascii="宋体" w:hAnsi="宋体" w:cs="宋体"/>
          <w:color w:val="auto"/>
          <w:sz w:val="24"/>
          <w:highlight w:val="none"/>
          <w:u w:val="single"/>
        </w:rPr>
      </w:pPr>
      <w:r>
        <w:rPr>
          <w:rFonts w:hint="eastAsia" w:ascii="宋体" w:hAnsi="宋体" w:cs="宋体"/>
          <w:color w:val="auto"/>
          <w:sz w:val="24"/>
          <w:highlight w:val="none"/>
        </w:rPr>
        <w:t>职        务：</w:t>
      </w:r>
    </w:p>
    <w:p>
      <w:pPr>
        <w:pStyle w:val="53"/>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pPr>
        <w:spacing w:line="360" w:lineRule="auto"/>
        <w:rPr>
          <w:rFonts w:ascii="宋体" w:hAnsi="宋体" w:cs="宋体"/>
          <w:b/>
          <w:color w:val="auto"/>
          <w:sz w:val="24"/>
          <w:highlight w:val="none"/>
        </w:rPr>
      </w:pPr>
    </w:p>
    <w:p>
      <w:pPr>
        <w:spacing w:line="360" w:lineRule="auto"/>
        <w:ind w:firstLine="435"/>
        <w:rPr>
          <w:rFonts w:ascii="宋体" w:hAnsi="宋体" w:cs="宋体"/>
          <w:b/>
          <w:color w:val="auto"/>
          <w:sz w:val="28"/>
          <w:highlight w:val="none"/>
        </w:rPr>
        <w:sectPr>
          <w:pgSz w:w="11906" w:h="16838"/>
          <w:pgMar w:top="1440" w:right="1800" w:bottom="1440" w:left="1800" w:header="851" w:footer="992" w:gutter="0"/>
          <w:pgNumType w:fmt="numberInDash"/>
          <w:cols w:space="425" w:num="1"/>
          <w:docGrid w:type="lines" w:linePitch="312" w:charSpace="0"/>
        </w:sectPr>
      </w:pPr>
    </w:p>
    <w:p>
      <w:pPr>
        <w:spacing w:line="360" w:lineRule="auto"/>
        <w:ind w:firstLine="435"/>
        <w:rPr>
          <w:rFonts w:ascii="宋体" w:hAnsi="宋体" w:cs="宋体"/>
          <w:color w:val="auto"/>
          <w:sz w:val="24"/>
          <w:highlight w:val="none"/>
        </w:rPr>
      </w:pPr>
      <w:r>
        <w:rPr>
          <w:rFonts w:hint="eastAsia" w:ascii="宋体" w:hAnsi="宋体" w:cs="宋体"/>
          <w:b/>
          <w:color w:val="auto"/>
          <w:sz w:val="28"/>
          <w:highlight w:val="none"/>
        </w:rPr>
        <w:t>附件7</w:t>
      </w:r>
    </w:p>
    <w:p>
      <w:pPr>
        <w:snapToGrid w:val="0"/>
        <w:spacing w:before="156" w:beforeLines="50" w:after="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项目实施人员一览表（标段）</w:t>
      </w:r>
    </w:p>
    <w:p>
      <w:pPr>
        <w:snapToGrid w:val="0"/>
        <w:spacing w:before="156" w:beforeLines="50" w:after="50" w:line="360" w:lineRule="auto"/>
        <w:ind w:firstLine="2400" w:firstLineChars="1000"/>
        <w:rPr>
          <w:rFonts w:ascii="宋体" w:hAnsi="宋体" w:cs="宋体"/>
          <w:color w:val="auto"/>
          <w:sz w:val="24"/>
          <w:highlight w:val="none"/>
        </w:rPr>
      </w:pPr>
      <w:r>
        <w:rPr>
          <w:rFonts w:hint="eastAsia" w:ascii="宋体" w:hAnsi="宋体" w:cs="宋体"/>
          <w:color w:val="auto"/>
          <w:sz w:val="24"/>
          <w:highlight w:val="none"/>
        </w:rPr>
        <w:t>（主要从业人员及其技术资格）</w:t>
      </w:r>
    </w:p>
    <w:tbl>
      <w:tblPr>
        <w:tblStyle w:val="35"/>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cs="宋体"/>
                <w:b/>
                <w:bCs/>
                <w:color w:val="auto"/>
                <w:sz w:val="24"/>
                <w:szCs w:val="20"/>
                <w:highlight w:val="none"/>
              </w:rPr>
            </w:pPr>
            <w:r>
              <w:rPr>
                <w:rFonts w:hint="eastAsia" w:ascii="宋体" w:hAnsi="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cs="宋体"/>
                <w:b/>
                <w:bCs/>
                <w:color w:val="auto"/>
                <w:sz w:val="24"/>
                <w:szCs w:val="20"/>
                <w:highlight w:val="none"/>
              </w:rPr>
            </w:pPr>
            <w:r>
              <w:rPr>
                <w:rFonts w:hint="eastAsia" w:ascii="宋体" w:hAnsi="宋体" w:cs="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23"/>
              <w:snapToGrid w:val="0"/>
              <w:spacing w:before="156" w:beforeLines="50" w:after="50" w:line="360" w:lineRule="auto"/>
              <w:ind w:left="5250"/>
              <w:rPr>
                <w:rFonts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23"/>
              <w:snapToGrid w:val="0"/>
              <w:spacing w:before="156" w:beforeLines="50" w:after="50" w:line="360" w:lineRule="auto"/>
              <w:ind w:left="5250"/>
              <w:rPr>
                <w:rFonts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23"/>
              <w:spacing w:line="360" w:lineRule="auto"/>
              <w:ind w:left="5250"/>
              <w:rPr>
                <w:rFonts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s="宋体"/>
                <w:b/>
                <w:color w:val="auto"/>
                <w:kern w:val="44"/>
                <w:sz w:val="24"/>
                <w:szCs w:val="20"/>
                <w:highlight w:val="none"/>
              </w:rPr>
            </w:pPr>
          </w:p>
        </w:tc>
      </w:tr>
    </w:tbl>
    <w:p>
      <w:pPr>
        <w:spacing w:line="360" w:lineRule="auto"/>
        <w:rPr>
          <w:rFonts w:ascii="宋体" w:hAnsi="宋体" w:cs="宋体"/>
          <w:b/>
          <w:color w:val="auto"/>
          <w:szCs w:val="21"/>
          <w:highlight w:val="none"/>
        </w:rPr>
      </w:pPr>
      <w:r>
        <w:rPr>
          <w:rFonts w:hint="eastAsia" w:ascii="宋体" w:hAnsi="宋体" w:cs="宋体"/>
          <w:b/>
          <w:color w:val="auto"/>
          <w:szCs w:val="21"/>
          <w:highlight w:val="none"/>
        </w:rPr>
        <w:t>要求：</w:t>
      </w:r>
    </w:p>
    <w:p>
      <w:pPr>
        <w:spacing w:line="360" w:lineRule="auto"/>
        <w:ind w:left="437"/>
        <w:rPr>
          <w:rFonts w:ascii="宋体" w:hAnsi="宋体" w:cs="宋体"/>
          <w:color w:val="auto"/>
          <w:szCs w:val="21"/>
          <w:highlight w:val="none"/>
        </w:rPr>
      </w:pPr>
      <w:r>
        <w:rPr>
          <w:rFonts w:hint="eastAsia" w:ascii="宋体" w:hAnsi="宋体" w:cs="宋体"/>
          <w:b/>
          <w:color w:val="auto"/>
          <w:szCs w:val="21"/>
          <w:highlight w:val="none"/>
        </w:rPr>
        <w:t>1.</w:t>
      </w:r>
      <w:r>
        <w:rPr>
          <w:rFonts w:hint="eastAsia" w:ascii="宋体" w:hAnsi="宋体" w:cs="宋体"/>
          <w:color w:val="auto"/>
          <w:szCs w:val="21"/>
          <w:highlight w:val="none"/>
        </w:rPr>
        <w:t>在填写时，如本表格不适合投标单位的实际情况，可根据本表格式自行划表填写。</w:t>
      </w:r>
    </w:p>
    <w:p>
      <w:pPr>
        <w:pStyle w:val="54"/>
        <w:spacing w:line="360" w:lineRule="auto"/>
        <w:ind w:left="424" w:leftChars="202"/>
        <w:rPr>
          <w:rFonts w:ascii="宋体" w:hAnsi="宋体" w:cs="宋体"/>
          <w:color w:val="auto"/>
          <w:szCs w:val="21"/>
          <w:highlight w:val="none"/>
        </w:rPr>
      </w:pPr>
      <w:r>
        <w:rPr>
          <w:rFonts w:hint="eastAsia" w:ascii="宋体" w:hAnsi="宋体" w:cs="宋体"/>
          <w:color w:val="auto"/>
          <w:szCs w:val="21"/>
          <w:highlight w:val="none"/>
        </w:rPr>
        <w:t>2.附人员证书扫描件；</w:t>
      </w:r>
    </w:p>
    <w:p>
      <w:pPr>
        <w:pStyle w:val="54"/>
        <w:spacing w:line="360" w:lineRule="auto"/>
        <w:ind w:left="424" w:hanging="424" w:hangingChars="202"/>
        <w:rPr>
          <w:rFonts w:ascii="宋体" w:hAnsi="宋体" w:cs="宋体"/>
          <w:color w:val="auto"/>
          <w:szCs w:val="21"/>
          <w:highlight w:val="none"/>
        </w:rPr>
      </w:pPr>
      <w:r>
        <w:rPr>
          <w:rFonts w:hint="eastAsia" w:ascii="宋体" w:hAnsi="宋体" w:cs="宋体"/>
          <w:color w:val="auto"/>
          <w:szCs w:val="21"/>
          <w:highlight w:val="none"/>
        </w:rPr>
        <w:t>　　3.出具上述人员在本单位服务的外部证明，如：投标截止日之前近六个月连续的代缴个税税单、参加社会保险的《投保单》或《社会保险参保人员证明》等。</w:t>
      </w:r>
    </w:p>
    <w:p>
      <w:pPr>
        <w:snapToGrid w:val="0"/>
        <w:spacing w:before="50" w:after="156" w:afterLines="50" w:line="360" w:lineRule="auto"/>
        <w:jc w:val="left"/>
        <w:rPr>
          <w:rFonts w:ascii="宋体" w:hAnsi="宋体" w:cs="宋体"/>
          <w:color w:val="auto"/>
          <w:sz w:val="24"/>
          <w:szCs w:val="20"/>
          <w:highlight w:val="none"/>
        </w:rPr>
      </w:pPr>
    </w:p>
    <w:p>
      <w:pPr>
        <w:snapToGrid w:val="0"/>
        <w:spacing w:before="50" w:after="156" w:afterLines="50" w:line="360" w:lineRule="auto"/>
        <w:jc w:val="left"/>
        <w:rPr>
          <w:rFonts w:ascii="宋体" w:hAnsi="宋体" w:cs="宋体"/>
          <w:color w:val="auto"/>
          <w:sz w:val="24"/>
          <w:szCs w:val="20"/>
          <w:highlight w:val="none"/>
        </w:rPr>
      </w:pPr>
    </w:p>
    <w:p>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投标人名称（公章）：</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投标人代表签字或盖章：</w:t>
      </w:r>
    </w:p>
    <w:p>
      <w:pPr>
        <w:spacing w:line="360" w:lineRule="auto"/>
        <w:ind w:firstLine="435"/>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p>
    <w:p>
      <w:pPr>
        <w:spacing w:line="360" w:lineRule="auto"/>
        <w:ind w:firstLine="435"/>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435"/>
        <w:rPr>
          <w:rFonts w:ascii="宋体" w:hAnsi="宋体" w:cs="宋体"/>
          <w:color w:val="auto"/>
          <w:highlight w:val="none"/>
        </w:rPr>
      </w:pPr>
      <w:r>
        <w:rPr>
          <w:rFonts w:hint="eastAsia" w:ascii="宋体" w:hAnsi="宋体" w:cs="宋体"/>
          <w:b/>
          <w:color w:val="auto"/>
          <w:sz w:val="28"/>
          <w:highlight w:val="none"/>
        </w:rPr>
        <w:t>附件8</w:t>
      </w:r>
    </w:p>
    <w:p>
      <w:pPr>
        <w:spacing w:before="156" w:beforeLines="50" w:after="156" w:afterLines="50" w:line="360" w:lineRule="auto"/>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项目负责人资格情况表</w:t>
      </w:r>
    </w:p>
    <w:p>
      <w:pPr>
        <w:spacing w:line="360" w:lineRule="auto"/>
        <w:rPr>
          <w:rFonts w:ascii="宋体" w:hAnsi="宋体" w:cs="宋体"/>
          <w:color w:val="auto"/>
          <w:highlight w:val="none"/>
        </w:rPr>
      </w:pPr>
      <w:r>
        <w:rPr>
          <w:rFonts w:hint="eastAsia" w:ascii="宋体" w:hAnsi="宋体" w:cs="宋体"/>
          <w:color w:val="auto"/>
          <w:highlight w:val="none"/>
        </w:rPr>
        <w:t>采购项目：                                            标段号：</w:t>
      </w:r>
    </w:p>
    <w:tbl>
      <w:tblPr>
        <w:tblStyle w:val="35"/>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color w:val="auto"/>
                <w:highlight w:val="none"/>
                <w:lang w:val="zh-CN"/>
              </w:rPr>
            </w:pPr>
            <w:r>
              <w:rPr>
                <w:rFonts w:hint="eastAsia" w:ascii="宋体" w:hAnsi="宋体" w:cs="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auto"/>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s="宋体"/>
                <w:b/>
                <w:bCs/>
                <w:color w:val="auto"/>
                <w:highlight w:val="none"/>
                <w:lang w:val="zh-CN"/>
              </w:rPr>
            </w:pPr>
            <w:r>
              <w:rPr>
                <w:rFonts w:hint="eastAsia" w:ascii="宋体" w:hAnsi="宋体" w:cs="宋体"/>
                <w:b/>
                <w:bCs/>
                <w:color w:val="auto"/>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color w:val="auto"/>
                <w:highlight w:val="none"/>
                <w:lang w:val="zh-CN"/>
              </w:rPr>
            </w:pPr>
            <w:r>
              <w:rPr>
                <w:rFonts w:hint="eastAsia" w:ascii="宋体" w:hAnsi="宋体" w:cs="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auto"/>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s="宋体"/>
                <w:color w:val="auto"/>
                <w:highlight w:val="none"/>
              </w:rPr>
            </w:pPr>
            <w:r>
              <w:rPr>
                <w:rFonts w:hint="eastAsia" w:ascii="宋体" w:hAnsi="宋体" w:cs="宋体"/>
                <w:color w:val="auto"/>
                <w:highlight w:val="none"/>
              </w:rPr>
              <w:t>注：业绩证明应提供旁证材料</w:t>
            </w:r>
          </w:p>
          <w:p>
            <w:pPr>
              <w:autoSpaceDE w:val="0"/>
              <w:autoSpaceDN w:val="0"/>
              <w:adjustRightInd w:val="0"/>
              <w:snapToGrid w:val="0"/>
              <w:spacing w:line="360" w:lineRule="auto"/>
              <w:jc w:val="center"/>
              <w:rPr>
                <w:rFonts w:ascii="宋体" w:hAnsi="宋体" w:cs="宋体"/>
                <w:color w:val="auto"/>
                <w:highlight w:val="none"/>
                <w:lang w:val="zh-CN"/>
              </w:rPr>
            </w:pPr>
            <w:r>
              <w:rPr>
                <w:rFonts w:hint="eastAsia" w:ascii="宋体" w:hAnsi="宋体" w:cs="宋体"/>
                <w:color w:val="auto"/>
                <w:highlight w:val="none"/>
              </w:rPr>
              <w:t>（用人单位工作证明或劳务合同）。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color w:val="auto"/>
                <w:highlight w:val="none"/>
                <w:lang w:val="zh-CN"/>
              </w:rPr>
            </w:pPr>
            <w:r>
              <w:rPr>
                <w:rFonts w:hint="eastAsia" w:ascii="宋体" w:hAnsi="宋体" w:cs="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color w:val="auto"/>
                <w:highlight w:val="none"/>
                <w:lang w:val="zh-CN"/>
              </w:rPr>
            </w:pPr>
            <w:r>
              <w:rPr>
                <w:rFonts w:hint="eastAsia" w:ascii="宋体" w:hAnsi="宋体" w:cs="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color w:val="auto"/>
                <w:highlight w:val="none"/>
                <w:lang w:val="zh-CN"/>
              </w:rPr>
            </w:pPr>
            <w:r>
              <w:rPr>
                <w:rFonts w:hint="eastAsia" w:ascii="宋体" w:hAnsi="宋体" w:cs="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color w:val="auto"/>
                <w:highlight w:val="none"/>
                <w:lang w:val="zh-CN"/>
              </w:rPr>
            </w:pPr>
            <w:r>
              <w:rPr>
                <w:rFonts w:hint="eastAsia" w:ascii="宋体" w:hAnsi="宋体" w:cs="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color w:val="auto"/>
                <w:highlight w:val="none"/>
                <w:lang w:val="zh-CN"/>
              </w:rPr>
            </w:pPr>
            <w:r>
              <w:rPr>
                <w:rFonts w:hint="eastAsia" w:ascii="宋体" w:hAnsi="宋体" w:cs="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color w:val="auto"/>
                <w:highlight w:val="none"/>
                <w:lang w:val="zh-CN"/>
              </w:rPr>
            </w:pPr>
            <w:r>
              <w:rPr>
                <w:rFonts w:hint="eastAsia" w:ascii="宋体" w:hAnsi="宋体" w:cs="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cs="宋体"/>
                <w:b/>
                <w:bCs/>
                <w:color w:val="auto"/>
                <w:highlight w:val="none"/>
                <w:lang w:val="zh-CN"/>
              </w:rPr>
            </w:pPr>
            <w:r>
              <w:rPr>
                <w:rFonts w:hint="eastAsia" w:ascii="宋体" w:hAnsi="宋体" w:cs="宋体"/>
                <w:b/>
                <w:bCs/>
                <w:color w:val="auto"/>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s="宋体"/>
                <w:color w:val="auto"/>
                <w:highlight w:val="none"/>
                <w:lang w:val="zh-CN"/>
              </w:rPr>
            </w:pPr>
          </w:p>
        </w:tc>
      </w:tr>
    </w:tbl>
    <w:p>
      <w:pPr>
        <w:spacing w:line="360" w:lineRule="auto"/>
        <w:ind w:left="42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投标人名称（公章）：</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投标人代表签字或盖章：</w:t>
      </w:r>
    </w:p>
    <w:p>
      <w:pPr>
        <w:spacing w:line="360" w:lineRule="auto"/>
        <w:ind w:firstLine="435"/>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p>
    <w:p>
      <w:pPr>
        <w:spacing w:line="360" w:lineRule="auto"/>
        <w:ind w:firstLine="435"/>
        <w:rPr>
          <w:rFonts w:ascii="宋体" w:hAnsi="宋体" w:cs="宋体"/>
          <w:color w:val="auto"/>
          <w:sz w:val="24"/>
          <w:highlight w:val="none"/>
        </w:rPr>
      </w:pPr>
    </w:p>
    <w:p>
      <w:pPr>
        <w:spacing w:line="360" w:lineRule="auto"/>
        <w:ind w:firstLine="435"/>
        <w:rPr>
          <w:rFonts w:ascii="宋体" w:hAnsi="宋体" w:cs="宋体"/>
          <w:b/>
          <w:color w:val="auto"/>
          <w:sz w:val="28"/>
          <w:highlight w:val="none"/>
        </w:rPr>
      </w:pPr>
      <w:r>
        <w:rPr>
          <w:rFonts w:hint="eastAsia" w:ascii="宋体" w:hAnsi="宋体" w:cs="宋体"/>
          <w:color w:val="auto"/>
          <w:sz w:val="24"/>
          <w:highlight w:val="none"/>
        </w:rPr>
        <w:t>日        期：</w:t>
      </w:r>
    </w:p>
    <w:p>
      <w:pPr>
        <w:snapToGrid w:val="0"/>
        <w:spacing w:before="50" w:after="50" w:line="360" w:lineRule="auto"/>
        <w:rPr>
          <w:rFonts w:ascii="宋体" w:hAnsi="宋体" w:cs="宋体"/>
          <w:b/>
          <w:color w:val="auto"/>
          <w:sz w:val="28"/>
          <w:highlight w:val="none"/>
        </w:rPr>
        <w:sectPr>
          <w:pgSz w:w="11906" w:h="16838"/>
          <w:pgMar w:top="1440" w:right="1800" w:bottom="1440" w:left="1800" w:header="851" w:footer="992" w:gutter="0"/>
          <w:pgNumType w:fmt="numberInDash"/>
          <w:cols w:space="425" w:num="1"/>
          <w:docGrid w:type="lines" w:linePitch="312" w:charSpace="0"/>
        </w:sectPr>
      </w:pPr>
    </w:p>
    <w:p>
      <w:pPr>
        <w:spacing w:line="360" w:lineRule="auto"/>
        <w:jc w:val="left"/>
        <w:rPr>
          <w:rFonts w:ascii="宋体" w:hAnsi="宋体" w:cs="宋体"/>
          <w:b/>
          <w:color w:val="auto"/>
          <w:sz w:val="28"/>
          <w:highlight w:val="none"/>
        </w:rPr>
      </w:pPr>
      <w:r>
        <w:rPr>
          <w:rFonts w:hint="eastAsia" w:ascii="宋体" w:hAnsi="宋体" w:cs="宋体"/>
          <w:b/>
          <w:color w:val="auto"/>
          <w:sz w:val="28"/>
          <w:highlight w:val="none"/>
        </w:rPr>
        <w:t>附件9</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供货清单</w:t>
      </w:r>
    </w:p>
    <w:p>
      <w:pPr>
        <w:spacing w:line="360" w:lineRule="auto"/>
        <w:ind w:left="480"/>
        <w:rPr>
          <w:rFonts w:ascii="宋体" w:hAnsi="宋体" w:cs="宋体"/>
          <w:color w:val="auto"/>
          <w:highlight w:val="none"/>
        </w:rPr>
      </w:pPr>
      <w:r>
        <w:rPr>
          <w:rFonts w:hint="eastAsia" w:ascii="宋体" w:hAnsi="宋体" w:cs="宋体"/>
          <w:color w:val="auto"/>
          <w:highlight w:val="none"/>
        </w:rPr>
        <w:t>采购项目：</w:t>
      </w:r>
    </w:p>
    <w:tbl>
      <w:tblPr>
        <w:tblStyle w:val="3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812"/>
        <w:gridCol w:w="1154"/>
        <w:gridCol w:w="2965"/>
        <w:gridCol w:w="1223"/>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915"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12"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产品名称</w:t>
            </w:r>
          </w:p>
        </w:tc>
        <w:tc>
          <w:tcPr>
            <w:tcW w:w="1154"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2965"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规格型号/技术参数</w:t>
            </w:r>
          </w:p>
        </w:tc>
        <w:tc>
          <w:tcPr>
            <w:tcW w:w="1223" w:type="dxa"/>
            <w:vAlign w:val="center"/>
          </w:tcPr>
          <w:p>
            <w:pPr>
              <w:spacing w:line="360" w:lineRule="auto"/>
              <w:ind w:left="52"/>
              <w:jc w:val="center"/>
              <w:rPr>
                <w:rFonts w:ascii="宋体" w:hAnsi="宋体" w:cs="宋体"/>
                <w:b/>
                <w:color w:val="auto"/>
                <w:sz w:val="24"/>
                <w:highlight w:val="none"/>
              </w:rPr>
            </w:pPr>
            <w:r>
              <w:rPr>
                <w:rFonts w:hint="eastAsia" w:ascii="宋体" w:hAnsi="宋体" w:cs="宋体"/>
                <w:b/>
                <w:color w:val="auto"/>
                <w:sz w:val="24"/>
                <w:highlight w:val="none"/>
              </w:rPr>
              <w:t>产地</w:t>
            </w:r>
          </w:p>
        </w:tc>
        <w:tc>
          <w:tcPr>
            <w:tcW w:w="1454" w:type="dxa"/>
            <w:vAlign w:val="center"/>
          </w:tcPr>
          <w:p>
            <w:pPr>
              <w:spacing w:line="360" w:lineRule="auto"/>
              <w:ind w:left="152"/>
              <w:jc w:val="center"/>
              <w:rPr>
                <w:rFonts w:ascii="宋体" w:hAnsi="宋体" w:cs="宋体"/>
                <w:b/>
                <w:color w:val="auto"/>
                <w:sz w:val="24"/>
                <w:highlight w:val="none"/>
              </w:rPr>
            </w:pPr>
            <w:r>
              <w:rPr>
                <w:rFonts w:hint="eastAsia" w:ascii="宋体" w:hAnsi="宋体" w:cs="宋体"/>
                <w:b/>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915" w:type="dxa"/>
            <w:vAlign w:val="center"/>
          </w:tcPr>
          <w:p>
            <w:pPr>
              <w:spacing w:line="360" w:lineRule="auto"/>
              <w:rPr>
                <w:rFonts w:ascii="宋体" w:hAnsi="宋体" w:cs="宋体"/>
                <w:color w:val="auto"/>
                <w:sz w:val="24"/>
                <w:highlight w:val="none"/>
              </w:rPr>
            </w:pPr>
          </w:p>
        </w:tc>
        <w:tc>
          <w:tcPr>
            <w:tcW w:w="1812" w:type="dxa"/>
            <w:vAlign w:val="center"/>
          </w:tcPr>
          <w:p>
            <w:pPr>
              <w:spacing w:line="360" w:lineRule="auto"/>
              <w:rPr>
                <w:rFonts w:ascii="宋体" w:hAnsi="宋体" w:cs="宋体"/>
                <w:color w:val="auto"/>
                <w:sz w:val="24"/>
                <w:highlight w:val="none"/>
              </w:rPr>
            </w:pPr>
          </w:p>
        </w:tc>
        <w:tc>
          <w:tcPr>
            <w:tcW w:w="1154" w:type="dxa"/>
            <w:vAlign w:val="center"/>
          </w:tcPr>
          <w:p>
            <w:pPr>
              <w:spacing w:line="360" w:lineRule="auto"/>
              <w:rPr>
                <w:rFonts w:ascii="宋体" w:hAnsi="宋体" w:cs="宋体"/>
                <w:color w:val="auto"/>
                <w:sz w:val="24"/>
                <w:highlight w:val="none"/>
              </w:rPr>
            </w:pPr>
          </w:p>
        </w:tc>
        <w:tc>
          <w:tcPr>
            <w:tcW w:w="2965" w:type="dxa"/>
            <w:vAlign w:val="center"/>
          </w:tcPr>
          <w:p>
            <w:pPr>
              <w:spacing w:line="360" w:lineRule="auto"/>
              <w:rPr>
                <w:rFonts w:ascii="宋体" w:hAnsi="宋体" w:cs="宋体"/>
                <w:color w:val="auto"/>
                <w:sz w:val="24"/>
                <w:highlight w:val="none"/>
              </w:rPr>
            </w:pPr>
          </w:p>
        </w:tc>
        <w:tc>
          <w:tcPr>
            <w:tcW w:w="1223" w:type="dxa"/>
            <w:vAlign w:val="center"/>
          </w:tcPr>
          <w:p>
            <w:pPr>
              <w:spacing w:line="360" w:lineRule="auto"/>
              <w:rPr>
                <w:rFonts w:ascii="宋体" w:hAnsi="宋体" w:cs="宋体"/>
                <w:color w:val="auto"/>
                <w:sz w:val="24"/>
                <w:highlight w:val="none"/>
              </w:rPr>
            </w:pPr>
          </w:p>
        </w:tc>
        <w:tc>
          <w:tcPr>
            <w:tcW w:w="1454"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915" w:type="dxa"/>
            <w:vAlign w:val="center"/>
          </w:tcPr>
          <w:p>
            <w:pPr>
              <w:spacing w:line="360" w:lineRule="auto"/>
              <w:rPr>
                <w:rFonts w:ascii="宋体" w:hAnsi="宋体" w:cs="宋体"/>
                <w:color w:val="auto"/>
                <w:sz w:val="24"/>
                <w:highlight w:val="none"/>
              </w:rPr>
            </w:pPr>
          </w:p>
        </w:tc>
        <w:tc>
          <w:tcPr>
            <w:tcW w:w="1812" w:type="dxa"/>
            <w:vAlign w:val="center"/>
          </w:tcPr>
          <w:p>
            <w:pPr>
              <w:spacing w:line="360" w:lineRule="auto"/>
              <w:rPr>
                <w:rFonts w:ascii="宋体" w:hAnsi="宋体" w:cs="宋体"/>
                <w:color w:val="auto"/>
                <w:sz w:val="24"/>
                <w:highlight w:val="none"/>
              </w:rPr>
            </w:pPr>
          </w:p>
        </w:tc>
        <w:tc>
          <w:tcPr>
            <w:tcW w:w="1154" w:type="dxa"/>
            <w:vAlign w:val="center"/>
          </w:tcPr>
          <w:p>
            <w:pPr>
              <w:spacing w:line="360" w:lineRule="auto"/>
              <w:rPr>
                <w:rFonts w:ascii="宋体" w:hAnsi="宋体" w:cs="宋体"/>
                <w:color w:val="auto"/>
                <w:sz w:val="24"/>
                <w:highlight w:val="none"/>
              </w:rPr>
            </w:pPr>
          </w:p>
        </w:tc>
        <w:tc>
          <w:tcPr>
            <w:tcW w:w="2965" w:type="dxa"/>
            <w:vAlign w:val="center"/>
          </w:tcPr>
          <w:p>
            <w:pPr>
              <w:spacing w:line="360" w:lineRule="auto"/>
              <w:rPr>
                <w:rFonts w:ascii="宋体" w:hAnsi="宋体" w:cs="宋体"/>
                <w:color w:val="auto"/>
                <w:sz w:val="24"/>
                <w:highlight w:val="none"/>
              </w:rPr>
            </w:pPr>
          </w:p>
        </w:tc>
        <w:tc>
          <w:tcPr>
            <w:tcW w:w="1223" w:type="dxa"/>
            <w:vAlign w:val="center"/>
          </w:tcPr>
          <w:p>
            <w:pPr>
              <w:spacing w:line="360" w:lineRule="auto"/>
              <w:rPr>
                <w:rFonts w:ascii="宋体" w:hAnsi="宋体" w:cs="宋体"/>
                <w:color w:val="auto"/>
                <w:sz w:val="24"/>
                <w:highlight w:val="none"/>
              </w:rPr>
            </w:pPr>
          </w:p>
        </w:tc>
        <w:tc>
          <w:tcPr>
            <w:tcW w:w="1454"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915" w:type="dxa"/>
            <w:vAlign w:val="center"/>
          </w:tcPr>
          <w:p>
            <w:pPr>
              <w:spacing w:line="360" w:lineRule="auto"/>
              <w:rPr>
                <w:rFonts w:ascii="宋体" w:hAnsi="宋体" w:cs="宋体"/>
                <w:color w:val="auto"/>
                <w:sz w:val="24"/>
                <w:highlight w:val="none"/>
              </w:rPr>
            </w:pPr>
          </w:p>
        </w:tc>
        <w:tc>
          <w:tcPr>
            <w:tcW w:w="1812" w:type="dxa"/>
            <w:vAlign w:val="center"/>
          </w:tcPr>
          <w:p>
            <w:pPr>
              <w:spacing w:line="360" w:lineRule="auto"/>
              <w:rPr>
                <w:rFonts w:ascii="宋体" w:hAnsi="宋体" w:cs="宋体"/>
                <w:color w:val="auto"/>
                <w:sz w:val="24"/>
                <w:highlight w:val="none"/>
              </w:rPr>
            </w:pPr>
          </w:p>
        </w:tc>
        <w:tc>
          <w:tcPr>
            <w:tcW w:w="1154" w:type="dxa"/>
            <w:vAlign w:val="center"/>
          </w:tcPr>
          <w:p>
            <w:pPr>
              <w:spacing w:line="360" w:lineRule="auto"/>
              <w:rPr>
                <w:rFonts w:ascii="宋体" w:hAnsi="宋体" w:cs="宋体"/>
                <w:color w:val="auto"/>
                <w:sz w:val="24"/>
                <w:highlight w:val="none"/>
              </w:rPr>
            </w:pPr>
          </w:p>
        </w:tc>
        <w:tc>
          <w:tcPr>
            <w:tcW w:w="2965" w:type="dxa"/>
            <w:vAlign w:val="center"/>
          </w:tcPr>
          <w:p>
            <w:pPr>
              <w:spacing w:line="360" w:lineRule="auto"/>
              <w:rPr>
                <w:rFonts w:ascii="宋体" w:hAnsi="宋体" w:cs="宋体"/>
                <w:color w:val="auto"/>
                <w:sz w:val="24"/>
                <w:highlight w:val="none"/>
              </w:rPr>
            </w:pPr>
          </w:p>
        </w:tc>
        <w:tc>
          <w:tcPr>
            <w:tcW w:w="1223" w:type="dxa"/>
            <w:vAlign w:val="center"/>
          </w:tcPr>
          <w:p>
            <w:pPr>
              <w:spacing w:line="360" w:lineRule="auto"/>
              <w:rPr>
                <w:rFonts w:ascii="宋体" w:hAnsi="宋体" w:cs="宋体"/>
                <w:color w:val="auto"/>
                <w:sz w:val="24"/>
                <w:highlight w:val="none"/>
              </w:rPr>
            </w:pPr>
          </w:p>
        </w:tc>
        <w:tc>
          <w:tcPr>
            <w:tcW w:w="1454"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915" w:type="dxa"/>
            <w:vAlign w:val="center"/>
          </w:tcPr>
          <w:p>
            <w:pPr>
              <w:spacing w:line="360" w:lineRule="auto"/>
              <w:rPr>
                <w:rFonts w:ascii="宋体" w:hAnsi="宋体" w:cs="宋体"/>
                <w:color w:val="auto"/>
                <w:sz w:val="24"/>
                <w:highlight w:val="none"/>
              </w:rPr>
            </w:pPr>
          </w:p>
        </w:tc>
        <w:tc>
          <w:tcPr>
            <w:tcW w:w="1812" w:type="dxa"/>
            <w:vAlign w:val="center"/>
          </w:tcPr>
          <w:p>
            <w:pPr>
              <w:spacing w:line="360" w:lineRule="auto"/>
              <w:rPr>
                <w:rFonts w:ascii="宋体" w:hAnsi="宋体" w:cs="宋体"/>
                <w:color w:val="auto"/>
                <w:sz w:val="24"/>
                <w:highlight w:val="none"/>
              </w:rPr>
            </w:pPr>
          </w:p>
        </w:tc>
        <w:tc>
          <w:tcPr>
            <w:tcW w:w="1154" w:type="dxa"/>
            <w:vAlign w:val="center"/>
          </w:tcPr>
          <w:p>
            <w:pPr>
              <w:spacing w:line="360" w:lineRule="auto"/>
              <w:rPr>
                <w:rFonts w:ascii="宋体" w:hAnsi="宋体" w:cs="宋体"/>
                <w:color w:val="auto"/>
                <w:sz w:val="24"/>
                <w:highlight w:val="none"/>
              </w:rPr>
            </w:pPr>
          </w:p>
        </w:tc>
        <w:tc>
          <w:tcPr>
            <w:tcW w:w="2965" w:type="dxa"/>
            <w:vAlign w:val="center"/>
          </w:tcPr>
          <w:p>
            <w:pPr>
              <w:spacing w:line="360" w:lineRule="auto"/>
              <w:rPr>
                <w:rFonts w:ascii="宋体" w:hAnsi="宋体" w:cs="宋体"/>
                <w:color w:val="auto"/>
                <w:sz w:val="24"/>
                <w:highlight w:val="none"/>
              </w:rPr>
            </w:pPr>
          </w:p>
        </w:tc>
        <w:tc>
          <w:tcPr>
            <w:tcW w:w="1223" w:type="dxa"/>
            <w:vAlign w:val="center"/>
          </w:tcPr>
          <w:p>
            <w:pPr>
              <w:spacing w:line="360" w:lineRule="auto"/>
              <w:rPr>
                <w:rFonts w:ascii="宋体" w:hAnsi="宋体" w:cs="宋体"/>
                <w:color w:val="auto"/>
                <w:sz w:val="24"/>
                <w:highlight w:val="none"/>
              </w:rPr>
            </w:pPr>
          </w:p>
        </w:tc>
        <w:tc>
          <w:tcPr>
            <w:tcW w:w="1454"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915" w:type="dxa"/>
            <w:vAlign w:val="center"/>
          </w:tcPr>
          <w:p>
            <w:pPr>
              <w:spacing w:line="360" w:lineRule="auto"/>
              <w:rPr>
                <w:rFonts w:ascii="宋体" w:hAnsi="宋体" w:cs="宋体"/>
                <w:color w:val="auto"/>
                <w:sz w:val="24"/>
                <w:highlight w:val="none"/>
              </w:rPr>
            </w:pPr>
          </w:p>
        </w:tc>
        <w:tc>
          <w:tcPr>
            <w:tcW w:w="1812" w:type="dxa"/>
            <w:vAlign w:val="center"/>
          </w:tcPr>
          <w:p>
            <w:pPr>
              <w:spacing w:line="360" w:lineRule="auto"/>
              <w:rPr>
                <w:rFonts w:ascii="宋体" w:hAnsi="宋体" w:cs="宋体"/>
                <w:color w:val="auto"/>
                <w:sz w:val="24"/>
                <w:highlight w:val="none"/>
              </w:rPr>
            </w:pPr>
          </w:p>
        </w:tc>
        <w:tc>
          <w:tcPr>
            <w:tcW w:w="1154" w:type="dxa"/>
            <w:vAlign w:val="center"/>
          </w:tcPr>
          <w:p>
            <w:pPr>
              <w:spacing w:line="360" w:lineRule="auto"/>
              <w:rPr>
                <w:rFonts w:ascii="宋体" w:hAnsi="宋体" w:cs="宋体"/>
                <w:color w:val="auto"/>
                <w:sz w:val="24"/>
                <w:highlight w:val="none"/>
              </w:rPr>
            </w:pPr>
          </w:p>
        </w:tc>
        <w:tc>
          <w:tcPr>
            <w:tcW w:w="2965" w:type="dxa"/>
            <w:vAlign w:val="center"/>
          </w:tcPr>
          <w:p>
            <w:pPr>
              <w:spacing w:line="360" w:lineRule="auto"/>
              <w:rPr>
                <w:rFonts w:ascii="宋体" w:hAnsi="宋体" w:cs="宋体"/>
                <w:color w:val="auto"/>
                <w:sz w:val="24"/>
                <w:highlight w:val="none"/>
              </w:rPr>
            </w:pPr>
          </w:p>
        </w:tc>
        <w:tc>
          <w:tcPr>
            <w:tcW w:w="1223" w:type="dxa"/>
            <w:vAlign w:val="center"/>
          </w:tcPr>
          <w:p>
            <w:pPr>
              <w:spacing w:line="360" w:lineRule="auto"/>
              <w:rPr>
                <w:rFonts w:ascii="宋体" w:hAnsi="宋体" w:cs="宋体"/>
                <w:color w:val="auto"/>
                <w:sz w:val="24"/>
                <w:highlight w:val="none"/>
              </w:rPr>
            </w:pPr>
          </w:p>
        </w:tc>
        <w:tc>
          <w:tcPr>
            <w:tcW w:w="1454"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915" w:type="dxa"/>
            <w:vAlign w:val="center"/>
          </w:tcPr>
          <w:p>
            <w:pPr>
              <w:spacing w:line="360" w:lineRule="auto"/>
              <w:rPr>
                <w:rFonts w:ascii="宋体" w:hAnsi="宋体" w:cs="宋体"/>
                <w:color w:val="auto"/>
                <w:sz w:val="24"/>
                <w:highlight w:val="none"/>
              </w:rPr>
            </w:pPr>
          </w:p>
        </w:tc>
        <w:tc>
          <w:tcPr>
            <w:tcW w:w="1812" w:type="dxa"/>
            <w:vAlign w:val="center"/>
          </w:tcPr>
          <w:p>
            <w:pPr>
              <w:spacing w:line="360" w:lineRule="auto"/>
              <w:rPr>
                <w:rFonts w:ascii="宋体" w:hAnsi="宋体" w:cs="宋体"/>
                <w:color w:val="auto"/>
                <w:sz w:val="24"/>
                <w:highlight w:val="none"/>
              </w:rPr>
            </w:pPr>
          </w:p>
        </w:tc>
        <w:tc>
          <w:tcPr>
            <w:tcW w:w="1154" w:type="dxa"/>
            <w:vAlign w:val="center"/>
          </w:tcPr>
          <w:p>
            <w:pPr>
              <w:spacing w:line="360" w:lineRule="auto"/>
              <w:rPr>
                <w:rFonts w:ascii="宋体" w:hAnsi="宋体" w:cs="宋体"/>
                <w:color w:val="auto"/>
                <w:sz w:val="24"/>
                <w:highlight w:val="none"/>
              </w:rPr>
            </w:pPr>
          </w:p>
        </w:tc>
        <w:tc>
          <w:tcPr>
            <w:tcW w:w="2965" w:type="dxa"/>
            <w:vAlign w:val="center"/>
          </w:tcPr>
          <w:p>
            <w:pPr>
              <w:spacing w:line="360" w:lineRule="auto"/>
              <w:rPr>
                <w:rFonts w:ascii="宋体" w:hAnsi="宋体" w:cs="宋体"/>
                <w:color w:val="auto"/>
                <w:sz w:val="24"/>
                <w:highlight w:val="none"/>
              </w:rPr>
            </w:pPr>
          </w:p>
        </w:tc>
        <w:tc>
          <w:tcPr>
            <w:tcW w:w="1223" w:type="dxa"/>
            <w:vAlign w:val="center"/>
          </w:tcPr>
          <w:p>
            <w:pPr>
              <w:spacing w:line="360" w:lineRule="auto"/>
              <w:rPr>
                <w:rFonts w:ascii="宋体" w:hAnsi="宋体" w:cs="宋体"/>
                <w:color w:val="auto"/>
                <w:sz w:val="24"/>
                <w:highlight w:val="none"/>
              </w:rPr>
            </w:pPr>
          </w:p>
        </w:tc>
        <w:tc>
          <w:tcPr>
            <w:tcW w:w="1454"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915" w:type="dxa"/>
            <w:vAlign w:val="center"/>
          </w:tcPr>
          <w:p>
            <w:pPr>
              <w:spacing w:line="360" w:lineRule="auto"/>
              <w:rPr>
                <w:rFonts w:ascii="宋体" w:hAnsi="宋体" w:cs="宋体"/>
                <w:color w:val="auto"/>
                <w:sz w:val="24"/>
                <w:highlight w:val="none"/>
              </w:rPr>
            </w:pPr>
          </w:p>
        </w:tc>
        <w:tc>
          <w:tcPr>
            <w:tcW w:w="1812" w:type="dxa"/>
            <w:vAlign w:val="center"/>
          </w:tcPr>
          <w:p>
            <w:pPr>
              <w:spacing w:line="360" w:lineRule="auto"/>
              <w:rPr>
                <w:rFonts w:ascii="宋体" w:hAnsi="宋体" w:cs="宋体"/>
                <w:color w:val="auto"/>
                <w:sz w:val="24"/>
                <w:highlight w:val="none"/>
              </w:rPr>
            </w:pPr>
          </w:p>
        </w:tc>
        <w:tc>
          <w:tcPr>
            <w:tcW w:w="1154" w:type="dxa"/>
            <w:vAlign w:val="center"/>
          </w:tcPr>
          <w:p>
            <w:pPr>
              <w:spacing w:line="360" w:lineRule="auto"/>
              <w:rPr>
                <w:rFonts w:ascii="宋体" w:hAnsi="宋体" w:cs="宋体"/>
                <w:color w:val="auto"/>
                <w:sz w:val="24"/>
                <w:highlight w:val="none"/>
              </w:rPr>
            </w:pPr>
          </w:p>
        </w:tc>
        <w:tc>
          <w:tcPr>
            <w:tcW w:w="2965" w:type="dxa"/>
            <w:vAlign w:val="center"/>
          </w:tcPr>
          <w:p>
            <w:pPr>
              <w:spacing w:line="360" w:lineRule="auto"/>
              <w:rPr>
                <w:rFonts w:ascii="宋体" w:hAnsi="宋体" w:cs="宋体"/>
                <w:color w:val="auto"/>
                <w:sz w:val="24"/>
                <w:highlight w:val="none"/>
              </w:rPr>
            </w:pPr>
          </w:p>
        </w:tc>
        <w:tc>
          <w:tcPr>
            <w:tcW w:w="1223" w:type="dxa"/>
            <w:vAlign w:val="center"/>
          </w:tcPr>
          <w:p>
            <w:pPr>
              <w:spacing w:line="360" w:lineRule="auto"/>
              <w:rPr>
                <w:rFonts w:ascii="宋体" w:hAnsi="宋体" w:cs="宋体"/>
                <w:color w:val="auto"/>
                <w:sz w:val="24"/>
                <w:highlight w:val="none"/>
              </w:rPr>
            </w:pPr>
          </w:p>
        </w:tc>
        <w:tc>
          <w:tcPr>
            <w:tcW w:w="1454" w:type="dxa"/>
            <w:vAlign w:val="center"/>
          </w:tcPr>
          <w:p>
            <w:pPr>
              <w:spacing w:line="360" w:lineRule="auto"/>
              <w:rPr>
                <w:rFonts w:ascii="宋体" w:hAnsi="宋体" w:cs="宋体"/>
                <w:color w:val="auto"/>
                <w:sz w:val="24"/>
                <w:highlight w:val="none"/>
              </w:rPr>
            </w:pPr>
          </w:p>
        </w:tc>
      </w:tr>
    </w:tbl>
    <w:p>
      <w:pPr>
        <w:spacing w:line="360" w:lineRule="auto"/>
        <w:ind w:left="420"/>
        <w:rPr>
          <w:rFonts w:ascii="宋体" w:hAnsi="宋体" w:cs="宋体"/>
          <w:color w:val="auto"/>
          <w:sz w:val="24"/>
          <w:highlight w:val="none"/>
        </w:rPr>
      </w:pPr>
    </w:p>
    <w:p>
      <w:pPr>
        <w:spacing w:line="360" w:lineRule="auto"/>
        <w:ind w:left="435"/>
        <w:rPr>
          <w:rFonts w:ascii="宋体" w:hAnsi="宋体" w:cs="宋体"/>
          <w:b/>
          <w:color w:val="auto"/>
          <w:szCs w:val="21"/>
          <w:highlight w:val="none"/>
        </w:rPr>
      </w:pPr>
      <w:r>
        <w:rPr>
          <w:rFonts w:hint="eastAsia" w:ascii="宋体" w:hAnsi="宋体" w:cs="宋体"/>
          <w:b/>
          <w:color w:val="auto"/>
          <w:szCs w:val="21"/>
          <w:highlight w:val="none"/>
        </w:rPr>
        <w:t>要求：</w:t>
      </w:r>
    </w:p>
    <w:p>
      <w:pPr>
        <w:spacing w:line="360" w:lineRule="auto"/>
        <w:ind w:left="435" w:firstLine="559" w:firstLineChars="265"/>
        <w:rPr>
          <w:rFonts w:ascii="宋体" w:hAnsi="宋体" w:cs="宋体"/>
          <w:color w:val="auto"/>
          <w:szCs w:val="21"/>
          <w:highlight w:val="none"/>
        </w:rPr>
      </w:pPr>
      <w:r>
        <w:rPr>
          <w:rFonts w:hint="eastAsia" w:ascii="宋体" w:hAnsi="宋体" w:cs="宋体"/>
          <w:b/>
          <w:color w:val="auto"/>
          <w:szCs w:val="21"/>
          <w:highlight w:val="none"/>
        </w:rPr>
        <w:t>1.</w:t>
      </w:r>
      <w:r>
        <w:rPr>
          <w:rFonts w:hint="eastAsia" w:ascii="宋体" w:hAnsi="宋体" w:cs="宋体"/>
          <w:color w:val="auto"/>
          <w:szCs w:val="21"/>
          <w:highlight w:val="none"/>
        </w:rPr>
        <w:t>本表中的产品名称、数量应与公开招标需求中相对应的产品名称、数量一致；</w:t>
      </w:r>
    </w:p>
    <w:p>
      <w:pPr>
        <w:spacing w:line="360" w:lineRule="auto"/>
        <w:rPr>
          <w:rFonts w:ascii="宋体" w:hAnsi="宋体" w:cs="宋体"/>
          <w:color w:val="auto"/>
          <w:sz w:val="24"/>
          <w:highlight w:val="none"/>
        </w:rPr>
      </w:pPr>
    </w:p>
    <w:p>
      <w:pPr>
        <w:spacing w:line="360" w:lineRule="auto"/>
        <w:ind w:left="420"/>
        <w:rPr>
          <w:rFonts w:ascii="宋体" w:hAnsi="宋体" w:cs="宋体"/>
          <w:color w:val="auto"/>
          <w:sz w:val="24"/>
          <w:highlight w:val="none"/>
        </w:rPr>
      </w:pPr>
    </w:p>
    <w:p>
      <w:pPr>
        <w:spacing w:line="360" w:lineRule="auto"/>
        <w:ind w:left="420" w:firstLine="571" w:firstLineChars="238"/>
        <w:rPr>
          <w:rFonts w:ascii="宋体" w:hAnsi="宋体" w:cs="宋体"/>
          <w:color w:val="auto"/>
          <w:sz w:val="24"/>
          <w:highlight w:val="none"/>
          <w:u w:val="single"/>
        </w:rPr>
      </w:pPr>
      <w:r>
        <w:rPr>
          <w:rFonts w:hint="eastAsia" w:ascii="宋体" w:hAnsi="宋体" w:cs="宋体"/>
          <w:color w:val="auto"/>
          <w:sz w:val="24"/>
          <w:highlight w:val="none"/>
        </w:rPr>
        <w:t>投标人名称（公章）：</w:t>
      </w:r>
    </w:p>
    <w:p>
      <w:pPr>
        <w:spacing w:line="360" w:lineRule="auto"/>
        <w:ind w:left="420"/>
        <w:rPr>
          <w:rFonts w:ascii="宋体" w:hAnsi="宋体" w:cs="宋体"/>
          <w:color w:val="auto"/>
          <w:sz w:val="24"/>
          <w:highlight w:val="none"/>
        </w:rPr>
      </w:pPr>
    </w:p>
    <w:p>
      <w:pPr>
        <w:spacing w:line="360" w:lineRule="auto"/>
        <w:ind w:firstLine="993"/>
        <w:rPr>
          <w:rFonts w:ascii="宋体" w:hAnsi="宋体" w:cs="宋体"/>
          <w:color w:val="auto"/>
          <w:sz w:val="24"/>
          <w:highlight w:val="none"/>
        </w:rPr>
      </w:pPr>
      <w:r>
        <w:rPr>
          <w:rFonts w:hint="eastAsia" w:ascii="宋体" w:hAnsi="宋体" w:cs="宋体"/>
          <w:color w:val="auto"/>
          <w:sz w:val="24"/>
          <w:highlight w:val="none"/>
        </w:rPr>
        <w:t>投标人代表签字或盖章：</w:t>
      </w:r>
    </w:p>
    <w:p>
      <w:pPr>
        <w:spacing w:line="360" w:lineRule="auto"/>
        <w:ind w:firstLine="435"/>
        <w:rPr>
          <w:rFonts w:ascii="宋体" w:hAnsi="宋体" w:cs="宋体"/>
          <w:color w:val="auto"/>
          <w:sz w:val="24"/>
          <w:highlight w:val="none"/>
        </w:rPr>
      </w:pPr>
    </w:p>
    <w:p>
      <w:pPr>
        <w:spacing w:line="360" w:lineRule="auto"/>
        <w:ind w:firstLine="993"/>
        <w:rPr>
          <w:rFonts w:ascii="宋体" w:hAnsi="宋体" w:cs="宋体"/>
          <w:color w:val="auto"/>
          <w:sz w:val="24"/>
          <w:highlight w:val="none"/>
        </w:rPr>
      </w:pPr>
      <w:r>
        <w:rPr>
          <w:rFonts w:hint="eastAsia" w:ascii="宋体" w:hAnsi="宋体" w:cs="宋体"/>
          <w:color w:val="auto"/>
          <w:sz w:val="24"/>
          <w:highlight w:val="none"/>
        </w:rPr>
        <w:t>职        务：</w:t>
      </w:r>
    </w:p>
    <w:p>
      <w:pPr>
        <w:spacing w:line="360" w:lineRule="auto"/>
        <w:ind w:firstLine="435"/>
        <w:rPr>
          <w:rFonts w:ascii="宋体" w:hAnsi="宋体" w:cs="宋体"/>
          <w:color w:val="auto"/>
          <w:sz w:val="24"/>
          <w:highlight w:val="none"/>
        </w:rPr>
      </w:pPr>
    </w:p>
    <w:p>
      <w:pPr>
        <w:spacing w:line="360" w:lineRule="auto"/>
        <w:ind w:firstLine="993"/>
        <w:rPr>
          <w:rFonts w:ascii="宋体" w:hAnsi="宋体" w:cs="宋体"/>
          <w:color w:val="auto"/>
          <w:sz w:val="24"/>
          <w:highlight w:val="none"/>
        </w:rPr>
      </w:pPr>
      <w:r>
        <w:rPr>
          <w:rFonts w:hint="eastAsia" w:ascii="宋体" w:hAnsi="宋体" w:cs="宋体"/>
          <w:color w:val="auto"/>
          <w:sz w:val="24"/>
          <w:highlight w:val="none"/>
        </w:rPr>
        <w:t>日        期：</w:t>
      </w:r>
    </w:p>
    <w:p>
      <w:pPr>
        <w:snapToGrid w:val="0"/>
        <w:spacing w:before="50" w:after="50" w:line="360" w:lineRule="auto"/>
        <w:rPr>
          <w:rFonts w:ascii="宋体" w:hAnsi="宋体" w:cs="宋体"/>
          <w:b/>
          <w:color w:val="auto"/>
          <w:sz w:val="28"/>
          <w:highlight w:val="none"/>
        </w:rPr>
      </w:pPr>
    </w:p>
    <w:p>
      <w:pPr>
        <w:snapToGrid w:val="0"/>
        <w:spacing w:before="50" w:after="50" w:line="360" w:lineRule="auto"/>
        <w:rPr>
          <w:rFonts w:ascii="宋体" w:hAnsi="宋体" w:cs="宋体"/>
          <w:b/>
          <w:color w:val="auto"/>
          <w:sz w:val="28"/>
          <w:highlight w:val="none"/>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cs="宋体"/>
          <w:b/>
          <w:color w:val="auto"/>
          <w:sz w:val="28"/>
          <w:highlight w:val="none"/>
        </w:rPr>
      </w:pPr>
      <w:r>
        <w:rPr>
          <w:rFonts w:hint="eastAsia" w:ascii="宋体" w:hAnsi="宋体" w:cs="宋体"/>
          <w:b/>
          <w:color w:val="auto"/>
          <w:sz w:val="28"/>
          <w:highlight w:val="none"/>
        </w:rPr>
        <w:t>附件10</w:t>
      </w:r>
    </w:p>
    <w:p>
      <w:pPr>
        <w:snapToGrid w:val="0"/>
        <w:spacing w:before="50" w:after="50" w:line="360" w:lineRule="auto"/>
        <w:rPr>
          <w:rFonts w:ascii="宋体" w:hAnsi="宋体" w:cs="宋体"/>
          <w:b/>
          <w:color w:val="auto"/>
          <w:sz w:val="28"/>
          <w:highlight w:val="none"/>
        </w:rPr>
      </w:pPr>
    </w:p>
    <w:p>
      <w:pPr>
        <w:pStyle w:val="22"/>
        <w:adjustRightInd w:val="0"/>
        <w:snapToGrid w:val="0"/>
        <w:spacing w:line="360" w:lineRule="auto"/>
        <w:jc w:val="center"/>
        <w:rPr>
          <w:rFonts w:hAnsi="宋体" w:cs="宋体"/>
          <w:b/>
          <w:color w:val="auto"/>
          <w:sz w:val="32"/>
          <w:szCs w:val="32"/>
          <w:highlight w:val="none"/>
        </w:rPr>
      </w:pPr>
      <w:r>
        <w:rPr>
          <w:rFonts w:hint="eastAsia" w:hAnsi="宋体" w:cs="宋体"/>
          <w:b/>
          <w:color w:val="auto"/>
          <w:sz w:val="32"/>
          <w:szCs w:val="32"/>
          <w:highlight w:val="none"/>
        </w:rPr>
        <w:t>商务及技术响应表</w:t>
      </w:r>
    </w:p>
    <w:p>
      <w:pPr>
        <w:pStyle w:val="22"/>
        <w:adjustRightInd w:val="0"/>
        <w:snapToGrid w:val="0"/>
        <w:spacing w:line="360" w:lineRule="auto"/>
        <w:jc w:val="left"/>
        <w:rPr>
          <w:rFonts w:hAnsi="宋体" w:cs="宋体"/>
          <w:b/>
          <w:color w:val="auto"/>
          <w:sz w:val="24"/>
          <w:highlight w:val="none"/>
        </w:rPr>
      </w:pPr>
      <w:r>
        <w:rPr>
          <w:rFonts w:hint="eastAsia" w:hAnsi="宋体" w:cs="宋体"/>
          <w:b/>
          <w:bCs/>
          <w:color w:val="auto"/>
          <w:sz w:val="24"/>
          <w:highlight w:val="none"/>
        </w:rPr>
        <w:t>项目名称及编号：</w:t>
      </w:r>
    </w:p>
    <w:tbl>
      <w:tblPr>
        <w:tblStyle w:val="35"/>
        <w:tblW w:w="8739" w:type="dxa"/>
        <w:tblInd w:w="0" w:type="dxa"/>
        <w:tblLayout w:type="fixed"/>
        <w:tblCellMar>
          <w:top w:w="0" w:type="dxa"/>
          <w:left w:w="108" w:type="dxa"/>
          <w:bottom w:w="0" w:type="dxa"/>
          <w:right w:w="108" w:type="dxa"/>
        </w:tblCellMar>
      </w:tblPr>
      <w:tblGrid>
        <w:gridCol w:w="1195"/>
        <w:gridCol w:w="2171"/>
        <w:gridCol w:w="2001"/>
        <w:gridCol w:w="1971"/>
        <w:gridCol w:w="1401"/>
      </w:tblGrid>
      <w:tr>
        <w:tblPrEx>
          <w:tblCellMar>
            <w:top w:w="0" w:type="dxa"/>
            <w:left w:w="108" w:type="dxa"/>
            <w:bottom w:w="0" w:type="dxa"/>
            <w:right w:w="108" w:type="dxa"/>
          </w:tblCellMar>
        </w:tblPrEx>
        <w:trPr>
          <w:trHeight w:val="809" w:hRule="atLeast"/>
        </w:trPr>
        <w:tc>
          <w:tcPr>
            <w:tcW w:w="1195"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s="宋体"/>
                <w:bCs/>
                <w:color w:val="auto"/>
                <w:spacing w:val="10"/>
                <w:kern w:val="0"/>
                <w:sz w:val="24"/>
                <w:szCs w:val="22"/>
                <w:highlight w:val="none"/>
              </w:rPr>
            </w:pPr>
            <w:r>
              <w:rPr>
                <w:rFonts w:hint="eastAsia" w:hAnsi="宋体" w:cs="宋体"/>
                <w:bCs/>
                <w:color w:val="auto"/>
                <w:spacing w:val="10"/>
                <w:kern w:val="0"/>
                <w:sz w:val="24"/>
                <w:szCs w:val="22"/>
                <w:highlight w:val="none"/>
              </w:rPr>
              <w:t>类别</w:t>
            </w:r>
          </w:p>
        </w:tc>
        <w:tc>
          <w:tcPr>
            <w:tcW w:w="217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s="宋体"/>
                <w:bCs/>
                <w:color w:val="auto"/>
                <w:spacing w:val="10"/>
                <w:kern w:val="0"/>
                <w:sz w:val="24"/>
                <w:szCs w:val="22"/>
                <w:highlight w:val="none"/>
              </w:rPr>
            </w:pPr>
            <w:r>
              <w:rPr>
                <w:rFonts w:hint="eastAsia" w:hAnsi="宋体" w:cs="宋体"/>
                <w:bCs/>
                <w:color w:val="auto"/>
                <w:spacing w:val="10"/>
                <w:kern w:val="0"/>
                <w:sz w:val="24"/>
                <w:szCs w:val="22"/>
                <w:highlight w:val="none"/>
              </w:rPr>
              <w:t>内容</w:t>
            </w:r>
          </w:p>
        </w:tc>
        <w:tc>
          <w:tcPr>
            <w:tcW w:w="200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s="宋体"/>
                <w:bCs/>
                <w:color w:val="auto"/>
                <w:spacing w:val="10"/>
                <w:kern w:val="0"/>
                <w:sz w:val="24"/>
                <w:szCs w:val="22"/>
                <w:highlight w:val="none"/>
              </w:rPr>
            </w:pPr>
            <w:r>
              <w:rPr>
                <w:rFonts w:hint="eastAsia" w:hAnsi="宋体" w:cs="宋体"/>
                <w:bCs/>
                <w:color w:val="auto"/>
                <w:spacing w:val="10"/>
                <w:kern w:val="0"/>
                <w:sz w:val="24"/>
                <w:szCs w:val="22"/>
                <w:highlight w:val="none"/>
              </w:rPr>
              <w:t>招标文件技术（或商务）要求</w:t>
            </w:r>
          </w:p>
        </w:tc>
        <w:tc>
          <w:tcPr>
            <w:tcW w:w="197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s="宋体"/>
                <w:bCs/>
                <w:color w:val="auto"/>
                <w:spacing w:val="10"/>
                <w:kern w:val="0"/>
                <w:sz w:val="24"/>
                <w:szCs w:val="22"/>
                <w:highlight w:val="none"/>
              </w:rPr>
            </w:pPr>
            <w:r>
              <w:rPr>
                <w:rFonts w:hint="eastAsia" w:hAnsi="宋体" w:cs="宋体"/>
                <w:bCs/>
                <w:color w:val="auto"/>
                <w:spacing w:val="10"/>
                <w:kern w:val="0"/>
                <w:sz w:val="24"/>
                <w:szCs w:val="22"/>
                <w:highlight w:val="none"/>
              </w:rPr>
              <w:t>投标文件技术（或商务）响应</w:t>
            </w:r>
          </w:p>
        </w:tc>
        <w:tc>
          <w:tcPr>
            <w:tcW w:w="140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s="宋体"/>
                <w:bCs/>
                <w:color w:val="auto"/>
                <w:spacing w:val="10"/>
                <w:kern w:val="0"/>
                <w:sz w:val="24"/>
                <w:szCs w:val="22"/>
                <w:highlight w:val="none"/>
              </w:rPr>
            </w:pPr>
            <w:r>
              <w:rPr>
                <w:rFonts w:hint="eastAsia" w:hAnsi="宋体" w:cs="宋体"/>
                <w:bCs/>
                <w:color w:val="auto"/>
                <w:spacing w:val="10"/>
                <w:kern w:val="0"/>
                <w:sz w:val="24"/>
                <w:szCs w:val="22"/>
                <w:highlight w:val="none"/>
              </w:rPr>
              <w:t>偏离情况</w:t>
            </w:r>
          </w:p>
        </w:tc>
      </w:tr>
      <w:tr>
        <w:tblPrEx>
          <w:tblCellMar>
            <w:top w:w="0" w:type="dxa"/>
            <w:left w:w="108" w:type="dxa"/>
            <w:bottom w:w="0" w:type="dxa"/>
            <w:right w:w="108" w:type="dxa"/>
          </w:tblCellMar>
        </w:tblPrEx>
        <w:trPr>
          <w:trHeight w:val="206" w:hRule="atLeast"/>
        </w:trPr>
        <w:tc>
          <w:tcPr>
            <w:tcW w:w="1195"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响应情况</w:t>
            </w:r>
          </w:p>
        </w:tc>
        <w:tc>
          <w:tcPr>
            <w:tcW w:w="21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val="0"/>
                <w:bCs w:val="0"/>
                <w:color w:val="auto"/>
                <w:spacing w:val="10"/>
                <w:kern w:val="0"/>
                <w:sz w:val="24"/>
                <w:szCs w:val="22"/>
                <w:highlight w:val="none"/>
              </w:rPr>
            </w:pPr>
            <w:r>
              <w:rPr>
                <w:rFonts w:hint="eastAsia" w:ascii="宋体" w:hAnsi="宋体" w:cs="宋体"/>
                <w:b w:val="0"/>
                <w:bCs w:val="0"/>
                <w:color w:val="auto"/>
                <w:sz w:val="24"/>
                <w:highlight w:val="none"/>
              </w:rPr>
              <w:t>交货期（交付期）</w:t>
            </w:r>
          </w:p>
        </w:tc>
        <w:tc>
          <w:tcPr>
            <w:tcW w:w="2001" w:type="dxa"/>
            <w:tcBorders>
              <w:top w:val="single" w:color="auto" w:sz="4" w:space="0"/>
              <w:left w:val="single" w:color="auto" w:sz="4" w:space="0"/>
              <w:bottom w:val="single" w:color="auto" w:sz="4" w:space="0"/>
              <w:right w:val="single" w:color="auto" w:sz="4" w:space="0"/>
            </w:tcBorders>
          </w:tcPr>
          <w:p>
            <w:pPr>
              <w:pStyle w:val="22"/>
              <w:adjustRightInd w:val="0"/>
              <w:snapToGrid w:val="0"/>
              <w:spacing w:line="360" w:lineRule="auto"/>
              <w:jc w:val="center"/>
              <w:rPr>
                <w:rFonts w:hAnsi="宋体" w:cs="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s="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s="宋体"/>
                <w:color w:val="auto"/>
                <w:spacing w:val="20"/>
                <w:sz w:val="24"/>
                <w:highlight w:val="none"/>
              </w:rPr>
            </w:pPr>
          </w:p>
        </w:tc>
      </w:tr>
      <w:tr>
        <w:tblPrEx>
          <w:tblCellMar>
            <w:top w:w="0" w:type="dxa"/>
            <w:left w:w="108" w:type="dxa"/>
            <w:bottom w:w="0" w:type="dxa"/>
            <w:right w:w="108" w:type="dxa"/>
          </w:tblCellMar>
        </w:tblPrEx>
        <w:trPr>
          <w:trHeight w:val="624" w:hRule="atLeast"/>
        </w:trPr>
        <w:tc>
          <w:tcPr>
            <w:tcW w:w="1195"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val="0"/>
                <w:bCs w:val="0"/>
                <w:color w:val="auto"/>
                <w:spacing w:val="10"/>
                <w:kern w:val="0"/>
                <w:sz w:val="24"/>
                <w:szCs w:val="22"/>
                <w:highlight w:val="none"/>
              </w:rPr>
            </w:pPr>
            <w:r>
              <w:rPr>
                <w:rFonts w:hint="eastAsia" w:ascii="宋体" w:hAnsi="宋体" w:cs="宋体"/>
                <w:b w:val="0"/>
                <w:bCs w:val="0"/>
                <w:color w:val="auto"/>
                <w:sz w:val="24"/>
                <w:highlight w:val="none"/>
              </w:rPr>
              <w:t>服务期</w:t>
            </w:r>
          </w:p>
        </w:tc>
        <w:tc>
          <w:tcPr>
            <w:tcW w:w="2001" w:type="dxa"/>
            <w:tcBorders>
              <w:top w:val="single" w:color="auto" w:sz="4" w:space="0"/>
              <w:left w:val="single" w:color="auto" w:sz="4" w:space="0"/>
              <w:bottom w:val="single" w:color="auto" w:sz="4" w:space="0"/>
              <w:right w:val="single" w:color="auto" w:sz="4" w:space="0"/>
            </w:tcBorders>
          </w:tcPr>
          <w:p>
            <w:pPr>
              <w:pStyle w:val="22"/>
              <w:adjustRightInd w:val="0"/>
              <w:snapToGrid w:val="0"/>
              <w:spacing w:line="360" w:lineRule="auto"/>
              <w:jc w:val="center"/>
              <w:rPr>
                <w:rFonts w:hAnsi="宋体" w:cs="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s="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s="宋体"/>
                <w:color w:val="auto"/>
                <w:spacing w:val="20"/>
                <w:sz w:val="24"/>
                <w:highlight w:val="none"/>
              </w:rPr>
            </w:pPr>
          </w:p>
        </w:tc>
      </w:tr>
      <w:tr>
        <w:tblPrEx>
          <w:tblCellMar>
            <w:top w:w="0" w:type="dxa"/>
            <w:left w:w="108" w:type="dxa"/>
            <w:bottom w:w="0" w:type="dxa"/>
            <w:right w:w="108" w:type="dxa"/>
          </w:tblCellMar>
        </w:tblPrEx>
        <w:trPr>
          <w:trHeight w:val="238" w:hRule="atLeast"/>
        </w:trPr>
        <w:tc>
          <w:tcPr>
            <w:tcW w:w="1195"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spacing w:val="10"/>
                <w:kern w:val="0"/>
                <w:sz w:val="24"/>
                <w:szCs w:val="22"/>
                <w:highlight w:val="none"/>
              </w:rPr>
            </w:pPr>
            <w:r>
              <w:rPr>
                <w:rFonts w:hint="eastAsia" w:ascii="宋体" w:hAnsi="宋体" w:cs="宋体"/>
                <w:bCs/>
                <w:color w:val="auto"/>
                <w:spacing w:val="10"/>
                <w:kern w:val="0"/>
                <w:sz w:val="24"/>
                <w:szCs w:val="22"/>
                <w:highlight w:val="none"/>
              </w:rPr>
              <w:t>履约保证金</w:t>
            </w:r>
          </w:p>
        </w:tc>
        <w:tc>
          <w:tcPr>
            <w:tcW w:w="2001" w:type="dxa"/>
            <w:tcBorders>
              <w:top w:val="single" w:color="auto" w:sz="4" w:space="0"/>
              <w:left w:val="single" w:color="auto" w:sz="4" w:space="0"/>
              <w:bottom w:val="single" w:color="auto" w:sz="4" w:space="0"/>
              <w:right w:val="single" w:color="auto" w:sz="4" w:space="0"/>
            </w:tcBorders>
          </w:tcPr>
          <w:p>
            <w:pPr>
              <w:pStyle w:val="22"/>
              <w:adjustRightInd w:val="0"/>
              <w:snapToGrid w:val="0"/>
              <w:spacing w:line="360" w:lineRule="auto"/>
              <w:jc w:val="center"/>
              <w:rPr>
                <w:rFonts w:hAnsi="宋体" w:cs="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s="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s="宋体"/>
                <w:color w:val="auto"/>
                <w:spacing w:val="20"/>
                <w:sz w:val="24"/>
                <w:highlight w:val="none"/>
              </w:rPr>
            </w:pPr>
          </w:p>
        </w:tc>
      </w:tr>
      <w:tr>
        <w:tblPrEx>
          <w:tblCellMar>
            <w:top w:w="0" w:type="dxa"/>
            <w:left w:w="108" w:type="dxa"/>
            <w:bottom w:w="0" w:type="dxa"/>
            <w:right w:w="108" w:type="dxa"/>
          </w:tblCellMar>
        </w:tblPrEx>
        <w:trPr>
          <w:trHeight w:val="173" w:hRule="atLeast"/>
        </w:trPr>
        <w:tc>
          <w:tcPr>
            <w:tcW w:w="1195"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pacing w:val="10"/>
                <w:kern w:val="0"/>
                <w:sz w:val="24"/>
                <w:szCs w:val="22"/>
                <w:highlight w:val="none"/>
              </w:rPr>
            </w:pPr>
            <w:r>
              <w:rPr>
                <w:rFonts w:hint="eastAsia" w:ascii="宋体" w:hAnsi="宋体" w:cs="宋体"/>
                <w:color w:val="auto"/>
                <w:sz w:val="24"/>
                <w:highlight w:val="none"/>
              </w:rPr>
              <w:t>付款方式</w:t>
            </w:r>
          </w:p>
        </w:tc>
        <w:tc>
          <w:tcPr>
            <w:tcW w:w="2001" w:type="dxa"/>
            <w:tcBorders>
              <w:top w:val="single" w:color="auto" w:sz="4" w:space="0"/>
              <w:left w:val="single" w:color="auto" w:sz="4" w:space="0"/>
              <w:bottom w:val="single" w:color="auto" w:sz="4" w:space="0"/>
              <w:right w:val="single" w:color="auto" w:sz="4" w:space="0"/>
            </w:tcBorders>
          </w:tcPr>
          <w:p>
            <w:pPr>
              <w:pStyle w:val="22"/>
              <w:adjustRightInd w:val="0"/>
              <w:snapToGrid w:val="0"/>
              <w:spacing w:line="360" w:lineRule="auto"/>
              <w:jc w:val="center"/>
              <w:rPr>
                <w:rFonts w:hAnsi="宋体" w:cs="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s="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s="宋体"/>
                <w:color w:val="auto"/>
                <w:spacing w:val="20"/>
                <w:sz w:val="24"/>
                <w:highlight w:val="none"/>
              </w:rPr>
            </w:pPr>
          </w:p>
        </w:tc>
      </w:tr>
      <w:tr>
        <w:tblPrEx>
          <w:tblCellMar>
            <w:top w:w="0" w:type="dxa"/>
            <w:left w:w="108" w:type="dxa"/>
            <w:bottom w:w="0" w:type="dxa"/>
            <w:right w:w="108" w:type="dxa"/>
          </w:tblCellMar>
        </w:tblPrEx>
        <w:trPr>
          <w:trHeight w:val="227" w:hRule="atLeast"/>
        </w:trPr>
        <w:tc>
          <w:tcPr>
            <w:tcW w:w="1195"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其他说明</w:t>
            </w:r>
          </w:p>
        </w:tc>
        <w:tc>
          <w:tcPr>
            <w:tcW w:w="2001" w:type="dxa"/>
            <w:tcBorders>
              <w:top w:val="single" w:color="auto" w:sz="4" w:space="0"/>
              <w:left w:val="single" w:color="auto" w:sz="4" w:space="0"/>
              <w:bottom w:val="single" w:color="auto" w:sz="4" w:space="0"/>
              <w:right w:val="single" w:color="auto" w:sz="4" w:space="0"/>
            </w:tcBorders>
          </w:tcPr>
          <w:p>
            <w:pPr>
              <w:pStyle w:val="22"/>
              <w:adjustRightInd w:val="0"/>
              <w:snapToGrid w:val="0"/>
              <w:spacing w:line="360" w:lineRule="auto"/>
              <w:jc w:val="center"/>
              <w:rPr>
                <w:rFonts w:hAnsi="宋体" w:cs="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s="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s="宋体"/>
                <w:color w:val="auto"/>
                <w:spacing w:val="20"/>
                <w:sz w:val="24"/>
                <w:highlight w:val="none"/>
              </w:rPr>
            </w:pPr>
          </w:p>
        </w:tc>
      </w:tr>
      <w:tr>
        <w:tblPrEx>
          <w:tblCellMar>
            <w:top w:w="0" w:type="dxa"/>
            <w:left w:w="108" w:type="dxa"/>
            <w:bottom w:w="0" w:type="dxa"/>
            <w:right w:w="108" w:type="dxa"/>
          </w:tblCellMar>
        </w:tblPrEx>
        <w:trPr>
          <w:trHeight w:val="90" w:hRule="atLeast"/>
        </w:trPr>
        <w:tc>
          <w:tcPr>
            <w:tcW w:w="1195"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bCs/>
                <w:color w:val="auto"/>
                <w:spacing w:val="10"/>
                <w:kern w:val="0"/>
                <w:sz w:val="24"/>
                <w:szCs w:val="22"/>
                <w:highlight w:val="none"/>
              </w:rPr>
              <w:t>……</w:t>
            </w:r>
          </w:p>
        </w:tc>
        <w:tc>
          <w:tcPr>
            <w:tcW w:w="2001" w:type="dxa"/>
            <w:tcBorders>
              <w:top w:val="single" w:color="auto" w:sz="4" w:space="0"/>
              <w:left w:val="single" w:color="auto" w:sz="4" w:space="0"/>
              <w:bottom w:val="single" w:color="auto" w:sz="4" w:space="0"/>
              <w:right w:val="single" w:color="auto" w:sz="4" w:space="0"/>
            </w:tcBorders>
          </w:tcPr>
          <w:p>
            <w:pPr>
              <w:pStyle w:val="22"/>
              <w:adjustRightInd w:val="0"/>
              <w:snapToGrid w:val="0"/>
              <w:spacing w:line="360" w:lineRule="auto"/>
              <w:jc w:val="center"/>
              <w:rPr>
                <w:rFonts w:hAnsi="宋体" w:cs="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s="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s="宋体"/>
                <w:color w:val="auto"/>
                <w:spacing w:val="20"/>
                <w:sz w:val="24"/>
                <w:highlight w:val="none"/>
              </w:rPr>
            </w:pPr>
          </w:p>
        </w:tc>
      </w:tr>
      <w:tr>
        <w:tblPrEx>
          <w:tblCellMar>
            <w:top w:w="0" w:type="dxa"/>
            <w:left w:w="108" w:type="dxa"/>
            <w:bottom w:w="0" w:type="dxa"/>
            <w:right w:w="108" w:type="dxa"/>
          </w:tblCellMar>
        </w:tblPrEx>
        <w:trPr>
          <w:trHeight w:val="624" w:hRule="atLeast"/>
        </w:trPr>
        <w:tc>
          <w:tcPr>
            <w:tcW w:w="1195"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（技术需求响应内容）</w:t>
            </w:r>
          </w:p>
        </w:tc>
        <w:tc>
          <w:tcPr>
            <w:tcW w:w="2001" w:type="dxa"/>
            <w:tcBorders>
              <w:top w:val="single" w:color="auto" w:sz="4" w:space="0"/>
              <w:left w:val="single" w:color="auto" w:sz="4" w:space="0"/>
              <w:bottom w:val="single" w:color="auto" w:sz="4" w:space="0"/>
              <w:right w:val="single" w:color="auto" w:sz="4" w:space="0"/>
            </w:tcBorders>
          </w:tcPr>
          <w:p>
            <w:pPr>
              <w:pStyle w:val="22"/>
              <w:adjustRightInd w:val="0"/>
              <w:snapToGrid w:val="0"/>
              <w:spacing w:line="360" w:lineRule="auto"/>
              <w:jc w:val="center"/>
              <w:rPr>
                <w:rFonts w:hAnsi="宋体" w:cs="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s="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s="宋体"/>
                <w:color w:val="auto"/>
                <w:spacing w:val="20"/>
                <w:sz w:val="24"/>
                <w:highlight w:val="none"/>
              </w:rPr>
            </w:pPr>
          </w:p>
        </w:tc>
      </w:tr>
      <w:tr>
        <w:tblPrEx>
          <w:tblCellMar>
            <w:top w:w="0" w:type="dxa"/>
            <w:left w:w="108" w:type="dxa"/>
            <w:bottom w:w="0" w:type="dxa"/>
            <w:right w:w="108" w:type="dxa"/>
          </w:tblCellMar>
        </w:tblPrEx>
        <w:trPr>
          <w:trHeight w:val="237" w:hRule="atLeast"/>
        </w:trPr>
        <w:tc>
          <w:tcPr>
            <w:tcW w:w="119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pacing w:val="20"/>
                <w:sz w:val="24"/>
                <w:highlight w:val="none"/>
              </w:rPr>
            </w:pPr>
            <w:r>
              <w:rPr>
                <w:rFonts w:hint="eastAsia" w:ascii="宋体" w:hAnsi="宋体" w:cs="宋体"/>
                <w:color w:val="auto"/>
                <w:sz w:val="24"/>
                <w:highlight w:val="none"/>
              </w:rPr>
              <w:t>……</w:t>
            </w:r>
          </w:p>
        </w:tc>
        <w:tc>
          <w:tcPr>
            <w:tcW w:w="2001" w:type="dxa"/>
            <w:tcBorders>
              <w:top w:val="single" w:color="auto" w:sz="4" w:space="0"/>
              <w:left w:val="single" w:color="auto" w:sz="4" w:space="0"/>
              <w:bottom w:val="single" w:color="auto" w:sz="4" w:space="0"/>
              <w:right w:val="single" w:color="auto" w:sz="4" w:space="0"/>
            </w:tcBorders>
          </w:tcPr>
          <w:p>
            <w:pPr>
              <w:pStyle w:val="22"/>
              <w:adjustRightInd w:val="0"/>
              <w:snapToGrid w:val="0"/>
              <w:spacing w:line="360" w:lineRule="auto"/>
              <w:jc w:val="center"/>
              <w:rPr>
                <w:rFonts w:hAnsi="宋体" w:cs="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s="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s="宋体"/>
                <w:color w:val="auto"/>
                <w:spacing w:val="20"/>
                <w:sz w:val="24"/>
                <w:highlight w:val="none"/>
              </w:rPr>
            </w:pPr>
          </w:p>
        </w:tc>
      </w:tr>
    </w:tbl>
    <w:p>
      <w:pPr>
        <w:pStyle w:val="55"/>
        <w:tabs>
          <w:tab w:val="left" w:pos="360"/>
        </w:tabs>
        <w:spacing w:line="360" w:lineRule="auto"/>
        <w:ind w:right="84" w:rightChars="40" w:firstLine="422" w:firstLineChars="200"/>
        <w:rPr>
          <w:rFonts w:ascii="宋体" w:hAnsi="宋体" w:cs="宋体"/>
          <w:color w:val="auto"/>
          <w:szCs w:val="21"/>
          <w:highlight w:val="none"/>
        </w:rPr>
      </w:pPr>
      <w:r>
        <w:rPr>
          <w:rFonts w:hint="eastAsia" w:ascii="宋体" w:hAnsi="宋体" w:cs="宋体"/>
          <w:b/>
          <w:color w:val="auto"/>
          <w:szCs w:val="21"/>
          <w:highlight w:val="none"/>
        </w:rPr>
        <w:t>要求：</w:t>
      </w:r>
      <w:r>
        <w:rPr>
          <w:rFonts w:hint="eastAsia" w:ascii="宋体" w:hAnsi="宋体" w:cs="宋体"/>
          <w:color w:val="auto"/>
          <w:szCs w:val="21"/>
          <w:highlight w:val="none"/>
        </w:rPr>
        <w:t>1. 本表参照本招标文件第四章“公开组招标需求”填制，投标人应根据招标需求的服务指标，对照招标文件要求在“偏离情况”栏注明“正偏离”、“负偏离”或“无偏离”。</w:t>
      </w:r>
    </w:p>
    <w:p>
      <w:pPr>
        <w:pStyle w:val="55"/>
        <w:tabs>
          <w:tab w:val="left" w:pos="360"/>
        </w:tabs>
        <w:spacing w:line="360" w:lineRule="auto"/>
        <w:ind w:right="84" w:rightChars="40"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highlight w:val="none"/>
        </w:rPr>
        <w:t xml:space="preserve"> </w:t>
      </w:r>
      <w:r>
        <w:rPr>
          <w:rFonts w:hint="eastAsia" w:ascii="宋体" w:hAnsi="宋体" w:cs="宋体"/>
          <w:color w:val="auto"/>
          <w:szCs w:val="21"/>
          <w:highlight w:val="none"/>
        </w:rPr>
        <w:t>如未提供或未填写均视为完全相应采购需求内容。</w:t>
      </w:r>
    </w:p>
    <w:p>
      <w:pPr>
        <w:pStyle w:val="55"/>
        <w:tabs>
          <w:tab w:val="left" w:pos="360"/>
        </w:tabs>
        <w:spacing w:line="360" w:lineRule="auto"/>
        <w:ind w:right="84" w:rightChars="40"/>
        <w:rPr>
          <w:rFonts w:ascii="宋体" w:hAnsi="宋体" w:cs="宋体"/>
          <w:color w:val="auto"/>
          <w:sz w:val="24"/>
          <w:highlight w:val="none"/>
        </w:rPr>
      </w:pPr>
    </w:p>
    <w:p>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投标人名称（公章）：</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投标人代表签字或盖章：</w:t>
      </w:r>
    </w:p>
    <w:p>
      <w:pPr>
        <w:spacing w:line="360" w:lineRule="auto"/>
        <w:ind w:firstLine="435"/>
        <w:rPr>
          <w:rFonts w:ascii="宋体" w:hAnsi="宋体" w:cs="宋体"/>
          <w:color w:val="auto"/>
          <w:sz w:val="24"/>
          <w:highlight w:val="none"/>
        </w:rPr>
      </w:pPr>
    </w:p>
    <w:p>
      <w:pPr>
        <w:spacing w:line="360" w:lineRule="auto"/>
        <w:ind w:firstLine="435"/>
        <w:rPr>
          <w:rFonts w:ascii="宋体" w:hAnsi="宋体" w:cs="宋体"/>
          <w:color w:val="auto"/>
          <w:sz w:val="24"/>
          <w:highlight w:val="none"/>
          <w:u w:val="single"/>
        </w:rPr>
      </w:pPr>
      <w:r>
        <w:rPr>
          <w:rFonts w:hint="eastAsia" w:ascii="宋体" w:hAnsi="宋体" w:cs="宋体"/>
          <w:color w:val="auto"/>
          <w:sz w:val="24"/>
          <w:highlight w:val="none"/>
        </w:rPr>
        <w:t>职        务：</w:t>
      </w:r>
    </w:p>
    <w:p>
      <w:pPr>
        <w:spacing w:line="360" w:lineRule="auto"/>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日        期：</w:t>
      </w:r>
    </w:p>
    <w:p>
      <w:pPr>
        <w:pStyle w:val="56"/>
        <w:spacing w:line="360" w:lineRule="auto"/>
        <w:jc w:val="left"/>
        <w:rPr>
          <w:rFonts w:ascii="宋体" w:hAnsi="宋体" w:cs="宋体"/>
          <w:b/>
          <w:color w:val="auto"/>
          <w:sz w:val="28"/>
          <w:highlight w:val="none"/>
        </w:rPr>
        <w:sectPr>
          <w:pgSz w:w="11906" w:h="16838"/>
          <w:pgMar w:top="1440" w:right="1800" w:bottom="1440" w:left="1800" w:header="851" w:footer="992" w:gutter="0"/>
          <w:pgNumType w:fmt="numberInDash"/>
          <w:cols w:space="425" w:num="1"/>
          <w:docGrid w:type="lines" w:linePitch="312" w:charSpace="0"/>
        </w:sectPr>
      </w:pPr>
    </w:p>
    <w:p>
      <w:pPr>
        <w:pStyle w:val="56"/>
        <w:spacing w:line="360" w:lineRule="auto"/>
        <w:jc w:val="left"/>
        <w:rPr>
          <w:rFonts w:ascii="宋体" w:hAnsi="宋体" w:cs="宋体"/>
          <w:b/>
          <w:color w:val="auto"/>
          <w:sz w:val="28"/>
          <w:highlight w:val="none"/>
        </w:rPr>
      </w:pPr>
      <w:r>
        <w:rPr>
          <w:rFonts w:hint="eastAsia" w:ascii="宋体" w:hAnsi="宋体" w:cs="宋体"/>
          <w:b/>
          <w:color w:val="auto"/>
          <w:sz w:val="28"/>
          <w:highlight w:val="none"/>
        </w:rPr>
        <w:t>附件11</w:t>
      </w:r>
    </w:p>
    <w:p>
      <w:pPr>
        <w:pStyle w:val="57"/>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证书一览表</w:t>
      </w:r>
    </w:p>
    <w:p>
      <w:pPr>
        <w:pStyle w:val="57"/>
        <w:spacing w:line="360" w:lineRule="auto"/>
        <w:jc w:val="center"/>
        <w:rPr>
          <w:rFonts w:ascii="宋体" w:hAnsi="宋体" w:cs="宋体"/>
          <w:color w:val="auto"/>
          <w:sz w:val="28"/>
          <w:szCs w:val="28"/>
          <w:highlight w:val="none"/>
        </w:rPr>
      </w:pPr>
    </w:p>
    <w:tbl>
      <w:tblPr>
        <w:tblStyle w:val="35"/>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57"/>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single" w:color="auto" w:sz="4" w:space="0"/>
              <w:bottom w:val="single" w:color="auto" w:sz="4" w:space="0"/>
            </w:tcBorders>
          </w:tcPr>
          <w:p>
            <w:pPr>
              <w:pStyle w:val="57"/>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single" w:color="auto" w:sz="4" w:space="0"/>
              <w:bottom w:val="single" w:color="auto" w:sz="4" w:space="0"/>
            </w:tcBorders>
          </w:tcPr>
          <w:p>
            <w:pPr>
              <w:pStyle w:val="57"/>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single" w:color="auto" w:sz="4" w:space="0"/>
              <w:bottom w:val="single" w:color="auto" w:sz="4" w:space="0"/>
              <w:right w:val="single" w:color="auto" w:sz="4" w:space="0"/>
            </w:tcBorders>
          </w:tcPr>
          <w:p>
            <w:pPr>
              <w:pStyle w:val="57"/>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57"/>
              <w:spacing w:line="360" w:lineRule="auto"/>
              <w:jc w:val="center"/>
              <w:rPr>
                <w:rFonts w:ascii="宋体" w:hAnsi="宋体" w:cs="宋体"/>
                <w:color w:val="auto"/>
                <w:szCs w:val="21"/>
                <w:highlight w:val="none"/>
              </w:rPr>
            </w:pPr>
          </w:p>
        </w:tc>
        <w:tc>
          <w:tcPr>
            <w:tcW w:w="2258" w:type="dxa"/>
            <w:tcBorders>
              <w:top w:val="single" w:color="auto" w:sz="4" w:space="0"/>
            </w:tcBorders>
          </w:tcPr>
          <w:p>
            <w:pPr>
              <w:pStyle w:val="57"/>
              <w:spacing w:line="360" w:lineRule="auto"/>
              <w:jc w:val="center"/>
              <w:rPr>
                <w:rFonts w:ascii="宋体" w:hAnsi="宋体" w:cs="宋体"/>
                <w:color w:val="auto"/>
                <w:szCs w:val="21"/>
                <w:highlight w:val="none"/>
              </w:rPr>
            </w:pPr>
          </w:p>
        </w:tc>
        <w:tc>
          <w:tcPr>
            <w:tcW w:w="2260" w:type="dxa"/>
            <w:tcBorders>
              <w:top w:val="single" w:color="auto" w:sz="4" w:space="0"/>
            </w:tcBorders>
          </w:tcPr>
          <w:p>
            <w:pPr>
              <w:pStyle w:val="57"/>
              <w:spacing w:line="360" w:lineRule="auto"/>
              <w:jc w:val="center"/>
              <w:rPr>
                <w:rFonts w:ascii="宋体" w:hAnsi="宋体" w:cs="宋体"/>
                <w:color w:val="auto"/>
                <w:szCs w:val="21"/>
                <w:highlight w:val="none"/>
              </w:rPr>
            </w:pPr>
          </w:p>
        </w:tc>
        <w:tc>
          <w:tcPr>
            <w:tcW w:w="2047" w:type="dxa"/>
            <w:tcBorders>
              <w:top w:val="single" w:color="auto" w:sz="4" w:space="0"/>
              <w:right w:val="single" w:color="auto" w:sz="4" w:space="0"/>
            </w:tcBorders>
          </w:tcPr>
          <w:p>
            <w:pPr>
              <w:pStyle w:val="57"/>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7"/>
              <w:spacing w:line="360" w:lineRule="auto"/>
              <w:jc w:val="center"/>
              <w:rPr>
                <w:rFonts w:ascii="宋体" w:hAnsi="宋体" w:cs="宋体"/>
                <w:color w:val="auto"/>
                <w:szCs w:val="21"/>
                <w:highlight w:val="none"/>
              </w:rPr>
            </w:pPr>
          </w:p>
        </w:tc>
        <w:tc>
          <w:tcPr>
            <w:tcW w:w="2258" w:type="dxa"/>
          </w:tcPr>
          <w:p>
            <w:pPr>
              <w:pStyle w:val="57"/>
              <w:spacing w:line="360" w:lineRule="auto"/>
              <w:jc w:val="center"/>
              <w:rPr>
                <w:rFonts w:ascii="宋体" w:hAnsi="宋体" w:cs="宋体"/>
                <w:color w:val="auto"/>
                <w:szCs w:val="21"/>
                <w:highlight w:val="none"/>
              </w:rPr>
            </w:pPr>
          </w:p>
        </w:tc>
        <w:tc>
          <w:tcPr>
            <w:tcW w:w="2260" w:type="dxa"/>
          </w:tcPr>
          <w:p>
            <w:pPr>
              <w:pStyle w:val="57"/>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57"/>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7"/>
              <w:spacing w:line="360" w:lineRule="auto"/>
              <w:jc w:val="center"/>
              <w:rPr>
                <w:rFonts w:ascii="宋体" w:hAnsi="宋体" w:cs="宋体"/>
                <w:color w:val="auto"/>
                <w:szCs w:val="21"/>
                <w:highlight w:val="none"/>
              </w:rPr>
            </w:pPr>
          </w:p>
        </w:tc>
        <w:tc>
          <w:tcPr>
            <w:tcW w:w="2258" w:type="dxa"/>
          </w:tcPr>
          <w:p>
            <w:pPr>
              <w:pStyle w:val="57"/>
              <w:spacing w:line="360" w:lineRule="auto"/>
              <w:jc w:val="center"/>
              <w:rPr>
                <w:rFonts w:ascii="宋体" w:hAnsi="宋体" w:cs="宋体"/>
                <w:color w:val="auto"/>
                <w:szCs w:val="21"/>
                <w:highlight w:val="none"/>
              </w:rPr>
            </w:pPr>
          </w:p>
        </w:tc>
        <w:tc>
          <w:tcPr>
            <w:tcW w:w="2260" w:type="dxa"/>
          </w:tcPr>
          <w:p>
            <w:pPr>
              <w:pStyle w:val="57"/>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57"/>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7"/>
              <w:spacing w:line="360" w:lineRule="auto"/>
              <w:jc w:val="center"/>
              <w:rPr>
                <w:rFonts w:ascii="宋体" w:hAnsi="宋体" w:cs="宋体"/>
                <w:color w:val="auto"/>
                <w:szCs w:val="21"/>
                <w:highlight w:val="none"/>
              </w:rPr>
            </w:pPr>
          </w:p>
        </w:tc>
        <w:tc>
          <w:tcPr>
            <w:tcW w:w="2258" w:type="dxa"/>
          </w:tcPr>
          <w:p>
            <w:pPr>
              <w:pStyle w:val="57"/>
              <w:spacing w:line="360" w:lineRule="auto"/>
              <w:jc w:val="center"/>
              <w:rPr>
                <w:rFonts w:ascii="宋体" w:hAnsi="宋体" w:cs="宋体"/>
                <w:color w:val="auto"/>
                <w:szCs w:val="21"/>
                <w:highlight w:val="none"/>
              </w:rPr>
            </w:pPr>
          </w:p>
        </w:tc>
        <w:tc>
          <w:tcPr>
            <w:tcW w:w="2260" w:type="dxa"/>
          </w:tcPr>
          <w:p>
            <w:pPr>
              <w:pStyle w:val="57"/>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57"/>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7"/>
              <w:spacing w:line="360" w:lineRule="auto"/>
              <w:jc w:val="center"/>
              <w:rPr>
                <w:rFonts w:ascii="宋体" w:hAnsi="宋体" w:cs="宋体"/>
                <w:color w:val="auto"/>
                <w:szCs w:val="21"/>
                <w:highlight w:val="none"/>
              </w:rPr>
            </w:pPr>
          </w:p>
        </w:tc>
        <w:tc>
          <w:tcPr>
            <w:tcW w:w="2258" w:type="dxa"/>
          </w:tcPr>
          <w:p>
            <w:pPr>
              <w:pStyle w:val="57"/>
              <w:spacing w:line="360" w:lineRule="auto"/>
              <w:jc w:val="center"/>
              <w:rPr>
                <w:rFonts w:ascii="宋体" w:hAnsi="宋体" w:cs="宋体"/>
                <w:color w:val="auto"/>
                <w:szCs w:val="21"/>
                <w:highlight w:val="none"/>
              </w:rPr>
            </w:pPr>
          </w:p>
        </w:tc>
        <w:tc>
          <w:tcPr>
            <w:tcW w:w="2260" w:type="dxa"/>
          </w:tcPr>
          <w:p>
            <w:pPr>
              <w:pStyle w:val="57"/>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57"/>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7"/>
              <w:spacing w:line="360" w:lineRule="auto"/>
              <w:jc w:val="center"/>
              <w:rPr>
                <w:rFonts w:ascii="宋体" w:hAnsi="宋体" w:cs="宋体"/>
                <w:color w:val="auto"/>
                <w:szCs w:val="21"/>
                <w:highlight w:val="none"/>
              </w:rPr>
            </w:pPr>
          </w:p>
        </w:tc>
        <w:tc>
          <w:tcPr>
            <w:tcW w:w="2258" w:type="dxa"/>
          </w:tcPr>
          <w:p>
            <w:pPr>
              <w:pStyle w:val="57"/>
              <w:spacing w:line="360" w:lineRule="auto"/>
              <w:jc w:val="center"/>
              <w:rPr>
                <w:rFonts w:ascii="宋体" w:hAnsi="宋体" w:cs="宋体"/>
                <w:color w:val="auto"/>
                <w:szCs w:val="21"/>
                <w:highlight w:val="none"/>
              </w:rPr>
            </w:pPr>
          </w:p>
        </w:tc>
        <w:tc>
          <w:tcPr>
            <w:tcW w:w="2260" w:type="dxa"/>
          </w:tcPr>
          <w:p>
            <w:pPr>
              <w:pStyle w:val="57"/>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57"/>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57"/>
              <w:spacing w:line="360" w:lineRule="auto"/>
              <w:jc w:val="center"/>
              <w:rPr>
                <w:rFonts w:ascii="宋体" w:hAnsi="宋体" w:cs="宋体"/>
                <w:color w:val="auto"/>
                <w:szCs w:val="21"/>
                <w:highlight w:val="none"/>
              </w:rPr>
            </w:pPr>
          </w:p>
        </w:tc>
        <w:tc>
          <w:tcPr>
            <w:tcW w:w="2258" w:type="dxa"/>
            <w:tcBorders>
              <w:bottom w:val="single" w:color="auto" w:sz="4" w:space="0"/>
            </w:tcBorders>
          </w:tcPr>
          <w:p>
            <w:pPr>
              <w:pStyle w:val="57"/>
              <w:spacing w:line="360" w:lineRule="auto"/>
              <w:jc w:val="center"/>
              <w:rPr>
                <w:rFonts w:ascii="宋体" w:hAnsi="宋体" w:cs="宋体"/>
                <w:color w:val="auto"/>
                <w:szCs w:val="21"/>
                <w:highlight w:val="none"/>
              </w:rPr>
            </w:pPr>
          </w:p>
        </w:tc>
        <w:tc>
          <w:tcPr>
            <w:tcW w:w="2260" w:type="dxa"/>
            <w:tcBorders>
              <w:bottom w:val="single" w:color="auto" w:sz="4" w:space="0"/>
            </w:tcBorders>
          </w:tcPr>
          <w:p>
            <w:pPr>
              <w:pStyle w:val="57"/>
              <w:spacing w:line="360" w:lineRule="auto"/>
              <w:jc w:val="center"/>
              <w:rPr>
                <w:rFonts w:ascii="宋体" w:hAnsi="宋体" w:cs="宋体"/>
                <w:color w:val="auto"/>
                <w:szCs w:val="21"/>
                <w:highlight w:val="none"/>
              </w:rPr>
            </w:pPr>
          </w:p>
        </w:tc>
        <w:tc>
          <w:tcPr>
            <w:tcW w:w="2047" w:type="dxa"/>
            <w:tcBorders>
              <w:bottom w:val="single" w:color="auto" w:sz="4" w:space="0"/>
              <w:right w:val="single" w:color="auto" w:sz="4" w:space="0"/>
            </w:tcBorders>
          </w:tcPr>
          <w:p>
            <w:pPr>
              <w:pStyle w:val="57"/>
              <w:spacing w:line="360" w:lineRule="auto"/>
              <w:jc w:val="center"/>
              <w:rPr>
                <w:rFonts w:ascii="宋体" w:hAnsi="宋体" w:cs="宋体"/>
                <w:color w:val="auto"/>
                <w:szCs w:val="21"/>
                <w:highlight w:val="none"/>
              </w:rPr>
            </w:pPr>
          </w:p>
        </w:tc>
      </w:tr>
    </w:tbl>
    <w:p>
      <w:pPr>
        <w:pStyle w:val="57"/>
        <w:tabs>
          <w:tab w:val="left" w:pos="1050"/>
        </w:tabs>
        <w:spacing w:line="360" w:lineRule="auto"/>
        <w:rPr>
          <w:rFonts w:ascii="宋体" w:hAnsi="宋体" w:cs="宋体"/>
          <w:color w:val="auto"/>
          <w:sz w:val="24"/>
          <w:highlight w:val="none"/>
        </w:rPr>
      </w:pPr>
    </w:p>
    <w:p>
      <w:pPr>
        <w:pStyle w:val="57"/>
        <w:tabs>
          <w:tab w:val="left" w:pos="1050"/>
        </w:tabs>
        <w:spacing w:line="360" w:lineRule="auto"/>
        <w:rPr>
          <w:rFonts w:ascii="宋体" w:hAnsi="宋体" w:cs="宋体"/>
          <w:color w:val="auto"/>
          <w:szCs w:val="21"/>
          <w:highlight w:val="none"/>
        </w:rPr>
      </w:pPr>
      <w:r>
        <w:rPr>
          <w:rFonts w:hint="eastAsia" w:ascii="宋体" w:hAnsi="宋体" w:cs="宋体"/>
          <w:b/>
          <w:color w:val="auto"/>
          <w:szCs w:val="21"/>
          <w:highlight w:val="none"/>
        </w:rPr>
        <w:t>要求：</w:t>
      </w:r>
    </w:p>
    <w:p>
      <w:pPr>
        <w:pStyle w:val="57"/>
        <w:tabs>
          <w:tab w:val="left" w:pos="1050"/>
        </w:tabs>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1.填写投标人获得资质、认证或企业信誉证书；</w:t>
      </w:r>
    </w:p>
    <w:p>
      <w:pPr>
        <w:pStyle w:val="57"/>
        <w:tabs>
          <w:tab w:val="left" w:pos="1050"/>
        </w:tabs>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2.附所列证书扫描件或其他证明材料。</w:t>
      </w:r>
    </w:p>
    <w:p>
      <w:pPr>
        <w:pStyle w:val="57"/>
        <w:tabs>
          <w:tab w:val="left" w:pos="1050"/>
        </w:tabs>
        <w:spacing w:line="360" w:lineRule="auto"/>
        <w:ind w:firstLine="720" w:firstLineChars="300"/>
        <w:rPr>
          <w:rFonts w:ascii="宋体" w:hAnsi="宋体" w:cs="宋体"/>
          <w:color w:val="auto"/>
          <w:sz w:val="24"/>
          <w:highlight w:val="none"/>
        </w:rPr>
      </w:pPr>
    </w:p>
    <w:p>
      <w:pPr>
        <w:pStyle w:val="57"/>
        <w:tabs>
          <w:tab w:val="left" w:pos="1050"/>
        </w:tabs>
        <w:spacing w:line="360" w:lineRule="auto"/>
        <w:ind w:firstLine="720" w:firstLineChars="300"/>
        <w:rPr>
          <w:rFonts w:ascii="宋体" w:hAnsi="宋体" w:cs="宋体"/>
          <w:color w:val="auto"/>
          <w:sz w:val="24"/>
          <w:highlight w:val="none"/>
        </w:rPr>
      </w:pPr>
    </w:p>
    <w:p>
      <w:pPr>
        <w:pStyle w:val="57"/>
        <w:tabs>
          <w:tab w:val="left" w:pos="1050"/>
        </w:tabs>
        <w:spacing w:line="360" w:lineRule="auto"/>
        <w:ind w:firstLine="720" w:firstLineChars="300"/>
        <w:rPr>
          <w:rFonts w:ascii="宋体" w:hAnsi="宋体" w:cs="宋体"/>
          <w:color w:val="auto"/>
          <w:sz w:val="24"/>
          <w:highlight w:val="none"/>
        </w:rPr>
      </w:pPr>
    </w:p>
    <w:p>
      <w:pPr>
        <w:spacing w:line="360" w:lineRule="auto"/>
        <w:ind w:firstLine="424" w:firstLineChars="177"/>
        <w:rPr>
          <w:rFonts w:ascii="宋体" w:hAnsi="宋体" w:cs="宋体"/>
          <w:color w:val="auto"/>
          <w:sz w:val="24"/>
          <w:highlight w:val="none"/>
          <w:u w:val="single"/>
        </w:rPr>
      </w:pPr>
      <w:r>
        <w:rPr>
          <w:rFonts w:hint="eastAsia" w:ascii="宋体" w:hAnsi="宋体" w:cs="宋体"/>
          <w:color w:val="auto"/>
          <w:sz w:val="24"/>
          <w:highlight w:val="none"/>
        </w:rPr>
        <w:t>投标人名称（公章）：</w:t>
      </w:r>
    </w:p>
    <w:p>
      <w:pPr>
        <w:spacing w:line="360" w:lineRule="auto"/>
        <w:ind w:left="420"/>
        <w:rPr>
          <w:rFonts w:ascii="宋体" w:hAnsi="宋体" w:cs="宋体"/>
          <w:color w:val="auto"/>
          <w:sz w:val="24"/>
          <w:highlight w:val="none"/>
        </w:rPr>
      </w:pPr>
    </w:p>
    <w:p>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投标人代表签字或盖章：</w:t>
      </w:r>
    </w:p>
    <w:p>
      <w:pPr>
        <w:spacing w:line="360" w:lineRule="auto"/>
        <w:ind w:firstLine="435"/>
        <w:rPr>
          <w:rFonts w:ascii="宋体" w:hAnsi="宋体" w:cs="宋体"/>
          <w:color w:val="auto"/>
          <w:sz w:val="24"/>
          <w:highlight w:val="none"/>
        </w:rPr>
      </w:pPr>
    </w:p>
    <w:p>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职        务：</w:t>
      </w:r>
    </w:p>
    <w:p>
      <w:pPr>
        <w:spacing w:line="360" w:lineRule="auto"/>
        <w:ind w:firstLine="424" w:firstLineChars="177"/>
        <w:rPr>
          <w:rFonts w:ascii="宋体" w:hAnsi="宋体" w:cs="宋体"/>
          <w:color w:val="auto"/>
          <w:sz w:val="24"/>
          <w:highlight w:val="none"/>
        </w:rPr>
      </w:pPr>
    </w:p>
    <w:p>
      <w:pPr>
        <w:spacing w:line="360" w:lineRule="auto"/>
        <w:ind w:firstLine="371" w:firstLineChars="177"/>
        <w:rPr>
          <w:rFonts w:ascii="宋体" w:hAnsi="宋体" w:cs="宋体"/>
          <w:b/>
          <w:bCs/>
          <w:color w:val="auto"/>
          <w:spacing w:val="11"/>
          <w:highlight w:val="none"/>
        </w:rPr>
      </w:pPr>
      <w:r>
        <w:rPr>
          <w:rFonts w:hint="eastAsia" w:ascii="宋体" w:hAnsi="宋体" w:cs="宋体"/>
          <w:color w:val="auto"/>
          <w:highlight w:val="none"/>
        </w:rPr>
        <w:t>日        期：：</w:t>
      </w:r>
    </w:p>
    <w:p>
      <w:pPr>
        <w:spacing w:line="360" w:lineRule="auto"/>
        <w:rPr>
          <w:rFonts w:ascii="宋体" w:hAnsi="宋体" w:cs="宋体"/>
          <w:b/>
          <w:color w:val="auto"/>
          <w:sz w:val="28"/>
          <w:highlight w:val="none"/>
        </w:rPr>
      </w:pPr>
    </w:p>
    <w:p>
      <w:pPr>
        <w:spacing w:line="360" w:lineRule="auto"/>
        <w:rPr>
          <w:rFonts w:ascii="宋体" w:hAnsi="宋体" w:cs="宋体"/>
          <w:b/>
          <w:color w:val="auto"/>
          <w:sz w:val="28"/>
          <w:highlight w:val="none"/>
        </w:rPr>
      </w:pPr>
    </w:p>
    <w:p>
      <w:pPr>
        <w:spacing w:line="360" w:lineRule="auto"/>
        <w:rPr>
          <w:rFonts w:ascii="宋体" w:hAnsi="宋体" w:cs="宋体"/>
          <w:b/>
          <w:color w:val="auto"/>
          <w:sz w:val="28"/>
          <w:highlight w:val="none"/>
        </w:rPr>
      </w:pPr>
      <w:r>
        <w:rPr>
          <w:rFonts w:hint="eastAsia" w:ascii="宋体" w:hAnsi="宋体" w:cs="宋体"/>
          <w:b/>
          <w:color w:val="auto"/>
          <w:sz w:val="28"/>
          <w:highlight w:val="none"/>
        </w:rPr>
        <w:t>附件12</w:t>
      </w:r>
    </w:p>
    <w:p>
      <w:pPr>
        <w:pStyle w:val="56"/>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投标人类似项目实施情况一览表</w:t>
      </w:r>
    </w:p>
    <w:p>
      <w:pPr>
        <w:pStyle w:val="56"/>
        <w:spacing w:line="360" w:lineRule="auto"/>
        <w:jc w:val="center"/>
        <w:rPr>
          <w:rFonts w:ascii="宋体" w:hAnsi="宋体" w:cs="宋体"/>
          <w:b/>
          <w:color w:val="auto"/>
          <w:sz w:val="28"/>
          <w:szCs w:val="28"/>
          <w:highlight w:val="none"/>
        </w:rPr>
      </w:pPr>
    </w:p>
    <w:tbl>
      <w:tblPr>
        <w:tblStyle w:val="35"/>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宋体"/>
                <w:color w:val="auto"/>
                <w:sz w:val="24"/>
                <w:highlight w:val="none"/>
              </w:rPr>
            </w:pPr>
          </w:p>
        </w:tc>
      </w:tr>
    </w:tbl>
    <w:p>
      <w:pPr>
        <w:autoSpaceDE w:val="0"/>
        <w:autoSpaceDN w:val="0"/>
        <w:adjustRightInd w:val="0"/>
        <w:spacing w:before="156" w:beforeLines="50" w:line="360" w:lineRule="auto"/>
        <w:rPr>
          <w:rFonts w:ascii="宋体" w:hAnsi="宋体" w:cs="宋体"/>
          <w:b/>
          <w:color w:val="auto"/>
          <w:szCs w:val="21"/>
          <w:highlight w:val="none"/>
        </w:rPr>
      </w:pPr>
      <w:r>
        <w:rPr>
          <w:rFonts w:hint="eastAsia" w:ascii="宋体" w:hAnsi="宋体" w:cs="宋体"/>
          <w:b/>
          <w:color w:val="auto"/>
          <w:szCs w:val="21"/>
          <w:highlight w:val="none"/>
        </w:rPr>
        <w:t>要求：</w:t>
      </w:r>
    </w:p>
    <w:p>
      <w:pPr>
        <w:autoSpaceDE w:val="0"/>
        <w:autoSpaceDN w:val="0"/>
        <w:adjustRightInd w:val="0"/>
        <w:spacing w:before="156" w:beforeLines="50" w:line="360" w:lineRule="auto"/>
        <w:ind w:firstLine="424" w:firstLineChars="202"/>
        <w:rPr>
          <w:rFonts w:ascii="宋体" w:hAnsi="宋体" w:cs="宋体"/>
          <w:b/>
          <w:color w:val="auto"/>
          <w:szCs w:val="21"/>
          <w:highlight w:val="none"/>
        </w:rPr>
      </w:pPr>
      <w:r>
        <w:rPr>
          <w:rFonts w:hint="eastAsia" w:ascii="宋体" w:hAnsi="宋体" w:cs="宋体"/>
          <w:color w:val="auto"/>
          <w:szCs w:val="21"/>
          <w:highlight w:val="none"/>
        </w:rPr>
        <w:t>1.业绩证明应提供证明材料（合同扫描件可只提供首页、含金额页、盖章页并加盖投标人公章）；</w:t>
      </w:r>
    </w:p>
    <w:p>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2.报价供应商可按此表格式复制。</w:t>
      </w:r>
    </w:p>
    <w:p>
      <w:pPr>
        <w:spacing w:line="360" w:lineRule="auto"/>
        <w:rPr>
          <w:rFonts w:ascii="宋体" w:hAnsi="宋体" w:cs="宋体"/>
          <w:color w:val="auto"/>
          <w:sz w:val="22"/>
          <w:szCs w:val="22"/>
          <w:highlight w:val="none"/>
        </w:rPr>
      </w:pPr>
    </w:p>
    <w:p>
      <w:pPr>
        <w:spacing w:line="360" w:lineRule="auto"/>
        <w:rPr>
          <w:rFonts w:ascii="宋体" w:hAnsi="宋体" w:cs="宋体"/>
          <w:color w:val="auto"/>
          <w:sz w:val="22"/>
          <w:szCs w:val="22"/>
          <w:highlight w:val="none"/>
        </w:rPr>
      </w:pPr>
    </w:p>
    <w:p>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投标人名称（公章）：</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投标人代表签字或盖章：</w:t>
      </w:r>
    </w:p>
    <w:p>
      <w:pPr>
        <w:spacing w:line="360" w:lineRule="auto"/>
        <w:ind w:firstLine="435"/>
        <w:rPr>
          <w:rFonts w:ascii="宋体" w:hAnsi="宋体" w:cs="宋体"/>
          <w:color w:val="auto"/>
          <w:sz w:val="24"/>
          <w:highlight w:val="none"/>
        </w:rPr>
      </w:pPr>
    </w:p>
    <w:p>
      <w:pPr>
        <w:spacing w:line="360" w:lineRule="auto"/>
        <w:ind w:firstLine="435"/>
        <w:rPr>
          <w:rFonts w:ascii="宋体" w:hAnsi="宋体" w:cs="宋体"/>
          <w:color w:val="auto"/>
          <w:sz w:val="24"/>
          <w:highlight w:val="none"/>
          <w:u w:val="single"/>
        </w:rPr>
      </w:pPr>
      <w:r>
        <w:rPr>
          <w:rFonts w:hint="eastAsia" w:ascii="宋体" w:hAnsi="宋体" w:cs="宋体"/>
          <w:color w:val="auto"/>
          <w:sz w:val="24"/>
          <w:highlight w:val="none"/>
        </w:rPr>
        <w:t>职        务：</w:t>
      </w:r>
    </w:p>
    <w:p>
      <w:pPr>
        <w:spacing w:line="360" w:lineRule="auto"/>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jc w:val="center"/>
        <w:outlineLvl w:val="2"/>
        <w:rPr>
          <w:rFonts w:ascii="宋体" w:hAnsi="宋体" w:cs="宋体"/>
          <w:color w:val="auto"/>
          <w:sz w:val="24"/>
          <w:highlight w:val="none"/>
          <w:u w:val="single"/>
        </w:rPr>
      </w:pPr>
    </w:p>
    <w:p>
      <w:pPr>
        <w:spacing w:line="360" w:lineRule="auto"/>
        <w:ind w:right="-108"/>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报价文件目录</w:t>
      </w:r>
    </w:p>
    <w:p>
      <w:pPr>
        <w:spacing w:line="360" w:lineRule="auto"/>
        <w:ind w:right="-108"/>
        <w:jc w:val="center"/>
        <w:rPr>
          <w:rFonts w:ascii="宋体" w:hAnsi="宋体" w:cs="宋体"/>
          <w:b/>
          <w:color w:val="auto"/>
          <w:sz w:val="36"/>
          <w:szCs w:val="36"/>
          <w:highlight w:val="none"/>
        </w:rPr>
      </w:pPr>
    </w:p>
    <w:p>
      <w:pPr>
        <w:spacing w:line="360" w:lineRule="auto"/>
        <w:rPr>
          <w:rFonts w:ascii="宋体" w:hAnsi="宋体" w:cs="宋体"/>
          <w:color w:val="auto"/>
          <w:sz w:val="24"/>
          <w:highlight w:val="none"/>
        </w:rPr>
      </w:pPr>
    </w:p>
    <w:p>
      <w:pPr>
        <w:numPr>
          <w:ilvl w:val="0"/>
          <w:numId w:val="23"/>
        </w:numPr>
        <w:spacing w:line="360" w:lineRule="auto"/>
        <w:rPr>
          <w:rFonts w:ascii="宋体" w:hAnsi="宋体" w:cs="宋体"/>
          <w:color w:val="auto"/>
          <w:sz w:val="24"/>
          <w:highlight w:val="none"/>
        </w:rPr>
      </w:pPr>
      <w:r>
        <w:rPr>
          <w:rFonts w:hint="eastAsia" w:ascii="宋体" w:hAnsi="宋体" w:cs="宋体"/>
          <w:color w:val="auto"/>
          <w:sz w:val="24"/>
          <w:highlight w:val="none"/>
        </w:rPr>
        <w:t>开标一览表（附件13）；</w:t>
      </w:r>
    </w:p>
    <w:p>
      <w:pPr>
        <w:spacing w:line="360" w:lineRule="auto"/>
        <w:rPr>
          <w:rFonts w:ascii="宋体" w:hAnsi="宋体" w:cs="宋体"/>
          <w:color w:val="auto"/>
          <w:sz w:val="24"/>
          <w:highlight w:val="none"/>
        </w:rPr>
      </w:pPr>
      <w:r>
        <w:rPr>
          <w:rFonts w:hint="eastAsia" w:ascii="宋体" w:hAnsi="宋体" w:cs="宋体"/>
          <w:color w:val="auto"/>
          <w:sz w:val="24"/>
          <w:highlight w:val="none"/>
        </w:rPr>
        <w:t>2、报价明细表（服务）（附件14）</w:t>
      </w:r>
    </w:p>
    <w:p>
      <w:pPr>
        <w:spacing w:line="360" w:lineRule="auto"/>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、报价明细表（货物）（附件1</w:t>
      </w:r>
      <w:r>
        <w:rPr>
          <w:rFonts w:ascii="宋体" w:hAnsi="宋体" w:cs="宋体"/>
          <w:color w:val="auto"/>
          <w:sz w:val="24"/>
          <w:highlight w:val="none"/>
        </w:rPr>
        <w:t>5</w:t>
      </w:r>
      <w:r>
        <w:rPr>
          <w:rFonts w:hint="eastAsia" w:ascii="宋体" w:hAnsi="宋体" w:cs="宋体"/>
          <w:color w:val="auto"/>
          <w:sz w:val="24"/>
          <w:highlight w:val="none"/>
        </w:rPr>
        <w:t>）</w:t>
      </w:r>
    </w:p>
    <w:p>
      <w:pPr>
        <w:spacing w:line="360" w:lineRule="auto"/>
        <w:rPr>
          <w:rFonts w:ascii="宋体" w:hAnsi="宋体" w:cs="宋体"/>
          <w:color w:val="auto"/>
          <w:kern w:val="0"/>
          <w:sz w:val="24"/>
          <w:highlight w:val="none"/>
        </w:rPr>
      </w:pPr>
      <w:r>
        <w:rPr>
          <w:rFonts w:ascii="宋体" w:hAnsi="宋体" w:cs="宋体"/>
          <w:color w:val="auto"/>
          <w:sz w:val="24"/>
          <w:highlight w:val="none"/>
        </w:rPr>
        <w:t>4</w:t>
      </w:r>
      <w:r>
        <w:rPr>
          <w:rFonts w:hint="eastAsia" w:ascii="宋体" w:hAnsi="宋体" w:cs="宋体"/>
          <w:color w:val="auto"/>
          <w:sz w:val="24"/>
          <w:highlight w:val="none"/>
        </w:rPr>
        <w:t>、供应商认为其他需要说明的内容，如《中小企业声明函》（附件1</w:t>
      </w:r>
      <w:r>
        <w:rPr>
          <w:rFonts w:ascii="宋体" w:hAnsi="宋体" w:cs="宋体"/>
          <w:color w:val="auto"/>
          <w:sz w:val="24"/>
          <w:highlight w:val="none"/>
        </w:rPr>
        <w:t>6</w:t>
      </w:r>
      <w:r>
        <w:rPr>
          <w:rFonts w:hint="eastAsia" w:ascii="宋体" w:hAnsi="宋体" w:cs="宋体"/>
          <w:color w:val="auto"/>
          <w:sz w:val="24"/>
          <w:highlight w:val="none"/>
        </w:rPr>
        <w:t>）等组成</w:t>
      </w:r>
      <w:r>
        <w:rPr>
          <w:rFonts w:hint="eastAsia" w:ascii="宋体" w:hAnsi="宋体" w:cs="宋体"/>
          <w:color w:val="auto"/>
          <w:kern w:val="0"/>
          <w:sz w:val="24"/>
          <w:highlight w:val="none"/>
        </w:rPr>
        <w:t>。</w:t>
      </w:r>
    </w:p>
    <w:p>
      <w:pPr>
        <w:spacing w:line="360" w:lineRule="auto"/>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rPr>
          <w:rFonts w:ascii="宋体" w:hAnsi="宋体" w:cs="宋体"/>
          <w:b/>
          <w:color w:val="auto"/>
          <w:sz w:val="28"/>
          <w:highlight w:val="none"/>
        </w:rPr>
        <w:sectPr>
          <w:pgSz w:w="11906" w:h="16838"/>
          <w:pgMar w:top="1440" w:right="1800" w:bottom="1440" w:left="1800" w:header="851" w:footer="992" w:gutter="0"/>
          <w:pgNumType w:fmt="numberInDash"/>
          <w:cols w:space="425" w:num="1"/>
          <w:docGrid w:type="lines" w:linePitch="312" w:charSpace="0"/>
        </w:sectPr>
      </w:pPr>
    </w:p>
    <w:p>
      <w:pPr>
        <w:spacing w:line="360" w:lineRule="auto"/>
        <w:rPr>
          <w:rFonts w:ascii="宋体" w:hAnsi="宋体" w:cs="宋体"/>
          <w:b/>
          <w:color w:val="auto"/>
          <w:sz w:val="28"/>
          <w:highlight w:val="none"/>
        </w:rPr>
      </w:pPr>
      <w:r>
        <w:rPr>
          <w:rFonts w:hint="eastAsia" w:ascii="宋体" w:hAnsi="宋体" w:cs="宋体"/>
          <w:b/>
          <w:color w:val="auto"/>
          <w:sz w:val="28"/>
          <w:highlight w:val="none"/>
        </w:rPr>
        <w:t>附件13</w:t>
      </w:r>
    </w:p>
    <w:p>
      <w:pPr>
        <w:spacing w:line="360" w:lineRule="auto"/>
        <w:ind w:left="-2" w:hanging="2"/>
        <w:jc w:val="center"/>
        <w:rPr>
          <w:rFonts w:ascii="宋体" w:hAnsi="宋体" w:cs="宋体"/>
          <w:b/>
          <w:color w:val="auto"/>
          <w:sz w:val="32"/>
          <w:szCs w:val="32"/>
          <w:highlight w:val="none"/>
        </w:rPr>
      </w:pPr>
      <w:r>
        <w:rPr>
          <w:rFonts w:hint="eastAsia" w:ascii="宋体" w:hAnsi="宋体" w:cs="宋体"/>
          <w:b/>
          <w:color w:val="auto"/>
          <w:sz w:val="32"/>
          <w:szCs w:val="32"/>
          <w:highlight w:val="none"/>
        </w:rPr>
        <w:t>开标一览表（标段）</w:t>
      </w:r>
    </w:p>
    <w:p>
      <w:pPr>
        <w:pStyle w:val="22"/>
        <w:spacing w:line="360" w:lineRule="auto"/>
        <w:rPr>
          <w:rFonts w:hAnsi="宋体" w:cs="宋体"/>
          <w:b/>
          <w:color w:val="auto"/>
          <w:sz w:val="24"/>
          <w:highlight w:val="none"/>
        </w:rPr>
      </w:pPr>
      <w:r>
        <w:rPr>
          <w:rFonts w:hint="eastAsia" w:hAnsi="宋体" w:cs="宋体"/>
          <w:b/>
          <w:color w:val="auto"/>
          <w:sz w:val="24"/>
          <w:highlight w:val="none"/>
        </w:rPr>
        <w:t>项目编号：</w:t>
      </w:r>
    </w:p>
    <w:p>
      <w:pPr>
        <w:pStyle w:val="62"/>
        <w:spacing w:line="360" w:lineRule="auto"/>
        <w:ind w:right="480"/>
        <w:jc w:val="left"/>
        <w:rPr>
          <w:rFonts w:ascii="宋体" w:hAnsi="宋体" w:cs="宋体"/>
          <w:color w:val="auto"/>
          <w:sz w:val="24"/>
          <w:highlight w:val="none"/>
        </w:rPr>
      </w:pPr>
      <w:r>
        <w:rPr>
          <w:rFonts w:hint="eastAsia" w:ascii="宋体" w:hAnsi="宋体" w:cs="宋体"/>
          <w:b/>
          <w:color w:val="auto"/>
          <w:sz w:val="24"/>
          <w:highlight w:val="none"/>
        </w:rPr>
        <w:t xml:space="preserve">项目名称：                               </w:t>
      </w:r>
      <w:r>
        <w:rPr>
          <w:rFonts w:hint="eastAsia" w:ascii="宋体" w:hAnsi="宋体" w:cs="宋体"/>
          <w:color w:val="auto"/>
          <w:sz w:val="24"/>
          <w:highlight w:val="none"/>
        </w:rPr>
        <w:t>〔货币单位：</w:t>
      </w:r>
      <w:r>
        <w:rPr>
          <w:rFonts w:hint="eastAsia" w:ascii="宋体" w:hAnsi="宋体" w:cs="宋体"/>
          <w:color w:val="auto"/>
          <w:sz w:val="24"/>
          <w:highlight w:val="none"/>
          <w:u w:val="single"/>
        </w:rPr>
        <w:t>人民币元</w:t>
      </w:r>
      <w:r>
        <w:rPr>
          <w:rFonts w:hint="eastAsia" w:ascii="宋体" w:hAnsi="宋体" w:cs="宋体"/>
          <w:color w:val="auto"/>
          <w:sz w:val="24"/>
          <w:highlight w:val="none"/>
        </w:rPr>
        <w:t>〕</w:t>
      </w:r>
    </w:p>
    <w:tbl>
      <w:tblPr>
        <w:tblStyle w:val="35"/>
        <w:tblW w:w="873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715"/>
        <w:gridCol w:w="1359"/>
        <w:gridCol w:w="466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050" w:hRule="atLeast"/>
          <w:jc w:val="center"/>
        </w:trPr>
        <w:tc>
          <w:tcPr>
            <w:tcW w:w="2715"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总报价（元）</w:t>
            </w:r>
          </w:p>
        </w:tc>
        <w:tc>
          <w:tcPr>
            <w:tcW w:w="135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大写</w:t>
            </w:r>
          </w:p>
        </w:tc>
        <w:tc>
          <w:tcPr>
            <w:tcW w:w="4665"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099" w:hRule="atLeast"/>
          <w:jc w:val="center"/>
        </w:trPr>
        <w:tc>
          <w:tcPr>
            <w:tcW w:w="2715"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s="宋体"/>
                <w:color w:val="auto"/>
                <w:sz w:val="24"/>
                <w:highlight w:val="none"/>
              </w:rPr>
            </w:pPr>
          </w:p>
        </w:tc>
        <w:tc>
          <w:tcPr>
            <w:tcW w:w="13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小写</w:t>
            </w:r>
          </w:p>
        </w:tc>
        <w:tc>
          <w:tcPr>
            <w:tcW w:w="4665"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s="宋体"/>
                <w:color w:val="auto"/>
                <w:sz w:val="24"/>
                <w:highlight w:val="none"/>
              </w:rPr>
            </w:pPr>
          </w:p>
        </w:tc>
      </w:tr>
    </w:tbl>
    <w:p>
      <w:pPr>
        <w:pStyle w:val="62"/>
        <w:spacing w:line="360" w:lineRule="auto"/>
        <w:ind w:right="480"/>
        <w:jc w:val="left"/>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b/>
          <w:color w:val="auto"/>
          <w:szCs w:val="21"/>
          <w:highlight w:val="none"/>
        </w:rPr>
        <w:t>填报要求：</w:t>
      </w:r>
    </w:p>
    <w:p>
      <w:pPr>
        <w:numPr>
          <w:ilvl w:val="0"/>
          <w:numId w:val="24"/>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所有产品均采用人民币报价。投标报价包含实现标书的所有功能及安全保障工作，采购人不再另外增加费用，其应包括（但不限于）软硬件、全部附件、辅材、备品备件、专用工具等整套设备及运营维护服务等，对于其他招标文件未列明、且是设备清单配套所必需的文件、资料、设备等，或投标供应商认为必需的费用，成交供应商也应综合考虑，包含在投标报价中。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报价一经涂改，应在涂改处加盖单位公章，或者由法定代表人或全权代表签字或盖章，否则其投标作无效标处理。</w:t>
      </w:r>
    </w:p>
    <w:p>
      <w:pPr>
        <w:pStyle w:val="34"/>
        <w:rPr>
          <w:rFonts w:ascii="宋体" w:hAnsi="宋体" w:cs="宋体"/>
          <w:color w:val="auto"/>
          <w:szCs w:val="21"/>
          <w:highlight w:val="none"/>
        </w:rPr>
      </w:pPr>
    </w:p>
    <w:p>
      <w:pPr>
        <w:spacing w:line="360" w:lineRule="auto"/>
        <w:ind w:left="420"/>
        <w:rPr>
          <w:rFonts w:ascii="宋体" w:hAnsi="宋体" w:cs="宋体"/>
          <w:color w:val="auto"/>
          <w:szCs w:val="21"/>
          <w:highlight w:val="none"/>
        </w:rPr>
      </w:pPr>
      <w:r>
        <w:rPr>
          <w:rFonts w:hint="eastAsia" w:ascii="宋体" w:hAnsi="宋体" w:cs="宋体"/>
          <w:color w:val="auto"/>
          <w:szCs w:val="21"/>
          <w:highlight w:val="none"/>
        </w:rPr>
        <w:t>投标人名称（公章）：</w:t>
      </w:r>
    </w:p>
    <w:p>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投标人代表签字或盖章：</w:t>
      </w:r>
    </w:p>
    <w:p>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职        务：</w:t>
      </w:r>
    </w:p>
    <w:p>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日        期：</w:t>
      </w:r>
    </w:p>
    <w:p>
      <w:pPr>
        <w:snapToGrid w:val="0"/>
        <w:spacing w:before="156" w:beforeLines="50" w:after="50" w:line="360" w:lineRule="auto"/>
        <w:rPr>
          <w:rFonts w:ascii="宋体" w:hAnsi="宋体" w:cs="宋体"/>
          <w:b/>
          <w:color w:val="auto"/>
          <w:sz w:val="28"/>
          <w:highlight w:val="none"/>
        </w:rPr>
      </w:pPr>
    </w:p>
    <w:p>
      <w:pPr>
        <w:snapToGrid w:val="0"/>
        <w:spacing w:before="156" w:beforeLines="50" w:after="50" w:line="360" w:lineRule="auto"/>
        <w:rPr>
          <w:rFonts w:ascii="宋体" w:hAnsi="宋体" w:cs="宋体"/>
          <w:b/>
          <w:color w:val="auto"/>
          <w:sz w:val="28"/>
          <w:highlight w:val="none"/>
        </w:rPr>
      </w:pPr>
    </w:p>
    <w:p>
      <w:pPr>
        <w:snapToGrid w:val="0"/>
        <w:spacing w:before="156" w:beforeLines="50" w:after="50" w:line="360" w:lineRule="auto"/>
        <w:rPr>
          <w:rFonts w:ascii="宋体" w:hAnsi="宋体" w:cs="宋体"/>
          <w:b/>
          <w:color w:val="auto"/>
          <w:sz w:val="28"/>
          <w:highlight w:val="none"/>
        </w:rPr>
      </w:pPr>
    </w:p>
    <w:p>
      <w:pPr>
        <w:pStyle w:val="46"/>
        <w:rPr>
          <w:rFonts w:ascii="宋体" w:hAnsi="宋体" w:eastAsia="宋体" w:cs="宋体"/>
          <w:b/>
          <w:color w:val="auto"/>
          <w:sz w:val="28"/>
          <w:highlight w:val="none"/>
        </w:rPr>
      </w:pPr>
    </w:p>
    <w:p>
      <w:pPr>
        <w:pStyle w:val="46"/>
        <w:rPr>
          <w:rFonts w:ascii="宋体" w:hAnsi="宋体" w:eastAsia="宋体" w:cs="宋体"/>
          <w:b/>
          <w:color w:val="auto"/>
          <w:sz w:val="28"/>
          <w:highlight w:val="none"/>
        </w:rPr>
      </w:pPr>
    </w:p>
    <w:p>
      <w:pPr>
        <w:spacing w:line="360" w:lineRule="auto"/>
        <w:ind w:left="-2" w:hanging="2"/>
        <w:jc w:val="left"/>
        <w:rPr>
          <w:rFonts w:ascii="宋体" w:hAnsi="宋体" w:cs="宋体"/>
          <w:b/>
          <w:color w:val="auto"/>
          <w:sz w:val="28"/>
          <w:highlight w:val="none"/>
        </w:rPr>
      </w:pPr>
      <w:r>
        <w:rPr>
          <w:rFonts w:hint="eastAsia" w:ascii="宋体" w:hAnsi="宋体" w:cs="宋体"/>
          <w:b/>
          <w:color w:val="auto"/>
          <w:sz w:val="28"/>
          <w:highlight w:val="none"/>
        </w:rPr>
        <w:t>附件14</w:t>
      </w:r>
    </w:p>
    <w:p>
      <w:pPr>
        <w:spacing w:line="360" w:lineRule="auto"/>
        <w:ind w:left="480"/>
        <w:jc w:val="center"/>
        <w:rPr>
          <w:rFonts w:ascii="宋体" w:hAnsi="宋体"/>
          <w:b/>
          <w:color w:val="auto"/>
          <w:sz w:val="32"/>
          <w:szCs w:val="32"/>
          <w:highlight w:val="none"/>
        </w:rPr>
      </w:pPr>
      <w:r>
        <w:rPr>
          <w:rFonts w:hint="eastAsia" w:ascii="宋体" w:hAnsi="宋体"/>
          <w:b/>
          <w:color w:val="auto"/>
          <w:sz w:val="32"/>
          <w:szCs w:val="32"/>
          <w:highlight w:val="none"/>
        </w:rPr>
        <w:t>报价明细表 (服务)</w:t>
      </w:r>
    </w:p>
    <w:p>
      <w:pPr>
        <w:pStyle w:val="62"/>
        <w:spacing w:line="360" w:lineRule="auto"/>
        <w:ind w:right="480"/>
        <w:jc w:val="left"/>
        <w:rPr>
          <w:rFonts w:ascii="宋体" w:hAnsi="宋体"/>
          <w:color w:val="auto"/>
          <w:sz w:val="24"/>
          <w:highlight w:val="none"/>
        </w:rPr>
      </w:pPr>
      <w:r>
        <w:rPr>
          <w:rFonts w:hint="eastAsia" w:ascii="宋体" w:hAnsi="宋体"/>
          <w:color w:val="auto"/>
          <w:sz w:val="24"/>
          <w:highlight w:val="none"/>
        </w:rPr>
        <w:t xml:space="preserve">  项目编号：                  </w:t>
      </w:r>
      <w:r>
        <w:rPr>
          <w:rFonts w:ascii="宋体" w:hAnsi="宋体"/>
          <w:color w:val="auto"/>
          <w:sz w:val="24"/>
          <w:highlight w:val="none"/>
        </w:rPr>
        <w:t xml:space="preserve">       </w:t>
      </w:r>
      <w:r>
        <w:rPr>
          <w:rFonts w:hint="eastAsia" w:ascii="宋体" w:hAnsi="宋体"/>
          <w:color w:val="auto"/>
          <w:sz w:val="24"/>
          <w:highlight w:val="none"/>
        </w:rPr>
        <w:t xml:space="preserve">  [货币单位：人民币元]</w:t>
      </w:r>
    </w:p>
    <w:tbl>
      <w:tblPr>
        <w:tblStyle w:val="35"/>
        <w:tblW w:w="964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8"/>
        <w:gridCol w:w="851"/>
        <w:gridCol w:w="992"/>
        <w:gridCol w:w="1785"/>
        <w:gridCol w:w="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709" w:type="dxa"/>
            <w:vAlign w:val="center"/>
          </w:tcPr>
          <w:p>
            <w:pPr>
              <w:adjustRightInd w:val="0"/>
              <w:snapToGrid w:val="0"/>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2268" w:type="dxa"/>
            <w:vAlign w:val="center"/>
          </w:tcPr>
          <w:p>
            <w:pPr>
              <w:adjustRightInd w:val="0"/>
              <w:snapToGrid w:val="0"/>
              <w:spacing w:line="360" w:lineRule="auto"/>
              <w:ind w:left="132"/>
              <w:jc w:val="center"/>
              <w:rPr>
                <w:rFonts w:ascii="宋体" w:hAnsi="宋体"/>
                <w:b/>
                <w:color w:val="auto"/>
                <w:sz w:val="24"/>
                <w:highlight w:val="none"/>
              </w:rPr>
            </w:pPr>
            <w:r>
              <w:rPr>
                <w:rFonts w:hint="eastAsia" w:ascii="宋体" w:hAnsi="宋体"/>
                <w:b/>
                <w:color w:val="auto"/>
                <w:sz w:val="24"/>
                <w:highlight w:val="none"/>
              </w:rPr>
              <w:t>名称</w:t>
            </w:r>
          </w:p>
        </w:tc>
        <w:tc>
          <w:tcPr>
            <w:tcW w:w="851" w:type="dxa"/>
            <w:vAlign w:val="center"/>
          </w:tcPr>
          <w:p>
            <w:pPr>
              <w:adjustRightInd w:val="0"/>
              <w:snapToGrid w:val="0"/>
              <w:spacing w:line="360" w:lineRule="auto"/>
              <w:ind w:left="132"/>
              <w:jc w:val="center"/>
              <w:rPr>
                <w:rFonts w:ascii="宋体" w:hAnsi="宋体"/>
                <w:b/>
                <w:color w:val="auto"/>
                <w:sz w:val="24"/>
                <w:highlight w:val="none"/>
              </w:rPr>
            </w:pPr>
            <w:r>
              <w:rPr>
                <w:rFonts w:hint="eastAsia" w:ascii="宋体" w:hAnsi="宋体"/>
                <w:b/>
                <w:color w:val="auto"/>
                <w:sz w:val="24"/>
                <w:highlight w:val="none"/>
              </w:rPr>
              <w:t>数量</w:t>
            </w:r>
          </w:p>
        </w:tc>
        <w:tc>
          <w:tcPr>
            <w:tcW w:w="992" w:type="dxa"/>
            <w:vAlign w:val="center"/>
          </w:tcPr>
          <w:p>
            <w:pPr>
              <w:adjustRightInd w:val="0"/>
              <w:snapToGrid w:val="0"/>
              <w:spacing w:line="360" w:lineRule="auto"/>
              <w:ind w:left="132"/>
              <w:jc w:val="center"/>
              <w:rPr>
                <w:rFonts w:ascii="宋体" w:hAnsi="宋体"/>
                <w:b/>
                <w:color w:val="auto"/>
                <w:sz w:val="24"/>
                <w:highlight w:val="none"/>
              </w:rPr>
            </w:pPr>
            <w:r>
              <w:rPr>
                <w:rFonts w:hint="eastAsia" w:ascii="宋体" w:hAnsi="宋体"/>
                <w:b/>
                <w:color w:val="auto"/>
                <w:sz w:val="24"/>
                <w:highlight w:val="none"/>
              </w:rPr>
              <w:t>单位</w:t>
            </w:r>
          </w:p>
        </w:tc>
        <w:tc>
          <w:tcPr>
            <w:tcW w:w="1785" w:type="dxa"/>
            <w:vAlign w:val="center"/>
          </w:tcPr>
          <w:p>
            <w:pPr>
              <w:adjustRightInd w:val="0"/>
              <w:snapToGrid w:val="0"/>
              <w:spacing w:line="360" w:lineRule="auto"/>
              <w:ind w:left="132"/>
              <w:jc w:val="center"/>
              <w:rPr>
                <w:rFonts w:ascii="宋体" w:hAnsi="宋体"/>
                <w:b/>
                <w:color w:val="auto"/>
                <w:sz w:val="24"/>
                <w:highlight w:val="none"/>
              </w:rPr>
            </w:pPr>
            <w:r>
              <w:rPr>
                <w:rFonts w:hint="eastAsia" w:ascii="宋体" w:hAnsi="宋体"/>
                <w:b/>
                <w:color w:val="auto"/>
                <w:sz w:val="24"/>
                <w:highlight w:val="none"/>
              </w:rPr>
              <w:t>单价（元/月）</w:t>
            </w:r>
          </w:p>
        </w:tc>
        <w:tc>
          <w:tcPr>
            <w:tcW w:w="3035" w:type="dxa"/>
            <w:vAlign w:val="center"/>
          </w:tcPr>
          <w:p>
            <w:pPr>
              <w:adjustRightInd w:val="0"/>
              <w:snapToGrid w:val="0"/>
              <w:spacing w:line="360" w:lineRule="auto"/>
              <w:ind w:left="132"/>
              <w:jc w:val="center"/>
              <w:rPr>
                <w:rFonts w:ascii="宋体" w:hAnsi="宋体"/>
                <w:b/>
                <w:color w:val="auto"/>
                <w:sz w:val="24"/>
                <w:highlight w:val="none"/>
              </w:rPr>
            </w:pPr>
            <w:r>
              <w:rPr>
                <w:rFonts w:hint="eastAsia" w:ascii="宋体" w:hAnsi="宋体"/>
                <w:b/>
                <w:color w:val="auto"/>
                <w:sz w:val="24"/>
                <w:highlight w:val="none"/>
              </w:rPr>
              <w:t>交付期及服务期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09" w:type="dxa"/>
            <w:tcBorders>
              <w:bottom w:val="single" w:color="auto" w:sz="4" w:space="0"/>
            </w:tcBorders>
            <w:vAlign w:val="center"/>
          </w:tcPr>
          <w:p>
            <w:pPr>
              <w:widowControl/>
              <w:adjustRightInd w:val="0"/>
              <w:snapToGrid w:val="0"/>
              <w:jc w:val="center"/>
              <w:rPr>
                <w:rFonts w:ascii="宋体" w:hAnsi="宋体"/>
                <w:color w:val="auto"/>
                <w:kern w:val="0"/>
                <w:sz w:val="24"/>
                <w:highlight w:val="none"/>
              </w:rPr>
            </w:pPr>
            <w:r>
              <w:rPr>
                <w:rFonts w:hint="eastAsia" w:ascii="宋体" w:hAnsi="宋体"/>
                <w:color w:val="auto"/>
                <w:sz w:val="24"/>
                <w:highlight w:val="none"/>
              </w:rPr>
              <w:t>1</w:t>
            </w:r>
          </w:p>
        </w:tc>
        <w:tc>
          <w:tcPr>
            <w:tcW w:w="2268" w:type="dxa"/>
            <w:tcBorders>
              <w:bottom w:val="single" w:color="auto" w:sz="4" w:space="0"/>
            </w:tcBorders>
            <w:vAlign w:val="center"/>
          </w:tcPr>
          <w:p>
            <w:pPr>
              <w:adjustRightInd w:val="0"/>
              <w:snapToGrid w:val="0"/>
              <w:spacing w:line="276" w:lineRule="auto"/>
              <w:ind w:hanging="210"/>
              <w:jc w:val="center"/>
              <w:rPr>
                <w:rFonts w:ascii="宋体" w:hAnsi="宋体" w:cs="宋体"/>
                <w:iCs/>
                <w:color w:val="auto"/>
                <w:szCs w:val="21"/>
                <w:highlight w:val="none"/>
              </w:rPr>
            </w:pPr>
            <w:r>
              <w:rPr>
                <w:rFonts w:hint="eastAsia" w:ascii="宋体" w:hAnsi="宋体" w:cs="宋体"/>
                <w:iCs/>
                <w:color w:val="auto"/>
                <w:sz w:val="24"/>
                <w:highlight w:val="none"/>
              </w:rPr>
              <w:t>枪机视频信息服务</w:t>
            </w:r>
          </w:p>
        </w:tc>
        <w:tc>
          <w:tcPr>
            <w:tcW w:w="851" w:type="dxa"/>
            <w:tcBorders>
              <w:bottom w:val="single" w:color="auto" w:sz="4" w:space="0"/>
            </w:tcBorders>
            <w:vAlign w:val="center"/>
          </w:tcPr>
          <w:p>
            <w:pPr>
              <w:adjustRightInd w:val="0"/>
              <w:snapToGrid w:val="0"/>
              <w:spacing w:line="276" w:lineRule="auto"/>
              <w:ind w:hanging="210"/>
              <w:jc w:val="center"/>
              <w:rPr>
                <w:rFonts w:ascii="宋体" w:hAnsi="宋体"/>
                <w:color w:val="auto"/>
                <w:kern w:val="0"/>
                <w:szCs w:val="21"/>
                <w:highlight w:val="none"/>
              </w:rPr>
            </w:pPr>
          </w:p>
        </w:tc>
        <w:tc>
          <w:tcPr>
            <w:tcW w:w="992" w:type="dxa"/>
            <w:tcBorders>
              <w:bottom w:val="single" w:color="auto" w:sz="4" w:space="0"/>
            </w:tcBorders>
            <w:vAlign w:val="center"/>
          </w:tcPr>
          <w:p>
            <w:pPr>
              <w:widowControl/>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套</w:t>
            </w:r>
          </w:p>
        </w:tc>
        <w:tc>
          <w:tcPr>
            <w:tcW w:w="1785" w:type="dxa"/>
            <w:tcBorders>
              <w:bottom w:val="single" w:color="auto" w:sz="4" w:space="0"/>
            </w:tcBorders>
            <w:vAlign w:val="center"/>
          </w:tcPr>
          <w:p>
            <w:pPr>
              <w:widowControl/>
              <w:adjustRightInd w:val="0"/>
              <w:snapToGrid w:val="0"/>
              <w:jc w:val="center"/>
              <w:rPr>
                <w:rFonts w:ascii="宋体" w:hAnsi="宋体"/>
                <w:color w:val="auto"/>
                <w:kern w:val="0"/>
                <w:szCs w:val="21"/>
                <w:highlight w:val="none"/>
              </w:rPr>
            </w:pPr>
          </w:p>
        </w:tc>
        <w:tc>
          <w:tcPr>
            <w:tcW w:w="3035" w:type="dxa"/>
            <w:vMerge w:val="restart"/>
            <w:vAlign w:val="center"/>
          </w:tcPr>
          <w:p>
            <w:pPr>
              <w:tabs>
                <w:tab w:val="left" w:pos="8280"/>
              </w:tabs>
              <w:autoSpaceDE w:val="0"/>
              <w:autoSpaceDN w:val="0"/>
              <w:adjustRightInd w:val="0"/>
              <w:snapToGrid w:val="0"/>
              <w:spacing w:line="360" w:lineRule="auto"/>
              <w:ind w:right="25"/>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09" w:type="dxa"/>
            <w:vAlign w:val="center"/>
          </w:tcPr>
          <w:p>
            <w:pPr>
              <w:widowControl/>
              <w:adjustRightInd w:val="0"/>
              <w:snapToGrid w:val="0"/>
              <w:jc w:val="center"/>
              <w:rPr>
                <w:rFonts w:ascii="宋体" w:hAnsi="宋体"/>
                <w:color w:val="auto"/>
                <w:sz w:val="24"/>
                <w:highlight w:val="none"/>
              </w:rPr>
            </w:pPr>
            <w:r>
              <w:rPr>
                <w:rFonts w:hint="eastAsia" w:ascii="宋体" w:hAnsi="宋体"/>
                <w:color w:val="auto"/>
                <w:sz w:val="24"/>
                <w:highlight w:val="none"/>
              </w:rPr>
              <w:t>2</w:t>
            </w:r>
          </w:p>
        </w:tc>
        <w:tc>
          <w:tcPr>
            <w:tcW w:w="2268" w:type="dxa"/>
            <w:vAlign w:val="center"/>
          </w:tcPr>
          <w:p>
            <w:pPr>
              <w:adjustRightInd w:val="0"/>
              <w:snapToGrid w:val="0"/>
              <w:spacing w:line="276" w:lineRule="auto"/>
              <w:ind w:hanging="210"/>
              <w:jc w:val="center"/>
              <w:rPr>
                <w:rFonts w:ascii="宋体" w:hAnsi="宋体" w:cs="宋体"/>
                <w:iCs/>
                <w:color w:val="auto"/>
                <w:szCs w:val="21"/>
                <w:highlight w:val="none"/>
              </w:rPr>
            </w:pPr>
            <w:r>
              <w:rPr>
                <w:rFonts w:hint="eastAsia" w:ascii="宋体" w:hAnsi="宋体" w:cs="宋体"/>
                <w:iCs/>
                <w:color w:val="auto"/>
                <w:sz w:val="24"/>
                <w:highlight w:val="none"/>
              </w:rPr>
              <w:t>违停抓拍信息服务</w:t>
            </w:r>
          </w:p>
        </w:tc>
        <w:tc>
          <w:tcPr>
            <w:tcW w:w="851" w:type="dxa"/>
            <w:vAlign w:val="center"/>
          </w:tcPr>
          <w:p>
            <w:pPr>
              <w:adjustRightInd w:val="0"/>
              <w:snapToGrid w:val="0"/>
              <w:spacing w:line="276" w:lineRule="auto"/>
              <w:ind w:hanging="210"/>
              <w:jc w:val="center"/>
              <w:rPr>
                <w:rFonts w:ascii="宋体" w:hAnsi="宋体"/>
                <w:color w:val="auto"/>
                <w:kern w:val="0"/>
                <w:szCs w:val="21"/>
                <w:highlight w:val="none"/>
              </w:rPr>
            </w:pPr>
          </w:p>
        </w:tc>
        <w:tc>
          <w:tcPr>
            <w:tcW w:w="992" w:type="dxa"/>
            <w:vAlign w:val="center"/>
          </w:tcPr>
          <w:p>
            <w:pPr>
              <w:widowControl/>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套</w:t>
            </w:r>
          </w:p>
        </w:tc>
        <w:tc>
          <w:tcPr>
            <w:tcW w:w="1785" w:type="dxa"/>
            <w:vAlign w:val="center"/>
          </w:tcPr>
          <w:p>
            <w:pPr>
              <w:widowControl/>
              <w:adjustRightInd w:val="0"/>
              <w:snapToGrid w:val="0"/>
              <w:jc w:val="center"/>
              <w:rPr>
                <w:rFonts w:ascii="宋体" w:hAnsi="宋体"/>
                <w:color w:val="auto"/>
                <w:szCs w:val="21"/>
                <w:highlight w:val="none"/>
              </w:rPr>
            </w:pPr>
          </w:p>
        </w:tc>
        <w:tc>
          <w:tcPr>
            <w:tcW w:w="3035" w:type="dxa"/>
            <w:vMerge w:val="continue"/>
            <w:vAlign w:val="center"/>
          </w:tcPr>
          <w:p>
            <w:pPr>
              <w:rPr>
                <w:rFonts w:ascii="仿宋" w:hAnsi="仿宋" w:eastAsia="仿宋" w:cs="仿宋"/>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09" w:type="dxa"/>
            <w:vAlign w:val="center"/>
          </w:tcPr>
          <w:p>
            <w:pPr>
              <w:widowControl/>
              <w:jc w:val="center"/>
              <w:rPr>
                <w:rFonts w:ascii="宋体"/>
                <w:color w:val="auto"/>
                <w:kern w:val="0"/>
                <w:sz w:val="24"/>
                <w:highlight w:val="none"/>
              </w:rPr>
            </w:pPr>
            <w:r>
              <w:rPr>
                <w:rFonts w:hint="eastAsia" w:ascii="宋体"/>
                <w:color w:val="auto"/>
                <w:kern w:val="0"/>
                <w:sz w:val="24"/>
                <w:highlight w:val="none"/>
              </w:rPr>
              <w:t>3</w:t>
            </w:r>
          </w:p>
        </w:tc>
        <w:tc>
          <w:tcPr>
            <w:tcW w:w="2268" w:type="dxa"/>
            <w:vAlign w:val="center"/>
          </w:tcPr>
          <w:p>
            <w:pPr>
              <w:adjustRightInd w:val="0"/>
              <w:snapToGrid w:val="0"/>
              <w:spacing w:line="276" w:lineRule="auto"/>
              <w:ind w:hanging="210"/>
              <w:jc w:val="center"/>
              <w:rPr>
                <w:rFonts w:ascii="宋体"/>
                <w:color w:val="auto"/>
                <w:kern w:val="0"/>
                <w:szCs w:val="21"/>
                <w:highlight w:val="none"/>
              </w:rPr>
            </w:pPr>
            <w:r>
              <w:rPr>
                <w:rFonts w:hint="eastAsia" w:ascii="宋体" w:hAnsi="宋体" w:cs="宋体"/>
                <w:iCs/>
                <w:color w:val="auto"/>
                <w:sz w:val="24"/>
                <w:highlight w:val="none"/>
              </w:rPr>
              <w:t>高空视频信息服务</w:t>
            </w:r>
          </w:p>
        </w:tc>
        <w:tc>
          <w:tcPr>
            <w:tcW w:w="851" w:type="dxa"/>
            <w:vAlign w:val="center"/>
          </w:tcPr>
          <w:p>
            <w:pPr>
              <w:adjustRightInd w:val="0"/>
              <w:snapToGrid w:val="0"/>
              <w:spacing w:line="276" w:lineRule="auto"/>
              <w:ind w:hanging="210"/>
              <w:jc w:val="center"/>
              <w:rPr>
                <w:rFonts w:ascii="宋体"/>
                <w:color w:val="auto"/>
                <w:kern w:val="0"/>
                <w:szCs w:val="21"/>
                <w:highlight w:val="none"/>
              </w:rPr>
            </w:pPr>
          </w:p>
        </w:tc>
        <w:tc>
          <w:tcPr>
            <w:tcW w:w="992" w:type="dxa"/>
            <w:vAlign w:val="center"/>
          </w:tcPr>
          <w:p>
            <w:pPr>
              <w:jc w:val="center"/>
              <w:rPr>
                <w:rFonts w:ascii="宋体"/>
                <w:color w:val="auto"/>
                <w:kern w:val="0"/>
                <w:szCs w:val="21"/>
                <w:highlight w:val="none"/>
              </w:rPr>
            </w:pPr>
            <w:r>
              <w:rPr>
                <w:rFonts w:hint="eastAsia" w:ascii="宋体" w:hAnsi="宋体"/>
                <w:color w:val="auto"/>
                <w:kern w:val="0"/>
                <w:szCs w:val="21"/>
                <w:highlight w:val="none"/>
              </w:rPr>
              <w:t>套</w:t>
            </w:r>
          </w:p>
        </w:tc>
        <w:tc>
          <w:tcPr>
            <w:tcW w:w="1785" w:type="dxa"/>
            <w:vAlign w:val="center"/>
          </w:tcPr>
          <w:p>
            <w:pPr>
              <w:widowControl/>
              <w:jc w:val="center"/>
              <w:rPr>
                <w:rFonts w:ascii="宋体"/>
                <w:color w:val="auto"/>
                <w:kern w:val="0"/>
                <w:szCs w:val="21"/>
                <w:highlight w:val="none"/>
              </w:rPr>
            </w:pPr>
          </w:p>
        </w:tc>
        <w:tc>
          <w:tcPr>
            <w:tcW w:w="3035" w:type="dxa"/>
            <w:vMerge w:val="continue"/>
            <w:vAlign w:val="center"/>
          </w:tcPr>
          <w:p>
            <w:pPr>
              <w:tabs>
                <w:tab w:val="left" w:pos="8280"/>
              </w:tabs>
              <w:autoSpaceDE w:val="0"/>
              <w:autoSpaceDN w:val="0"/>
              <w:adjustRightInd w:val="0"/>
              <w:snapToGrid w:val="0"/>
              <w:spacing w:line="360" w:lineRule="auto"/>
              <w:ind w:right="25"/>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09" w:type="dxa"/>
            <w:vAlign w:val="center"/>
          </w:tcPr>
          <w:p>
            <w:pPr>
              <w:widowControl/>
              <w:jc w:val="center"/>
              <w:rPr>
                <w:rFonts w:ascii="宋体"/>
                <w:color w:val="auto"/>
                <w:kern w:val="0"/>
                <w:sz w:val="24"/>
                <w:highlight w:val="none"/>
              </w:rPr>
            </w:pPr>
            <w:r>
              <w:rPr>
                <w:rFonts w:hint="eastAsia" w:ascii="宋体"/>
                <w:color w:val="auto"/>
                <w:kern w:val="0"/>
                <w:sz w:val="24"/>
                <w:highlight w:val="none"/>
              </w:rPr>
              <w:t>4</w:t>
            </w:r>
          </w:p>
        </w:tc>
        <w:tc>
          <w:tcPr>
            <w:tcW w:w="2268" w:type="dxa"/>
            <w:vAlign w:val="center"/>
          </w:tcPr>
          <w:p>
            <w:pPr>
              <w:adjustRightInd w:val="0"/>
              <w:snapToGrid w:val="0"/>
              <w:spacing w:line="276" w:lineRule="auto"/>
              <w:ind w:hanging="210"/>
              <w:jc w:val="center"/>
              <w:rPr>
                <w:rFonts w:ascii="宋体" w:hAnsi="宋体" w:cs="宋体"/>
                <w:iCs/>
                <w:color w:val="auto"/>
                <w:szCs w:val="21"/>
                <w:highlight w:val="none"/>
              </w:rPr>
            </w:pPr>
            <w:r>
              <w:rPr>
                <w:rFonts w:hint="eastAsia" w:ascii="宋体" w:hAnsi="宋体" w:cs="宋体"/>
                <w:iCs/>
                <w:color w:val="auto"/>
                <w:sz w:val="24"/>
                <w:highlight w:val="none"/>
              </w:rPr>
              <w:t>枪球视频信息服务</w:t>
            </w:r>
          </w:p>
        </w:tc>
        <w:tc>
          <w:tcPr>
            <w:tcW w:w="851" w:type="dxa"/>
            <w:vAlign w:val="center"/>
          </w:tcPr>
          <w:p>
            <w:pPr>
              <w:adjustRightInd w:val="0"/>
              <w:snapToGrid w:val="0"/>
              <w:spacing w:line="276" w:lineRule="auto"/>
              <w:ind w:hanging="210"/>
              <w:jc w:val="center"/>
              <w:rPr>
                <w:rFonts w:ascii="宋体" w:hAnsi="宋体" w:cs="宋体"/>
                <w:iCs/>
                <w:color w:val="auto"/>
                <w:szCs w:val="21"/>
                <w:highlight w:val="none"/>
              </w:rPr>
            </w:pPr>
          </w:p>
        </w:tc>
        <w:tc>
          <w:tcPr>
            <w:tcW w:w="992" w:type="dxa"/>
            <w:vAlign w:val="center"/>
          </w:tcPr>
          <w:p>
            <w:pPr>
              <w:jc w:val="center"/>
              <w:rPr>
                <w:rFonts w:ascii="宋体" w:hAnsi="宋体" w:cs="宋体"/>
                <w:iCs/>
                <w:color w:val="auto"/>
                <w:szCs w:val="21"/>
                <w:highlight w:val="none"/>
              </w:rPr>
            </w:pPr>
            <w:r>
              <w:rPr>
                <w:rFonts w:hint="eastAsia" w:ascii="宋体" w:hAnsi="宋体" w:cs="宋体"/>
                <w:iCs/>
                <w:color w:val="auto"/>
                <w:szCs w:val="21"/>
                <w:highlight w:val="none"/>
              </w:rPr>
              <w:t>套</w:t>
            </w:r>
          </w:p>
        </w:tc>
        <w:tc>
          <w:tcPr>
            <w:tcW w:w="1785" w:type="dxa"/>
            <w:vAlign w:val="center"/>
          </w:tcPr>
          <w:p>
            <w:pPr>
              <w:widowControl/>
              <w:jc w:val="center"/>
              <w:rPr>
                <w:rFonts w:ascii="宋体"/>
                <w:color w:val="auto"/>
                <w:kern w:val="0"/>
                <w:szCs w:val="21"/>
                <w:highlight w:val="none"/>
              </w:rPr>
            </w:pPr>
          </w:p>
        </w:tc>
        <w:tc>
          <w:tcPr>
            <w:tcW w:w="3035" w:type="dxa"/>
            <w:vMerge w:val="continue"/>
            <w:vAlign w:val="center"/>
          </w:tcPr>
          <w:p>
            <w:pPr>
              <w:tabs>
                <w:tab w:val="left" w:pos="8280"/>
              </w:tabs>
              <w:autoSpaceDE w:val="0"/>
              <w:autoSpaceDN w:val="0"/>
              <w:adjustRightInd w:val="0"/>
              <w:snapToGrid w:val="0"/>
              <w:spacing w:line="360" w:lineRule="auto"/>
              <w:ind w:right="25"/>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09" w:type="dxa"/>
            <w:vAlign w:val="center"/>
          </w:tcPr>
          <w:p>
            <w:pPr>
              <w:widowControl/>
              <w:jc w:val="center"/>
              <w:rPr>
                <w:rFonts w:ascii="宋体"/>
                <w:color w:val="auto"/>
                <w:kern w:val="0"/>
                <w:sz w:val="24"/>
                <w:highlight w:val="none"/>
              </w:rPr>
            </w:pPr>
            <w:r>
              <w:rPr>
                <w:rFonts w:hint="eastAsia" w:ascii="宋体"/>
                <w:color w:val="auto"/>
                <w:kern w:val="0"/>
                <w:sz w:val="24"/>
                <w:highlight w:val="none"/>
              </w:rPr>
              <w:t>5</w:t>
            </w:r>
          </w:p>
        </w:tc>
        <w:tc>
          <w:tcPr>
            <w:tcW w:w="2268" w:type="dxa"/>
            <w:vAlign w:val="center"/>
          </w:tcPr>
          <w:p>
            <w:pPr>
              <w:adjustRightInd w:val="0"/>
              <w:snapToGrid w:val="0"/>
              <w:spacing w:line="276" w:lineRule="auto"/>
              <w:ind w:hanging="210"/>
              <w:jc w:val="center"/>
              <w:rPr>
                <w:rFonts w:ascii="宋体" w:hAnsi="宋体" w:cs="宋体"/>
                <w:iCs/>
                <w:color w:val="auto"/>
                <w:szCs w:val="21"/>
                <w:highlight w:val="none"/>
              </w:rPr>
            </w:pPr>
            <w:r>
              <w:rPr>
                <w:rFonts w:hint="eastAsia" w:ascii="宋体" w:hAnsi="宋体" w:cs="宋体"/>
                <w:iCs/>
                <w:color w:val="auto"/>
                <w:sz w:val="24"/>
                <w:highlight w:val="none"/>
              </w:rPr>
              <w:t>......</w:t>
            </w:r>
          </w:p>
        </w:tc>
        <w:tc>
          <w:tcPr>
            <w:tcW w:w="851" w:type="dxa"/>
            <w:vAlign w:val="center"/>
          </w:tcPr>
          <w:p>
            <w:pPr>
              <w:adjustRightInd w:val="0"/>
              <w:snapToGrid w:val="0"/>
              <w:spacing w:line="276" w:lineRule="auto"/>
              <w:ind w:hanging="210"/>
              <w:jc w:val="center"/>
              <w:rPr>
                <w:rFonts w:ascii="宋体" w:hAnsi="宋体" w:cs="宋体"/>
                <w:iCs/>
                <w:color w:val="auto"/>
                <w:szCs w:val="21"/>
                <w:highlight w:val="none"/>
              </w:rPr>
            </w:pPr>
            <w:r>
              <w:rPr>
                <w:rFonts w:hint="eastAsia" w:ascii="宋体" w:hAnsi="宋体" w:cs="宋体"/>
                <w:iCs/>
                <w:color w:val="auto"/>
                <w:szCs w:val="21"/>
                <w:highlight w:val="none"/>
              </w:rPr>
              <w:t>......</w:t>
            </w:r>
          </w:p>
        </w:tc>
        <w:tc>
          <w:tcPr>
            <w:tcW w:w="992" w:type="dxa"/>
            <w:vAlign w:val="center"/>
          </w:tcPr>
          <w:p>
            <w:pPr>
              <w:widowControl/>
              <w:jc w:val="center"/>
              <w:rPr>
                <w:rFonts w:ascii="宋体" w:hAnsi="宋体" w:cs="宋体"/>
                <w:iCs/>
                <w:color w:val="auto"/>
                <w:szCs w:val="21"/>
                <w:highlight w:val="none"/>
              </w:rPr>
            </w:pPr>
            <w:r>
              <w:rPr>
                <w:rFonts w:hint="eastAsia" w:ascii="宋体" w:hAnsi="宋体" w:cs="宋体"/>
                <w:iCs/>
                <w:color w:val="auto"/>
                <w:szCs w:val="21"/>
                <w:highlight w:val="none"/>
              </w:rPr>
              <w:t>套</w:t>
            </w:r>
          </w:p>
        </w:tc>
        <w:tc>
          <w:tcPr>
            <w:tcW w:w="1785" w:type="dxa"/>
            <w:vAlign w:val="center"/>
          </w:tcPr>
          <w:p>
            <w:pPr>
              <w:widowControl/>
              <w:jc w:val="center"/>
              <w:rPr>
                <w:rFonts w:ascii="宋体"/>
                <w:color w:val="auto"/>
                <w:kern w:val="0"/>
                <w:szCs w:val="21"/>
                <w:highlight w:val="none"/>
              </w:rPr>
            </w:pPr>
            <w:r>
              <w:rPr>
                <w:rFonts w:hint="eastAsia" w:ascii="宋体"/>
                <w:color w:val="auto"/>
                <w:kern w:val="0"/>
                <w:szCs w:val="21"/>
                <w:highlight w:val="none"/>
              </w:rPr>
              <w:t>......</w:t>
            </w:r>
          </w:p>
        </w:tc>
        <w:tc>
          <w:tcPr>
            <w:tcW w:w="3035" w:type="dxa"/>
            <w:vMerge w:val="continue"/>
            <w:vAlign w:val="center"/>
          </w:tcPr>
          <w:p>
            <w:pPr>
              <w:tabs>
                <w:tab w:val="left" w:pos="8280"/>
              </w:tabs>
              <w:autoSpaceDE w:val="0"/>
              <w:autoSpaceDN w:val="0"/>
              <w:adjustRightInd w:val="0"/>
              <w:snapToGrid w:val="0"/>
              <w:spacing w:line="360" w:lineRule="auto"/>
              <w:ind w:right="25"/>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trPr>
        <w:tc>
          <w:tcPr>
            <w:tcW w:w="9640" w:type="dxa"/>
            <w:gridSpan w:val="6"/>
            <w:tcBorders>
              <w:bottom w:val="single" w:color="auto" w:sz="4" w:space="0"/>
            </w:tcBorders>
            <w:vAlign w:val="center"/>
          </w:tcPr>
          <w:p>
            <w:pPr>
              <w:spacing w:line="360" w:lineRule="auto"/>
              <w:rPr>
                <w:rFonts w:ascii="宋体" w:hAnsi="宋体"/>
                <w:color w:val="auto"/>
                <w:sz w:val="24"/>
                <w:highlight w:val="none"/>
              </w:rPr>
            </w:pPr>
            <w:r>
              <w:rPr>
                <w:rFonts w:hint="eastAsia" w:ascii="宋体" w:hAnsi="宋体"/>
                <w:b/>
                <w:color w:val="auto"/>
                <w:sz w:val="24"/>
                <w:highlight w:val="none"/>
              </w:rPr>
              <w:t>合计人民币</w:t>
            </w:r>
            <w:r>
              <w:rPr>
                <w:rFonts w:hint="eastAsia" w:ascii="宋体" w:hAnsi="宋体"/>
                <w:color w:val="auto"/>
                <w:sz w:val="24"/>
                <w:highlight w:val="none"/>
              </w:rPr>
              <w:t>：</w:t>
            </w:r>
            <w:r>
              <w:rPr>
                <w:rFonts w:hint="eastAsia" w:ascii="宋体" w:hAnsi="宋体"/>
                <w:b/>
                <w:color w:val="auto"/>
                <w:sz w:val="24"/>
                <w:highlight w:val="none"/>
              </w:rPr>
              <w:t>大写：                          小写：</w:t>
            </w:r>
          </w:p>
        </w:tc>
      </w:tr>
    </w:tbl>
    <w:p>
      <w:pPr>
        <w:spacing w:line="360" w:lineRule="auto"/>
        <w:rPr>
          <w:rFonts w:ascii="宋体" w:hAnsi="宋体"/>
          <w:color w:val="auto"/>
          <w:szCs w:val="21"/>
          <w:highlight w:val="none"/>
        </w:rPr>
      </w:pPr>
      <w:r>
        <w:rPr>
          <w:rFonts w:hint="eastAsia" w:ascii="宋体" w:hAnsi="宋体"/>
          <w:b/>
          <w:color w:val="auto"/>
          <w:szCs w:val="21"/>
          <w:highlight w:val="none"/>
        </w:rPr>
        <w:t>要求：</w:t>
      </w:r>
      <w:r>
        <w:rPr>
          <w:rFonts w:ascii="宋体" w:hAnsi="宋体"/>
          <w:color w:val="auto"/>
          <w:szCs w:val="21"/>
          <w:highlight w:val="none"/>
        </w:rPr>
        <w:t xml:space="preserve"> </w:t>
      </w:r>
    </w:p>
    <w:p>
      <w:pPr>
        <w:spacing w:line="360" w:lineRule="auto"/>
        <w:rPr>
          <w:rFonts w:ascii="宋体" w:hAnsi="宋体"/>
          <w:b/>
          <w:i/>
          <w:color w:val="auto"/>
          <w:szCs w:val="21"/>
          <w:highlight w:val="none"/>
          <w:u w:val="single"/>
        </w:rPr>
      </w:pPr>
      <w:r>
        <w:rPr>
          <w:rFonts w:ascii="宋体" w:hAnsi="宋体"/>
          <w:color w:val="auto"/>
          <w:szCs w:val="21"/>
          <w:highlight w:val="none"/>
        </w:rPr>
        <w:t>1</w:t>
      </w:r>
      <w:r>
        <w:rPr>
          <w:rFonts w:hint="eastAsia" w:ascii="宋体" w:hAnsi="宋体"/>
          <w:color w:val="auto"/>
          <w:szCs w:val="21"/>
          <w:highlight w:val="none"/>
        </w:rPr>
        <w:t>.</w:t>
      </w:r>
      <w:r>
        <w:rPr>
          <w:rFonts w:hint="eastAsia" w:ascii="宋体" w:hAnsi="宋体" w:cs="宋体"/>
          <w:b/>
          <w:bCs/>
          <w:color w:val="auto"/>
          <w:szCs w:val="21"/>
          <w:highlight w:val="none"/>
        </w:rPr>
        <w:t>本表为《开标一览表》按服务形式进行综合报价的明细体现，本表合计应与《开标一览表》总报价一致，如有缺项、漏项，视为投标报价中已包含相关费用，采购人无需另外支付任何费用；</w:t>
      </w:r>
    </w:p>
    <w:p>
      <w:pPr>
        <w:spacing w:line="360" w:lineRule="auto"/>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hint="eastAsia" w:ascii="宋体" w:hAnsi="宋体"/>
          <w:color w:val="auto"/>
          <w:szCs w:val="21"/>
          <w:highlight w:val="none"/>
        </w:rPr>
        <w:t>报价一经涂改，应在涂改处加盖单位公章或者由法定代表人或授权委托人签字或盖章，否则其投标作无效标处理；</w:t>
      </w:r>
    </w:p>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w:t>
      </w:r>
      <w:r>
        <w:rPr>
          <w:rFonts w:hint="eastAsia" w:ascii="宋体" w:hAnsi="宋体" w:cs="宋体"/>
          <w:color w:val="auto"/>
          <w:szCs w:val="21"/>
          <w:highlight w:val="none"/>
          <w:lang w:val="zh-CN"/>
        </w:rPr>
        <w:t>投标报价明细表所填内容参照招标文件第四章公开招标需求中的购买视频信息服务内容，如有漏报的，视同已包含在投标总价内或已作优惠处理。有重大缺项的将作无效标处理。</w:t>
      </w:r>
    </w:p>
    <w:p>
      <w:pPr>
        <w:spacing w:line="360" w:lineRule="auto"/>
        <w:rPr>
          <w:rFonts w:ascii="宋体" w:hAnsi="宋体" w:cs="宋体"/>
          <w:b/>
          <w:color w:val="auto"/>
          <w:kern w:val="0"/>
          <w:sz w:val="24"/>
          <w:highlight w:val="none"/>
        </w:rPr>
      </w:pPr>
    </w:p>
    <w:p>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投标人名称（公章）：</w:t>
      </w: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投标人代表签字或盖章：</w:t>
      </w: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jc w:val="left"/>
        <w:rPr>
          <w:rFonts w:ascii="宋体" w:hAnsi="宋体" w:cs="宋体"/>
          <w:b/>
          <w:color w:val="auto"/>
          <w:sz w:val="28"/>
          <w:highlight w:val="none"/>
        </w:rPr>
      </w:pPr>
    </w:p>
    <w:p>
      <w:pPr>
        <w:spacing w:line="360" w:lineRule="auto"/>
        <w:ind w:left="-2" w:hanging="2"/>
        <w:jc w:val="left"/>
        <w:rPr>
          <w:rFonts w:ascii="宋体" w:hAnsi="宋体" w:cs="宋体"/>
          <w:b/>
          <w:color w:val="auto"/>
          <w:sz w:val="28"/>
          <w:highlight w:val="none"/>
        </w:rPr>
      </w:pPr>
      <w:r>
        <w:rPr>
          <w:rFonts w:hint="eastAsia" w:ascii="宋体" w:hAnsi="宋体" w:cs="宋体"/>
          <w:b/>
          <w:color w:val="auto"/>
          <w:sz w:val="28"/>
          <w:highlight w:val="none"/>
        </w:rPr>
        <w:t>附件1</w:t>
      </w:r>
      <w:r>
        <w:rPr>
          <w:rFonts w:ascii="宋体" w:hAnsi="宋体" w:cs="宋体"/>
          <w:b/>
          <w:color w:val="auto"/>
          <w:sz w:val="28"/>
          <w:highlight w:val="none"/>
        </w:rPr>
        <w:t>5</w:t>
      </w:r>
    </w:p>
    <w:p>
      <w:pPr>
        <w:spacing w:line="360" w:lineRule="auto"/>
        <w:ind w:left="-2" w:hanging="2"/>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报价明细表（货物）</w:t>
      </w:r>
    </w:p>
    <w:p>
      <w:pPr>
        <w:spacing w:line="360" w:lineRule="auto"/>
        <w:ind w:left="480"/>
        <w:jc w:val="center"/>
        <w:rPr>
          <w:rFonts w:ascii="宋体" w:hAnsi="宋体" w:cs="宋体"/>
          <w:color w:val="auto"/>
          <w:highlight w:val="none"/>
        </w:rPr>
      </w:pPr>
    </w:p>
    <w:p>
      <w:pPr>
        <w:pStyle w:val="62"/>
        <w:spacing w:line="360" w:lineRule="auto"/>
        <w:ind w:right="480"/>
        <w:jc w:val="left"/>
        <w:rPr>
          <w:rFonts w:ascii="宋体" w:hAnsi="宋体" w:cs="宋体"/>
          <w:color w:val="auto"/>
          <w:sz w:val="24"/>
          <w:highlight w:val="none"/>
        </w:rPr>
      </w:pPr>
      <w:r>
        <w:rPr>
          <w:rFonts w:hint="eastAsia" w:ascii="宋体" w:hAnsi="宋体" w:cs="宋体"/>
          <w:color w:val="auto"/>
          <w:sz w:val="24"/>
          <w:highlight w:val="none"/>
        </w:rPr>
        <w:t xml:space="preserve">  项目编号：                                [货币单位：</w:t>
      </w:r>
      <w:r>
        <w:rPr>
          <w:rFonts w:hint="eastAsia" w:ascii="宋体" w:hAnsi="宋体" w:cs="宋体"/>
          <w:color w:val="auto"/>
          <w:sz w:val="24"/>
          <w:highlight w:val="none"/>
          <w:u w:val="single"/>
        </w:rPr>
        <w:t>人民币元</w:t>
      </w:r>
      <w:r>
        <w:rPr>
          <w:rFonts w:hint="eastAsia" w:ascii="宋体" w:hAnsi="宋体" w:cs="宋体"/>
          <w:color w:val="auto"/>
          <w:sz w:val="24"/>
          <w:highlight w:val="none"/>
        </w:rPr>
        <w:t>]</w:t>
      </w:r>
    </w:p>
    <w:tbl>
      <w:tblPr>
        <w:tblStyle w:val="35"/>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683"/>
        <w:gridCol w:w="1868"/>
        <w:gridCol w:w="695"/>
        <w:gridCol w:w="1023"/>
        <w:gridCol w:w="829"/>
        <w:gridCol w:w="90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70" w:type="dxa"/>
            <w:vAlign w:val="center"/>
          </w:tcPr>
          <w:p>
            <w:pPr>
              <w:widowControl/>
              <w:jc w:val="center"/>
              <w:textAlignment w:val="center"/>
              <w:rPr>
                <w:rFonts w:ascii="宋体" w:hAnsi="宋体" w:cs="宋体"/>
                <w:b/>
                <w:color w:val="auto"/>
                <w:kern w:val="0"/>
                <w:szCs w:val="21"/>
                <w:highlight w:val="none"/>
                <w:lang w:bidi="ar"/>
              </w:rPr>
            </w:pPr>
            <w:r>
              <w:rPr>
                <w:rFonts w:hint="eastAsia" w:ascii="宋体" w:hAnsi="宋体" w:cs="宋体"/>
                <w:b/>
                <w:color w:val="auto"/>
                <w:kern w:val="0"/>
                <w:szCs w:val="21"/>
                <w:highlight w:val="none"/>
                <w:lang w:bidi="ar"/>
              </w:rPr>
              <w:t>序号</w:t>
            </w:r>
          </w:p>
        </w:tc>
        <w:tc>
          <w:tcPr>
            <w:tcW w:w="1683" w:type="dxa"/>
            <w:vAlign w:val="center"/>
          </w:tcPr>
          <w:p>
            <w:pPr>
              <w:widowControl/>
              <w:jc w:val="center"/>
              <w:textAlignment w:val="center"/>
              <w:rPr>
                <w:rFonts w:ascii="宋体" w:hAnsi="宋体" w:cs="宋体"/>
                <w:b/>
                <w:color w:val="auto"/>
                <w:kern w:val="0"/>
                <w:szCs w:val="21"/>
                <w:highlight w:val="none"/>
                <w:lang w:bidi="ar"/>
              </w:rPr>
            </w:pPr>
            <w:r>
              <w:rPr>
                <w:rFonts w:hint="eastAsia" w:ascii="宋体" w:hAnsi="宋体" w:cs="宋体"/>
                <w:b/>
                <w:color w:val="auto"/>
                <w:kern w:val="0"/>
                <w:szCs w:val="21"/>
                <w:highlight w:val="none"/>
                <w:lang w:bidi="ar"/>
              </w:rPr>
              <w:t>产品名称</w:t>
            </w:r>
          </w:p>
        </w:tc>
        <w:tc>
          <w:tcPr>
            <w:tcW w:w="1868" w:type="dxa"/>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Cs w:val="21"/>
                <w:highlight w:val="none"/>
                <w:lang w:bidi="ar"/>
              </w:rPr>
              <w:t>品牌/厂商</w:t>
            </w:r>
          </w:p>
        </w:tc>
        <w:tc>
          <w:tcPr>
            <w:tcW w:w="695" w:type="dxa"/>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Cs w:val="21"/>
                <w:highlight w:val="none"/>
                <w:lang w:bidi="ar"/>
              </w:rPr>
              <w:t>单位</w:t>
            </w:r>
          </w:p>
        </w:tc>
        <w:tc>
          <w:tcPr>
            <w:tcW w:w="1023" w:type="dxa"/>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Cs w:val="21"/>
                <w:highlight w:val="none"/>
                <w:lang w:bidi="ar"/>
              </w:rPr>
              <w:t>数量</w:t>
            </w:r>
          </w:p>
        </w:tc>
        <w:tc>
          <w:tcPr>
            <w:tcW w:w="829" w:type="dxa"/>
            <w:vAlign w:val="center"/>
          </w:tcPr>
          <w:p>
            <w:pPr>
              <w:widowControl/>
              <w:jc w:val="center"/>
              <w:textAlignment w:val="center"/>
              <w:rPr>
                <w:rFonts w:ascii="宋体" w:hAnsi="宋体" w:cs="宋体"/>
                <w:b/>
                <w:color w:val="auto"/>
                <w:kern w:val="0"/>
                <w:szCs w:val="21"/>
                <w:highlight w:val="none"/>
                <w:lang w:bidi="ar"/>
              </w:rPr>
            </w:pPr>
            <w:r>
              <w:rPr>
                <w:rFonts w:hint="eastAsia" w:ascii="宋体" w:hAnsi="宋体" w:cs="宋体"/>
                <w:b/>
                <w:color w:val="auto"/>
                <w:kern w:val="0"/>
                <w:szCs w:val="21"/>
                <w:highlight w:val="none"/>
                <w:lang w:bidi="ar"/>
              </w:rPr>
              <w:t>单价（元）</w:t>
            </w:r>
          </w:p>
        </w:tc>
        <w:tc>
          <w:tcPr>
            <w:tcW w:w="903" w:type="dxa"/>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Cs w:val="21"/>
                <w:highlight w:val="none"/>
                <w:lang w:bidi="ar"/>
              </w:rPr>
              <w:t>小计（元）</w:t>
            </w:r>
          </w:p>
        </w:tc>
        <w:tc>
          <w:tcPr>
            <w:tcW w:w="900" w:type="dxa"/>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7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83" w:type="dxa"/>
            <w:vAlign w:val="center"/>
          </w:tcPr>
          <w:p>
            <w:pPr>
              <w:spacing w:line="360" w:lineRule="auto"/>
              <w:rPr>
                <w:rFonts w:ascii="宋体" w:hAnsi="宋体" w:cs="宋体"/>
                <w:color w:val="auto"/>
                <w:sz w:val="24"/>
                <w:highlight w:val="none"/>
              </w:rPr>
            </w:pPr>
          </w:p>
        </w:tc>
        <w:tc>
          <w:tcPr>
            <w:tcW w:w="1868" w:type="dxa"/>
            <w:vAlign w:val="center"/>
          </w:tcPr>
          <w:p>
            <w:pPr>
              <w:spacing w:line="360" w:lineRule="auto"/>
              <w:rPr>
                <w:rFonts w:ascii="宋体" w:hAnsi="宋体" w:cs="宋体"/>
                <w:color w:val="auto"/>
                <w:sz w:val="24"/>
                <w:highlight w:val="none"/>
              </w:rPr>
            </w:pPr>
          </w:p>
        </w:tc>
        <w:tc>
          <w:tcPr>
            <w:tcW w:w="695" w:type="dxa"/>
            <w:vAlign w:val="center"/>
          </w:tcPr>
          <w:p>
            <w:pPr>
              <w:spacing w:line="360" w:lineRule="auto"/>
              <w:rPr>
                <w:rFonts w:ascii="宋体" w:hAnsi="宋体" w:cs="宋体"/>
                <w:color w:val="auto"/>
                <w:sz w:val="24"/>
                <w:highlight w:val="none"/>
              </w:rPr>
            </w:pPr>
          </w:p>
        </w:tc>
        <w:tc>
          <w:tcPr>
            <w:tcW w:w="1023" w:type="dxa"/>
            <w:vAlign w:val="center"/>
          </w:tcPr>
          <w:p>
            <w:pPr>
              <w:spacing w:line="360" w:lineRule="auto"/>
              <w:rPr>
                <w:rFonts w:ascii="宋体" w:hAnsi="宋体" w:cs="宋体"/>
                <w:color w:val="auto"/>
                <w:sz w:val="24"/>
                <w:highlight w:val="none"/>
              </w:rPr>
            </w:pPr>
          </w:p>
        </w:tc>
        <w:tc>
          <w:tcPr>
            <w:tcW w:w="829" w:type="dxa"/>
            <w:vAlign w:val="center"/>
          </w:tcPr>
          <w:p>
            <w:pPr>
              <w:spacing w:line="360" w:lineRule="auto"/>
              <w:rPr>
                <w:rFonts w:ascii="宋体" w:hAnsi="宋体" w:cs="宋体"/>
                <w:color w:val="auto"/>
                <w:sz w:val="24"/>
                <w:highlight w:val="none"/>
              </w:rPr>
            </w:pPr>
          </w:p>
        </w:tc>
        <w:tc>
          <w:tcPr>
            <w:tcW w:w="903" w:type="dxa"/>
            <w:vAlign w:val="center"/>
          </w:tcPr>
          <w:p>
            <w:pPr>
              <w:spacing w:line="360" w:lineRule="auto"/>
              <w:rPr>
                <w:rFonts w:ascii="宋体" w:hAnsi="宋体" w:cs="宋体"/>
                <w:color w:val="auto"/>
                <w:sz w:val="24"/>
                <w:highlight w:val="none"/>
              </w:rPr>
            </w:pPr>
          </w:p>
        </w:tc>
        <w:tc>
          <w:tcPr>
            <w:tcW w:w="900"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83" w:type="dxa"/>
            <w:vAlign w:val="center"/>
          </w:tcPr>
          <w:p>
            <w:pPr>
              <w:spacing w:line="360" w:lineRule="auto"/>
              <w:rPr>
                <w:rFonts w:ascii="宋体" w:hAnsi="宋体" w:cs="宋体"/>
                <w:color w:val="auto"/>
                <w:sz w:val="24"/>
                <w:highlight w:val="none"/>
              </w:rPr>
            </w:pPr>
          </w:p>
        </w:tc>
        <w:tc>
          <w:tcPr>
            <w:tcW w:w="1868" w:type="dxa"/>
            <w:vAlign w:val="center"/>
          </w:tcPr>
          <w:p>
            <w:pPr>
              <w:spacing w:line="360" w:lineRule="auto"/>
              <w:rPr>
                <w:rFonts w:ascii="宋体" w:hAnsi="宋体" w:cs="宋体"/>
                <w:color w:val="auto"/>
                <w:sz w:val="24"/>
                <w:highlight w:val="none"/>
              </w:rPr>
            </w:pPr>
          </w:p>
        </w:tc>
        <w:tc>
          <w:tcPr>
            <w:tcW w:w="695" w:type="dxa"/>
            <w:vAlign w:val="center"/>
          </w:tcPr>
          <w:p>
            <w:pPr>
              <w:spacing w:line="360" w:lineRule="auto"/>
              <w:rPr>
                <w:rFonts w:ascii="宋体" w:hAnsi="宋体" w:cs="宋体"/>
                <w:color w:val="auto"/>
                <w:sz w:val="24"/>
                <w:highlight w:val="none"/>
              </w:rPr>
            </w:pPr>
          </w:p>
        </w:tc>
        <w:tc>
          <w:tcPr>
            <w:tcW w:w="1023" w:type="dxa"/>
            <w:vAlign w:val="center"/>
          </w:tcPr>
          <w:p>
            <w:pPr>
              <w:spacing w:line="360" w:lineRule="auto"/>
              <w:rPr>
                <w:rFonts w:ascii="宋体" w:hAnsi="宋体" w:cs="宋体"/>
                <w:color w:val="auto"/>
                <w:sz w:val="24"/>
                <w:highlight w:val="none"/>
              </w:rPr>
            </w:pPr>
          </w:p>
        </w:tc>
        <w:tc>
          <w:tcPr>
            <w:tcW w:w="829" w:type="dxa"/>
            <w:vAlign w:val="center"/>
          </w:tcPr>
          <w:p>
            <w:pPr>
              <w:spacing w:line="360" w:lineRule="auto"/>
              <w:rPr>
                <w:rFonts w:ascii="宋体" w:hAnsi="宋体" w:cs="宋体"/>
                <w:color w:val="auto"/>
                <w:sz w:val="24"/>
                <w:highlight w:val="none"/>
              </w:rPr>
            </w:pPr>
          </w:p>
        </w:tc>
        <w:tc>
          <w:tcPr>
            <w:tcW w:w="903" w:type="dxa"/>
            <w:vAlign w:val="center"/>
          </w:tcPr>
          <w:p>
            <w:pPr>
              <w:spacing w:line="360" w:lineRule="auto"/>
              <w:rPr>
                <w:rFonts w:ascii="宋体" w:hAnsi="宋体" w:cs="宋体"/>
                <w:color w:val="auto"/>
                <w:sz w:val="24"/>
                <w:highlight w:val="none"/>
              </w:rPr>
            </w:pPr>
          </w:p>
        </w:tc>
        <w:tc>
          <w:tcPr>
            <w:tcW w:w="900"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77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683" w:type="dxa"/>
            <w:vAlign w:val="center"/>
          </w:tcPr>
          <w:p>
            <w:pPr>
              <w:spacing w:line="360" w:lineRule="auto"/>
              <w:rPr>
                <w:rFonts w:ascii="宋体" w:hAnsi="宋体" w:cs="宋体"/>
                <w:color w:val="auto"/>
                <w:sz w:val="24"/>
                <w:highlight w:val="none"/>
              </w:rPr>
            </w:pPr>
          </w:p>
        </w:tc>
        <w:tc>
          <w:tcPr>
            <w:tcW w:w="1868" w:type="dxa"/>
            <w:vAlign w:val="center"/>
          </w:tcPr>
          <w:p>
            <w:pPr>
              <w:spacing w:line="360" w:lineRule="auto"/>
              <w:rPr>
                <w:rFonts w:ascii="宋体" w:hAnsi="宋体" w:cs="宋体"/>
                <w:color w:val="auto"/>
                <w:sz w:val="24"/>
                <w:highlight w:val="none"/>
              </w:rPr>
            </w:pPr>
          </w:p>
        </w:tc>
        <w:tc>
          <w:tcPr>
            <w:tcW w:w="695" w:type="dxa"/>
            <w:vAlign w:val="center"/>
          </w:tcPr>
          <w:p>
            <w:pPr>
              <w:spacing w:line="360" w:lineRule="auto"/>
              <w:rPr>
                <w:rFonts w:ascii="宋体" w:hAnsi="宋体" w:cs="宋体"/>
                <w:color w:val="auto"/>
                <w:sz w:val="24"/>
                <w:highlight w:val="none"/>
              </w:rPr>
            </w:pPr>
          </w:p>
        </w:tc>
        <w:tc>
          <w:tcPr>
            <w:tcW w:w="1023" w:type="dxa"/>
            <w:vAlign w:val="center"/>
          </w:tcPr>
          <w:p>
            <w:pPr>
              <w:spacing w:line="360" w:lineRule="auto"/>
              <w:rPr>
                <w:rFonts w:ascii="宋体" w:hAnsi="宋体" w:cs="宋体"/>
                <w:color w:val="auto"/>
                <w:sz w:val="24"/>
                <w:highlight w:val="none"/>
              </w:rPr>
            </w:pPr>
          </w:p>
        </w:tc>
        <w:tc>
          <w:tcPr>
            <w:tcW w:w="829" w:type="dxa"/>
            <w:vAlign w:val="center"/>
          </w:tcPr>
          <w:p>
            <w:pPr>
              <w:spacing w:line="360" w:lineRule="auto"/>
              <w:rPr>
                <w:rFonts w:ascii="宋体" w:hAnsi="宋体" w:cs="宋体"/>
                <w:color w:val="auto"/>
                <w:sz w:val="24"/>
                <w:highlight w:val="none"/>
              </w:rPr>
            </w:pPr>
          </w:p>
        </w:tc>
        <w:tc>
          <w:tcPr>
            <w:tcW w:w="903" w:type="dxa"/>
            <w:vAlign w:val="center"/>
          </w:tcPr>
          <w:p>
            <w:pPr>
              <w:spacing w:line="360" w:lineRule="auto"/>
              <w:rPr>
                <w:rFonts w:ascii="宋体" w:hAnsi="宋体" w:cs="宋体"/>
                <w:color w:val="auto"/>
                <w:sz w:val="24"/>
                <w:highlight w:val="none"/>
              </w:rPr>
            </w:pPr>
          </w:p>
        </w:tc>
        <w:tc>
          <w:tcPr>
            <w:tcW w:w="900"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77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1683" w:type="dxa"/>
            <w:vAlign w:val="center"/>
          </w:tcPr>
          <w:p>
            <w:pPr>
              <w:spacing w:line="360" w:lineRule="auto"/>
              <w:rPr>
                <w:rFonts w:ascii="宋体" w:hAnsi="宋体" w:cs="宋体"/>
                <w:color w:val="auto"/>
                <w:sz w:val="24"/>
                <w:highlight w:val="none"/>
              </w:rPr>
            </w:pPr>
          </w:p>
        </w:tc>
        <w:tc>
          <w:tcPr>
            <w:tcW w:w="1868" w:type="dxa"/>
            <w:vAlign w:val="center"/>
          </w:tcPr>
          <w:p>
            <w:pPr>
              <w:spacing w:line="360" w:lineRule="auto"/>
              <w:rPr>
                <w:rFonts w:ascii="宋体" w:hAnsi="宋体" w:cs="宋体"/>
                <w:color w:val="auto"/>
                <w:sz w:val="24"/>
                <w:highlight w:val="none"/>
              </w:rPr>
            </w:pPr>
          </w:p>
        </w:tc>
        <w:tc>
          <w:tcPr>
            <w:tcW w:w="695" w:type="dxa"/>
            <w:vAlign w:val="center"/>
          </w:tcPr>
          <w:p>
            <w:pPr>
              <w:spacing w:line="360" w:lineRule="auto"/>
              <w:rPr>
                <w:rFonts w:ascii="宋体" w:hAnsi="宋体" w:cs="宋体"/>
                <w:color w:val="auto"/>
                <w:sz w:val="24"/>
                <w:highlight w:val="none"/>
              </w:rPr>
            </w:pPr>
          </w:p>
        </w:tc>
        <w:tc>
          <w:tcPr>
            <w:tcW w:w="1023" w:type="dxa"/>
            <w:vAlign w:val="center"/>
          </w:tcPr>
          <w:p>
            <w:pPr>
              <w:spacing w:line="360" w:lineRule="auto"/>
              <w:rPr>
                <w:rFonts w:ascii="宋体" w:hAnsi="宋体" w:cs="宋体"/>
                <w:color w:val="auto"/>
                <w:sz w:val="24"/>
                <w:highlight w:val="none"/>
              </w:rPr>
            </w:pPr>
          </w:p>
        </w:tc>
        <w:tc>
          <w:tcPr>
            <w:tcW w:w="829" w:type="dxa"/>
            <w:vAlign w:val="center"/>
          </w:tcPr>
          <w:p>
            <w:pPr>
              <w:spacing w:line="360" w:lineRule="auto"/>
              <w:rPr>
                <w:rFonts w:ascii="宋体" w:hAnsi="宋体" w:cs="宋体"/>
                <w:color w:val="auto"/>
                <w:sz w:val="24"/>
                <w:highlight w:val="none"/>
              </w:rPr>
            </w:pPr>
          </w:p>
        </w:tc>
        <w:tc>
          <w:tcPr>
            <w:tcW w:w="903" w:type="dxa"/>
            <w:vAlign w:val="center"/>
          </w:tcPr>
          <w:p>
            <w:pPr>
              <w:spacing w:line="360" w:lineRule="auto"/>
              <w:rPr>
                <w:rFonts w:ascii="宋体" w:hAnsi="宋体" w:cs="宋体"/>
                <w:color w:val="auto"/>
                <w:sz w:val="24"/>
                <w:highlight w:val="none"/>
              </w:rPr>
            </w:pPr>
          </w:p>
        </w:tc>
        <w:tc>
          <w:tcPr>
            <w:tcW w:w="900"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770" w:type="dxa"/>
            <w:vAlign w:val="center"/>
          </w:tcPr>
          <w:p>
            <w:pPr>
              <w:spacing w:line="360" w:lineRule="auto"/>
              <w:rPr>
                <w:rFonts w:ascii="宋体" w:hAnsi="宋体" w:cs="宋体"/>
                <w:color w:val="auto"/>
                <w:sz w:val="24"/>
                <w:highlight w:val="none"/>
              </w:rPr>
            </w:pPr>
          </w:p>
        </w:tc>
        <w:tc>
          <w:tcPr>
            <w:tcW w:w="1683" w:type="dxa"/>
            <w:vAlign w:val="center"/>
          </w:tcPr>
          <w:p>
            <w:pPr>
              <w:spacing w:line="360" w:lineRule="auto"/>
              <w:rPr>
                <w:rFonts w:ascii="宋体" w:hAnsi="宋体" w:cs="宋体"/>
                <w:color w:val="auto"/>
                <w:sz w:val="24"/>
                <w:highlight w:val="none"/>
              </w:rPr>
            </w:pPr>
          </w:p>
        </w:tc>
        <w:tc>
          <w:tcPr>
            <w:tcW w:w="1868" w:type="dxa"/>
            <w:vAlign w:val="center"/>
          </w:tcPr>
          <w:p>
            <w:pPr>
              <w:spacing w:line="360" w:lineRule="auto"/>
              <w:rPr>
                <w:rFonts w:ascii="宋体" w:hAnsi="宋体" w:cs="宋体"/>
                <w:color w:val="auto"/>
                <w:sz w:val="24"/>
                <w:highlight w:val="none"/>
              </w:rPr>
            </w:pPr>
          </w:p>
        </w:tc>
        <w:tc>
          <w:tcPr>
            <w:tcW w:w="695" w:type="dxa"/>
            <w:vAlign w:val="center"/>
          </w:tcPr>
          <w:p>
            <w:pPr>
              <w:spacing w:line="360" w:lineRule="auto"/>
              <w:rPr>
                <w:rFonts w:ascii="宋体" w:hAnsi="宋体" w:cs="宋体"/>
                <w:color w:val="auto"/>
                <w:sz w:val="24"/>
                <w:highlight w:val="none"/>
              </w:rPr>
            </w:pPr>
          </w:p>
        </w:tc>
        <w:tc>
          <w:tcPr>
            <w:tcW w:w="1023" w:type="dxa"/>
            <w:vAlign w:val="center"/>
          </w:tcPr>
          <w:p>
            <w:pPr>
              <w:spacing w:line="360" w:lineRule="auto"/>
              <w:rPr>
                <w:rFonts w:ascii="宋体" w:hAnsi="宋体" w:cs="宋体"/>
                <w:color w:val="auto"/>
                <w:sz w:val="24"/>
                <w:highlight w:val="none"/>
              </w:rPr>
            </w:pPr>
          </w:p>
        </w:tc>
        <w:tc>
          <w:tcPr>
            <w:tcW w:w="829" w:type="dxa"/>
            <w:vAlign w:val="center"/>
          </w:tcPr>
          <w:p>
            <w:pPr>
              <w:spacing w:line="360" w:lineRule="auto"/>
              <w:rPr>
                <w:rFonts w:ascii="宋体" w:hAnsi="宋体" w:cs="宋体"/>
                <w:color w:val="auto"/>
                <w:sz w:val="24"/>
                <w:highlight w:val="none"/>
              </w:rPr>
            </w:pPr>
          </w:p>
        </w:tc>
        <w:tc>
          <w:tcPr>
            <w:tcW w:w="903" w:type="dxa"/>
            <w:vAlign w:val="center"/>
          </w:tcPr>
          <w:p>
            <w:pPr>
              <w:spacing w:line="360" w:lineRule="auto"/>
              <w:rPr>
                <w:rFonts w:ascii="宋体" w:hAnsi="宋体" w:cs="宋体"/>
                <w:color w:val="auto"/>
                <w:sz w:val="24"/>
                <w:highlight w:val="none"/>
              </w:rPr>
            </w:pPr>
          </w:p>
        </w:tc>
        <w:tc>
          <w:tcPr>
            <w:tcW w:w="900"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770" w:type="dxa"/>
            <w:vAlign w:val="center"/>
          </w:tcPr>
          <w:p>
            <w:pPr>
              <w:spacing w:line="360" w:lineRule="auto"/>
              <w:rPr>
                <w:rFonts w:ascii="宋体" w:hAnsi="宋体" w:cs="宋体"/>
                <w:color w:val="auto"/>
                <w:sz w:val="24"/>
                <w:highlight w:val="none"/>
              </w:rPr>
            </w:pPr>
          </w:p>
        </w:tc>
        <w:tc>
          <w:tcPr>
            <w:tcW w:w="1683" w:type="dxa"/>
            <w:vAlign w:val="center"/>
          </w:tcPr>
          <w:p>
            <w:pPr>
              <w:spacing w:line="360" w:lineRule="auto"/>
              <w:rPr>
                <w:rFonts w:ascii="宋体" w:hAnsi="宋体" w:cs="宋体"/>
                <w:color w:val="auto"/>
                <w:sz w:val="24"/>
                <w:highlight w:val="none"/>
              </w:rPr>
            </w:pPr>
          </w:p>
        </w:tc>
        <w:tc>
          <w:tcPr>
            <w:tcW w:w="1868" w:type="dxa"/>
            <w:vAlign w:val="center"/>
          </w:tcPr>
          <w:p>
            <w:pPr>
              <w:spacing w:line="360" w:lineRule="auto"/>
              <w:rPr>
                <w:rFonts w:ascii="宋体" w:hAnsi="宋体" w:cs="宋体"/>
                <w:color w:val="auto"/>
                <w:sz w:val="24"/>
                <w:highlight w:val="none"/>
              </w:rPr>
            </w:pPr>
          </w:p>
        </w:tc>
        <w:tc>
          <w:tcPr>
            <w:tcW w:w="695" w:type="dxa"/>
            <w:vAlign w:val="center"/>
          </w:tcPr>
          <w:p>
            <w:pPr>
              <w:spacing w:line="360" w:lineRule="auto"/>
              <w:rPr>
                <w:rFonts w:ascii="宋体" w:hAnsi="宋体" w:cs="宋体"/>
                <w:color w:val="auto"/>
                <w:sz w:val="24"/>
                <w:highlight w:val="none"/>
              </w:rPr>
            </w:pPr>
          </w:p>
        </w:tc>
        <w:tc>
          <w:tcPr>
            <w:tcW w:w="1023" w:type="dxa"/>
            <w:vAlign w:val="center"/>
          </w:tcPr>
          <w:p>
            <w:pPr>
              <w:spacing w:line="360" w:lineRule="auto"/>
              <w:rPr>
                <w:rFonts w:ascii="宋体" w:hAnsi="宋体" w:cs="宋体"/>
                <w:color w:val="auto"/>
                <w:sz w:val="24"/>
                <w:highlight w:val="none"/>
              </w:rPr>
            </w:pPr>
          </w:p>
        </w:tc>
        <w:tc>
          <w:tcPr>
            <w:tcW w:w="829" w:type="dxa"/>
            <w:vAlign w:val="center"/>
          </w:tcPr>
          <w:p>
            <w:pPr>
              <w:spacing w:line="360" w:lineRule="auto"/>
              <w:rPr>
                <w:rFonts w:ascii="宋体" w:hAnsi="宋体" w:cs="宋体"/>
                <w:color w:val="auto"/>
                <w:sz w:val="24"/>
                <w:highlight w:val="none"/>
              </w:rPr>
            </w:pPr>
          </w:p>
        </w:tc>
        <w:tc>
          <w:tcPr>
            <w:tcW w:w="903" w:type="dxa"/>
            <w:vAlign w:val="center"/>
          </w:tcPr>
          <w:p>
            <w:pPr>
              <w:spacing w:line="360" w:lineRule="auto"/>
              <w:rPr>
                <w:rFonts w:ascii="宋体" w:hAnsi="宋体" w:cs="宋体"/>
                <w:color w:val="auto"/>
                <w:sz w:val="24"/>
                <w:highlight w:val="none"/>
              </w:rPr>
            </w:pPr>
          </w:p>
        </w:tc>
        <w:tc>
          <w:tcPr>
            <w:tcW w:w="900"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770" w:type="dxa"/>
            <w:vAlign w:val="center"/>
          </w:tcPr>
          <w:p>
            <w:pPr>
              <w:spacing w:line="360" w:lineRule="auto"/>
              <w:rPr>
                <w:rFonts w:ascii="宋体" w:hAnsi="宋体" w:cs="宋体"/>
                <w:color w:val="auto"/>
                <w:sz w:val="24"/>
                <w:highlight w:val="none"/>
              </w:rPr>
            </w:pPr>
          </w:p>
        </w:tc>
        <w:tc>
          <w:tcPr>
            <w:tcW w:w="1683" w:type="dxa"/>
            <w:vAlign w:val="center"/>
          </w:tcPr>
          <w:p>
            <w:pPr>
              <w:spacing w:line="360" w:lineRule="auto"/>
              <w:rPr>
                <w:rFonts w:ascii="宋体" w:hAnsi="宋体" w:cs="宋体"/>
                <w:color w:val="auto"/>
                <w:sz w:val="24"/>
                <w:highlight w:val="none"/>
              </w:rPr>
            </w:pPr>
          </w:p>
        </w:tc>
        <w:tc>
          <w:tcPr>
            <w:tcW w:w="1868" w:type="dxa"/>
            <w:vAlign w:val="center"/>
          </w:tcPr>
          <w:p>
            <w:pPr>
              <w:spacing w:line="360" w:lineRule="auto"/>
              <w:rPr>
                <w:rFonts w:ascii="宋体" w:hAnsi="宋体" w:cs="宋体"/>
                <w:color w:val="auto"/>
                <w:sz w:val="24"/>
                <w:highlight w:val="none"/>
              </w:rPr>
            </w:pPr>
          </w:p>
        </w:tc>
        <w:tc>
          <w:tcPr>
            <w:tcW w:w="695" w:type="dxa"/>
            <w:vAlign w:val="center"/>
          </w:tcPr>
          <w:p>
            <w:pPr>
              <w:spacing w:line="360" w:lineRule="auto"/>
              <w:rPr>
                <w:rFonts w:ascii="宋体" w:hAnsi="宋体" w:cs="宋体"/>
                <w:color w:val="auto"/>
                <w:sz w:val="24"/>
                <w:highlight w:val="none"/>
              </w:rPr>
            </w:pPr>
          </w:p>
        </w:tc>
        <w:tc>
          <w:tcPr>
            <w:tcW w:w="1023" w:type="dxa"/>
            <w:vAlign w:val="center"/>
          </w:tcPr>
          <w:p>
            <w:pPr>
              <w:spacing w:line="360" w:lineRule="auto"/>
              <w:rPr>
                <w:rFonts w:ascii="宋体" w:hAnsi="宋体" w:cs="宋体"/>
                <w:color w:val="auto"/>
                <w:sz w:val="24"/>
                <w:highlight w:val="none"/>
              </w:rPr>
            </w:pPr>
          </w:p>
        </w:tc>
        <w:tc>
          <w:tcPr>
            <w:tcW w:w="829" w:type="dxa"/>
            <w:vAlign w:val="center"/>
          </w:tcPr>
          <w:p>
            <w:pPr>
              <w:spacing w:line="360" w:lineRule="auto"/>
              <w:rPr>
                <w:rFonts w:ascii="宋体" w:hAnsi="宋体" w:cs="宋体"/>
                <w:color w:val="auto"/>
                <w:sz w:val="24"/>
                <w:highlight w:val="none"/>
              </w:rPr>
            </w:pPr>
          </w:p>
        </w:tc>
        <w:tc>
          <w:tcPr>
            <w:tcW w:w="903" w:type="dxa"/>
            <w:vAlign w:val="center"/>
          </w:tcPr>
          <w:p>
            <w:pPr>
              <w:spacing w:line="360" w:lineRule="auto"/>
              <w:rPr>
                <w:rFonts w:ascii="宋体" w:hAnsi="宋体" w:cs="宋体"/>
                <w:color w:val="auto"/>
                <w:sz w:val="24"/>
                <w:highlight w:val="none"/>
              </w:rPr>
            </w:pPr>
          </w:p>
        </w:tc>
        <w:tc>
          <w:tcPr>
            <w:tcW w:w="900"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770" w:type="dxa"/>
            <w:vAlign w:val="center"/>
          </w:tcPr>
          <w:p>
            <w:pPr>
              <w:spacing w:line="360" w:lineRule="auto"/>
              <w:rPr>
                <w:rFonts w:ascii="宋体" w:hAnsi="宋体" w:cs="宋体"/>
                <w:color w:val="auto"/>
                <w:sz w:val="24"/>
                <w:highlight w:val="none"/>
              </w:rPr>
            </w:pPr>
          </w:p>
        </w:tc>
        <w:tc>
          <w:tcPr>
            <w:tcW w:w="1683" w:type="dxa"/>
            <w:vAlign w:val="center"/>
          </w:tcPr>
          <w:p>
            <w:pPr>
              <w:spacing w:line="360" w:lineRule="auto"/>
              <w:rPr>
                <w:rFonts w:ascii="宋体" w:hAnsi="宋体" w:cs="宋体"/>
                <w:color w:val="auto"/>
                <w:sz w:val="24"/>
                <w:highlight w:val="none"/>
              </w:rPr>
            </w:pPr>
          </w:p>
        </w:tc>
        <w:tc>
          <w:tcPr>
            <w:tcW w:w="1868" w:type="dxa"/>
            <w:vAlign w:val="center"/>
          </w:tcPr>
          <w:p>
            <w:pPr>
              <w:spacing w:line="360" w:lineRule="auto"/>
              <w:rPr>
                <w:rFonts w:ascii="宋体" w:hAnsi="宋体" w:cs="宋体"/>
                <w:color w:val="auto"/>
                <w:sz w:val="24"/>
                <w:highlight w:val="none"/>
              </w:rPr>
            </w:pPr>
          </w:p>
        </w:tc>
        <w:tc>
          <w:tcPr>
            <w:tcW w:w="695" w:type="dxa"/>
            <w:vAlign w:val="center"/>
          </w:tcPr>
          <w:p>
            <w:pPr>
              <w:spacing w:line="360" w:lineRule="auto"/>
              <w:rPr>
                <w:rFonts w:ascii="宋体" w:hAnsi="宋体" w:cs="宋体"/>
                <w:color w:val="auto"/>
                <w:sz w:val="24"/>
                <w:highlight w:val="none"/>
              </w:rPr>
            </w:pPr>
          </w:p>
        </w:tc>
        <w:tc>
          <w:tcPr>
            <w:tcW w:w="1023" w:type="dxa"/>
            <w:vAlign w:val="center"/>
          </w:tcPr>
          <w:p>
            <w:pPr>
              <w:spacing w:line="360" w:lineRule="auto"/>
              <w:rPr>
                <w:rFonts w:ascii="宋体" w:hAnsi="宋体" w:cs="宋体"/>
                <w:color w:val="auto"/>
                <w:sz w:val="24"/>
                <w:highlight w:val="none"/>
              </w:rPr>
            </w:pPr>
          </w:p>
        </w:tc>
        <w:tc>
          <w:tcPr>
            <w:tcW w:w="829" w:type="dxa"/>
            <w:vAlign w:val="center"/>
          </w:tcPr>
          <w:p>
            <w:pPr>
              <w:spacing w:line="360" w:lineRule="auto"/>
              <w:rPr>
                <w:rFonts w:ascii="宋体" w:hAnsi="宋体" w:cs="宋体"/>
                <w:color w:val="auto"/>
                <w:sz w:val="24"/>
                <w:highlight w:val="none"/>
              </w:rPr>
            </w:pPr>
          </w:p>
        </w:tc>
        <w:tc>
          <w:tcPr>
            <w:tcW w:w="903" w:type="dxa"/>
            <w:vAlign w:val="center"/>
          </w:tcPr>
          <w:p>
            <w:pPr>
              <w:spacing w:line="360" w:lineRule="auto"/>
              <w:rPr>
                <w:rFonts w:ascii="宋体" w:hAnsi="宋体" w:cs="宋体"/>
                <w:color w:val="auto"/>
                <w:sz w:val="24"/>
                <w:highlight w:val="none"/>
              </w:rPr>
            </w:pPr>
          </w:p>
        </w:tc>
        <w:tc>
          <w:tcPr>
            <w:tcW w:w="900"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8671" w:type="dxa"/>
            <w:gridSpan w:val="8"/>
            <w:vAlign w:val="center"/>
          </w:tcPr>
          <w:p>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合计：大写                               小写</w:t>
            </w:r>
          </w:p>
        </w:tc>
      </w:tr>
    </w:tbl>
    <w:p>
      <w:pPr>
        <w:spacing w:line="360" w:lineRule="auto"/>
        <w:rPr>
          <w:rFonts w:ascii="宋体" w:hAnsi="宋体" w:cs="宋体"/>
          <w:b/>
          <w:color w:val="auto"/>
          <w:szCs w:val="21"/>
          <w:highlight w:val="none"/>
        </w:rPr>
      </w:pPr>
      <w:r>
        <w:rPr>
          <w:rFonts w:hint="eastAsia" w:ascii="宋体" w:hAnsi="宋体" w:cs="宋体"/>
          <w:b/>
          <w:color w:val="auto"/>
          <w:szCs w:val="21"/>
          <w:highlight w:val="none"/>
        </w:rPr>
        <w:t>要求：</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1.本表为《开标一览表》按货物形式进行综合报价的明细体现，本表合计应与《开标一览表》总报价一致，如有缺项、漏项，视为投标报价中已包含相关费用，采购人无需另外支付任何费用；</w:t>
      </w:r>
    </w:p>
    <w:p>
      <w:pPr>
        <w:spacing w:line="360" w:lineRule="auto"/>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hint="eastAsia" w:ascii="宋体" w:hAnsi="宋体"/>
          <w:color w:val="auto"/>
          <w:szCs w:val="21"/>
          <w:highlight w:val="none"/>
        </w:rPr>
        <w:t>报价一经涂改，应在涂改处加盖单位公章或者由法定代表人或授权委托人签字或盖章，否则其投标作无效标处理；</w:t>
      </w:r>
    </w:p>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w:t>
      </w:r>
      <w:r>
        <w:rPr>
          <w:rFonts w:hint="eastAsia" w:ascii="宋体" w:hAnsi="宋体" w:cs="宋体"/>
          <w:color w:val="auto"/>
          <w:szCs w:val="21"/>
          <w:highlight w:val="none"/>
          <w:lang w:val="zh-CN"/>
        </w:rPr>
        <w:t>投标报价明细表所填内容参照招标文件第四章公开招标需求中的新建及改建设备清单，如有漏报的，视同已包含在投标总价内或已作优惠处理。有重大缺项的将作无效标处理。</w:t>
      </w:r>
    </w:p>
    <w:p>
      <w:pPr>
        <w:spacing w:line="360" w:lineRule="auto"/>
        <w:ind w:left="420"/>
        <w:rPr>
          <w:rFonts w:ascii="宋体" w:hAnsi="宋体" w:cs="宋体"/>
          <w:b/>
          <w:color w:val="auto"/>
          <w:kern w:val="0"/>
          <w:sz w:val="24"/>
          <w:highlight w:val="none"/>
        </w:rPr>
      </w:pPr>
    </w:p>
    <w:p>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投标人名称（公章）：</w:t>
      </w: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投标人代表签字或盖章：</w:t>
      </w: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日        期：</w:t>
      </w:r>
    </w:p>
    <w:p>
      <w:pPr>
        <w:snapToGrid w:val="0"/>
        <w:spacing w:before="156" w:beforeLines="50" w:after="50" w:line="360" w:lineRule="auto"/>
        <w:rPr>
          <w:rFonts w:ascii="宋体" w:hAnsi="宋体" w:cs="宋体"/>
          <w:b/>
          <w:color w:val="auto"/>
          <w:sz w:val="28"/>
          <w:highlight w:val="none"/>
        </w:rPr>
        <w:sectPr>
          <w:pgSz w:w="11906" w:h="16838"/>
          <w:pgMar w:top="1440" w:right="1800" w:bottom="1440" w:left="1800" w:header="851" w:footer="992" w:gutter="0"/>
          <w:cols w:space="425" w:num="1"/>
          <w:docGrid w:type="lines" w:linePitch="312" w:charSpace="0"/>
        </w:sectPr>
      </w:pPr>
    </w:p>
    <w:p>
      <w:pPr>
        <w:spacing w:line="360" w:lineRule="auto"/>
        <w:ind w:left="-2" w:hanging="2"/>
        <w:jc w:val="left"/>
        <w:rPr>
          <w:rFonts w:ascii="宋体" w:hAnsi="宋体" w:cs="宋体"/>
          <w:b/>
          <w:color w:val="auto"/>
          <w:sz w:val="28"/>
          <w:highlight w:val="none"/>
        </w:rPr>
      </w:pPr>
      <w:r>
        <w:rPr>
          <w:rFonts w:hint="eastAsia" w:ascii="宋体" w:hAnsi="宋体" w:cs="宋体"/>
          <w:b/>
          <w:color w:val="auto"/>
          <w:sz w:val="28"/>
          <w:highlight w:val="none"/>
        </w:rPr>
        <w:t>附件1</w:t>
      </w:r>
      <w:r>
        <w:rPr>
          <w:rFonts w:ascii="宋体" w:hAnsi="宋体" w:cs="宋体"/>
          <w:b/>
          <w:color w:val="auto"/>
          <w:sz w:val="28"/>
          <w:highlight w:val="none"/>
        </w:rPr>
        <w:t>6</w:t>
      </w:r>
    </w:p>
    <w:p>
      <w:pPr>
        <w:pStyle w:val="46"/>
        <w:rPr>
          <w:rFonts w:ascii="宋体" w:hAnsi="宋体" w:eastAsia="宋体" w:cs="宋体"/>
          <w:color w:val="auto"/>
          <w:highlight w:val="none"/>
        </w:rPr>
      </w:pPr>
    </w:p>
    <w:p>
      <w:pPr>
        <w:widowControl/>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中小企业声明函</w:t>
      </w:r>
    </w:p>
    <w:p>
      <w:pPr>
        <w:pStyle w:val="13"/>
        <w:rPr>
          <w:color w:val="auto"/>
          <w:highlight w:val="none"/>
        </w:rPr>
      </w:pP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本公司郑重声明，根据《政府采购促进中小企业发展管理办法》（财库﹝2020﹞46 号）的规定，本公司参加</w:t>
      </w:r>
      <w:r>
        <w:rPr>
          <w:rFonts w:hint="eastAsia" w:ascii="宋体" w:hAnsi="宋体" w:cs="宋体"/>
          <w:i/>
          <w:color w:val="auto"/>
          <w:kern w:val="0"/>
          <w:sz w:val="24"/>
          <w:highlight w:val="none"/>
          <w:u w:val="single"/>
        </w:rPr>
        <w:t>（单位名称）</w:t>
      </w:r>
      <w:r>
        <w:rPr>
          <w:rFonts w:hint="eastAsia" w:ascii="宋体" w:hAnsi="宋体" w:cs="宋体"/>
          <w:color w:val="auto"/>
          <w:kern w:val="0"/>
          <w:sz w:val="24"/>
          <w:highlight w:val="none"/>
        </w:rPr>
        <w:t>的</w:t>
      </w:r>
      <w:r>
        <w:rPr>
          <w:rFonts w:hint="eastAsia" w:ascii="宋体" w:hAnsi="宋体" w:cs="宋体"/>
          <w:i/>
          <w:color w:val="auto"/>
          <w:kern w:val="0"/>
          <w:sz w:val="24"/>
          <w:highlight w:val="none"/>
          <w:u w:val="single"/>
        </w:rPr>
        <w:t>（项目名称）</w:t>
      </w:r>
      <w:r>
        <w:rPr>
          <w:rFonts w:hint="eastAsia" w:ascii="宋体" w:hAnsi="宋体" w:cs="宋体"/>
          <w:color w:val="auto"/>
          <w:kern w:val="0"/>
          <w:sz w:val="24"/>
          <w:highlight w:val="none"/>
        </w:rPr>
        <w:t>采购活动，全部为符合政策要求的中小企业（或者：服务全部由符合政策要求的中小企业承接）。相关企业（含联合体中的中小企业、签订分包意向协议的中小企业）的具体情 况如下：</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 xml:space="preserve">1. </w:t>
      </w:r>
      <w:r>
        <w:rPr>
          <w:rFonts w:hint="eastAsia" w:ascii="宋体" w:hAnsi="宋体" w:cs="宋体"/>
          <w:i/>
          <w:color w:val="auto"/>
          <w:kern w:val="0"/>
          <w:sz w:val="24"/>
          <w:highlight w:val="none"/>
          <w:u w:val="single"/>
        </w:rPr>
        <w:t xml:space="preserve">（标的名称） </w:t>
      </w:r>
      <w:r>
        <w:rPr>
          <w:rFonts w:hint="eastAsia" w:ascii="宋体" w:hAnsi="宋体" w:cs="宋体"/>
          <w:color w:val="auto"/>
          <w:kern w:val="0"/>
          <w:sz w:val="24"/>
          <w:highlight w:val="none"/>
        </w:rPr>
        <w:t>，属于</w:t>
      </w:r>
      <w:r>
        <w:rPr>
          <w:rFonts w:hint="eastAsia" w:ascii="宋体" w:hAnsi="宋体" w:cs="宋体"/>
          <w:i/>
          <w:color w:val="auto"/>
          <w:kern w:val="0"/>
          <w:sz w:val="24"/>
          <w:highlight w:val="none"/>
          <w:u w:val="single"/>
        </w:rPr>
        <w:t>（软件和信息技术服务业）</w:t>
      </w:r>
      <w:r>
        <w:rPr>
          <w:rFonts w:hint="eastAsia" w:ascii="宋体" w:hAnsi="宋体" w:cs="宋体"/>
          <w:color w:val="auto"/>
          <w:kern w:val="0"/>
          <w:sz w:val="24"/>
          <w:highlight w:val="none"/>
        </w:rPr>
        <w:t>；承建（承接）企业为</w:t>
      </w:r>
      <w:r>
        <w:rPr>
          <w:rFonts w:hint="eastAsia" w:ascii="宋体" w:hAnsi="宋体" w:cs="宋体"/>
          <w:i/>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i/>
          <w:color w:val="auto"/>
          <w:kern w:val="0"/>
          <w:sz w:val="24"/>
          <w:highlight w:val="none"/>
          <w:u w:val="single"/>
        </w:rPr>
        <w:t>（中型企业、 小型企业、微型企业）</w:t>
      </w:r>
      <w:r>
        <w:rPr>
          <w:rFonts w:hint="eastAsia" w:ascii="宋体" w:hAnsi="宋体" w:cs="宋体"/>
          <w:color w:val="auto"/>
          <w:kern w:val="0"/>
          <w:sz w:val="24"/>
          <w:highlight w:val="none"/>
        </w:rPr>
        <w:t xml:space="preserve">； </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pPr>
        <w:pStyle w:val="13"/>
        <w:rPr>
          <w:rFonts w:ascii="宋体" w:hAnsi="宋体" w:cs="宋体"/>
          <w:color w:val="auto"/>
          <w:kern w:val="0"/>
          <w:szCs w:val="21"/>
          <w:highlight w:val="none"/>
        </w:rPr>
      </w:pPr>
      <w:r>
        <w:rPr>
          <w:rFonts w:hint="eastAsia" w:ascii="宋体" w:hAnsi="宋体" w:cs="宋体"/>
          <w:color w:val="auto"/>
          <w:kern w:val="0"/>
          <w:szCs w:val="21"/>
          <w:highlight w:val="none"/>
        </w:rPr>
        <w:t>注：从业人员、营业收入、资产总额填报上一年度数据，无上一年度数据的新成立企业可不填报。</w:t>
      </w:r>
    </w:p>
    <w:p>
      <w:pPr>
        <w:pStyle w:val="13"/>
        <w:rPr>
          <w:color w:val="auto"/>
          <w:highlight w:val="none"/>
        </w:rPr>
      </w:pPr>
    </w:p>
    <w:p>
      <w:pPr>
        <w:widowControl/>
        <w:spacing w:line="360" w:lineRule="auto"/>
        <w:jc w:val="center"/>
        <w:rPr>
          <w:rFonts w:ascii="宋体" w:hAnsi="宋体" w:cs="宋体"/>
          <w:color w:val="auto"/>
          <w:kern w:val="0"/>
          <w:sz w:val="24"/>
          <w:highlight w:val="none"/>
        </w:rPr>
      </w:pPr>
    </w:p>
    <w:p>
      <w:pPr>
        <w:widowControl/>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 xml:space="preserve">                                企业名称（盖章）： </w:t>
      </w:r>
    </w:p>
    <w:p>
      <w:pPr>
        <w:widowControl/>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 xml:space="preserve">                     日 期：</w:t>
      </w:r>
    </w:p>
    <w:p>
      <w:pPr>
        <w:widowControl/>
        <w:spacing w:line="360" w:lineRule="auto"/>
        <w:jc w:val="center"/>
        <w:rPr>
          <w:rFonts w:ascii="宋体" w:hAnsi="宋体" w:cs="宋体"/>
          <w:color w:val="auto"/>
          <w:sz w:val="24"/>
          <w:highlight w:val="none"/>
        </w:rPr>
      </w:pPr>
    </w:p>
    <w:p>
      <w:pPr>
        <w:pStyle w:val="22"/>
        <w:spacing w:line="360" w:lineRule="auto"/>
        <w:jc w:val="center"/>
        <w:outlineLvl w:val="1"/>
        <w:rPr>
          <w:rFonts w:hAnsi="宋体" w:cs="宋体"/>
          <w:b/>
          <w:color w:val="auto"/>
          <w:sz w:val="32"/>
          <w:szCs w:val="32"/>
          <w:highlight w:val="none"/>
          <w:lang w:val="en-GB"/>
        </w:rPr>
      </w:pPr>
    </w:p>
    <w:p>
      <w:pPr>
        <w:pStyle w:val="22"/>
        <w:spacing w:line="360" w:lineRule="auto"/>
        <w:jc w:val="center"/>
        <w:outlineLvl w:val="1"/>
        <w:rPr>
          <w:rFonts w:hAnsi="宋体" w:cs="宋体"/>
          <w:b/>
          <w:color w:val="auto"/>
          <w:sz w:val="32"/>
          <w:szCs w:val="32"/>
          <w:highlight w:val="none"/>
          <w:lang w:val="en-GB"/>
        </w:rPr>
      </w:pPr>
    </w:p>
    <w:p>
      <w:pPr>
        <w:widowControl/>
        <w:spacing w:line="360" w:lineRule="auto"/>
        <w:jc w:val="left"/>
        <w:rPr>
          <w:rFonts w:ascii="宋体" w:hAnsi="宋体" w:cs="宋体"/>
          <w:b/>
          <w:color w:val="auto"/>
          <w:sz w:val="32"/>
          <w:szCs w:val="32"/>
          <w:highlight w:val="none"/>
          <w:lang w:val="en-GB"/>
        </w:rPr>
        <w:sectPr>
          <w:pgSz w:w="11906" w:h="16838"/>
          <w:pgMar w:top="1440" w:right="1800" w:bottom="1440" w:left="1800" w:header="851" w:footer="992" w:gutter="0"/>
          <w:pgNumType w:fmt="numberInDash"/>
          <w:cols w:space="720" w:num="1"/>
          <w:docGrid w:type="lines" w:linePitch="312" w:charSpace="0"/>
        </w:sectPr>
      </w:pPr>
    </w:p>
    <w:p>
      <w:pPr>
        <w:pStyle w:val="22"/>
        <w:spacing w:line="360" w:lineRule="auto"/>
        <w:jc w:val="center"/>
        <w:outlineLvl w:val="1"/>
        <w:rPr>
          <w:rFonts w:hAnsi="宋体" w:cs="宋体"/>
          <w:b/>
          <w:color w:val="auto"/>
          <w:sz w:val="32"/>
          <w:szCs w:val="32"/>
          <w:highlight w:val="none"/>
          <w:lang w:val="en-GB"/>
        </w:rPr>
      </w:pPr>
      <w:r>
        <w:rPr>
          <w:rFonts w:hint="eastAsia" w:hAnsi="宋体" w:cs="宋体"/>
          <w:b/>
          <w:color w:val="auto"/>
          <w:sz w:val="32"/>
          <w:szCs w:val="32"/>
          <w:highlight w:val="none"/>
          <w:lang w:val="en-GB"/>
        </w:rPr>
        <w:t>残疾人福利性单位声明函</w:t>
      </w:r>
    </w:p>
    <w:p>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tabs>
          <w:tab w:val="left" w:pos="4860"/>
        </w:tabs>
        <w:spacing w:line="588" w:lineRule="exact"/>
        <w:ind w:right="1560" w:firstLine="504" w:firstLineChars="200"/>
        <w:jc w:val="center"/>
        <w:rPr>
          <w:rFonts w:ascii="宋体" w:hAnsi="宋体" w:cs="宋体"/>
          <w:color w:val="auto"/>
          <w:spacing w:val="6"/>
          <w:sz w:val="24"/>
          <w:highlight w:val="none"/>
        </w:rPr>
      </w:pPr>
    </w:p>
    <w:p>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单位名称（盖章）：</w:t>
      </w:r>
    </w:p>
    <w:p>
      <w:pPr>
        <w:tabs>
          <w:tab w:val="left" w:pos="4860"/>
        </w:tabs>
        <w:spacing w:line="588" w:lineRule="exact"/>
        <w:ind w:right="1560" w:firstLine="504" w:firstLineChars="200"/>
        <w:jc w:val="center"/>
        <w:rPr>
          <w:rFonts w:ascii="宋体" w:hAnsi="宋体" w:cs="宋体"/>
          <w:color w:val="auto"/>
          <w:sz w:val="24"/>
          <w:highlight w:val="none"/>
        </w:rPr>
      </w:pPr>
      <w:r>
        <w:rPr>
          <w:rFonts w:hint="eastAsia" w:ascii="宋体" w:hAnsi="宋体" w:cs="宋体"/>
          <w:color w:val="auto"/>
          <w:spacing w:val="6"/>
          <w:sz w:val="24"/>
          <w:highlight w:val="none"/>
        </w:rPr>
        <w:t xml:space="preserve">       日  期：</w:t>
      </w:r>
    </w:p>
    <w:p>
      <w:pPr>
        <w:pStyle w:val="63"/>
        <w:spacing w:line="360" w:lineRule="auto"/>
        <w:rPr>
          <w:rFonts w:ascii="宋体" w:hAnsi="宋体" w:cs="宋体"/>
          <w:b/>
          <w:color w:val="auto"/>
          <w:sz w:val="28"/>
          <w:szCs w:val="28"/>
          <w:highlight w:val="none"/>
        </w:rPr>
      </w:pPr>
    </w:p>
    <w:p>
      <w:pPr>
        <w:pStyle w:val="63"/>
        <w:spacing w:line="360" w:lineRule="auto"/>
        <w:rPr>
          <w:rFonts w:ascii="宋体" w:hAnsi="宋体" w:cs="宋体"/>
          <w:b/>
          <w:color w:val="auto"/>
          <w:sz w:val="28"/>
          <w:szCs w:val="28"/>
          <w:highlight w:val="none"/>
        </w:rPr>
      </w:pPr>
    </w:p>
    <w:p>
      <w:pPr>
        <w:spacing w:line="360" w:lineRule="auto"/>
        <w:ind w:right="-110"/>
        <w:jc w:val="center"/>
        <w:rPr>
          <w:rFonts w:ascii="宋体" w:hAnsi="宋体" w:cs="宋体"/>
          <w:color w:val="auto"/>
          <w:highlight w:val="none"/>
        </w:rPr>
      </w:pPr>
    </w:p>
    <w:p>
      <w:pPr>
        <w:pStyle w:val="17"/>
        <w:rPr>
          <w:rFonts w:ascii="宋体" w:hAnsi="宋体" w:cs="宋体"/>
          <w:color w:val="auto"/>
          <w:highlight w:val="none"/>
        </w:rPr>
      </w:pPr>
    </w:p>
    <w:p>
      <w:pPr>
        <w:pStyle w:val="17"/>
        <w:rPr>
          <w:rFonts w:ascii="宋体" w:hAnsi="宋体" w:cs="宋体"/>
          <w:color w:val="auto"/>
          <w:highlight w:val="none"/>
        </w:rPr>
      </w:pPr>
    </w:p>
    <w:p>
      <w:pPr>
        <w:pStyle w:val="17"/>
        <w:rPr>
          <w:rFonts w:ascii="宋体" w:hAnsi="宋体" w:cs="宋体"/>
          <w:color w:val="auto"/>
          <w:highlight w:val="none"/>
        </w:rPr>
      </w:pPr>
    </w:p>
    <w:p>
      <w:pPr>
        <w:pStyle w:val="17"/>
        <w:rPr>
          <w:rFonts w:ascii="宋体" w:hAnsi="宋体" w:cs="宋体"/>
          <w:color w:val="auto"/>
          <w:highlight w:val="none"/>
        </w:rPr>
      </w:pPr>
    </w:p>
    <w:p>
      <w:pPr>
        <w:pStyle w:val="17"/>
        <w:rPr>
          <w:rFonts w:ascii="宋体" w:hAnsi="宋体" w:cs="宋体"/>
          <w:color w:val="auto"/>
          <w:highlight w:val="none"/>
        </w:rPr>
      </w:pPr>
    </w:p>
    <w:p>
      <w:pPr>
        <w:pStyle w:val="17"/>
        <w:rPr>
          <w:rFonts w:ascii="宋体" w:hAnsi="宋体" w:cs="宋体"/>
          <w:color w:val="auto"/>
          <w:highlight w:val="none"/>
        </w:rPr>
      </w:pPr>
    </w:p>
    <w:p>
      <w:pPr>
        <w:pStyle w:val="17"/>
        <w:rPr>
          <w:rFonts w:ascii="宋体" w:hAnsi="宋体" w:cs="宋体"/>
          <w:color w:val="auto"/>
          <w:highlight w:val="none"/>
        </w:rPr>
      </w:pPr>
    </w:p>
    <w:p>
      <w:pPr>
        <w:pStyle w:val="17"/>
        <w:rPr>
          <w:rFonts w:ascii="宋体" w:hAnsi="宋体" w:cs="宋体"/>
          <w:color w:val="auto"/>
          <w:highlight w:val="none"/>
        </w:rPr>
      </w:pPr>
    </w:p>
    <w:p>
      <w:pPr>
        <w:pStyle w:val="17"/>
        <w:rPr>
          <w:rFonts w:ascii="宋体" w:hAnsi="宋体" w:cs="宋体"/>
          <w:color w:val="auto"/>
          <w:highlight w:val="none"/>
        </w:rPr>
      </w:pPr>
    </w:p>
    <w:p>
      <w:pPr>
        <w:pStyle w:val="17"/>
        <w:rPr>
          <w:rFonts w:ascii="宋体" w:hAnsi="宋体" w:cs="宋体"/>
          <w:color w:val="auto"/>
          <w:highlight w:val="none"/>
        </w:rPr>
      </w:pPr>
    </w:p>
    <w:p>
      <w:pPr>
        <w:pStyle w:val="17"/>
        <w:rPr>
          <w:rFonts w:ascii="宋体" w:hAnsi="宋体" w:cs="宋体"/>
          <w:color w:val="auto"/>
          <w:highlight w:val="none"/>
        </w:rPr>
      </w:pPr>
    </w:p>
    <w:p>
      <w:pPr>
        <w:pStyle w:val="17"/>
        <w:rPr>
          <w:rFonts w:ascii="宋体" w:hAnsi="宋体" w:cs="宋体"/>
          <w:color w:val="auto"/>
          <w:highlight w:val="none"/>
        </w:rPr>
      </w:pPr>
    </w:p>
    <w:p>
      <w:pPr>
        <w:pStyle w:val="17"/>
        <w:rPr>
          <w:rFonts w:ascii="宋体" w:hAnsi="宋体" w:cs="宋体"/>
          <w:color w:val="auto"/>
          <w:highlight w:val="none"/>
        </w:rPr>
      </w:pPr>
    </w:p>
    <w:p>
      <w:pPr>
        <w:pStyle w:val="17"/>
        <w:rPr>
          <w:rFonts w:ascii="宋体" w:hAnsi="宋体" w:cs="宋体"/>
          <w:color w:val="auto"/>
          <w:highlight w:val="none"/>
        </w:rPr>
      </w:pPr>
    </w:p>
    <w:p>
      <w:pPr>
        <w:pStyle w:val="17"/>
        <w:rPr>
          <w:rFonts w:ascii="宋体" w:hAnsi="宋体" w:cs="宋体"/>
          <w:color w:val="auto"/>
          <w:highlight w:val="none"/>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书宋简体">
    <w:altName w:val="宋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AVhjD8rAgAAVQQAAA4AAABkcnMvZTJvRG9jLnhtbK1UzY7TMBC+I/EO lu80bRGrqmq6KlsVIVXsSgVxdh2nieQ/2W6T8gDwBpy4cOe5+hx8dpIuWjjsgYsz9oy/8ffNTBa3 rZLkJJyvjc7pZDSmRGhuilofcvrp4+bVjBIfmC6YNFrk9Cw8vV2+fLFo7FxMTWVkIRwBiPbzxua0 CsHOs8zzSijmR8YKDWdpnGIBW3fICscaoCuZTcfjm6wxrrDOcOE9Ttedk/aI7jmApixrLtaGH5XQ oUN1QrIASr6qrafL9NqyFDzcl6UXgcicgmlIK5LA3sc1Wy7Y/OCYrWreP4E95wlPOClWayS9Qq1Z YOTo6r+gVM2d8aYMI25U1hFJioDFZPxEm13FrEhcILW3V9H9/4PlH04PjtRFTqeUaKZQ8Mv3b5cf vy4/v5JplKexfo6onUVcaN+aFk0znHscRtZt6VT8gg+BH+Ker+KKNhAeL82ms9kYLg7fsAF+9njd Oh/eCaNINHLqUL0kKjttfehCh5CYTZtNLWWqoNSkyenN6zfjdOHqAbjUyBFJdI+NVmj3bc9sb4oz iDnTdYa3fFMj+Zb58MAcWgEPxrCEeyylNEhieouSyrgv/zqP8agQvJQ0aK2cakwSJfK9RuUAGAbD DcZ+MPRR3Rn06gRDaHkyccEFOZilM+ozJmgVc8DFNEemnIbBvAtde2MCuVitUhB6zbKw1TvLI3QU z9vVMUDApGsUpVOi1wrdlirTT0Zs5z/3Kerxb7D8DVBLAwQKAAAAAACHTuJAAAAAAAAAAAAAAAAA BgAAAF9yZWxzL1BLAwQUAAAACACHTuJAihRmPNEAAACUAQAACwAAAF9yZWxzLy5yZWxzpZDBasMw DIbvg72D0X1xmsMYo04vo9Br6R7A2IpjGltGMtn69vMOg2X0tqN+oe8T//7wmRa1IkukbGDX9aAw O/IxBwPvl+PTCyipNnu7UEYDNxQ4jI8P+zMutrYjmWMR1ShZDMy1lletxc2YrHRUMLfNRJxsbSMH Xay72oB66Ptnzb8ZMG6Y6uQN8MkPoC630sx/2Ck6JqGpdo6SpmmK7h5VB7Zlju7INuEbuUazHLAa 8CwaB2pZ134EfV+/+6fe00c+47rVfoeM649Xb7ocvwBQSwMEFAAAAAgAh07iQH7m5SD3AAAA4QEA ABMAAABbQ29udGVudF9UeXBlc10ueG1slZFBTsMwEEX3SNzB8hYlTrtACCXpgrRLQKgcYGRPEotk bHlMaG+Pk7YbRJFY2jP/vye73BzGQUwY2Dqq5CovpEDSzljqKvm+32UPUnAEMjA4wkoekeWmvr0p 90ePLFKauJJ9jP5RKdY9jsC580hp0rowQkzH0CkP+gM6VOuiuFfaUUSKWZw7ZF022MLnEMX2kK5P JgEHluLptDizKgneD1ZDTKZqIvODkp0JeUouO9xbz3dJQ6pfCfPkOuCce0lPE6xB8QohPsOYNJQJ rIz7ooBT/nfJbDly5trWasybwE2KveF0sbrWjmvXOP3f8u2SunSr5YPqb1BLAQIUABQAAAAIAIdO 4kB+5uUg9wAAAOEBAAATAAAAAAAAAAEAIAAAAJQEAABbQ29udGVudF9UeXBlc10ueG1sUEsBAhQA CgAAAAAAh07iQAAAAAAAAAAAAAAAAAYAAAAAAAAAAAAQAAAAdgMAAF9yZWxzL1BLAQIUABQAAAAI AIdO4kCKFGY80QAAAJQBAAALAAAAAAAAAAEAIAAAAJoDAABfcmVscy8ucmVsc1BLAQIUAAoAAAAA AIdO4kAAAAAAAAAAAAAAAAAEAAAAAAAAAAAAEAAAAAAAAABkcnMvUEsBAhQAFAAAAAgAh07iQLNJ WO7QAAAABQEAAA8AAAAAAAAAAQAgAAAAIgAAAGRycy9kb3ducmV2LnhtbFBLAQIUABQAAAAIAIdO 4kAFYYw/KwIAAFUEAAAOAAAAAAAAAAEAIAAAAB8BAABkcnMvZTJvRG9jLnhtbFBLBQYAAAAABgAG AFkBAAC8BQAAAAA= ">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86435" cy="147955"/>
              <wp:effectExtent l="0" t="0" r="12065" b="0"/>
              <wp:wrapNone/>
              <wp:docPr id="1" name="文本框 10"/>
              <wp:cNvGraphicFramePr/>
              <a:graphic xmlns:a="http://schemas.openxmlformats.org/drawingml/2006/main">
                <a:graphicData uri="http://schemas.microsoft.com/office/word/2010/wordprocessingShape">
                  <wps:wsp>
                    <wps:cNvSpPr txBox="1"/>
                    <wps:spPr>
                      <a:xfrm>
                        <a:off x="0" y="0"/>
                        <a:ext cx="686435" cy="147955"/>
                      </a:xfrm>
                      <a:prstGeom prst="rect">
                        <a:avLst/>
                      </a:prstGeom>
                      <a:noFill/>
                      <a:ln w="6350">
                        <a:noFill/>
                      </a:ln>
                      <a:effectLst/>
                    </wps:spPr>
                    <wps:txbx>
                      <w:txbxContent>
                        <w:p>
                          <w:pPr>
                            <w:pStyle w:val="25"/>
                            <w:ind w:firstLine="360"/>
                            <w:rPr>
                              <w:highlight w:val="yellow"/>
                            </w:rPr>
                          </w:pPr>
                          <w:r>
                            <w:fldChar w:fldCharType="begin"/>
                          </w:r>
                          <w:r>
                            <w:instrText xml:space="preserve"> PAGE  \* MERGEFORMAT </w:instrText>
                          </w:r>
                          <w:r>
                            <w:fldChar w:fldCharType="separate"/>
                          </w:r>
                          <w:r>
                            <w:t>- 55 -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 o:spid="_x0000_s1026" o:spt="202" type="#_x0000_t202" style="position:absolute;left:0pt;margin-top:0pt;height:11.65pt;width:54.05pt;mso-position-horizontal:center;mso-position-horizontal-relative:margin;mso-wrap-style:none;z-index:251660288;mso-width-relative:page;mso-height-relative:page;" filled="f" stroked="f" coordsize="21600,21600" o:gfxdata="UEsDBAoAAAAAAIdO4kAAAAAAAAAAAAAAAAAEAAAAZHJzL1BLAwQUAAAACACHTuJAepHpotIAAAAE AQAADwAAAGRycy9kb3ducmV2LnhtbE2PwU7DMBBE70j9B2srcaN2GoSqEKcSVdMjEk0PHN14SQL2 OrLdNPw9Lhe4rDSa0czbcjtbwyb0YXAkIVsJYEit0wN1Ek5N/bABFqIirYwjlPCNAbbV4q5UhXZX esPpGDuWSigUSkIf41hwHtoerQorNyIl78N5q2KSvuPaq2sqt4avhXjiVg2UFno14q7H9ut4sRJ2 ddP4CYM373io88/Xl0fcz1LeLzPxDCziHP/CcMNP6FAlprO7kA7MSEiPxN9788QmA3aWsM5z4FXJ /8NXP1BLAwQUAAAACACHTuJA0rNaUzUCAABiBAAADgAAAGRycy9lMm9Eb2MueG1srVRLjhMxEN0j cQfLe9LJzCQMUTqjMFEQUsSMFBBrx+1Ot+SfbCfd4QBwA1Zs2HOunINndz5oYDELNu6yq/yq6tVz T+5aJclOOF8bndNBr0+J0NwUtd7k9NPHxatbSnxgumDSaJHTvfD0bvryxaSxY3FlKiML4QhAtB83 NqdVCHacZZ5XQjHfM1ZoOEvjFAvYuk1WONYAXcnsqt8fZY1xhXWGC+9xOu+c9IjongNoyrLmYm74 VgkdOlQnJAtoyVe19XSaqi1LwcNDWXoRiMwpOg1pRRLY67hm0wkbbxyzVc2PJbDnlPCkJ8VqjaRn qDkLjGxd/ReUqrkz3pShx43KukYSI+hi0H/CzapiVqReQLW3Z9L9/4PlH3aPjtQFlECJZgoDP3z/ dvjx6/DzKxkkfhrrxwhbWQSG9q1pYyx4i+ceh7HttnQqftEQgR/s7s/sijYQjsPR7ejmekgJh2tw 8/rNcBhRsstl63x4J4wi0cipw/ASp2y39KELPYXEXNosainTAKUmDRJcD/vpwtkDcKljrEhSOMJc Co9WaNftsZu1KfZo0plOJt7yRY1SlsyHR+agC/SFlxMesJTSIKU5WpRUxn3513mMx7jgpaSBznKq 8awoke81xhgleTLcyVifDL1V9wbCxWhQSzJxwQV5Mktn1Gc8p1nMARfTHJlyGk7mfei0jufIxWyW giA8y8JSryyP0JEeb2fbADoTy5GUjglMJ24gvTSn4zOJ2v5zn6Iuv4bpb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HqR6aLSAAAABAEAAA8AAAAAAAAAAQAgAAAAIgAAAGRycy9kb3ducmV2LnhtbFBL AQIUABQAAAAIAIdO4kDSs1pTNQIAAGIEAAAOAAAAAAAAAAEAIAAAACEBAABkcnMvZTJvRG9jLnht bFBLBQYAAAAABgAGAFkBAADIBQAAAAA= ">
              <v:fill on="f" focussize="0,0"/>
              <v:stroke on="f" weight="0.5pt"/>
              <v:imagedata o:title=""/>
              <o:lock v:ext="edit" aspectratio="f"/>
              <v:textbox inset="0mm,0mm,0mm,0mm" style="mso-fit-shape-to-text:t;">
                <w:txbxContent>
                  <w:p>
                    <w:pPr>
                      <w:pStyle w:val="25"/>
                      <w:ind w:firstLine="360"/>
                      <w:rPr>
                        <w:highlight w:val="yellow"/>
                      </w:rPr>
                    </w:pPr>
                    <w:r>
                      <w:fldChar w:fldCharType="begin"/>
                    </w:r>
                    <w:r>
                      <w:instrText xml:space="preserve"> PAGE  \* MERGEFORMAT </w:instrText>
                    </w:r>
                    <w:r>
                      <w:fldChar w:fldCharType="separate"/>
                    </w:r>
                    <w:r>
                      <w:t>- 55 -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b/>
        <w:i/>
        <w:color w:val="000000" w:themeColor="text1"/>
        <w:kern w:val="0"/>
        <w:sz w:val="18"/>
        <w:u w:val="single"/>
        <w14:textFill>
          <w14:solidFill>
            <w14:schemeClr w14:val="tx1"/>
          </w14:solidFill>
        </w14:textFill>
      </w:rPr>
      <w:t>采购招标文件</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- 6 -</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pPr>
        <w:ind w:left="-129"/>
      </w:pPr>
    </w:lvl>
  </w:abstractNum>
  <w:abstractNum w:abstractNumId="1">
    <w:nsid w:val="9BEDC6C9"/>
    <w:multiLevelType w:val="singleLevel"/>
    <w:tmpl w:val="9BEDC6C9"/>
    <w:lvl w:ilvl="0" w:tentative="0">
      <w:start w:val="1"/>
      <w:numFmt w:val="decimal"/>
      <w:suff w:val="space"/>
      <w:lvlText w:val="%1）"/>
      <w:lvlJc w:val="left"/>
    </w:lvl>
  </w:abstractNum>
  <w:abstractNum w:abstractNumId="2">
    <w:nsid w:val="9FC77B98"/>
    <w:multiLevelType w:val="singleLevel"/>
    <w:tmpl w:val="9FC77B98"/>
    <w:lvl w:ilvl="0" w:tentative="0">
      <w:start w:val="1"/>
      <w:numFmt w:val="chineseCounting"/>
      <w:suff w:val="nothing"/>
      <w:lvlText w:val="%1、"/>
      <w:lvlJc w:val="left"/>
      <w:rPr>
        <w:rFonts w:hint="eastAsia"/>
      </w:rPr>
    </w:lvl>
  </w:abstractNum>
  <w:abstractNum w:abstractNumId="3">
    <w:nsid w:val="9FE32629"/>
    <w:multiLevelType w:val="singleLevel"/>
    <w:tmpl w:val="9FE32629"/>
    <w:lvl w:ilvl="0" w:tentative="0">
      <w:start w:val="1"/>
      <w:numFmt w:val="decimal"/>
      <w:suff w:val="nothing"/>
      <w:lvlText w:val="%1、"/>
      <w:lvlJc w:val="left"/>
    </w:lvl>
  </w:abstractNum>
  <w:abstractNum w:abstractNumId="4">
    <w:nsid w:val="AE2D8F7B"/>
    <w:multiLevelType w:val="multilevel"/>
    <w:tmpl w:val="AE2D8F7B"/>
    <w:lvl w:ilvl="0" w:tentative="0">
      <w:start w:val="1"/>
      <w:numFmt w:val="decimal"/>
      <w:pStyle w:val="12"/>
      <w:lvlText w:val="%1."/>
      <w:lvlJc w:val="left"/>
      <w:pPr>
        <w:tabs>
          <w:tab w:val="left" w:pos="360"/>
        </w:tabs>
        <w:ind w:left="360" w:hanging="360"/>
      </w:pPr>
    </w:lvl>
    <w:lvl w:ilvl="1" w:tentative="0">
      <w:start w:val="8"/>
      <w:numFmt w:val="decimal"/>
      <w:isLgl/>
      <w:lvlText w:val="%1.%2"/>
      <w:lvlJc w:val="left"/>
      <w:pPr>
        <w:ind w:left="840" w:hanging="360"/>
      </w:pPr>
      <w:rPr>
        <w:rFonts w:hint="default"/>
      </w:rPr>
    </w:lvl>
    <w:lvl w:ilvl="2" w:tentative="0">
      <w:start w:val="1"/>
      <w:numFmt w:val="decimal"/>
      <w:isLgl/>
      <w:lvlText w:val="%1.%2.%3"/>
      <w:lvlJc w:val="left"/>
      <w:pPr>
        <w:ind w:left="168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3000" w:hanging="1080"/>
      </w:pPr>
      <w:rPr>
        <w:rFonts w:hint="default"/>
      </w:rPr>
    </w:lvl>
    <w:lvl w:ilvl="5" w:tentative="0">
      <w:start w:val="1"/>
      <w:numFmt w:val="decimal"/>
      <w:isLgl/>
      <w:lvlText w:val="%1.%2.%3.%4.%5.%6"/>
      <w:lvlJc w:val="left"/>
      <w:pPr>
        <w:ind w:left="3840" w:hanging="1440"/>
      </w:pPr>
      <w:rPr>
        <w:rFonts w:hint="default"/>
      </w:rPr>
    </w:lvl>
    <w:lvl w:ilvl="6" w:tentative="0">
      <w:start w:val="1"/>
      <w:numFmt w:val="decimal"/>
      <w:isLgl/>
      <w:lvlText w:val="%1.%2.%3.%4.%5.%6.%7"/>
      <w:lvlJc w:val="left"/>
      <w:pPr>
        <w:ind w:left="4680" w:hanging="1800"/>
      </w:pPr>
      <w:rPr>
        <w:rFonts w:hint="default"/>
      </w:rPr>
    </w:lvl>
    <w:lvl w:ilvl="7" w:tentative="0">
      <w:start w:val="1"/>
      <w:numFmt w:val="decimal"/>
      <w:isLgl/>
      <w:lvlText w:val="%1.%2.%3.%4.%5.%6.%7.%8"/>
      <w:lvlJc w:val="left"/>
      <w:pPr>
        <w:ind w:left="5160" w:hanging="1800"/>
      </w:pPr>
      <w:rPr>
        <w:rFonts w:hint="default"/>
      </w:rPr>
    </w:lvl>
    <w:lvl w:ilvl="8" w:tentative="0">
      <w:start w:val="1"/>
      <w:numFmt w:val="decimal"/>
      <w:isLgl/>
      <w:lvlText w:val="%1.%2.%3.%4.%5.%6.%7.%8.%9"/>
      <w:lvlJc w:val="left"/>
      <w:pPr>
        <w:ind w:left="6000" w:hanging="2160"/>
      </w:pPr>
      <w:rPr>
        <w:rFonts w:hint="default"/>
      </w:rPr>
    </w:lvl>
  </w:abstractNum>
  <w:abstractNum w:abstractNumId="5">
    <w:nsid w:val="B2D2352A"/>
    <w:multiLevelType w:val="singleLevel"/>
    <w:tmpl w:val="B2D2352A"/>
    <w:lvl w:ilvl="0" w:tentative="0">
      <w:start w:val="1"/>
      <w:numFmt w:val="decimal"/>
      <w:suff w:val="space"/>
      <w:lvlText w:val="%1）"/>
      <w:lvlJc w:val="left"/>
    </w:lvl>
  </w:abstractNum>
  <w:abstractNum w:abstractNumId="6">
    <w:nsid w:val="B49AFF90"/>
    <w:multiLevelType w:val="singleLevel"/>
    <w:tmpl w:val="B49AFF90"/>
    <w:lvl w:ilvl="0" w:tentative="0">
      <w:start w:val="1"/>
      <w:numFmt w:val="decimal"/>
      <w:suff w:val="space"/>
      <w:lvlText w:val="%1."/>
      <w:lvlJc w:val="left"/>
    </w:lvl>
  </w:abstractNum>
  <w:abstractNum w:abstractNumId="7">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8">
    <w:nsid w:val="D1AB8C1C"/>
    <w:multiLevelType w:val="singleLevel"/>
    <w:tmpl w:val="D1AB8C1C"/>
    <w:lvl w:ilvl="0" w:tentative="0">
      <w:start w:val="1"/>
      <w:numFmt w:val="decimal"/>
      <w:suff w:val="nothing"/>
      <w:lvlText w:val="%1、"/>
      <w:lvlJc w:val="left"/>
    </w:lvl>
  </w:abstractNum>
  <w:abstractNum w:abstractNumId="9">
    <w:nsid w:val="D1D395C4"/>
    <w:multiLevelType w:val="singleLevel"/>
    <w:tmpl w:val="D1D395C4"/>
    <w:lvl w:ilvl="0" w:tentative="0">
      <w:start w:val="1"/>
      <w:numFmt w:val="decimal"/>
      <w:suff w:val="space"/>
      <w:lvlText w:val="%1)"/>
      <w:lvlJc w:val="left"/>
    </w:lvl>
  </w:abstractNum>
  <w:abstractNum w:abstractNumId="10">
    <w:nsid w:val="D81F5AC6"/>
    <w:multiLevelType w:val="singleLevel"/>
    <w:tmpl w:val="D81F5AC6"/>
    <w:lvl w:ilvl="0" w:tentative="0">
      <w:start w:val="1"/>
      <w:numFmt w:val="decimal"/>
      <w:suff w:val="space"/>
      <w:lvlText w:val="%1）"/>
      <w:lvlJc w:val="left"/>
    </w:lvl>
  </w:abstractNum>
  <w:abstractNum w:abstractNumId="11">
    <w:nsid w:val="E591A8B2"/>
    <w:multiLevelType w:val="singleLevel"/>
    <w:tmpl w:val="E591A8B2"/>
    <w:lvl w:ilvl="0" w:tentative="0">
      <w:start w:val="1"/>
      <w:numFmt w:val="decimal"/>
      <w:suff w:val="space"/>
      <w:lvlText w:val="%1）"/>
      <w:lvlJc w:val="left"/>
    </w:lvl>
  </w:abstractNum>
  <w:abstractNum w:abstractNumId="12">
    <w:nsid w:val="124F6FBC"/>
    <w:multiLevelType w:val="singleLevel"/>
    <w:tmpl w:val="124F6FBC"/>
    <w:lvl w:ilvl="0" w:tentative="0">
      <w:start w:val="1"/>
      <w:numFmt w:val="decimal"/>
      <w:suff w:val="space"/>
      <w:lvlText w:val="%1）"/>
      <w:lvlJc w:val="left"/>
    </w:lvl>
  </w:abstractNum>
  <w:abstractNum w:abstractNumId="13">
    <w:nsid w:val="16C65616"/>
    <w:multiLevelType w:val="singleLevel"/>
    <w:tmpl w:val="16C65616"/>
    <w:lvl w:ilvl="0" w:tentative="0">
      <w:start w:val="6"/>
      <w:numFmt w:val="chineseCounting"/>
      <w:suff w:val="nothing"/>
      <w:lvlText w:val="（%1）"/>
      <w:lvlJc w:val="left"/>
      <w:rPr>
        <w:rFonts w:hint="eastAsia"/>
      </w:rPr>
    </w:lvl>
  </w:abstractNum>
  <w:abstractNum w:abstractNumId="14">
    <w:nsid w:val="17CE76C7"/>
    <w:multiLevelType w:val="multilevel"/>
    <w:tmpl w:val="17CE76C7"/>
    <w:lvl w:ilvl="0" w:tentative="0">
      <w:start w:val="1"/>
      <w:numFmt w:val="japaneseCounting"/>
      <w:lvlText w:val="%1、"/>
      <w:lvlJc w:val="left"/>
      <w:pPr>
        <w:ind w:left="761" w:hanging="6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D6A220C"/>
    <w:multiLevelType w:val="singleLevel"/>
    <w:tmpl w:val="3D6A220C"/>
    <w:lvl w:ilvl="0" w:tentative="0">
      <w:start w:val="9"/>
      <w:numFmt w:val="chineseCounting"/>
      <w:suff w:val="nothing"/>
      <w:lvlText w:val="%1、"/>
      <w:lvlJc w:val="left"/>
      <w:rPr>
        <w:rFonts w:hint="eastAsia"/>
      </w:rPr>
    </w:lvl>
  </w:abstractNum>
  <w:abstractNum w:abstractNumId="16">
    <w:nsid w:val="41D128D2"/>
    <w:multiLevelType w:val="singleLevel"/>
    <w:tmpl w:val="41D128D2"/>
    <w:lvl w:ilvl="0" w:tentative="0">
      <w:start w:val="1"/>
      <w:numFmt w:val="chineseCounting"/>
      <w:suff w:val="nothing"/>
      <w:lvlText w:val="（%1）"/>
      <w:lvlJc w:val="left"/>
      <w:pPr>
        <w:ind w:left="-52"/>
      </w:pPr>
      <w:rPr>
        <w:rFonts w:hint="eastAsia"/>
      </w:rPr>
    </w:lvl>
  </w:abstractNum>
  <w:abstractNum w:abstractNumId="17">
    <w:nsid w:val="4577928A"/>
    <w:multiLevelType w:val="singleLevel"/>
    <w:tmpl w:val="4577928A"/>
    <w:lvl w:ilvl="0" w:tentative="0">
      <w:start w:val="1"/>
      <w:numFmt w:val="decimal"/>
      <w:suff w:val="space"/>
      <w:lvlText w:val="%1）"/>
      <w:lvlJc w:val="left"/>
    </w:lvl>
  </w:abstractNum>
  <w:abstractNum w:abstractNumId="18">
    <w:nsid w:val="461E5E94"/>
    <w:multiLevelType w:val="singleLevel"/>
    <w:tmpl w:val="461E5E94"/>
    <w:lvl w:ilvl="0" w:tentative="0">
      <w:start w:val="2"/>
      <w:numFmt w:val="chineseCounting"/>
      <w:suff w:val="space"/>
      <w:lvlText w:val="第%1章"/>
      <w:lvlJc w:val="left"/>
      <w:rPr>
        <w:rFonts w:hint="eastAsia"/>
      </w:rPr>
    </w:lvl>
  </w:abstractNum>
  <w:abstractNum w:abstractNumId="19">
    <w:nsid w:val="471E06A1"/>
    <w:multiLevelType w:val="singleLevel"/>
    <w:tmpl w:val="471E06A1"/>
    <w:lvl w:ilvl="0" w:tentative="0">
      <w:start w:val="1"/>
      <w:numFmt w:val="japaneseCounting"/>
      <w:lvlText w:val="%1、"/>
      <w:lvlJc w:val="left"/>
      <w:pPr>
        <w:tabs>
          <w:tab w:val="left" w:pos="2159"/>
        </w:tabs>
        <w:ind w:left="2159" w:hanging="600"/>
      </w:pPr>
      <w:rPr>
        <w:rFonts w:hint="eastAsia"/>
        <w:lang w:val="en-US"/>
      </w:rPr>
    </w:lvl>
  </w:abstractNum>
  <w:abstractNum w:abstractNumId="20">
    <w:nsid w:val="4C5690DA"/>
    <w:multiLevelType w:val="singleLevel"/>
    <w:tmpl w:val="4C5690DA"/>
    <w:lvl w:ilvl="0" w:tentative="0">
      <w:start w:val="1"/>
      <w:numFmt w:val="decimal"/>
      <w:suff w:val="space"/>
      <w:lvlText w:val="%1）"/>
      <w:lvlJc w:val="left"/>
    </w:lvl>
  </w:abstractNum>
  <w:abstractNum w:abstractNumId="21">
    <w:nsid w:val="57C28796"/>
    <w:multiLevelType w:val="singleLevel"/>
    <w:tmpl w:val="57C28796"/>
    <w:lvl w:ilvl="0" w:tentative="0">
      <w:start w:val="1"/>
      <w:numFmt w:val="decimal"/>
      <w:suff w:val="space"/>
      <w:lvlText w:val="%1）"/>
      <w:lvlJc w:val="left"/>
    </w:lvl>
  </w:abstractNum>
  <w:abstractNum w:abstractNumId="22">
    <w:nsid w:val="7A41007D"/>
    <w:multiLevelType w:val="singleLevel"/>
    <w:tmpl w:val="7A41007D"/>
    <w:lvl w:ilvl="0" w:tentative="0">
      <w:start w:val="5"/>
      <w:numFmt w:val="decimal"/>
      <w:suff w:val="nothing"/>
      <w:lvlText w:val="%1、"/>
      <w:lvlJc w:val="left"/>
      <w:pPr>
        <w:ind w:left="210"/>
      </w:pPr>
    </w:lvl>
  </w:abstractNum>
  <w:abstractNum w:abstractNumId="23">
    <w:nsid w:val="7B4AFDB5"/>
    <w:multiLevelType w:val="singleLevel"/>
    <w:tmpl w:val="7B4AFDB5"/>
    <w:lvl w:ilvl="0" w:tentative="0">
      <w:start w:val="1"/>
      <w:numFmt w:val="decimal"/>
      <w:suff w:val="space"/>
      <w:lvlText w:val="%1）"/>
      <w:lvlJc w:val="left"/>
    </w:lvl>
  </w:abstractNum>
  <w:num w:numId="1">
    <w:abstractNumId w:val="4"/>
  </w:num>
  <w:num w:numId="2">
    <w:abstractNumId w:val="19"/>
  </w:num>
  <w:num w:numId="3">
    <w:abstractNumId w:val="2"/>
  </w:num>
  <w:num w:numId="4">
    <w:abstractNumId w:val="15"/>
  </w:num>
  <w:num w:numId="5">
    <w:abstractNumId w:val="18"/>
  </w:num>
  <w:num w:numId="6">
    <w:abstractNumId w:val="7"/>
  </w:num>
  <w:num w:numId="7">
    <w:abstractNumId w:val="16"/>
  </w:num>
  <w:num w:numId="8">
    <w:abstractNumId w:val="14"/>
  </w:num>
  <w:num w:numId="9">
    <w:abstractNumId w:val="3"/>
  </w:num>
  <w:num w:numId="10">
    <w:abstractNumId w:val="13"/>
  </w:num>
  <w:num w:numId="11">
    <w:abstractNumId w:val="22"/>
  </w:num>
  <w:num w:numId="12">
    <w:abstractNumId w:val="11"/>
  </w:num>
  <w:num w:numId="13">
    <w:abstractNumId w:val="9"/>
  </w:num>
  <w:num w:numId="14">
    <w:abstractNumId w:val="10"/>
  </w:num>
  <w:num w:numId="15">
    <w:abstractNumId w:val="12"/>
  </w:num>
  <w:num w:numId="16">
    <w:abstractNumId w:val="21"/>
  </w:num>
  <w:num w:numId="17">
    <w:abstractNumId w:val="23"/>
  </w:num>
  <w:num w:numId="18">
    <w:abstractNumId w:val="17"/>
  </w:num>
  <w:num w:numId="19">
    <w:abstractNumId w:val="1"/>
  </w:num>
  <w:num w:numId="20">
    <w:abstractNumId w:val="20"/>
  </w:num>
  <w:num w:numId="21">
    <w:abstractNumId w:val="5"/>
  </w:num>
  <w:num w:numId="22">
    <w:abstractNumId w:val="0"/>
  </w:num>
  <w:num w:numId="23">
    <w:abstractNumId w:val="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jNDc4ZmI3MTY1NTFkYjFiMTY5ODUzMmIxZjViZjMifQ=="/>
  </w:docVars>
  <w:rsids>
    <w:rsidRoot w:val="0E970358"/>
    <w:rsid w:val="00000A1F"/>
    <w:rsid w:val="000012EE"/>
    <w:rsid w:val="00002B91"/>
    <w:rsid w:val="00004407"/>
    <w:rsid w:val="00005999"/>
    <w:rsid w:val="000179A6"/>
    <w:rsid w:val="00023EC8"/>
    <w:rsid w:val="00025500"/>
    <w:rsid w:val="000324EE"/>
    <w:rsid w:val="00034A5D"/>
    <w:rsid w:val="00036EB7"/>
    <w:rsid w:val="00037D40"/>
    <w:rsid w:val="00040F7E"/>
    <w:rsid w:val="000411B5"/>
    <w:rsid w:val="0004278A"/>
    <w:rsid w:val="00042F56"/>
    <w:rsid w:val="0004485D"/>
    <w:rsid w:val="000462DE"/>
    <w:rsid w:val="00054DFA"/>
    <w:rsid w:val="00055A66"/>
    <w:rsid w:val="0006294D"/>
    <w:rsid w:val="00062AB3"/>
    <w:rsid w:val="00063A0C"/>
    <w:rsid w:val="00067D20"/>
    <w:rsid w:val="00081D5D"/>
    <w:rsid w:val="00085264"/>
    <w:rsid w:val="000860EE"/>
    <w:rsid w:val="00093A6A"/>
    <w:rsid w:val="00094EC0"/>
    <w:rsid w:val="00097196"/>
    <w:rsid w:val="000975EF"/>
    <w:rsid w:val="000A267A"/>
    <w:rsid w:val="000A2F82"/>
    <w:rsid w:val="000A7ED0"/>
    <w:rsid w:val="000B09B9"/>
    <w:rsid w:val="000B492F"/>
    <w:rsid w:val="000C1187"/>
    <w:rsid w:val="000C7B93"/>
    <w:rsid w:val="000D2FA7"/>
    <w:rsid w:val="000D742E"/>
    <w:rsid w:val="000E57DA"/>
    <w:rsid w:val="000E6703"/>
    <w:rsid w:val="000F112C"/>
    <w:rsid w:val="000F64DB"/>
    <w:rsid w:val="0010241D"/>
    <w:rsid w:val="00103FCB"/>
    <w:rsid w:val="00107BF6"/>
    <w:rsid w:val="001101D9"/>
    <w:rsid w:val="00117E9B"/>
    <w:rsid w:val="001271B9"/>
    <w:rsid w:val="00131F54"/>
    <w:rsid w:val="00137471"/>
    <w:rsid w:val="00142789"/>
    <w:rsid w:val="00147E99"/>
    <w:rsid w:val="00156972"/>
    <w:rsid w:val="00157617"/>
    <w:rsid w:val="00165F2A"/>
    <w:rsid w:val="00167FE8"/>
    <w:rsid w:val="00180F2C"/>
    <w:rsid w:val="00182316"/>
    <w:rsid w:val="00183948"/>
    <w:rsid w:val="001845AB"/>
    <w:rsid w:val="00184FFD"/>
    <w:rsid w:val="0018565F"/>
    <w:rsid w:val="00197A9B"/>
    <w:rsid w:val="001A4CFB"/>
    <w:rsid w:val="001A5F7E"/>
    <w:rsid w:val="001A7C2A"/>
    <w:rsid w:val="001B13E5"/>
    <w:rsid w:val="001B4896"/>
    <w:rsid w:val="001D2294"/>
    <w:rsid w:val="001E21D9"/>
    <w:rsid w:val="001F1A45"/>
    <w:rsid w:val="001F591C"/>
    <w:rsid w:val="001F7B03"/>
    <w:rsid w:val="00201D62"/>
    <w:rsid w:val="002036AD"/>
    <w:rsid w:val="002107B6"/>
    <w:rsid w:val="0021318F"/>
    <w:rsid w:val="00213A85"/>
    <w:rsid w:val="00216708"/>
    <w:rsid w:val="00216E85"/>
    <w:rsid w:val="002208A0"/>
    <w:rsid w:val="00221F01"/>
    <w:rsid w:val="002342F4"/>
    <w:rsid w:val="00243095"/>
    <w:rsid w:val="0024785A"/>
    <w:rsid w:val="00252867"/>
    <w:rsid w:val="002542FC"/>
    <w:rsid w:val="00254ED6"/>
    <w:rsid w:val="002622FF"/>
    <w:rsid w:val="00266FC9"/>
    <w:rsid w:val="0026707C"/>
    <w:rsid w:val="00267D72"/>
    <w:rsid w:val="0027022A"/>
    <w:rsid w:val="00272065"/>
    <w:rsid w:val="0027310E"/>
    <w:rsid w:val="00273FC5"/>
    <w:rsid w:val="00273FDD"/>
    <w:rsid w:val="00277160"/>
    <w:rsid w:val="002778CC"/>
    <w:rsid w:val="00287053"/>
    <w:rsid w:val="0029463B"/>
    <w:rsid w:val="00297EEF"/>
    <w:rsid w:val="002A1620"/>
    <w:rsid w:val="002B1184"/>
    <w:rsid w:val="002B1EB9"/>
    <w:rsid w:val="002C60A1"/>
    <w:rsid w:val="002D01AA"/>
    <w:rsid w:val="002D31FE"/>
    <w:rsid w:val="002F109C"/>
    <w:rsid w:val="002F4191"/>
    <w:rsid w:val="002F556B"/>
    <w:rsid w:val="00306BFC"/>
    <w:rsid w:val="003102FB"/>
    <w:rsid w:val="00310CE1"/>
    <w:rsid w:val="0031338C"/>
    <w:rsid w:val="0031563F"/>
    <w:rsid w:val="003166FE"/>
    <w:rsid w:val="00324A16"/>
    <w:rsid w:val="0033170B"/>
    <w:rsid w:val="00331F05"/>
    <w:rsid w:val="00332E30"/>
    <w:rsid w:val="003337C2"/>
    <w:rsid w:val="003451F4"/>
    <w:rsid w:val="0035062F"/>
    <w:rsid w:val="0035596F"/>
    <w:rsid w:val="00356DC0"/>
    <w:rsid w:val="003575C0"/>
    <w:rsid w:val="00363E40"/>
    <w:rsid w:val="00377A88"/>
    <w:rsid w:val="00384E5C"/>
    <w:rsid w:val="003944D3"/>
    <w:rsid w:val="0039612E"/>
    <w:rsid w:val="003A2D6C"/>
    <w:rsid w:val="003A66B4"/>
    <w:rsid w:val="003A7196"/>
    <w:rsid w:val="003B53DF"/>
    <w:rsid w:val="003C5E00"/>
    <w:rsid w:val="003D5072"/>
    <w:rsid w:val="003D539D"/>
    <w:rsid w:val="003D6B0B"/>
    <w:rsid w:val="003F11E6"/>
    <w:rsid w:val="003F595C"/>
    <w:rsid w:val="003F723C"/>
    <w:rsid w:val="003F78E0"/>
    <w:rsid w:val="00402F87"/>
    <w:rsid w:val="004040C2"/>
    <w:rsid w:val="0040449F"/>
    <w:rsid w:val="00406045"/>
    <w:rsid w:val="0041251C"/>
    <w:rsid w:val="004153B8"/>
    <w:rsid w:val="00420378"/>
    <w:rsid w:val="00423623"/>
    <w:rsid w:val="004254CB"/>
    <w:rsid w:val="00432077"/>
    <w:rsid w:val="00441FAE"/>
    <w:rsid w:val="00442C98"/>
    <w:rsid w:val="004435F8"/>
    <w:rsid w:val="00446CEF"/>
    <w:rsid w:val="004503D1"/>
    <w:rsid w:val="004531A2"/>
    <w:rsid w:val="004607C0"/>
    <w:rsid w:val="00460C1E"/>
    <w:rsid w:val="004610FC"/>
    <w:rsid w:val="004618FD"/>
    <w:rsid w:val="00464864"/>
    <w:rsid w:val="0046588B"/>
    <w:rsid w:val="00474D5F"/>
    <w:rsid w:val="00484FEC"/>
    <w:rsid w:val="00491459"/>
    <w:rsid w:val="00491BDF"/>
    <w:rsid w:val="00495885"/>
    <w:rsid w:val="004A1AC9"/>
    <w:rsid w:val="004A2700"/>
    <w:rsid w:val="004A4AAB"/>
    <w:rsid w:val="004B1663"/>
    <w:rsid w:val="004B38BE"/>
    <w:rsid w:val="004B4165"/>
    <w:rsid w:val="004B58C6"/>
    <w:rsid w:val="004C13DF"/>
    <w:rsid w:val="004C3A97"/>
    <w:rsid w:val="004D27DB"/>
    <w:rsid w:val="004E1E28"/>
    <w:rsid w:val="004E300F"/>
    <w:rsid w:val="004E32A5"/>
    <w:rsid w:val="004F252C"/>
    <w:rsid w:val="004F4484"/>
    <w:rsid w:val="004F55B1"/>
    <w:rsid w:val="005019EF"/>
    <w:rsid w:val="00503ED5"/>
    <w:rsid w:val="0050703E"/>
    <w:rsid w:val="0051189A"/>
    <w:rsid w:val="00517957"/>
    <w:rsid w:val="00520E9A"/>
    <w:rsid w:val="005259DF"/>
    <w:rsid w:val="0052783C"/>
    <w:rsid w:val="005307B2"/>
    <w:rsid w:val="00541B64"/>
    <w:rsid w:val="00547DA9"/>
    <w:rsid w:val="00553EB4"/>
    <w:rsid w:val="00554AE6"/>
    <w:rsid w:val="00554B41"/>
    <w:rsid w:val="005576EA"/>
    <w:rsid w:val="00565754"/>
    <w:rsid w:val="005711C3"/>
    <w:rsid w:val="0057558F"/>
    <w:rsid w:val="0059262A"/>
    <w:rsid w:val="00593E09"/>
    <w:rsid w:val="00596269"/>
    <w:rsid w:val="005D053F"/>
    <w:rsid w:val="005D091B"/>
    <w:rsid w:val="005D3C85"/>
    <w:rsid w:val="005D5FEE"/>
    <w:rsid w:val="005E11F2"/>
    <w:rsid w:val="005E2B1F"/>
    <w:rsid w:val="005E6389"/>
    <w:rsid w:val="005E7B7C"/>
    <w:rsid w:val="005F3941"/>
    <w:rsid w:val="00602664"/>
    <w:rsid w:val="00607F05"/>
    <w:rsid w:val="00616E31"/>
    <w:rsid w:val="0062552F"/>
    <w:rsid w:val="00632ADB"/>
    <w:rsid w:val="00633EB3"/>
    <w:rsid w:val="00635533"/>
    <w:rsid w:val="0064292E"/>
    <w:rsid w:val="00643B65"/>
    <w:rsid w:val="0064589F"/>
    <w:rsid w:val="00655E3C"/>
    <w:rsid w:val="0065692F"/>
    <w:rsid w:val="00664258"/>
    <w:rsid w:val="00666037"/>
    <w:rsid w:val="0066667C"/>
    <w:rsid w:val="00666A22"/>
    <w:rsid w:val="00674C42"/>
    <w:rsid w:val="00677C02"/>
    <w:rsid w:val="006846AD"/>
    <w:rsid w:val="00692EE3"/>
    <w:rsid w:val="00693638"/>
    <w:rsid w:val="006B631C"/>
    <w:rsid w:val="006C44D8"/>
    <w:rsid w:val="006C4FA8"/>
    <w:rsid w:val="006D1134"/>
    <w:rsid w:val="006D77EB"/>
    <w:rsid w:val="006E04A5"/>
    <w:rsid w:val="006E1082"/>
    <w:rsid w:val="006E3914"/>
    <w:rsid w:val="006F47B5"/>
    <w:rsid w:val="006F4DFE"/>
    <w:rsid w:val="006F6A03"/>
    <w:rsid w:val="007029EF"/>
    <w:rsid w:val="0071353E"/>
    <w:rsid w:val="00716B82"/>
    <w:rsid w:val="007171B8"/>
    <w:rsid w:val="0072140C"/>
    <w:rsid w:val="007319D9"/>
    <w:rsid w:val="00742512"/>
    <w:rsid w:val="00742530"/>
    <w:rsid w:val="00744975"/>
    <w:rsid w:val="0074545E"/>
    <w:rsid w:val="00745D9F"/>
    <w:rsid w:val="00750E30"/>
    <w:rsid w:val="007568CC"/>
    <w:rsid w:val="00761020"/>
    <w:rsid w:val="007627E4"/>
    <w:rsid w:val="00770B96"/>
    <w:rsid w:val="0078297B"/>
    <w:rsid w:val="007954B3"/>
    <w:rsid w:val="007A1062"/>
    <w:rsid w:val="007A2629"/>
    <w:rsid w:val="007B2E48"/>
    <w:rsid w:val="007B59B8"/>
    <w:rsid w:val="007C0D59"/>
    <w:rsid w:val="007C1005"/>
    <w:rsid w:val="007C3036"/>
    <w:rsid w:val="007C53C4"/>
    <w:rsid w:val="007D0DA6"/>
    <w:rsid w:val="007D2D1B"/>
    <w:rsid w:val="007D461F"/>
    <w:rsid w:val="007E6164"/>
    <w:rsid w:val="007E64EA"/>
    <w:rsid w:val="007F25B7"/>
    <w:rsid w:val="007F4C4D"/>
    <w:rsid w:val="00802325"/>
    <w:rsid w:val="00804D84"/>
    <w:rsid w:val="008124FD"/>
    <w:rsid w:val="0081782E"/>
    <w:rsid w:val="00820E0C"/>
    <w:rsid w:val="00823D14"/>
    <w:rsid w:val="00831F74"/>
    <w:rsid w:val="00836212"/>
    <w:rsid w:val="008379C8"/>
    <w:rsid w:val="00843D2E"/>
    <w:rsid w:val="00844148"/>
    <w:rsid w:val="00847BE5"/>
    <w:rsid w:val="00866189"/>
    <w:rsid w:val="00866534"/>
    <w:rsid w:val="00867908"/>
    <w:rsid w:val="008709B5"/>
    <w:rsid w:val="0088066B"/>
    <w:rsid w:val="00881989"/>
    <w:rsid w:val="008830FE"/>
    <w:rsid w:val="008928B3"/>
    <w:rsid w:val="00893240"/>
    <w:rsid w:val="008962E7"/>
    <w:rsid w:val="008966EE"/>
    <w:rsid w:val="008A1344"/>
    <w:rsid w:val="008A5CD2"/>
    <w:rsid w:val="008A6B8A"/>
    <w:rsid w:val="008C12A7"/>
    <w:rsid w:val="008C2A5D"/>
    <w:rsid w:val="008D0189"/>
    <w:rsid w:val="008D2BF2"/>
    <w:rsid w:val="008E040E"/>
    <w:rsid w:val="008E3FD4"/>
    <w:rsid w:val="008E7A9E"/>
    <w:rsid w:val="008F28E6"/>
    <w:rsid w:val="008F3149"/>
    <w:rsid w:val="008F515D"/>
    <w:rsid w:val="00901C1A"/>
    <w:rsid w:val="00912983"/>
    <w:rsid w:val="00912B5A"/>
    <w:rsid w:val="00913B03"/>
    <w:rsid w:val="00921146"/>
    <w:rsid w:val="00923F81"/>
    <w:rsid w:val="00925B52"/>
    <w:rsid w:val="00925D02"/>
    <w:rsid w:val="009321C2"/>
    <w:rsid w:val="009435E4"/>
    <w:rsid w:val="00943F6C"/>
    <w:rsid w:val="00945123"/>
    <w:rsid w:val="009700BA"/>
    <w:rsid w:val="00970BCC"/>
    <w:rsid w:val="009758DF"/>
    <w:rsid w:val="00981951"/>
    <w:rsid w:val="00984085"/>
    <w:rsid w:val="00986042"/>
    <w:rsid w:val="00986698"/>
    <w:rsid w:val="00994986"/>
    <w:rsid w:val="009A0C81"/>
    <w:rsid w:val="009A0DB9"/>
    <w:rsid w:val="009A3B89"/>
    <w:rsid w:val="009A50EE"/>
    <w:rsid w:val="009A7C4B"/>
    <w:rsid w:val="009B3E22"/>
    <w:rsid w:val="009B65CE"/>
    <w:rsid w:val="009B79BC"/>
    <w:rsid w:val="009C0219"/>
    <w:rsid w:val="009C571B"/>
    <w:rsid w:val="009C65B2"/>
    <w:rsid w:val="009D7AF6"/>
    <w:rsid w:val="009E33AD"/>
    <w:rsid w:val="009E7BE7"/>
    <w:rsid w:val="009F1F54"/>
    <w:rsid w:val="009F314A"/>
    <w:rsid w:val="009F3459"/>
    <w:rsid w:val="009F503B"/>
    <w:rsid w:val="00A01FC4"/>
    <w:rsid w:val="00A046FE"/>
    <w:rsid w:val="00A1276F"/>
    <w:rsid w:val="00A15388"/>
    <w:rsid w:val="00A17C2A"/>
    <w:rsid w:val="00A2069B"/>
    <w:rsid w:val="00A30B75"/>
    <w:rsid w:val="00A43AD1"/>
    <w:rsid w:val="00A45775"/>
    <w:rsid w:val="00A5273F"/>
    <w:rsid w:val="00A5296A"/>
    <w:rsid w:val="00A63742"/>
    <w:rsid w:val="00A643F5"/>
    <w:rsid w:val="00A722C5"/>
    <w:rsid w:val="00A730CA"/>
    <w:rsid w:val="00A73235"/>
    <w:rsid w:val="00A81F26"/>
    <w:rsid w:val="00A8332F"/>
    <w:rsid w:val="00A8759D"/>
    <w:rsid w:val="00A934F6"/>
    <w:rsid w:val="00A942FA"/>
    <w:rsid w:val="00A94FED"/>
    <w:rsid w:val="00AA77BB"/>
    <w:rsid w:val="00AB5BD7"/>
    <w:rsid w:val="00AC4DC2"/>
    <w:rsid w:val="00AC602B"/>
    <w:rsid w:val="00AD0601"/>
    <w:rsid w:val="00AD670C"/>
    <w:rsid w:val="00AD797E"/>
    <w:rsid w:val="00AE26B1"/>
    <w:rsid w:val="00AE4F22"/>
    <w:rsid w:val="00AF634F"/>
    <w:rsid w:val="00B1425E"/>
    <w:rsid w:val="00B15902"/>
    <w:rsid w:val="00B20006"/>
    <w:rsid w:val="00B27BF4"/>
    <w:rsid w:val="00B31221"/>
    <w:rsid w:val="00B323E3"/>
    <w:rsid w:val="00B33646"/>
    <w:rsid w:val="00B45AA3"/>
    <w:rsid w:val="00B466AF"/>
    <w:rsid w:val="00B4751C"/>
    <w:rsid w:val="00B569F5"/>
    <w:rsid w:val="00B56ECF"/>
    <w:rsid w:val="00B61496"/>
    <w:rsid w:val="00B63877"/>
    <w:rsid w:val="00B70711"/>
    <w:rsid w:val="00B71328"/>
    <w:rsid w:val="00B85476"/>
    <w:rsid w:val="00B86BD6"/>
    <w:rsid w:val="00B87585"/>
    <w:rsid w:val="00BA53C8"/>
    <w:rsid w:val="00BA63AC"/>
    <w:rsid w:val="00BB245E"/>
    <w:rsid w:val="00BC4F46"/>
    <w:rsid w:val="00BD5108"/>
    <w:rsid w:val="00BD6AD7"/>
    <w:rsid w:val="00BF3315"/>
    <w:rsid w:val="00BF6342"/>
    <w:rsid w:val="00C117CC"/>
    <w:rsid w:val="00C305C0"/>
    <w:rsid w:val="00C33BF9"/>
    <w:rsid w:val="00C33D4A"/>
    <w:rsid w:val="00C36079"/>
    <w:rsid w:val="00C422FA"/>
    <w:rsid w:val="00C43769"/>
    <w:rsid w:val="00C50152"/>
    <w:rsid w:val="00C52E14"/>
    <w:rsid w:val="00C623C9"/>
    <w:rsid w:val="00C65728"/>
    <w:rsid w:val="00C65B85"/>
    <w:rsid w:val="00C65FFC"/>
    <w:rsid w:val="00C7249A"/>
    <w:rsid w:val="00C738ED"/>
    <w:rsid w:val="00C767D4"/>
    <w:rsid w:val="00C80A63"/>
    <w:rsid w:val="00C8359C"/>
    <w:rsid w:val="00C94719"/>
    <w:rsid w:val="00CA5FD7"/>
    <w:rsid w:val="00CA6401"/>
    <w:rsid w:val="00CA6EE9"/>
    <w:rsid w:val="00CB2C5C"/>
    <w:rsid w:val="00CB38A0"/>
    <w:rsid w:val="00CB717E"/>
    <w:rsid w:val="00CB78AC"/>
    <w:rsid w:val="00CC009A"/>
    <w:rsid w:val="00CC232E"/>
    <w:rsid w:val="00CC69F5"/>
    <w:rsid w:val="00CD1194"/>
    <w:rsid w:val="00CD1804"/>
    <w:rsid w:val="00CE1F1D"/>
    <w:rsid w:val="00CF3E88"/>
    <w:rsid w:val="00CF57AD"/>
    <w:rsid w:val="00CF5F65"/>
    <w:rsid w:val="00CF649F"/>
    <w:rsid w:val="00D00953"/>
    <w:rsid w:val="00D05408"/>
    <w:rsid w:val="00D05438"/>
    <w:rsid w:val="00D133C3"/>
    <w:rsid w:val="00D15657"/>
    <w:rsid w:val="00D15E7E"/>
    <w:rsid w:val="00D17C0D"/>
    <w:rsid w:val="00D23A78"/>
    <w:rsid w:val="00D443F7"/>
    <w:rsid w:val="00D4621C"/>
    <w:rsid w:val="00D55B6B"/>
    <w:rsid w:val="00D56DBA"/>
    <w:rsid w:val="00D60A62"/>
    <w:rsid w:val="00D73F2C"/>
    <w:rsid w:val="00D81DEA"/>
    <w:rsid w:val="00D82E2D"/>
    <w:rsid w:val="00D86328"/>
    <w:rsid w:val="00D86CE8"/>
    <w:rsid w:val="00D91FF6"/>
    <w:rsid w:val="00D93227"/>
    <w:rsid w:val="00D96DCD"/>
    <w:rsid w:val="00DB1742"/>
    <w:rsid w:val="00DB43BB"/>
    <w:rsid w:val="00DB5CF0"/>
    <w:rsid w:val="00DC3C4B"/>
    <w:rsid w:val="00DD33E3"/>
    <w:rsid w:val="00DD4EA1"/>
    <w:rsid w:val="00DD51EB"/>
    <w:rsid w:val="00DE4DA0"/>
    <w:rsid w:val="00DE651D"/>
    <w:rsid w:val="00DF0AC9"/>
    <w:rsid w:val="00DF75A0"/>
    <w:rsid w:val="00DF7827"/>
    <w:rsid w:val="00E017E1"/>
    <w:rsid w:val="00E027A8"/>
    <w:rsid w:val="00E10555"/>
    <w:rsid w:val="00E11093"/>
    <w:rsid w:val="00E1554C"/>
    <w:rsid w:val="00E319E7"/>
    <w:rsid w:val="00E356FD"/>
    <w:rsid w:val="00E40A83"/>
    <w:rsid w:val="00E412DC"/>
    <w:rsid w:val="00E46879"/>
    <w:rsid w:val="00E55978"/>
    <w:rsid w:val="00E64767"/>
    <w:rsid w:val="00E72C84"/>
    <w:rsid w:val="00E7769D"/>
    <w:rsid w:val="00E77804"/>
    <w:rsid w:val="00E806F5"/>
    <w:rsid w:val="00E81909"/>
    <w:rsid w:val="00E86D5C"/>
    <w:rsid w:val="00E87573"/>
    <w:rsid w:val="00E936F8"/>
    <w:rsid w:val="00E96871"/>
    <w:rsid w:val="00E96D7B"/>
    <w:rsid w:val="00EA76F8"/>
    <w:rsid w:val="00EB4631"/>
    <w:rsid w:val="00EB6475"/>
    <w:rsid w:val="00EC39B0"/>
    <w:rsid w:val="00ED0E77"/>
    <w:rsid w:val="00ED362A"/>
    <w:rsid w:val="00EF2797"/>
    <w:rsid w:val="00EF50B7"/>
    <w:rsid w:val="00EF51AE"/>
    <w:rsid w:val="00F0010A"/>
    <w:rsid w:val="00F019AD"/>
    <w:rsid w:val="00F02AC2"/>
    <w:rsid w:val="00F069F5"/>
    <w:rsid w:val="00F10BC1"/>
    <w:rsid w:val="00F127FF"/>
    <w:rsid w:val="00F24C9C"/>
    <w:rsid w:val="00F3099D"/>
    <w:rsid w:val="00F44969"/>
    <w:rsid w:val="00F57489"/>
    <w:rsid w:val="00F7133B"/>
    <w:rsid w:val="00F71D82"/>
    <w:rsid w:val="00F955AA"/>
    <w:rsid w:val="00FB283E"/>
    <w:rsid w:val="00FB35A2"/>
    <w:rsid w:val="00FB4E1F"/>
    <w:rsid w:val="00FC3306"/>
    <w:rsid w:val="00FC4319"/>
    <w:rsid w:val="00FD0715"/>
    <w:rsid w:val="00FD384F"/>
    <w:rsid w:val="00FE2036"/>
    <w:rsid w:val="00FE3FA4"/>
    <w:rsid w:val="00FF2B8B"/>
    <w:rsid w:val="00FF58C4"/>
    <w:rsid w:val="00FF6416"/>
    <w:rsid w:val="017F54C9"/>
    <w:rsid w:val="01935887"/>
    <w:rsid w:val="01C8787F"/>
    <w:rsid w:val="01ED6097"/>
    <w:rsid w:val="020866C9"/>
    <w:rsid w:val="026D2CF5"/>
    <w:rsid w:val="031E289B"/>
    <w:rsid w:val="039577AC"/>
    <w:rsid w:val="04CC341D"/>
    <w:rsid w:val="05137CD7"/>
    <w:rsid w:val="053E1375"/>
    <w:rsid w:val="060B26E0"/>
    <w:rsid w:val="07784620"/>
    <w:rsid w:val="08D44BB4"/>
    <w:rsid w:val="08ED4683"/>
    <w:rsid w:val="0A9B318E"/>
    <w:rsid w:val="0C1E2BA0"/>
    <w:rsid w:val="0C765CB2"/>
    <w:rsid w:val="0C9135A2"/>
    <w:rsid w:val="0D8363F3"/>
    <w:rsid w:val="0E492EB6"/>
    <w:rsid w:val="0E970358"/>
    <w:rsid w:val="0EEC722A"/>
    <w:rsid w:val="0F895C37"/>
    <w:rsid w:val="10392EAE"/>
    <w:rsid w:val="10706EC2"/>
    <w:rsid w:val="10BF4BAA"/>
    <w:rsid w:val="1104163A"/>
    <w:rsid w:val="115617D0"/>
    <w:rsid w:val="11B60EE2"/>
    <w:rsid w:val="126E79AB"/>
    <w:rsid w:val="12807280"/>
    <w:rsid w:val="136D3EEE"/>
    <w:rsid w:val="148463E6"/>
    <w:rsid w:val="14D20D9B"/>
    <w:rsid w:val="153907F5"/>
    <w:rsid w:val="15A72BED"/>
    <w:rsid w:val="15E74C42"/>
    <w:rsid w:val="1621170E"/>
    <w:rsid w:val="162C5ACE"/>
    <w:rsid w:val="170A0CBB"/>
    <w:rsid w:val="181E495F"/>
    <w:rsid w:val="185A2EBA"/>
    <w:rsid w:val="187A3323"/>
    <w:rsid w:val="18B91D2B"/>
    <w:rsid w:val="18C40414"/>
    <w:rsid w:val="1A6A6D44"/>
    <w:rsid w:val="1A817123"/>
    <w:rsid w:val="1C046337"/>
    <w:rsid w:val="1C093ECB"/>
    <w:rsid w:val="1C191887"/>
    <w:rsid w:val="1C1C383E"/>
    <w:rsid w:val="1CE4433A"/>
    <w:rsid w:val="1DAB1B09"/>
    <w:rsid w:val="1EE84AA8"/>
    <w:rsid w:val="1FAF7B7A"/>
    <w:rsid w:val="204F69BE"/>
    <w:rsid w:val="20626A40"/>
    <w:rsid w:val="20F623E3"/>
    <w:rsid w:val="211B7C1C"/>
    <w:rsid w:val="21AD2085"/>
    <w:rsid w:val="21B34C13"/>
    <w:rsid w:val="228447E5"/>
    <w:rsid w:val="22E31918"/>
    <w:rsid w:val="230372B7"/>
    <w:rsid w:val="23424F53"/>
    <w:rsid w:val="236E14E2"/>
    <w:rsid w:val="261131BE"/>
    <w:rsid w:val="261D6E25"/>
    <w:rsid w:val="263C3CB4"/>
    <w:rsid w:val="275B19A0"/>
    <w:rsid w:val="27755208"/>
    <w:rsid w:val="2859493D"/>
    <w:rsid w:val="28976A12"/>
    <w:rsid w:val="292F0E60"/>
    <w:rsid w:val="29CB12E0"/>
    <w:rsid w:val="29D148D0"/>
    <w:rsid w:val="29FB6C4C"/>
    <w:rsid w:val="2A286E6B"/>
    <w:rsid w:val="2A461B11"/>
    <w:rsid w:val="2A867302"/>
    <w:rsid w:val="2AC803DC"/>
    <w:rsid w:val="2AD00A49"/>
    <w:rsid w:val="2B724B78"/>
    <w:rsid w:val="2C28730F"/>
    <w:rsid w:val="2E2C396C"/>
    <w:rsid w:val="2E900C87"/>
    <w:rsid w:val="2F046151"/>
    <w:rsid w:val="2F736E8D"/>
    <w:rsid w:val="3008763A"/>
    <w:rsid w:val="30143D85"/>
    <w:rsid w:val="30ED2D38"/>
    <w:rsid w:val="31752B09"/>
    <w:rsid w:val="31840F63"/>
    <w:rsid w:val="32563B0A"/>
    <w:rsid w:val="32C75101"/>
    <w:rsid w:val="33D851B7"/>
    <w:rsid w:val="341548E3"/>
    <w:rsid w:val="3496343F"/>
    <w:rsid w:val="34FC2B7C"/>
    <w:rsid w:val="37712A39"/>
    <w:rsid w:val="38674F17"/>
    <w:rsid w:val="39A03FBB"/>
    <w:rsid w:val="3A603D3B"/>
    <w:rsid w:val="3AB766DE"/>
    <w:rsid w:val="3ACE29B8"/>
    <w:rsid w:val="3AE50133"/>
    <w:rsid w:val="3B345EA5"/>
    <w:rsid w:val="3CAA6BF6"/>
    <w:rsid w:val="3CF45622"/>
    <w:rsid w:val="3DB531EC"/>
    <w:rsid w:val="3DC80855"/>
    <w:rsid w:val="405E3F93"/>
    <w:rsid w:val="40E60642"/>
    <w:rsid w:val="412F5503"/>
    <w:rsid w:val="41CB585D"/>
    <w:rsid w:val="4299450D"/>
    <w:rsid w:val="43036342"/>
    <w:rsid w:val="43CE762F"/>
    <w:rsid w:val="44F239F9"/>
    <w:rsid w:val="4563730C"/>
    <w:rsid w:val="4669448D"/>
    <w:rsid w:val="47E66134"/>
    <w:rsid w:val="48387B1F"/>
    <w:rsid w:val="48694FA0"/>
    <w:rsid w:val="488E768B"/>
    <w:rsid w:val="48E40DF2"/>
    <w:rsid w:val="49602E3D"/>
    <w:rsid w:val="49F41D5E"/>
    <w:rsid w:val="4B1E31F7"/>
    <w:rsid w:val="4BCB3573"/>
    <w:rsid w:val="4BCC3F4A"/>
    <w:rsid w:val="4C0A5953"/>
    <w:rsid w:val="4CE75373"/>
    <w:rsid w:val="4D6016CE"/>
    <w:rsid w:val="4D8D03D2"/>
    <w:rsid w:val="4DD82669"/>
    <w:rsid w:val="4E1A4E14"/>
    <w:rsid w:val="4E567B2D"/>
    <w:rsid w:val="4ECA6EC3"/>
    <w:rsid w:val="4F2F7D09"/>
    <w:rsid w:val="50FB3C65"/>
    <w:rsid w:val="534D1624"/>
    <w:rsid w:val="535254ED"/>
    <w:rsid w:val="536D628A"/>
    <w:rsid w:val="53DD723A"/>
    <w:rsid w:val="545860EF"/>
    <w:rsid w:val="54B92EF5"/>
    <w:rsid w:val="55AF409C"/>
    <w:rsid w:val="566D4B95"/>
    <w:rsid w:val="572656D4"/>
    <w:rsid w:val="57815330"/>
    <w:rsid w:val="593760F0"/>
    <w:rsid w:val="59AD06A4"/>
    <w:rsid w:val="59F35AC8"/>
    <w:rsid w:val="5A08683D"/>
    <w:rsid w:val="5A4D586D"/>
    <w:rsid w:val="5A6249B0"/>
    <w:rsid w:val="5A6F7F00"/>
    <w:rsid w:val="5AA212E4"/>
    <w:rsid w:val="5AB474A6"/>
    <w:rsid w:val="5B9A59F0"/>
    <w:rsid w:val="5C1811A1"/>
    <w:rsid w:val="5EA0562A"/>
    <w:rsid w:val="5EA177CB"/>
    <w:rsid w:val="5EE84C68"/>
    <w:rsid w:val="5F380864"/>
    <w:rsid w:val="5F975218"/>
    <w:rsid w:val="602B5C6E"/>
    <w:rsid w:val="60357013"/>
    <w:rsid w:val="6137591E"/>
    <w:rsid w:val="621D5BA4"/>
    <w:rsid w:val="622F7FE8"/>
    <w:rsid w:val="63251B8E"/>
    <w:rsid w:val="635B6748"/>
    <w:rsid w:val="63947A95"/>
    <w:rsid w:val="645E09EC"/>
    <w:rsid w:val="645E2FD4"/>
    <w:rsid w:val="65741555"/>
    <w:rsid w:val="67004944"/>
    <w:rsid w:val="67610DE4"/>
    <w:rsid w:val="67B167D1"/>
    <w:rsid w:val="67D00D43"/>
    <w:rsid w:val="685F1C50"/>
    <w:rsid w:val="68C53CC0"/>
    <w:rsid w:val="699022E9"/>
    <w:rsid w:val="69CA10F4"/>
    <w:rsid w:val="6A212235"/>
    <w:rsid w:val="6A5E2961"/>
    <w:rsid w:val="6A714498"/>
    <w:rsid w:val="6C0C7CAF"/>
    <w:rsid w:val="6D492C3B"/>
    <w:rsid w:val="6D5A4128"/>
    <w:rsid w:val="6D792BC6"/>
    <w:rsid w:val="6D866381"/>
    <w:rsid w:val="6DF82FDB"/>
    <w:rsid w:val="6EFD3264"/>
    <w:rsid w:val="6F7E486E"/>
    <w:rsid w:val="70D01A07"/>
    <w:rsid w:val="714319BE"/>
    <w:rsid w:val="723830F9"/>
    <w:rsid w:val="72832E49"/>
    <w:rsid w:val="73744288"/>
    <w:rsid w:val="745919C6"/>
    <w:rsid w:val="74702A9A"/>
    <w:rsid w:val="749A609F"/>
    <w:rsid w:val="758A1998"/>
    <w:rsid w:val="761C2BBB"/>
    <w:rsid w:val="761D6562"/>
    <w:rsid w:val="765036D1"/>
    <w:rsid w:val="776A1DE8"/>
    <w:rsid w:val="785D00CA"/>
    <w:rsid w:val="78D17096"/>
    <w:rsid w:val="791A6622"/>
    <w:rsid w:val="796864EC"/>
    <w:rsid w:val="79FE67EB"/>
    <w:rsid w:val="7A667F42"/>
    <w:rsid w:val="7B9C456D"/>
    <w:rsid w:val="7CC44ED1"/>
    <w:rsid w:val="7DDD6CEA"/>
    <w:rsid w:val="7E636E14"/>
    <w:rsid w:val="7EC83A66"/>
    <w:rsid w:val="7F8B36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9"/>
    <w:qFormat/>
    <w:uiPriority w:val="0"/>
    <w:pPr>
      <w:outlineLvl w:val="0"/>
    </w:pPr>
    <w:rPr>
      <w:color w:val="000000"/>
      <w:kern w:val="0"/>
      <w:sz w:val="20"/>
      <w:shd w:val="clear" w:color="auto" w:fill="FFFFFF"/>
    </w:rPr>
  </w:style>
  <w:style w:type="paragraph" w:styleId="4">
    <w:name w:val="heading 2"/>
    <w:basedOn w:val="1"/>
    <w:next w:val="1"/>
    <w:link w:val="48"/>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5">
    <w:name w:val="heading 3"/>
    <w:basedOn w:val="1"/>
    <w:next w:val="1"/>
    <w:link w:val="88"/>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47"/>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87"/>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95"/>
    <w:unhideWhenUsed/>
    <w:qFormat/>
    <w:uiPriority w:val="0"/>
    <w:pPr>
      <w:keepNext/>
      <w:keepLines/>
      <w:spacing w:line="360" w:lineRule="auto"/>
      <w:outlineLvl w:val="5"/>
    </w:pPr>
    <w:rPr>
      <w:b/>
      <w:sz w:val="24"/>
    </w:rPr>
  </w:style>
  <w:style w:type="paragraph" w:styleId="9">
    <w:name w:val="heading 7"/>
    <w:basedOn w:val="1"/>
    <w:next w:val="1"/>
    <w:link w:val="92"/>
    <w:unhideWhenUsed/>
    <w:qFormat/>
    <w:uiPriority w:val="0"/>
    <w:pPr>
      <w:keepNext/>
      <w:keepLines/>
      <w:spacing w:before="240" w:after="64" w:line="320" w:lineRule="auto"/>
      <w:outlineLvl w:val="6"/>
    </w:pPr>
    <w:rPr>
      <w:b/>
      <w:bCs/>
      <w:sz w:val="24"/>
    </w:rPr>
  </w:style>
  <w:style w:type="paragraph" w:styleId="10">
    <w:name w:val="heading 8"/>
    <w:next w:val="1"/>
    <w:link w:val="96"/>
    <w:semiHidden/>
    <w:unhideWhenUsed/>
    <w:qFormat/>
    <w:uiPriority w:val="0"/>
    <w:pPr>
      <w:keepNext/>
      <w:keepLines/>
      <w:spacing w:line="360" w:lineRule="auto"/>
      <w:outlineLvl w:val="7"/>
    </w:pPr>
    <w:rPr>
      <w:rFonts w:ascii="Times New Roman" w:hAnsi="Times New Roman" w:eastAsia="宋体" w:cs="Times New Roman"/>
      <w:b/>
      <w:sz w:val="24"/>
      <w:lang w:val="en-US" w:eastAsia="zh-CN" w:bidi="ar-SA"/>
    </w:rPr>
  </w:style>
  <w:style w:type="paragraph" w:styleId="11">
    <w:name w:val="heading 9"/>
    <w:basedOn w:val="1"/>
    <w:next w:val="1"/>
    <w:link w:val="97"/>
    <w:semiHidden/>
    <w:unhideWhenUsed/>
    <w:qFormat/>
    <w:uiPriority w:val="0"/>
    <w:pPr>
      <w:keepNext/>
      <w:keepLines/>
      <w:spacing w:before="240" w:after="64" w:line="317" w:lineRule="auto"/>
      <w:ind w:left="1583"/>
      <w:outlineLvl w:val="8"/>
    </w:pPr>
    <w:rPr>
      <w:rFonts w:ascii="Arial" w:hAnsi="Arial" w:eastAsia="黑体" w:cstheme="minorBidi"/>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68"/>
    <w:qFormat/>
    <w:uiPriority w:val="0"/>
    <w:pPr>
      <w:spacing w:after="120"/>
      <w:ind w:left="420" w:leftChars="200"/>
    </w:pPr>
  </w:style>
  <w:style w:type="paragraph" w:styleId="12">
    <w:name w:val="List Number"/>
    <w:basedOn w:val="1"/>
    <w:link w:val="115"/>
    <w:qFormat/>
    <w:uiPriority w:val="0"/>
    <w:pPr>
      <w:numPr>
        <w:ilvl w:val="0"/>
        <w:numId w:val="1"/>
      </w:numPr>
    </w:pPr>
  </w:style>
  <w:style w:type="paragraph" w:styleId="13">
    <w:name w:val="Normal Indent"/>
    <w:basedOn w:val="1"/>
    <w:next w:val="1"/>
    <w:link w:val="103"/>
    <w:qFormat/>
    <w:uiPriority w:val="0"/>
    <w:pPr>
      <w:ind w:firstLine="420"/>
    </w:pPr>
    <w:rPr>
      <w:szCs w:val="20"/>
    </w:rPr>
  </w:style>
  <w:style w:type="paragraph" w:styleId="14">
    <w:name w:val="Document Map"/>
    <w:basedOn w:val="1"/>
    <w:link w:val="70"/>
    <w:semiHidden/>
    <w:qFormat/>
    <w:uiPriority w:val="99"/>
    <w:pPr>
      <w:shd w:val="clear" w:color="auto" w:fill="000080"/>
    </w:pPr>
    <w:rPr>
      <w:kern w:val="0"/>
      <w:sz w:val="2"/>
    </w:rPr>
  </w:style>
  <w:style w:type="paragraph" w:styleId="15">
    <w:name w:val="annotation text"/>
    <w:basedOn w:val="1"/>
    <w:link w:val="65"/>
    <w:qFormat/>
    <w:uiPriority w:val="0"/>
    <w:pPr>
      <w:jc w:val="left"/>
    </w:pPr>
  </w:style>
  <w:style w:type="paragraph" w:styleId="16">
    <w:name w:val="Closing"/>
    <w:basedOn w:val="1"/>
    <w:semiHidden/>
    <w:qFormat/>
    <w:uiPriority w:val="0"/>
    <w:pPr>
      <w:ind w:left="4320"/>
    </w:pPr>
    <w:rPr>
      <w:kern w:val="1"/>
    </w:rPr>
  </w:style>
  <w:style w:type="paragraph" w:styleId="17">
    <w:name w:val="Body Text"/>
    <w:basedOn w:val="1"/>
    <w:next w:val="18"/>
    <w:link w:val="75"/>
    <w:qFormat/>
    <w:uiPriority w:val="0"/>
    <w:pPr>
      <w:spacing w:line="360" w:lineRule="exact"/>
    </w:pPr>
    <w:rPr>
      <w:sz w:val="24"/>
    </w:rPr>
  </w:style>
  <w:style w:type="paragraph" w:styleId="18">
    <w:name w:val="Body Text First Indent"/>
    <w:basedOn w:val="17"/>
    <w:next w:val="19"/>
    <w:link w:val="91"/>
    <w:qFormat/>
    <w:uiPriority w:val="0"/>
    <w:pPr>
      <w:spacing w:after="120" w:line="240" w:lineRule="auto"/>
      <w:ind w:firstLine="420" w:firstLineChars="100"/>
    </w:pPr>
    <w:rPr>
      <w:sz w:val="21"/>
    </w:rPr>
  </w:style>
  <w:style w:type="paragraph" w:styleId="19">
    <w:name w:val="toc 6"/>
    <w:basedOn w:val="1"/>
    <w:next w:val="1"/>
    <w:qFormat/>
    <w:uiPriority w:val="39"/>
    <w:pPr>
      <w:ind w:left="1050"/>
      <w:jc w:val="left"/>
    </w:pPr>
    <w:rPr>
      <w:rFonts w:ascii="Calibri" w:hAnsi="Calibri" w:cs="Calibri"/>
      <w:sz w:val="18"/>
      <w:szCs w:val="18"/>
    </w:rPr>
  </w:style>
  <w:style w:type="paragraph" w:styleId="20">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hAnsi="Calibri"/>
      <w:color w:val="000000"/>
      <w:kern w:val="0"/>
      <w:sz w:val="24"/>
    </w:rPr>
  </w:style>
  <w:style w:type="paragraph" w:styleId="21">
    <w:name w:val="toc 3"/>
    <w:next w:val="1"/>
    <w:qFormat/>
    <w:uiPriority w:val="0"/>
    <w:pPr>
      <w:ind w:left="840" w:leftChars="400"/>
    </w:pPr>
    <w:rPr>
      <w:rFonts w:ascii="Times New Roman" w:hAnsi="Times New Roman" w:eastAsia="宋体" w:cs="Times New Roman"/>
      <w:sz w:val="24"/>
      <w:lang w:val="en-US" w:eastAsia="zh-CN" w:bidi="ar-SA"/>
    </w:rPr>
  </w:style>
  <w:style w:type="paragraph" w:styleId="22">
    <w:name w:val="Plain Text"/>
    <w:basedOn w:val="1"/>
    <w:next w:val="23"/>
    <w:link w:val="83"/>
    <w:qFormat/>
    <w:uiPriority w:val="0"/>
    <w:rPr>
      <w:rFonts w:ascii="宋体" w:hAnsi="Courier New" w:cstheme="minorBidi"/>
    </w:rPr>
  </w:style>
  <w:style w:type="paragraph" w:styleId="23">
    <w:name w:val="Date"/>
    <w:basedOn w:val="1"/>
    <w:next w:val="1"/>
    <w:qFormat/>
    <w:uiPriority w:val="0"/>
    <w:pPr>
      <w:ind w:left="2500" w:leftChars="2500"/>
    </w:pPr>
    <w:rPr>
      <w:rFonts w:eastAsia="楷体_GB2312" w:asciiTheme="minorHAnsi" w:hAnsiTheme="minorHAnsi" w:cstheme="minorBidi"/>
      <w:sz w:val="32"/>
      <w:szCs w:val="22"/>
    </w:rPr>
  </w:style>
  <w:style w:type="paragraph" w:styleId="24">
    <w:name w:val="Balloon Text"/>
    <w:basedOn w:val="1"/>
    <w:link w:val="67"/>
    <w:qFormat/>
    <w:uiPriority w:val="0"/>
    <w:rPr>
      <w:sz w:val="18"/>
      <w:szCs w:val="18"/>
    </w:rPr>
  </w:style>
  <w:style w:type="paragraph" w:styleId="25">
    <w:name w:val="footer"/>
    <w:basedOn w:val="1"/>
    <w:link w:val="72"/>
    <w:qFormat/>
    <w:uiPriority w:val="0"/>
    <w:pPr>
      <w:tabs>
        <w:tab w:val="center" w:pos="4153"/>
        <w:tab w:val="right" w:pos="8306"/>
      </w:tabs>
      <w:snapToGrid w:val="0"/>
      <w:jc w:val="left"/>
    </w:pPr>
    <w:rPr>
      <w:sz w:val="18"/>
    </w:rPr>
  </w:style>
  <w:style w:type="paragraph" w:styleId="26">
    <w:name w:val="header"/>
    <w:basedOn w:val="1"/>
    <w:link w:val="7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7">
    <w:name w:val="toc 1"/>
    <w:basedOn w:val="1"/>
    <w:next w:val="1"/>
    <w:qFormat/>
    <w:uiPriority w:val="0"/>
    <w:rPr>
      <w:sz w:val="24"/>
    </w:rPr>
  </w:style>
  <w:style w:type="paragraph" w:styleId="28">
    <w:name w:val="Subtitle"/>
    <w:basedOn w:val="1"/>
    <w:next w:val="1"/>
    <w:link w:val="80"/>
    <w:qFormat/>
    <w:uiPriority w:val="0"/>
    <w:pPr>
      <w:spacing w:before="240" w:after="60" w:line="312" w:lineRule="auto"/>
      <w:jc w:val="center"/>
      <w:outlineLvl w:val="1"/>
    </w:pPr>
    <w:rPr>
      <w:rFonts w:ascii="等线 Light" w:hAnsi="等线 Light"/>
      <w:b/>
      <w:bCs/>
      <w:kern w:val="28"/>
      <w:sz w:val="32"/>
      <w:szCs w:val="32"/>
    </w:rPr>
  </w:style>
  <w:style w:type="paragraph" w:styleId="29">
    <w:name w:val="toc 2"/>
    <w:basedOn w:val="1"/>
    <w:next w:val="1"/>
    <w:qFormat/>
    <w:uiPriority w:val="0"/>
    <w:pPr>
      <w:ind w:left="420" w:leftChars="200"/>
    </w:pPr>
    <w:rPr>
      <w:sz w:val="24"/>
    </w:rPr>
  </w:style>
  <w:style w:type="paragraph" w:styleId="30">
    <w:name w:val="HTML Preformatted"/>
    <w:basedOn w:val="1"/>
    <w:link w:val="8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32">
    <w:name w:val="Title"/>
    <w:basedOn w:val="1"/>
    <w:next w:val="1"/>
    <w:link w:val="79"/>
    <w:qFormat/>
    <w:uiPriority w:val="0"/>
    <w:pPr>
      <w:spacing w:before="240" w:after="60"/>
      <w:jc w:val="center"/>
      <w:outlineLvl w:val="0"/>
    </w:pPr>
    <w:rPr>
      <w:rFonts w:ascii="等线 Light" w:hAnsi="等线 Light"/>
      <w:b/>
      <w:bCs/>
      <w:sz w:val="32"/>
      <w:szCs w:val="32"/>
    </w:rPr>
  </w:style>
  <w:style w:type="paragraph" w:styleId="33">
    <w:name w:val="annotation subject"/>
    <w:basedOn w:val="15"/>
    <w:next w:val="15"/>
    <w:link w:val="66"/>
    <w:qFormat/>
    <w:uiPriority w:val="0"/>
    <w:rPr>
      <w:b/>
      <w:bCs/>
    </w:rPr>
  </w:style>
  <w:style w:type="paragraph" w:styleId="34">
    <w:name w:val="Body Text First Indent 2"/>
    <w:basedOn w:val="2"/>
    <w:next w:val="1"/>
    <w:unhideWhenUsed/>
    <w:qFormat/>
    <w:uiPriority w:val="99"/>
    <w:pPr>
      <w:ind w:firstLine="420" w:firstLineChars="200"/>
    </w:pPr>
  </w:style>
  <w:style w:type="table" w:styleId="36">
    <w:name w:val="Table Grid"/>
    <w:basedOn w:val="35"/>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bCs/>
    </w:rPr>
  </w:style>
  <w:style w:type="character" w:styleId="39">
    <w:name w:val="page number"/>
    <w:basedOn w:val="37"/>
    <w:qFormat/>
    <w:uiPriority w:val="0"/>
  </w:style>
  <w:style w:type="character" w:styleId="40">
    <w:name w:val="FollowedHyperlink"/>
    <w:qFormat/>
    <w:uiPriority w:val="0"/>
    <w:rPr>
      <w:color w:val="800080"/>
      <w:u w:val="none"/>
    </w:rPr>
  </w:style>
  <w:style w:type="character" w:styleId="41">
    <w:name w:val="Emphasis"/>
    <w:qFormat/>
    <w:uiPriority w:val="0"/>
    <w:rPr>
      <w:i/>
      <w:iCs/>
    </w:rPr>
  </w:style>
  <w:style w:type="character" w:styleId="42">
    <w:name w:val="Hyperlink"/>
    <w:qFormat/>
    <w:uiPriority w:val="0"/>
    <w:rPr>
      <w:color w:val="0000FF"/>
      <w:u w:val="single"/>
    </w:rPr>
  </w:style>
  <w:style w:type="character" w:styleId="43">
    <w:name w:val="annotation reference"/>
    <w:basedOn w:val="37"/>
    <w:qFormat/>
    <w:uiPriority w:val="0"/>
    <w:rPr>
      <w:sz w:val="21"/>
      <w:szCs w:val="21"/>
    </w:rPr>
  </w:style>
  <w:style w:type="paragraph" w:customStyle="1" w:styleId="44">
    <w:name w:val="表格文字"/>
    <w:basedOn w:val="45"/>
    <w:next w:val="17"/>
    <w:qFormat/>
    <w:uiPriority w:val="0"/>
    <w:pPr>
      <w:adjustRightInd w:val="0"/>
      <w:spacing w:line="420" w:lineRule="atLeast"/>
      <w:textAlignment w:val="baseline"/>
    </w:pPr>
  </w:style>
  <w:style w:type="paragraph" w:customStyle="1" w:styleId="45">
    <w:name w:val="表格文字（两侧对齐）"/>
    <w:basedOn w:val="1"/>
    <w:qFormat/>
    <w:uiPriority w:val="0"/>
    <w:pPr>
      <w:snapToGrid w:val="0"/>
      <w:jc w:val="left"/>
    </w:pPr>
    <w:rPr>
      <w:sz w:val="20"/>
    </w:rPr>
  </w:style>
  <w:style w:type="paragraph" w:customStyle="1" w:styleId="46">
    <w:name w:val="无间隔1"/>
    <w:qFormat/>
    <w:uiPriority w:val="99"/>
    <w:pPr>
      <w:adjustRightInd w:val="0"/>
      <w:snapToGrid w:val="0"/>
    </w:pPr>
    <w:rPr>
      <w:rFonts w:ascii="Tahoma" w:hAnsi="Tahoma" w:eastAsia="微软雅黑" w:cstheme="minorBidi"/>
      <w:sz w:val="22"/>
      <w:szCs w:val="22"/>
      <w:lang w:val="en-US" w:eastAsia="zh-CN" w:bidi="ar-SA"/>
    </w:rPr>
  </w:style>
  <w:style w:type="character" w:customStyle="1" w:styleId="47">
    <w:name w:val="标题 4 字符"/>
    <w:basedOn w:val="37"/>
    <w:link w:val="6"/>
    <w:qFormat/>
    <w:uiPriority w:val="0"/>
    <w:rPr>
      <w:rFonts w:asciiTheme="majorHAnsi" w:hAnsiTheme="majorHAnsi" w:eastAsiaTheme="majorEastAsia" w:cstheme="majorBidi"/>
      <w:b/>
      <w:bCs/>
      <w:kern w:val="2"/>
      <w:sz w:val="28"/>
      <w:szCs w:val="28"/>
    </w:rPr>
  </w:style>
  <w:style w:type="character" w:customStyle="1" w:styleId="48">
    <w:name w:val="标题 2 字符"/>
    <w:basedOn w:val="37"/>
    <w:link w:val="4"/>
    <w:qFormat/>
    <w:uiPriority w:val="0"/>
    <w:rPr>
      <w:rFonts w:ascii="Arial" w:hAnsi="Arial" w:eastAsia="黑体"/>
      <w:b/>
      <w:bCs/>
      <w:kern w:val="2"/>
      <w:sz w:val="32"/>
      <w:szCs w:val="32"/>
    </w:rPr>
  </w:style>
  <w:style w:type="paragraph" w:customStyle="1" w:styleId="49">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50">
    <w:name w:val="List Paragraph"/>
    <w:basedOn w:val="1"/>
    <w:link w:val="89"/>
    <w:qFormat/>
    <w:uiPriority w:val="34"/>
    <w:pPr>
      <w:ind w:firstLine="420" w:firstLineChars="200"/>
    </w:pPr>
    <w:rPr>
      <w:rFonts w:ascii="Calibri" w:hAnsi="Calibri"/>
      <w:szCs w:val="22"/>
    </w:rPr>
  </w:style>
  <w:style w:type="paragraph" w:customStyle="1" w:styleId="51">
    <w:name w:val="列出段落1"/>
    <w:basedOn w:val="1"/>
    <w:qFormat/>
    <w:uiPriority w:val="34"/>
    <w:pPr>
      <w:ind w:firstLine="420" w:firstLineChars="200"/>
    </w:pPr>
    <w:rPr>
      <w:rFonts w:ascii="Calibri" w:hAnsi="Calibri"/>
      <w:kern w:val="0"/>
      <w:szCs w:val="20"/>
    </w:rPr>
  </w:style>
  <w:style w:type="paragraph" w:customStyle="1" w:styleId="52">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_14"/>
    <w:qFormat/>
    <w:uiPriority w:val="0"/>
    <w:rPr>
      <w:rFonts w:ascii="Times New Roman" w:hAnsi="Times New Roman" w:eastAsia="宋体" w:cs="Times New Roman"/>
      <w:sz w:val="21"/>
      <w:szCs w:val="22"/>
      <w:lang w:val="en-US" w:eastAsia="zh-CN" w:bidi="ar-SA"/>
    </w:rPr>
  </w:style>
  <w:style w:type="paragraph" w:customStyle="1" w:styleId="5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纯文本_3"/>
    <w:basedOn w:val="58"/>
    <w:qFormat/>
    <w:uiPriority w:val="0"/>
    <w:pPr>
      <w:widowControl/>
      <w:jc w:val="left"/>
    </w:pPr>
    <w:rPr>
      <w:rFonts w:ascii="宋体" w:hAnsi="Courier New" w:eastAsiaTheme="minorEastAsia" w:cstheme="minorBidi"/>
      <w:szCs w:val="21"/>
    </w:rPr>
  </w:style>
  <w:style w:type="paragraph" w:customStyle="1" w:styleId="60">
    <w:name w:val="纯文本_0_1"/>
    <w:basedOn w:val="1"/>
    <w:qFormat/>
    <w:uiPriority w:val="0"/>
    <w:pPr>
      <w:widowControl/>
      <w:jc w:val="left"/>
    </w:pPr>
    <w:rPr>
      <w:rFonts w:ascii="宋体" w:hAnsi="Courier New" w:eastAsiaTheme="minorEastAsia" w:cstheme="minorBidi"/>
      <w:szCs w:val="21"/>
    </w:rPr>
  </w:style>
  <w:style w:type="paragraph" w:customStyle="1" w:styleId="6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65">
    <w:name w:val="批注文字 字符1"/>
    <w:basedOn w:val="37"/>
    <w:link w:val="15"/>
    <w:qFormat/>
    <w:uiPriority w:val="0"/>
    <w:rPr>
      <w:rFonts w:ascii="Times New Roman" w:hAnsi="Times New Roman" w:eastAsia="宋体" w:cs="Times New Roman"/>
      <w:kern w:val="2"/>
      <w:sz w:val="21"/>
      <w:szCs w:val="24"/>
    </w:rPr>
  </w:style>
  <w:style w:type="character" w:customStyle="1" w:styleId="66">
    <w:name w:val="批注主题 字符"/>
    <w:basedOn w:val="65"/>
    <w:link w:val="33"/>
    <w:qFormat/>
    <w:uiPriority w:val="0"/>
    <w:rPr>
      <w:rFonts w:ascii="Times New Roman" w:hAnsi="Times New Roman" w:eastAsia="宋体" w:cs="Times New Roman"/>
      <w:b/>
      <w:bCs/>
      <w:kern w:val="2"/>
      <w:sz w:val="21"/>
      <w:szCs w:val="24"/>
    </w:rPr>
  </w:style>
  <w:style w:type="character" w:customStyle="1" w:styleId="67">
    <w:name w:val="批注框文本 字符1"/>
    <w:basedOn w:val="37"/>
    <w:link w:val="24"/>
    <w:qFormat/>
    <w:uiPriority w:val="0"/>
    <w:rPr>
      <w:rFonts w:ascii="Times New Roman" w:hAnsi="Times New Roman" w:eastAsia="宋体" w:cs="Times New Roman"/>
      <w:kern w:val="2"/>
      <w:sz w:val="18"/>
      <w:szCs w:val="18"/>
    </w:rPr>
  </w:style>
  <w:style w:type="character" w:customStyle="1" w:styleId="68">
    <w:name w:val="正文文本缩进 字符"/>
    <w:basedOn w:val="37"/>
    <w:link w:val="2"/>
    <w:qFormat/>
    <w:uiPriority w:val="0"/>
    <w:rPr>
      <w:kern w:val="2"/>
      <w:sz w:val="21"/>
      <w:szCs w:val="24"/>
    </w:rPr>
  </w:style>
  <w:style w:type="character" w:customStyle="1" w:styleId="69">
    <w:name w:val="标题 1 字符1"/>
    <w:basedOn w:val="37"/>
    <w:link w:val="3"/>
    <w:qFormat/>
    <w:uiPriority w:val="0"/>
    <w:rPr>
      <w:color w:val="000000"/>
      <w:szCs w:val="24"/>
    </w:rPr>
  </w:style>
  <w:style w:type="character" w:customStyle="1" w:styleId="70">
    <w:name w:val="文档结构图 字符"/>
    <w:basedOn w:val="37"/>
    <w:link w:val="14"/>
    <w:semiHidden/>
    <w:qFormat/>
    <w:uiPriority w:val="99"/>
    <w:rPr>
      <w:sz w:val="2"/>
      <w:szCs w:val="24"/>
      <w:shd w:val="clear" w:color="auto" w:fill="000080"/>
    </w:rPr>
  </w:style>
  <w:style w:type="character" w:customStyle="1" w:styleId="71">
    <w:name w:val="页眉 字符"/>
    <w:link w:val="26"/>
    <w:qFormat/>
    <w:locked/>
    <w:uiPriority w:val="0"/>
    <w:rPr>
      <w:kern w:val="2"/>
      <w:sz w:val="18"/>
      <w:szCs w:val="24"/>
    </w:rPr>
  </w:style>
  <w:style w:type="character" w:customStyle="1" w:styleId="72">
    <w:name w:val="页脚 字符"/>
    <w:link w:val="25"/>
    <w:qFormat/>
    <w:locked/>
    <w:uiPriority w:val="0"/>
    <w:rPr>
      <w:kern w:val="2"/>
      <w:sz w:val="18"/>
      <w:szCs w:val="24"/>
    </w:rPr>
  </w:style>
  <w:style w:type="paragraph" w:customStyle="1" w:styleId="73">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74">
    <w:name w:val="[Normal]"/>
    <w:next w:val="1"/>
    <w:qFormat/>
    <w:uiPriority w:val="99"/>
    <w:pPr>
      <w:widowControl w:val="0"/>
      <w:autoSpaceDE w:val="0"/>
      <w:autoSpaceDN w:val="0"/>
      <w:adjustRightInd w:val="0"/>
    </w:pPr>
    <w:rPr>
      <w:rFonts w:ascii="Arial" w:hAnsi="Arial" w:eastAsia="宋体" w:cs="Arial"/>
      <w:sz w:val="24"/>
      <w:szCs w:val="24"/>
      <w:shd w:val="clear" w:color="auto" w:fill="FFFFFF"/>
      <w:lang w:val="de-DE" w:eastAsia="zh-CN" w:bidi="ar-SA"/>
    </w:rPr>
  </w:style>
  <w:style w:type="character" w:customStyle="1" w:styleId="75">
    <w:name w:val="正文文本 字符"/>
    <w:link w:val="17"/>
    <w:qFormat/>
    <w:locked/>
    <w:uiPriority w:val="99"/>
    <w:rPr>
      <w:kern w:val="2"/>
      <w:sz w:val="24"/>
      <w:szCs w:val="24"/>
    </w:rPr>
  </w:style>
  <w:style w:type="paragraph" w:customStyle="1" w:styleId="76">
    <w:name w:val="KTG"/>
    <w:next w:val="1"/>
    <w:qFormat/>
    <w:uiPriority w:val="99"/>
    <w:pPr>
      <w:widowControl w:val="0"/>
      <w:tabs>
        <w:tab w:val="left" w:pos="1134"/>
      </w:tabs>
      <w:autoSpaceDE w:val="0"/>
      <w:autoSpaceDN w:val="0"/>
      <w:adjustRightInd w:val="0"/>
    </w:pPr>
    <w:rPr>
      <w:rFonts w:ascii="Arial" w:hAnsi="Arial" w:eastAsia="宋体" w:cs="Times New Roman"/>
      <w:sz w:val="22"/>
      <w:szCs w:val="22"/>
      <w:lang w:val="de-DE" w:eastAsia="zh-CN" w:bidi="ar-SA"/>
    </w:rPr>
  </w:style>
  <w:style w:type="paragraph" w:customStyle="1" w:styleId="7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8">
    <w:name w:val="_Style 2"/>
    <w:basedOn w:val="1"/>
    <w:qFormat/>
    <w:uiPriority w:val="99"/>
    <w:pPr>
      <w:ind w:firstLine="420" w:firstLineChars="200"/>
    </w:pPr>
  </w:style>
  <w:style w:type="character" w:customStyle="1" w:styleId="79">
    <w:name w:val="标题 字符"/>
    <w:basedOn w:val="37"/>
    <w:link w:val="32"/>
    <w:qFormat/>
    <w:uiPriority w:val="0"/>
    <w:rPr>
      <w:rFonts w:ascii="等线 Light" w:hAnsi="等线 Light"/>
      <w:b/>
      <w:bCs/>
      <w:kern w:val="2"/>
      <w:sz w:val="32"/>
      <w:szCs w:val="32"/>
    </w:rPr>
  </w:style>
  <w:style w:type="character" w:customStyle="1" w:styleId="80">
    <w:name w:val="副标题 字符"/>
    <w:basedOn w:val="37"/>
    <w:link w:val="28"/>
    <w:qFormat/>
    <w:uiPriority w:val="0"/>
    <w:rPr>
      <w:rFonts w:ascii="等线 Light" w:hAnsi="等线 Light"/>
      <w:b/>
      <w:bCs/>
      <w:kern w:val="28"/>
      <w:sz w:val="32"/>
      <w:szCs w:val="32"/>
    </w:rPr>
  </w:style>
  <w:style w:type="table" w:customStyle="1" w:styleId="81">
    <w:name w:val="网格型1"/>
    <w:basedOn w:val="35"/>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2">
    <w:name w:val="HTML 预设格式 字符"/>
    <w:basedOn w:val="37"/>
    <w:link w:val="30"/>
    <w:qFormat/>
    <w:uiPriority w:val="0"/>
    <w:rPr>
      <w:rFonts w:ascii="黑体" w:hAnsi="Courier New" w:eastAsia="黑体" w:cs="Courier New"/>
    </w:rPr>
  </w:style>
  <w:style w:type="character" w:customStyle="1" w:styleId="83">
    <w:name w:val="纯文本 字符"/>
    <w:basedOn w:val="37"/>
    <w:link w:val="22"/>
    <w:qFormat/>
    <w:uiPriority w:val="0"/>
    <w:rPr>
      <w:rFonts w:ascii="宋体" w:hAnsi="Courier New" w:cstheme="minorBidi"/>
      <w:kern w:val="2"/>
      <w:sz w:val="21"/>
      <w:szCs w:val="24"/>
    </w:rPr>
  </w:style>
  <w:style w:type="paragraph" w:customStyle="1" w:styleId="8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lang w:val="en-US" w:eastAsia="zh-CN" w:bidi="ar-SA"/>
    </w:rPr>
  </w:style>
  <w:style w:type="paragraph" w:customStyle="1" w:styleId="85">
    <w:name w:val="my正文"/>
    <w:basedOn w:val="1"/>
    <w:qFormat/>
    <w:uiPriority w:val="0"/>
    <w:pPr>
      <w:widowControl/>
      <w:ind w:firstLine="480"/>
    </w:pPr>
    <w:rPr>
      <w:rFonts w:ascii="Calibri" w:hAnsi="Calibri"/>
      <w:lang w:val="zh-CN"/>
    </w:rPr>
  </w:style>
  <w:style w:type="table" w:customStyle="1" w:styleId="86">
    <w:name w:val="网格型3"/>
    <w:basedOn w:val="35"/>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7">
    <w:name w:val="标题 5 字符"/>
    <w:basedOn w:val="37"/>
    <w:link w:val="7"/>
    <w:qFormat/>
    <w:uiPriority w:val="0"/>
    <w:rPr>
      <w:b/>
      <w:bCs/>
      <w:kern w:val="2"/>
      <w:sz w:val="28"/>
      <w:szCs w:val="28"/>
    </w:rPr>
  </w:style>
  <w:style w:type="character" w:customStyle="1" w:styleId="88">
    <w:name w:val="标题 3 字符"/>
    <w:basedOn w:val="37"/>
    <w:link w:val="5"/>
    <w:qFormat/>
    <w:uiPriority w:val="0"/>
    <w:rPr>
      <w:b/>
      <w:bCs/>
      <w:kern w:val="2"/>
      <w:sz w:val="32"/>
      <w:szCs w:val="32"/>
    </w:rPr>
  </w:style>
  <w:style w:type="character" w:customStyle="1" w:styleId="89">
    <w:name w:val="列表段落 字符"/>
    <w:link w:val="50"/>
    <w:qFormat/>
    <w:locked/>
    <w:uiPriority w:val="34"/>
    <w:rPr>
      <w:rFonts w:ascii="Calibri" w:hAnsi="Calibri"/>
      <w:kern w:val="2"/>
      <w:sz w:val="21"/>
      <w:szCs w:val="22"/>
    </w:rPr>
  </w:style>
  <w:style w:type="paragraph" w:customStyle="1" w:styleId="90">
    <w:name w:val="列出段落2"/>
    <w:basedOn w:val="1"/>
    <w:qFormat/>
    <w:uiPriority w:val="99"/>
    <w:pPr>
      <w:ind w:firstLine="420" w:firstLineChars="200"/>
    </w:pPr>
    <w:rPr>
      <w:rFonts w:ascii="Calibri" w:hAnsi="Calibri"/>
      <w:szCs w:val="22"/>
    </w:rPr>
  </w:style>
  <w:style w:type="character" w:customStyle="1" w:styleId="91">
    <w:name w:val="正文文本首行缩进 字符"/>
    <w:basedOn w:val="75"/>
    <w:link w:val="18"/>
    <w:qFormat/>
    <w:uiPriority w:val="0"/>
    <w:rPr>
      <w:kern w:val="2"/>
      <w:sz w:val="21"/>
      <w:szCs w:val="24"/>
    </w:rPr>
  </w:style>
  <w:style w:type="character" w:customStyle="1" w:styleId="92">
    <w:name w:val="标题 7 字符"/>
    <w:basedOn w:val="37"/>
    <w:link w:val="9"/>
    <w:qFormat/>
    <w:uiPriority w:val="0"/>
    <w:rPr>
      <w:b/>
      <w:bCs/>
      <w:kern w:val="2"/>
      <w:sz w:val="24"/>
      <w:szCs w:val="24"/>
    </w:rPr>
  </w:style>
  <w:style w:type="paragraph" w:customStyle="1" w:styleId="93">
    <w:name w:val="*正文"/>
    <w:basedOn w:val="1"/>
    <w:link w:val="94"/>
    <w:qFormat/>
    <w:uiPriority w:val="0"/>
    <w:pPr>
      <w:spacing w:line="360" w:lineRule="auto"/>
      <w:ind w:firstLine="560" w:firstLineChars="200"/>
    </w:pPr>
    <w:rPr>
      <w:rFonts w:eastAsia="仿宋_GB2312"/>
      <w:color w:val="000000"/>
      <w:sz w:val="28"/>
      <w:szCs w:val="28"/>
      <w:lang w:val="zh-CN"/>
    </w:rPr>
  </w:style>
  <w:style w:type="character" w:customStyle="1" w:styleId="94">
    <w:name w:val="*正文 Char"/>
    <w:link w:val="93"/>
    <w:qFormat/>
    <w:uiPriority w:val="0"/>
    <w:rPr>
      <w:rFonts w:eastAsia="仿宋_GB2312"/>
      <w:color w:val="000000"/>
      <w:kern w:val="2"/>
      <w:sz w:val="28"/>
      <w:szCs w:val="28"/>
      <w:lang w:val="zh-CN"/>
    </w:rPr>
  </w:style>
  <w:style w:type="character" w:customStyle="1" w:styleId="95">
    <w:name w:val="标题 6 字符"/>
    <w:basedOn w:val="37"/>
    <w:link w:val="8"/>
    <w:qFormat/>
    <w:uiPriority w:val="0"/>
    <w:rPr>
      <w:b/>
      <w:sz w:val="24"/>
    </w:rPr>
  </w:style>
  <w:style w:type="character" w:customStyle="1" w:styleId="96">
    <w:name w:val="标题 8 字符"/>
    <w:basedOn w:val="37"/>
    <w:link w:val="10"/>
    <w:semiHidden/>
    <w:qFormat/>
    <w:uiPriority w:val="0"/>
    <w:rPr>
      <w:b/>
      <w:sz w:val="24"/>
    </w:rPr>
  </w:style>
  <w:style w:type="character" w:customStyle="1" w:styleId="97">
    <w:name w:val="标题 9 字符"/>
    <w:basedOn w:val="37"/>
    <w:link w:val="11"/>
    <w:semiHidden/>
    <w:qFormat/>
    <w:uiPriority w:val="0"/>
    <w:rPr>
      <w:rFonts w:ascii="Arial" w:hAnsi="Arial" w:eastAsia="黑体" w:cstheme="minorBidi"/>
      <w:kern w:val="2"/>
      <w:sz w:val="21"/>
      <w:szCs w:val="24"/>
    </w:rPr>
  </w:style>
  <w:style w:type="table" w:customStyle="1" w:styleId="98">
    <w:name w:val="网格型2"/>
    <w:basedOn w:val="3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9">
    <w:name w:val="_Style 94"/>
    <w:next w:val="1"/>
    <w:qFormat/>
    <w:uiPriority w:val="0"/>
    <w:pPr>
      <w:ind w:left="420" w:leftChars="200"/>
    </w:pPr>
    <w:rPr>
      <w:rFonts w:ascii="Times New Roman" w:hAnsi="Times New Roman" w:eastAsia="宋体" w:cs="Times New Roman"/>
      <w:sz w:val="24"/>
      <w:lang w:val="en-US" w:eastAsia="zh-CN" w:bidi="ar-SA"/>
    </w:rPr>
  </w:style>
  <w:style w:type="character" w:customStyle="1" w:styleId="100">
    <w:name w:val="标题 1 字符"/>
    <w:qFormat/>
    <w:uiPriority w:val="0"/>
    <w:rPr>
      <w:rFonts w:ascii="Calibri" w:hAnsi="Calibri" w:eastAsia="宋体"/>
      <w:b/>
      <w:kern w:val="44"/>
      <w:sz w:val="30"/>
    </w:rPr>
  </w:style>
  <w:style w:type="character" w:customStyle="1" w:styleId="101">
    <w:name w:val="批注框文本 字符"/>
    <w:qFormat/>
    <w:uiPriority w:val="0"/>
    <w:rPr>
      <w:rFonts w:cs="Times New Roman"/>
      <w:kern w:val="2"/>
      <w:sz w:val="18"/>
      <w:szCs w:val="18"/>
    </w:rPr>
  </w:style>
  <w:style w:type="character" w:customStyle="1" w:styleId="102">
    <w:name w:val="批注文字 字符"/>
    <w:qFormat/>
    <w:uiPriority w:val="0"/>
    <w:rPr>
      <w:rFonts w:cs="Times New Roman"/>
      <w:kern w:val="2"/>
      <w:sz w:val="24"/>
      <w:szCs w:val="24"/>
    </w:rPr>
  </w:style>
  <w:style w:type="character" w:customStyle="1" w:styleId="103">
    <w:name w:val="正文缩进 字符"/>
    <w:link w:val="13"/>
    <w:qFormat/>
    <w:locked/>
    <w:uiPriority w:val="0"/>
    <w:rPr>
      <w:kern w:val="2"/>
      <w:sz w:val="21"/>
    </w:rPr>
  </w:style>
  <w:style w:type="character" w:customStyle="1" w:styleId="104">
    <w:name w:val="纯文本 字符1"/>
    <w:semiHidden/>
    <w:qFormat/>
    <w:locked/>
    <w:uiPriority w:val="0"/>
    <w:rPr>
      <w:rFonts w:ascii="宋体" w:hAnsi="Courier New"/>
      <w:kern w:val="2"/>
      <w:sz w:val="21"/>
      <w:szCs w:val="24"/>
      <w:lang w:val="zh-CN" w:eastAsia="zh-CN"/>
    </w:rPr>
  </w:style>
  <w:style w:type="paragraph" w:customStyle="1" w:styleId="105">
    <w:name w:val="_Style 941"/>
    <w:next w:val="1"/>
    <w:qFormat/>
    <w:uiPriority w:val="0"/>
    <w:pPr>
      <w:ind w:left="420" w:leftChars="200"/>
    </w:pPr>
    <w:rPr>
      <w:rFonts w:ascii="Times New Roman" w:hAnsi="Times New Roman" w:eastAsia="宋体" w:cs="Times New Roman"/>
      <w:sz w:val="24"/>
      <w:lang w:val="en-US" w:eastAsia="zh-CN" w:bidi="ar-SA"/>
    </w:rPr>
  </w:style>
  <w:style w:type="paragraph" w:customStyle="1" w:styleId="106">
    <w:name w:val="正文空格"/>
    <w:basedOn w:val="1"/>
    <w:next w:val="1"/>
    <w:qFormat/>
    <w:uiPriority w:val="0"/>
    <w:pPr>
      <w:spacing w:line="400" w:lineRule="exact"/>
      <w:ind w:firstLine="200" w:firstLineChars="200"/>
    </w:pPr>
    <w:rPr>
      <w:rFonts w:asciiTheme="minorHAnsi" w:hAnsiTheme="minorHAnsi" w:eastAsiaTheme="minorEastAsia" w:cstheme="minorBidi"/>
      <w:szCs w:val="22"/>
    </w:rPr>
  </w:style>
  <w:style w:type="paragraph" w:customStyle="1" w:styleId="107">
    <w:name w:val="纯文本11"/>
    <w:basedOn w:val="1"/>
    <w:qFormat/>
    <w:uiPriority w:val="0"/>
    <w:rPr>
      <w:rFonts w:ascii="宋体" w:hAnsi="Courier New"/>
    </w:rPr>
  </w:style>
  <w:style w:type="paragraph" w:customStyle="1" w:styleId="10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9">
    <w:name w:val="首行缩进"/>
    <w:basedOn w:val="1"/>
    <w:qFormat/>
    <w:uiPriority w:val="0"/>
    <w:pPr>
      <w:spacing w:line="360" w:lineRule="auto"/>
      <w:ind w:firstLine="480" w:firstLineChars="200"/>
    </w:pPr>
    <w:rPr>
      <w:rFonts w:ascii="宋体" w:hAnsi="宋体" w:cs="宋体"/>
      <w:kern w:val="0"/>
      <w:sz w:val="24"/>
    </w:rPr>
  </w:style>
  <w:style w:type="character" w:customStyle="1" w:styleId="110">
    <w:name w:val="NormalCharacter"/>
    <w:link w:val="111"/>
    <w:qFormat/>
    <w:uiPriority w:val="0"/>
    <w:rPr>
      <w:rFonts w:ascii="黑体" w:eastAsia="黑体"/>
      <w:kern w:val="0"/>
      <w:sz w:val="24"/>
    </w:rPr>
  </w:style>
  <w:style w:type="paragraph" w:customStyle="1" w:styleId="111">
    <w:name w:val="UserStyle_23"/>
    <w:basedOn w:val="1"/>
    <w:link w:val="110"/>
    <w:qFormat/>
    <w:uiPriority w:val="0"/>
    <w:pPr>
      <w:textAlignment w:val="baseline"/>
    </w:pPr>
    <w:rPr>
      <w:rFonts w:ascii="黑体" w:eastAsia="黑体"/>
      <w:kern w:val="0"/>
      <w:sz w:val="24"/>
    </w:rPr>
  </w:style>
  <w:style w:type="paragraph" w:customStyle="1" w:styleId="112">
    <w:name w:val="列出段落11"/>
    <w:basedOn w:val="1"/>
    <w:qFormat/>
    <w:uiPriority w:val="0"/>
    <w:pPr>
      <w:ind w:firstLine="420"/>
    </w:pPr>
    <w:rPr>
      <w:rFonts w:ascii="Calibri" w:hAnsi="Calibri"/>
      <w:szCs w:val="22"/>
    </w:rPr>
  </w:style>
  <w:style w:type="paragraph" w:customStyle="1" w:styleId="113">
    <w:name w:val="Table Paragraph"/>
    <w:basedOn w:val="1"/>
    <w:qFormat/>
    <w:uiPriority w:val="1"/>
    <w:pPr>
      <w:jc w:val="left"/>
    </w:pPr>
    <w:rPr>
      <w:rFonts w:ascii="Calibri" w:hAnsi="Calibri"/>
      <w:kern w:val="0"/>
      <w:sz w:val="22"/>
      <w:szCs w:val="22"/>
      <w:lang w:eastAsia="en-US"/>
    </w:rPr>
  </w:style>
  <w:style w:type="character" w:customStyle="1" w:styleId="114">
    <w:name w:val="标题 4 Char1"/>
    <w:qFormat/>
    <w:uiPriority w:val="0"/>
    <w:rPr>
      <w:rFonts w:ascii="微软雅黑" w:hAnsi="微软雅黑" w:eastAsia="微软雅黑" w:cs="微软雅黑"/>
      <w:kern w:val="2"/>
      <w:sz w:val="24"/>
      <w:szCs w:val="24"/>
      <w:lang w:val="en-US" w:eastAsia="zh-CN" w:bidi="ar-SA"/>
    </w:rPr>
  </w:style>
  <w:style w:type="character" w:customStyle="1" w:styleId="115">
    <w:name w:val="列表编号 字符"/>
    <w:link w:val="12"/>
    <w:qFormat/>
    <w:uiPriority w:val="0"/>
  </w:style>
  <w:style w:type="paragraph" w:customStyle="1" w:styleId="116">
    <w:name w:val="表格内正文"/>
    <w:basedOn w:val="17"/>
    <w:qFormat/>
    <w:uiPriority w:val="0"/>
  </w:style>
  <w:style w:type="paragraph" w:customStyle="1" w:styleId="117">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118">
    <w:name w:val="0正文"/>
    <w:basedOn w:val="1"/>
    <w:qFormat/>
    <w:uiPriority w:val="0"/>
    <w:pPr>
      <w:adjustRightInd w:val="0"/>
      <w:snapToGrid w:val="0"/>
    </w:pPr>
  </w:style>
  <w:style w:type="paragraph" w:customStyle="1" w:styleId="119">
    <w:name w:val="纯文本1"/>
    <w:basedOn w:val="1"/>
    <w:qFormat/>
    <w:uiPriority w:val="0"/>
    <w:pPr>
      <w:adjustRightInd w:val="0"/>
      <w:textAlignment w:val="baseline"/>
    </w:pPr>
    <w:rPr>
      <w:rFonts w:ascii="宋体" w:hAnsi="Courier New" w:eastAsia="楷体_GB2312"/>
      <w:sz w:val="28"/>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customXml/item2.xml" Type="http://schemas.openxmlformats.org/officeDocument/2006/relationships/customXml"/><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theme/theme1.xml" Type="http://schemas.openxmlformats.org/officeDocument/2006/relationships/theme"/><Relationship Id="rId8" Target="media/image1.png" Type="http://schemas.openxmlformats.org/officeDocument/2006/relationships/image"/><Relationship Id="rId9" Target="media/image2.jpe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2A60CD-3195-4BD1-A8F9-C635EE20850D}">
  <ds:schemaRefs/>
</ds:datastoreItem>
</file>

<file path=docProps/app.xml><?xml version="1.0" encoding="utf-8"?>
<Properties xmlns="http://schemas.openxmlformats.org/officeDocument/2006/extended-properties" xmlns:vt="http://schemas.openxmlformats.org/officeDocument/2006/docPropsVTypes">
  <Template>Normal</Template>
  <Pages>131</Pages>
  <Words>80301</Words>
  <Characters>88337</Characters>
  <Lines>689</Lines>
  <Paragraphs>194</Paragraphs>
  <TotalTime>28</TotalTime>
  <ScaleCrop>false</ScaleCrop>
  <LinksUpToDate>false</LinksUpToDate>
  <CharactersWithSpaces>90395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2022-11-09T01:44:00Z</dcterms:created>
  <dc:creator>Administrator</dc:creator>
  <cp:lastModifiedBy>Miss Sherlock</cp:lastModifiedBy>
  <cp:lastPrinted>2022-04-19T08:22:00Z</cp:lastPrinted>
  <dcterms:modified xsi:type="dcterms:W3CDTF">2022-11-14T05:06:20Z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4AFA6F1071CA44D096AA4B631B6D2FC1</vt:lpwstr>
  </property>
</Properties>
</file>