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
          <w:tab w:val="left" w:pos="2160"/>
          <w:tab w:val="left" w:pos="2880"/>
          <w:tab w:val="left" w:pos="3600"/>
          <w:tab w:val="left" w:pos="4320"/>
          <w:tab w:val="left" w:pos="5040"/>
          <w:tab w:val="left" w:pos="5760"/>
        </w:tabs>
        <w:autoSpaceDE w:val="0"/>
        <w:autoSpaceDN w:val="0"/>
        <w:adjustRightInd w:val="0"/>
        <w:spacing w:line="360" w:lineRule="auto"/>
        <w:ind w:right="924"/>
        <w:rPr>
          <w:rFonts w:ascii="宋体"/>
          <w:b/>
          <w:color w:val="auto"/>
          <w:kern w:val="0"/>
          <w:sz w:val="52"/>
          <w:szCs w:val="52"/>
          <w:highlight w:val="none"/>
        </w:rPr>
      </w:pPr>
    </w:p>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color w:val="auto"/>
          <w:kern w:val="0"/>
          <w:sz w:val="52"/>
          <w:szCs w:val="52"/>
          <w:highlight w:val="none"/>
        </w:rPr>
      </w:pPr>
    </w:p>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color w:val="auto"/>
          <w:kern w:val="0"/>
          <w:sz w:val="52"/>
          <w:szCs w:val="52"/>
          <w:highlight w:val="none"/>
        </w:rPr>
      </w:pPr>
      <w:r>
        <w:rPr>
          <w:rFonts w:hint="eastAsia" w:ascii="宋体"/>
          <w:b/>
          <w:color w:val="auto"/>
          <w:kern w:val="0"/>
          <w:sz w:val="52"/>
          <w:szCs w:val="52"/>
          <w:highlight w:val="none"/>
        </w:rPr>
        <w:t>台州市政府采购招标文件</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58"/>
        <w:jc w:val="center"/>
        <w:rPr>
          <w:rFonts w:hint="default" w:ascii="宋体" w:hAnsi="宋体" w:eastAsia="宋体" w:cs="Calibri Light"/>
          <w:color w:val="auto"/>
          <w:kern w:val="0"/>
          <w:sz w:val="28"/>
          <w:szCs w:val="28"/>
          <w:highlight w:val="none"/>
          <w:lang w:val="en-US" w:eastAsia="zh-CN"/>
        </w:rPr>
      </w:pPr>
      <w:r>
        <w:rPr>
          <w:rFonts w:hint="eastAsia" w:ascii="宋体" w:hAnsi="宋体" w:cs="Calibri Light"/>
          <w:color w:val="auto"/>
          <w:kern w:val="0"/>
          <w:sz w:val="28"/>
          <w:szCs w:val="28"/>
          <w:highlight w:val="none"/>
        </w:rPr>
        <w:t>采购编号：</w:t>
      </w:r>
      <w:r>
        <w:rPr>
          <w:rFonts w:hint="eastAsia" w:ascii="宋体" w:hAnsi="宋体" w:cs="Calibri Light"/>
          <w:color w:val="auto"/>
          <w:kern w:val="0"/>
          <w:sz w:val="28"/>
          <w:szCs w:val="28"/>
          <w:highlight w:val="none"/>
          <w:lang w:val="en-US" w:eastAsia="zh-CN"/>
        </w:rPr>
        <w:t>台财采确临[2022]9111号</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58"/>
        <w:jc w:val="center"/>
        <w:rPr>
          <w:rFonts w:ascii="宋体"/>
          <w:b/>
          <w:color w:val="auto"/>
          <w:kern w:val="0"/>
          <w:sz w:val="32"/>
          <w:highlight w:val="none"/>
        </w:rPr>
      </w:pPr>
      <w:r>
        <w:rPr>
          <w:rFonts w:hint="eastAsia" w:ascii="宋体" w:hAnsi="宋体"/>
          <w:b/>
          <w:color w:val="auto"/>
          <w:sz w:val="36"/>
          <w:highlight w:val="none"/>
        </w:rPr>
        <w:t>（线上电子招投标）</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auto"/>
          <w:kern w:val="0"/>
          <w:sz w:val="24"/>
          <w:highlight w:val="none"/>
        </w:rPr>
      </w:pPr>
    </w:p>
    <w:p>
      <w:pPr>
        <w:autoSpaceDE w:val="0"/>
        <w:autoSpaceDN w:val="0"/>
        <w:adjustRightInd w:val="0"/>
        <w:spacing w:line="360" w:lineRule="auto"/>
        <w:rPr>
          <w:rFonts w:ascii="宋体"/>
          <w:b/>
          <w:color w:val="auto"/>
          <w:kern w:val="0"/>
          <w:sz w:val="52"/>
          <w:szCs w:val="52"/>
          <w:highlight w:val="none"/>
        </w:rPr>
      </w:pPr>
    </w:p>
    <w:p>
      <w:pPr>
        <w:autoSpaceDE w:val="0"/>
        <w:autoSpaceDN w:val="0"/>
        <w:adjustRightInd w:val="0"/>
        <w:spacing w:line="360" w:lineRule="auto"/>
        <w:ind w:firstLine="1797" w:firstLineChars="642"/>
        <w:jc w:val="left"/>
        <w:rPr>
          <w:rFonts w:ascii="宋体"/>
          <w:color w:val="auto"/>
          <w:kern w:val="0"/>
          <w:sz w:val="28"/>
          <w:highlight w:val="none"/>
        </w:rPr>
      </w:pPr>
    </w:p>
    <w:p>
      <w:pPr>
        <w:autoSpaceDE w:val="0"/>
        <w:autoSpaceDN w:val="0"/>
        <w:adjustRightInd w:val="0"/>
        <w:spacing w:line="360" w:lineRule="auto"/>
        <w:jc w:val="left"/>
        <w:rPr>
          <w:rFonts w:ascii="宋体"/>
          <w:color w:val="auto"/>
          <w:kern w:val="0"/>
          <w:sz w:val="28"/>
          <w:highlight w:val="none"/>
        </w:rPr>
      </w:pPr>
    </w:p>
    <w:p>
      <w:pPr>
        <w:autoSpaceDE w:val="0"/>
        <w:autoSpaceDN w:val="0"/>
        <w:adjustRightInd w:val="0"/>
        <w:spacing w:line="360" w:lineRule="auto"/>
        <w:jc w:val="left"/>
        <w:rPr>
          <w:rFonts w:ascii="宋体"/>
          <w:color w:val="auto"/>
          <w:kern w:val="0"/>
          <w:sz w:val="28"/>
          <w:highlight w:val="none"/>
        </w:rPr>
      </w:pPr>
    </w:p>
    <w:p>
      <w:pPr>
        <w:autoSpaceDE w:val="0"/>
        <w:autoSpaceDN w:val="0"/>
        <w:adjustRightInd w:val="0"/>
        <w:spacing w:line="360" w:lineRule="auto"/>
        <w:jc w:val="left"/>
        <w:rPr>
          <w:rFonts w:ascii="宋体"/>
          <w:color w:val="auto"/>
          <w:kern w:val="0"/>
          <w:sz w:val="28"/>
          <w:highlight w:val="none"/>
        </w:rPr>
      </w:pPr>
    </w:p>
    <w:p>
      <w:pPr>
        <w:autoSpaceDE w:val="0"/>
        <w:autoSpaceDN w:val="0"/>
        <w:adjustRightInd w:val="0"/>
        <w:spacing w:line="360" w:lineRule="auto"/>
        <w:ind w:right="-197" w:rightChars="-94"/>
        <w:jc w:val="left"/>
        <w:rPr>
          <w:rFonts w:ascii="宋体"/>
          <w:color w:val="auto"/>
          <w:kern w:val="0"/>
          <w:sz w:val="28"/>
          <w:highlight w:val="none"/>
        </w:rPr>
      </w:pPr>
      <w:r>
        <w:rPr>
          <w:rFonts w:hint="eastAsia" w:ascii="宋体"/>
          <w:color w:val="auto"/>
          <w:kern w:val="0"/>
          <w:sz w:val="28"/>
          <w:highlight w:val="none"/>
        </w:rPr>
        <w:t>采购项目：</w:t>
      </w:r>
      <w:r>
        <w:rPr>
          <w:rFonts w:hint="eastAsia" w:ascii="宋体"/>
          <w:color w:val="auto"/>
          <w:kern w:val="0"/>
          <w:sz w:val="28"/>
          <w:highlight w:val="none"/>
        </w:rPr>
        <w:t>台州湾新区科技治水服务项目</w:t>
      </w:r>
    </w:p>
    <w:p>
      <w:pPr>
        <w:autoSpaceDE w:val="0"/>
        <w:autoSpaceDN w:val="0"/>
        <w:adjustRightInd w:val="0"/>
        <w:spacing w:line="360" w:lineRule="auto"/>
        <w:jc w:val="left"/>
        <w:rPr>
          <w:rFonts w:ascii="宋体"/>
          <w:color w:val="auto"/>
          <w:kern w:val="0"/>
          <w:sz w:val="28"/>
          <w:highlight w:val="none"/>
        </w:rPr>
      </w:pPr>
      <w:r>
        <w:rPr>
          <w:rFonts w:hint="eastAsia" w:ascii="宋体"/>
          <w:color w:val="auto"/>
          <w:kern w:val="0"/>
          <w:sz w:val="28"/>
          <w:highlight w:val="none"/>
        </w:rPr>
        <w:t>采购人：台州湾新区管理委员会</w:t>
      </w:r>
    </w:p>
    <w:p>
      <w:pPr>
        <w:autoSpaceDE w:val="0"/>
        <w:autoSpaceDN w:val="0"/>
        <w:adjustRightInd w:val="0"/>
        <w:spacing w:line="360" w:lineRule="auto"/>
        <w:rPr>
          <w:rFonts w:ascii="宋体"/>
          <w:color w:val="auto"/>
          <w:kern w:val="0"/>
          <w:sz w:val="28"/>
          <w:highlight w:val="none"/>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auto"/>
          <w:kern w:val="0"/>
          <w:sz w:val="32"/>
          <w:highlight w:val="none"/>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rPr>
          <w:rFonts w:ascii="宋体"/>
          <w:color w:val="auto"/>
          <w:kern w:val="0"/>
          <w:sz w:val="32"/>
          <w:highlight w:val="none"/>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rPr>
          <w:rFonts w:ascii="宋体"/>
          <w:color w:val="auto"/>
          <w:kern w:val="0"/>
          <w:sz w:val="32"/>
          <w:highlight w:val="none"/>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240" w:lineRule="atLeast"/>
        <w:ind w:right="84"/>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建经投资咨询</w:t>
      </w:r>
      <w:r>
        <w:rPr>
          <w:rFonts w:ascii="宋体" w:hAnsi="宋体" w:cs="宋体"/>
          <w:color w:val="auto"/>
          <w:kern w:val="0"/>
          <w:sz w:val="28"/>
          <w:szCs w:val="28"/>
          <w:highlight w:val="none"/>
        </w:rPr>
        <w:t>有限公司</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58"/>
        <w:jc w:val="center"/>
        <w:rPr>
          <w:rFonts w:ascii="宋体" w:hAnsi="宋体" w:cs="宋体"/>
          <w:color w:val="auto"/>
          <w:kern w:val="0"/>
          <w:sz w:val="28"/>
          <w:szCs w:val="28"/>
          <w:highlight w:val="none"/>
        </w:rPr>
      </w:pPr>
      <w:r>
        <w:rPr>
          <w:rFonts w:hint="eastAsia" w:ascii="宋体" w:hAnsi="宋体"/>
          <w:color w:val="auto"/>
          <w:sz w:val="28"/>
          <w:szCs w:val="28"/>
          <w:highlight w:val="none"/>
        </w:rPr>
        <w:t>2</w:t>
      </w:r>
      <w:r>
        <w:rPr>
          <w:rFonts w:ascii="宋体" w:hAnsi="宋体"/>
          <w:color w:val="auto"/>
          <w:sz w:val="28"/>
          <w:szCs w:val="28"/>
          <w:highlight w:val="none"/>
        </w:rPr>
        <w:t>022</w:t>
      </w:r>
      <w:r>
        <w:rPr>
          <w:rFonts w:hint="eastAsia" w:ascii="宋体" w:hAnsi="宋体" w:cs="宋体"/>
          <w:color w:val="auto"/>
          <w:kern w:val="0"/>
          <w:sz w:val="28"/>
          <w:szCs w:val="28"/>
          <w:highlight w:val="none"/>
        </w:rPr>
        <w:t>年</w:t>
      </w:r>
      <w:r>
        <w:rPr>
          <w:rFonts w:hint="eastAsia" w:ascii="宋体" w:hAnsi="宋体"/>
          <w:color w:val="auto"/>
          <w:sz w:val="28"/>
          <w:szCs w:val="28"/>
          <w:highlight w:val="none"/>
        </w:rPr>
        <w:t>11</w:t>
      </w:r>
      <w:r>
        <w:rPr>
          <w:rFonts w:hint="eastAsia" w:ascii="宋体" w:hAnsi="宋体" w:cs="宋体"/>
          <w:color w:val="auto"/>
          <w:kern w:val="0"/>
          <w:sz w:val="28"/>
          <w:szCs w:val="28"/>
          <w:highlight w:val="none"/>
        </w:rPr>
        <w:t>月</w:t>
      </w:r>
    </w:p>
    <w:p>
      <w:pPr>
        <w:spacing w:line="360" w:lineRule="auto"/>
        <w:rPr>
          <w:color w:val="auto"/>
          <w:highlight w:val="none"/>
        </w:rPr>
      </w:pPr>
    </w:p>
    <w:p>
      <w:pPr>
        <w:jc w:val="center"/>
        <w:rPr>
          <w:rFonts w:ascii="宋体" w:hAnsi="宋体" w:cs="Arial"/>
          <w:b/>
          <w:bCs/>
          <w:color w:val="auto"/>
          <w:sz w:val="36"/>
          <w:szCs w:val="36"/>
          <w:highlight w:val="none"/>
        </w:rPr>
      </w:pPr>
    </w:p>
    <w:p>
      <w:pPr>
        <w:jc w:val="center"/>
        <w:rPr>
          <w:rFonts w:ascii="宋体" w:hAnsi="宋体" w:cs="Arial"/>
          <w:b/>
          <w:bCs/>
          <w:color w:val="auto"/>
          <w:sz w:val="36"/>
          <w:szCs w:val="36"/>
          <w:highlight w:val="none"/>
        </w:rPr>
      </w:pPr>
      <w:r>
        <w:rPr>
          <w:rFonts w:hint="eastAsia" w:ascii="宋体" w:hAnsi="宋体" w:cs="Arial"/>
          <w:b/>
          <w:bCs/>
          <w:color w:val="auto"/>
          <w:sz w:val="36"/>
          <w:szCs w:val="36"/>
          <w:highlight w:val="none"/>
        </w:rPr>
        <w:t>目    录</w:t>
      </w: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left="3232" w:right="25" w:firstLine="6847"/>
        <w:jc w:val="left"/>
        <w:rPr>
          <w:rFonts w:ascii="宋体" w:hAnsi="宋体"/>
          <w:b/>
          <w:color w:val="auto"/>
          <w:sz w:val="36"/>
          <w:highlight w:val="none"/>
        </w:rPr>
      </w:pPr>
    </w:p>
    <w:p>
      <w:pPr>
        <w:spacing w:line="360" w:lineRule="auto"/>
        <w:rPr>
          <w:rFonts w:ascii="新宋体" w:hAnsi="新宋体" w:eastAsia="新宋体"/>
          <w:color w:val="auto"/>
          <w:sz w:val="28"/>
          <w:szCs w:val="28"/>
          <w:highlight w:val="none"/>
        </w:rPr>
      </w:pPr>
    </w:p>
    <w:p>
      <w:pPr>
        <w:numPr>
          <w:ilvl w:val="0"/>
          <w:numId w:val="2"/>
        </w:numPr>
        <w:spacing w:line="360" w:lineRule="auto"/>
        <w:rPr>
          <w:rFonts w:ascii="宋体" w:hAnsi="宋体"/>
          <w:b/>
          <w:color w:val="auto"/>
          <w:sz w:val="28"/>
          <w:szCs w:val="28"/>
          <w:highlight w:val="none"/>
        </w:rPr>
      </w:pPr>
      <w:r>
        <w:rPr>
          <w:rFonts w:hint="eastAsia" w:ascii="宋体" w:hAnsi="宋体"/>
          <w:b/>
          <w:color w:val="auto"/>
          <w:sz w:val="28"/>
          <w:szCs w:val="28"/>
          <w:highlight w:val="none"/>
        </w:rPr>
        <w:t>招标公告</w:t>
      </w:r>
    </w:p>
    <w:p>
      <w:pPr>
        <w:numPr>
          <w:ilvl w:val="0"/>
          <w:numId w:val="2"/>
        </w:numPr>
        <w:spacing w:line="360" w:lineRule="auto"/>
        <w:rPr>
          <w:rFonts w:ascii="宋体" w:hAnsi="宋体"/>
          <w:b/>
          <w:color w:val="auto"/>
          <w:sz w:val="28"/>
          <w:szCs w:val="28"/>
          <w:highlight w:val="none"/>
        </w:rPr>
      </w:pPr>
      <w:r>
        <w:rPr>
          <w:rFonts w:hint="eastAsia" w:ascii="宋体" w:hAnsi="宋体"/>
          <w:b/>
          <w:color w:val="auto"/>
          <w:sz w:val="28"/>
          <w:szCs w:val="28"/>
          <w:highlight w:val="none"/>
        </w:rPr>
        <w:t>投标人须知</w:t>
      </w:r>
    </w:p>
    <w:p>
      <w:pPr>
        <w:numPr>
          <w:ilvl w:val="0"/>
          <w:numId w:val="2"/>
        </w:numPr>
        <w:spacing w:line="360" w:lineRule="auto"/>
        <w:rPr>
          <w:rFonts w:ascii="宋体" w:hAnsi="宋体"/>
          <w:b/>
          <w:color w:val="auto"/>
          <w:sz w:val="28"/>
          <w:szCs w:val="28"/>
          <w:highlight w:val="none"/>
        </w:rPr>
      </w:pPr>
      <w:r>
        <w:rPr>
          <w:rFonts w:hint="eastAsia" w:ascii="宋体" w:hAnsi="宋体"/>
          <w:b/>
          <w:color w:val="auto"/>
          <w:sz w:val="28"/>
          <w:szCs w:val="28"/>
          <w:highlight w:val="none"/>
        </w:rPr>
        <w:t>评标办法及评分标准</w:t>
      </w:r>
    </w:p>
    <w:p>
      <w:pPr>
        <w:numPr>
          <w:ilvl w:val="0"/>
          <w:numId w:val="2"/>
        </w:numPr>
        <w:spacing w:line="360" w:lineRule="auto"/>
        <w:rPr>
          <w:rFonts w:ascii="宋体" w:hAnsi="宋体"/>
          <w:b/>
          <w:color w:val="auto"/>
          <w:sz w:val="28"/>
          <w:szCs w:val="28"/>
          <w:highlight w:val="none"/>
        </w:rPr>
      </w:pPr>
      <w:r>
        <w:rPr>
          <w:rFonts w:hint="eastAsia" w:ascii="宋体" w:hAnsi="宋体"/>
          <w:b/>
          <w:color w:val="auto"/>
          <w:sz w:val="28"/>
          <w:szCs w:val="28"/>
          <w:highlight w:val="none"/>
        </w:rPr>
        <w:t>招标需求</w:t>
      </w:r>
    </w:p>
    <w:p>
      <w:pPr>
        <w:numPr>
          <w:ilvl w:val="0"/>
          <w:numId w:val="2"/>
        </w:numPr>
        <w:spacing w:line="360" w:lineRule="auto"/>
        <w:rPr>
          <w:rFonts w:ascii="宋体" w:hAnsi="宋体"/>
          <w:b/>
          <w:color w:val="auto"/>
          <w:sz w:val="28"/>
          <w:szCs w:val="28"/>
          <w:highlight w:val="none"/>
        </w:rPr>
      </w:pPr>
      <w:r>
        <w:rPr>
          <w:rFonts w:hint="eastAsia" w:ascii="宋体" w:hAnsi="宋体"/>
          <w:b/>
          <w:color w:val="auto"/>
          <w:sz w:val="28"/>
          <w:szCs w:val="28"/>
          <w:highlight w:val="none"/>
        </w:rPr>
        <w:t>政府采购合同主要条款指引</w:t>
      </w:r>
    </w:p>
    <w:p>
      <w:pPr>
        <w:numPr>
          <w:ilvl w:val="0"/>
          <w:numId w:val="2"/>
        </w:numPr>
        <w:spacing w:line="360" w:lineRule="auto"/>
        <w:rPr>
          <w:rFonts w:ascii="宋体" w:hAnsi="宋体"/>
          <w:b/>
          <w:color w:val="auto"/>
          <w:sz w:val="28"/>
          <w:szCs w:val="28"/>
          <w:highlight w:val="none"/>
        </w:rPr>
      </w:pPr>
      <w:r>
        <w:rPr>
          <w:rFonts w:hint="eastAsia" w:ascii="宋体" w:hAnsi="宋体"/>
          <w:b/>
          <w:color w:val="auto"/>
          <w:sz w:val="28"/>
          <w:szCs w:val="28"/>
          <w:highlight w:val="none"/>
        </w:rPr>
        <w:t>投标文件格式附件</w:t>
      </w: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tabs>
          <w:tab w:val="left" w:pos="180"/>
          <w:tab w:val="left" w:pos="360"/>
          <w:tab w:val="left" w:pos="540"/>
          <w:tab w:val="left" w:pos="8280"/>
        </w:tabs>
        <w:autoSpaceDE w:val="0"/>
        <w:autoSpaceDN w:val="0"/>
        <w:adjustRightInd w:val="0"/>
        <w:spacing w:line="360" w:lineRule="auto"/>
        <w:ind w:right="23"/>
        <w:jc w:val="center"/>
        <w:rPr>
          <w:rFonts w:ascii="宋体" w:hAnsi="宋体"/>
          <w:b/>
          <w:color w:val="auto"/>
          <w:kern w:val="0"/>
          <w:sz w:val="36"/>
          <w:szCs w:val="36"/>
          <w:highlight w:val="none"/>
        </w:rPr>
        <w:sectPr>
          <w:headerReference r:id="rId3" w:type="default"/>
          <w:pgSz w:w="11906" w:h="16838"/>
          <w:pgMar w:top="1440" w:right="1800" w:bottom="1440" w:left="1800" w:header="851" w:footer="992" w:gutter="0"/>
          <w:cols w:space="425" w:num="1"/>
          <w:docGrid w:type="lines" w:linePitch="312" w:charSpace="0"/>
        </w:sectPr>
      </w:pPr>
    </w:p>
    <w:p>
      <w:pPr>
        <w:tabs>
          <w:tab w:val="left" w:pos="180"/>
          <w:tab w:val="left" w:pos="360"/>
          <w:tab w:val="left" w:pos="540"/>
          <w:tab w:val="left" w:pos="8280"/>
        </w:tabs>
        <w:autoSpaceDE w:val="0"/>
        <w:autoSpaceDN w:val="0"/>
        <w:adjustRightInd w:val="0"/>
        <w:spacing w:line="360" w:lineRule="auto"/>
        <w:ind w:right="23"/>
        <w:jc w:val="center"/>
        <w:rPr>
          <w:rFonts w:ascii="宋体" w:hAnsi="宋体"/>
          <w:b/>
          <w:color w:val="auto"/>
          <w:kern w:val="0"/>
          <w:sz w:val="36"/>
          <w:szCs w:val="36"/>
          <w:highlight w:val="none"/>
        </w:rPr>
      </w:pPr>
      <w:r>
        <w:rPr>
          <w:rFonts w:hint="eastAsia" w:ascii="宋体" w:hAnsi="宋体"/>
          <w:b/>
          <w:color w:val="auto"/>
          <w:kern w:val="0"/>
          <w:sz w:val="36"/>
          <w:szCs w:val="36"/>
          <w:highlight w:val="none"/>
        </w:rPr>
        <w:t xml:space="preserve">第一章  </w:t>
      </w:r>
      <w:r>
        <w:rPr>
          <w:rFonts w:hint="eastAsia" w:ascii="宋体" w:hAnsi="宋体"/>
          <w:b/>
          <w:color w:val="auto"/>
          <w:sz w:val="36"/>
          <w:szCs w:val="36"/>
          <w:highlight w:val="none"/>
        </w:rPr>
        <w:t>招标公告</w:t>
      </w:r>
    </w:p>
    <w:p>
      <w:pPr>
        <w:tabs>
          <w:tab w:val="left" w:pos="180"/>
          <w:tab w:val="left" w:pos="360"/>
          <w:tab w:val="left" w:pos="540"/>
          <w:tab w:val="left" w:pos="8280"/>
        </w:tabs>
        <w:autoSpaceDE w:val="0"/>
        <w:autoSpaceDN w:val="0"/>
        <w:adjustRightInd w:val="0"/>
        <w:spacing w:beforeLines="100" w:line="360" w:lineRule="auto"/>
        <w:ind w:right="23" w:firstLine="539"/>
        <w:jc w:val="left"/>
        <w:rPr>
          <w:rFonts w:ascii="宋体" w:hAnsi="宋体"/>
          <w:color w:val="auto"/>
          <w:kern w:val="0"/>
          <w:sz w:val="24"/>
          <w:highlight w:val="none"/>
        </w:rPr>
      </w:pPr>
      <w:r>
        <w:rPr>
          <w:rFonts w:hint="eastAsia" w:ascii="宋体" w:hAnsi="宋体"/>
          <w:color w:val="auto"/>
          <w:kern w:val="0"/>
          <w:sz w:val="24"/>
          <w:highlight w:val="none"/>
        </w:rPr>
        <w:t>根据《中华人民共和国政府采购法》、《中华人民共和国政府采购法实施条例》和财政部令第87号《政府采购货物和服务招标投标管理办法》等有关规定</w:t>
      </w:r>
      <w:r>
        <w:rPr>
          <w:rFonts w:ascii="宋体" w:hAnsi="宋体"/>
          <w:color w:val="auto"/>
          <w:kern w:val="0"/>
          <w:sz w:val="24"/>
          <w:highlight w:val="none"/>
        </w:rPr>
        <w:t xml:space="preserve">, </w:t>
      </w:r>
      <w:r>
        <w:rPr>
          <w:rFonts w:hint="eastAsia" w:ascii="宋体" w:hAnsi="宋体"/>
          <w:color w:val="auto"/>
          <w:kern w:val="0"/>
          <w:sz w:val="24"/>
          <w:highlight w:val="none"/>
        </w:rPr>
        <w:t>受采购人委托，现就</w:t>
      </w:r>
      <w:r>
        <w:rPr>
          <w:rFonts w:hint="eastAsia" w:ascii="宋体" w:hAnsi="宋体"/>
          <w:color w:val="auto"/>
          <w:sz w:val="24"/>
          <w:highlight w:val="none"/>
          <w:u w:val="single"/>
        </w:rPr>
        <w:t>台州湾新区管理委员会</w:t>
      </w:r>
      <w:r>
        <w:rPr>
          <w:rFonts w:hint="eastAsia" w:ascii="宋体" w:hAnsi="宋体"/>
          <w:color w:val="auto"/>
          <w:sz w:val="24"/>
          <w:highlight w:val="none"/>
        </w:rPr>
        <w:t>（单位</w:t>
      </w:r>
      <w:r>
        <w:rPr>
          <w:rFonts w:ascii="宋体" w:hAnsi="宋体"/>
          <w:color w:val="auto"/>
          <w:sz w:val="24"/>
          <w:highlight w:val="none"/>
        </w:rPr>
        <w:t>名称</w:t>
      </w:r>
      <w:r>
        <w:rPr>
          <w:rFonts w:hint="eastAsia" w:ascii="宋体" w:hAnsi="宋体"/>
          <w:color w:val="auto"/>
          <w:sz w:val="24"/>
          <w:highlight w:val="none"/>
        </w:rPr>
        <w:t>）</w:t>
      </w:r>
      <w:r>
        <w:rPr>
          <w:rFonts w:hint="eastAsia" w:ascii="宋体" w:hAnsi="宋体"/>
          <w:color w:val="auto"/>
          <w:kern w:val="0"/>
          <w:sz w:val="24"/>
          <w:highlight w:val="none"/>
        </w:rPr>
        <w:t>的</w:t>
      </w:r>
      <w:r>
        <w:rPr>
          <w:rFonts w:hint="eastAsia" w:ascii="宋体" w:hAnsi="宋体"/>
          <w:color w:val="auto"/>
          <w:sz w:val="24"/>
          <w:highlight w:val="none"/>
          <w:u w:val="single"/>
        </w:rPr>
        <w:t>台州湾新区科技治水服务项目</w:t>
      </w:r>
      <w:r>
        <w:rPr>
          <w:rFonts w:hint="eastAsia" w:ascii="宋体" w:hAnsi="宋体"/>
          <w:color w:val="auto"/>
          <w:sz w:val="24"/>
          <w:highlight w:val="none"/>
        </w:rPr>
        <w:t>（项目</w:t>
      </w:r>
      <w:r>
        <w:rPr>
          <w:rFonts w:ascii="宋体" w:hAnsi="宋体"/>
          <w:color w:val="auto"/>
          <w:sz w:val="24"/>
          <w:highlight w:val="none"/>
        </w:rPr>
        <w:t>名称</w:t>
      </w:r>
      <w:r>
        <w:rPr>
          <w:rFonts w:hint="eastAsia" w:ascii="宋体" w:hAnsi="宋体"/>
          <w:color w:val="auto"/>
          <w:sz w:val="24"/>
          <w:highlight w:val="none"/>
        </w:rPr>
        <w:t>）</w:t>
      </w:r>
      <w:r>
        <w:rPr>
          <w:rFonts w:hint="eastAsia" w:ascii="宋体" w:hAnsi="宋体"/>
          <w:color w:val="auto"/>
          <w:kern w:val="0"/>
          <w:sz w:val="24"/>
          <w:highlight w:val="none"/>
        </w:rPr>
        <w:t>进行公开招标采购，欢迎合格供应商前来投标。</w:t>
      </w:r>
    </w:p>
    <w:p>
      <w:pPr>
        <w:tabs>
          <w:tab w:val="left" w:pos="180"/>
          <w:tab w:val="left" w:pos="360"/>
          <w:tab w:val="left" w:pos="540"/>
          <w:tab w:val="left" w:pos="8280"/>
        </w:tabs>
        <w:autoSpaceDE w:val="0"/>
        <w:autoSpaceDN w:val="0"/>
        <w:adjustRightInd w:val="0"/>
        <w:spacing w:before="100" w:line="360" w:lineRule="auto"/>
        <w:ind w:left="539" w:right="23"/>
        <w:jc w:val="left"/>
        <w:rPr>
          <w:rFonts w:ascii="宋体" w:hAnsi="宋体"/>
          <w:color w:val="auto"/>
          <w:kern w:val="0"/>
          <w:sz w:val="24"/>
          <w:highlight w:val="none"/>
        </w:rPr>
      </w:pPr>
      <w:r>
        <w:rPr>
          <w:rFonts w:hint="eastAsia" w:ascii="宋体" w:hAnsi="宋体"/>
          <w:b/>
          <w:color w:val="auto"/>
          <w:kern w:val="0"/>
          <w:sz w:val="24"/>
          <w:highlight w:val="none"/>
        </w:rPr>
        <w:t>一、项目编号：</w:t>
      </w:r>
      <w:r>
        <w:rPr>
          <w:rFonts w:hint="eastAsia" w:ascii="宋体" w:hAnsi="宋体"/>
          <w:b/>
          <w:color w:val="auto"/>
          <w:kern w:val="0"/>
          <w:sz w:val="24"/>
          <w:highlight w:val="none"/>
          <w:lang w:val="en-US" w:eastAsia="zh-CN"/>
        </w:rPr>
        <w:t>台财采确临[2022]9111号</w:t>
      </w:r>
    </w:p>
    <w:p>
      <w:pPr>
        <w:tabs>
          <w:tab w:val="left" w:pos="180"/>
          <w:tab w:val="left" w:pos="360"/>
          <w:tab w:val="left" w:pos="540"/>
          <w:tab w:val="left" w:pos="8280"/>
        </w:tabs>
        <w:autoSpaceDE w:val="0"/>
        <w:autoSpaceDN w:val="0"/>
        <w:adjustRightInd w:val="0"/>
        <w:spacing w:before="100" w:line="360" w:lineRule="auto"/>
        <w:ind w:left="539" w:right="23"/>
        <w:jc w:val="left"/>
        <w:rPr>
          <w:rFonts w:ascii="宋体" w:hAnsi="宋体"/>
          <w:b/>
          <w:color w:val="auto"/>
          <w:kern w:val="0"/>
          <w:sz w:val="24"/>
          <w:highlight w:val="none"/>
        </w:rPr>
      </w:pPr>
      <w:r>
        <w:rPr>
          <w:rFonts w:hint="eastAsia" w:ascii="宋体" w:hAnsi="宋体"/>
          <w:b/>
          <w:color w:val="auto"/>
          <w:kern w:val="0"/>
          <w:sz w:val="24"/>
          <w:highlight w:val="none"/>
        </w:rPr>
        <w:t>二、招标项目概况：</w:t>
      </w:r>
    </w:p>
    <w:tbl>
      <w:tblPr>
        <w:tblStyle w:val="24"/>
        <w:tblW w:w="10055" w:type="dxa"/>
        <w:tblInd w:w="-5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470"/>
        <w:gridCol w:w="4200"/>
        <w:gridCol w:w="1335"/>
        <w:gridCol w:w="1333"/>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630" w:type="dxa"/>
            <w:vAlign w:val="center"/>
          </w:tcPr>
          <w:p>
            <w:pPr>
              <w:tabs>
                <w:tab w:val="left" w:pos="8280"/>
              </w:tabs>
              <w:autoSpaceDE w:val="0"/>
              <w:autoSpaceDN w:val="0"/>
              <w:adjustRightInd w:val="0"/>
              <w:ind w:right="25"/>
              <w:jc w:val="center"/>
              <w:rPr>
                <w:rFonts w:ascii="宋体" w:hAnsi="宋体"/>
                <w:b/>
                <w:color w:val="auto"/>
                <w:sz w:val="24"/>
                <w:highlight w:val="none"/>
              </w:rPr>
            </w:pPr>
            <w:r>
              <w:rPr>
                <w:rFonts w:hint="eastAsia" w:ascii="宋体" w:hAnsi="宋体"/>
                <w:b/>
                <w:color w:val="auto"/>
                <w:sz w:val="24"/>
                <w:highlight w:val="none"/>
              </w:rPr>
              <w:t>标段号</w:t>
            </w:r>
          </w:p>
        </w:tc>
        <w:tc>
          <w:tcPr>
            <w:tcW w:w="1470" w:type="dxa"/>
            <w:vAlign w:val="center"/>
          </w:tcPr>
          <w:p>
            <w:pPr>
              <w:tabs>
                <w:tab w:val="left" w:pos="8280"/>
              </w:tabs>
              <w:autoSpaceDE w:val="0"/>
              <w:autoSpaceDN w:val="0"/>
              <w:adjustRightInd w:val="0"/>
              <w:ind w:right="25" w:firstLine="120" w:firstLineChars="50"/>
              <w:jc w:val="center"/>
              <w:rPr>
                <w:rFonts w:ascii="宋体" w:hAnsi="宋体"/>
                <w:b/>
                <w:color w:val="auto"/>
                <w:sz w:val="24"/>
                <w:highlight w:val="none"/>
              </w:rPr>
            </w:pPr>
            <w:r>
              <w:rPr>
                <w:rFonts w:hint="eastAsia" w:ascii="宋体" w:hAnsi="宋体"/>
                <w:b/>
                <w:color w:val="auto"/>
                <w:sz w:val="24"/>
                <w:highlight w:val="none"/>
              </w:rPr>
              <w:t>项目名称</w:t>
            </w:r>
          </w:p>
        </w:tc>
        <w:tc>
          <w:tcPr>
            <w:tcW w:w="4200" w:type="dxa"/>
            <w:vAlign w:val="center"/>
          </w:tcPr>
          <w:p>
            <w:pPr>
              <w:tabs>
                <w:tab w:val="left" w:pos="8280"/>
              </w:tabs>
              <w:autoSpaceDE w:val="0"/>
              <w:autoSpaceDN w:val="0"/>
              <w:adjustRightInd w:val="0"/>
              <w:ind w:right="25"/>
              <w:jc w:val="center"/>
              <w:rPr>
                <w:rFonts w:ascii="宋体" w:hAnsi="宋体"/>
                <w:b/>
                <w:color w:val="auto"/>
                <w:sz w:val="24"/>
                <w:highlight w:val="none"/>
              </w:rPr>
            </w:pPr>
            <w:r>
              <w:rPr>
                <w:rFonts w:hint="eastAsia" w:ascii="宋体" w:hAnsi="宋体" w:cs="宋体"/>
                <w:b/>
                <w:color w:val="auto"/>
                <w:kern w:val="0"/>
                <w:sz w:val="24"/>
                <w:highlight w:val="none"/>
              </w:rPr>
              <w:t>采购内容</w:t>
            </w:r>
          </w:p>
        </w:tc>
        <w:tc>
          <w:tcPr>
            <w:tcW w:w="1335" w:type="dxa"/>
            <w:vAlign w:val="center"/>
          </w:tcPr>
          <w:p>
            <w:pPr>
              <w:tabs>
                <w:tab w:val="left" w:pos="8280"/>
              </w:tabs>
              <w:autoSpaceDE w:val="0"/>
              <w:autoSpaceDN w:val="0"/>
              <w:adjustRightInd w:val="0"/>
              <w:ind w:right="25"/>
              <w:jc w:val="center"/>
              <w:rPr>
                <w:rFonts w:ascii="宋体" w:hAnsi="宋体"/>
                <w:b/>
                <w:color w:val="auto"/>
                <w:sz w:val="24"/>
                <w:highlight w:val="none"/>
              </w:rPr>
            </w:pPr>
            <w:r>
              <w:rPr>
                <w:rFonts w:hint="eastAsia" w:ascii="宋体" w:hAnsi="宋体"/>
                <w:b/>
                <w:color w:val="auto"/>
                <w:sz w:val="24"/>
                <w:highlight w:val="none"/>
              </w:rPr>
              <w:t>预算</w:t>
            </w:r>
          </w:p>
          <w:p>
            <w:pPr>
              <w:tabs>
                <w:tab w:val="left" w:pos="8280"/>
              </w:tabs>
              <w:autoSpaceDE w:val="0"/>
              <w:autoSpaceDN w:val="0"/>
              <w:adjustRightInd w:val="0"/>
              <w:ind w:right="25"/>
              <w:jc w:val="center"/>
              <w:rPr>
                <w:rFonts w:ascii="宋体" w:hAnsi="宋体"/>
                <w:b/>
                <w:color w:val="auto"/>
                <w:sz w:val="24"/>
                <w:highlight w:val="none"/>
              </w:rPr>
            </w:pPr>
            <w:r>
              <w:rPr>
                <w:rFonts w:hint="eastAsia" w:ascii="宋体" w:hAnsi="宋体"/>
                <w:b/>
                <w:color w:val="auto"/>
                <w:sz w:val="24"/>
                <w:highlight w:val="none"/>
              </w:rPr>
              <w:t>（万元）</w:t>
            </w:r>
          </w:p>
        </w:tc>
        <w:tc>
          <w:tcPr>
            <w:tcW w:w="1333" w:type="dxa"/>
            <w:vAlign w:val="center"/>
          </w:tcPr>
          <w:p>
            <w:pPr>
              <w:tabs>
                <w:tab w:val="left" w:pos="8280"/>
              </w:tabs>
              <w:autoSpaceDE w:val="0"/>
              <w:autoSpaceDN w:val="0"/>
              <w:adjustRightInd w:val="0"/>
              <w:ind w:right="25"/>
              <w:jc w:val="center"/>
              <w:rPr>
                <w:rFonts w:ascii="宋体" w:hAnsi="宋体"/>
                <w:b/>
                <w:color w:val="auto"/>
                <w:sz w:val="24"/>
                <w:highlight w:val="none"/>
              </w:rPr>
            </w:pPr>
            <w:r>
              <w:rPr>
                <w:rFonts w:hint="eastAsia" w:ascii="宋体" w:hAnsi="宋体"/>
                <w:b/>
                <w:color w:val="auto"/>
                <w:sz w:val="24"/>
                <w:highlight w:val="none"/>
              </w:rPr>
              <w:t>最高限价（万元）</w:t>
            </w:r>
          </w:p>
        </w:tc>
        <w:tc>
          <w:tcPr>
            <w:tcW w:w="1087" w:type="dxa"/>
            <w:vAlign w:val="center"/>
          </w:tcPr>
          <w:p>
            <w:pPr>
              <w:tabs>
                <w:tab w:val="left" w:pos="8280"/>
              </w:tabs>
              <w:autoSpaceDE w:val="0"/>
              <w:autoSpaceDN w:val="0"/>
              <w:adjustRightInd w:val="0"/>
              <w:ind w:right="25"/>
              <w:jc w:val="center"/>
              <w:rPr>
                <w:rFonts w:ascii="宋体" w:hAnsi="宋体"/>
                <w:b/>
                <w:color w:val="auto"/>
                <w:sz w:val="24"/>
                <w:highlight w:val="none"/>
              </w:rPr>
            </w:pPr>
            <w:r>
              <w:rPr>
                <w:rFonts w:hint="eastAsia" w:ascii="宋体" w:hAnsi="宋体"/>
                <w:b/>
                <w:color w:val="auto"/>
                <w:sz w:val="24"/>
                <w:highlight w:val="none"/>
              </w:rPr>
              <w:t>服务期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7" w:hRule="atLeast"/>
        </w:trPr>
        <w:tc>
          <w:tcPr>
            <w:tcW w:w="630" w:type="dxa"/>
            <w:vAlign w:val="center"/>
          </w:tcPr>
          <w:p>
            <w:pPr>
              <w:tabs>
                <w:tab w:val="left" w:pos="8280"/>
              </w:tabs>
              <w:autoSpaceDE w:val="0"/>
              <w:autoSpaceDN w:val="0"/>
              <w:adjustRightInd w:val="0"/>
              <w:ind w:right="25"/>
              <w:jc w:val="center"/>
              <w:rPr>
                <w:rFonts w:ascii="宋体" w:hAnsi="宋体"/>
                <w:color w:val="auto"/>
                <w:sz w:val="24"/>
                <w:highlight w:val="none"/>
              </w:rPr>
            </w:pPr>
            <w:r>
              <w:rPr>
                <w:rFonts w:hint="eastAsia" w:ascii="宋体" w:hAnsi="宋体"/>
                <w:color w:val="auto"/>
                <w:sz w:val="24"/>
                <w:highlight w:val="none"/>
              </w:rPr>
              <w:t>一个</w:t>
            </w:r>
          </w:p>
          <w:p>
            <w:pPr>
              <w:tabs>
                <w:tab w:val="left" w:pos="8280"/>
              </w:tabs>
              <w:autoSpaceDE w:val="0"/>
              <w:autoSpaceDN w:val="0"/>
              <w:adjustRightInd w:val="0"/>
              <w:ind w:right="25"/>
              <w:jc w:val="center"/>
              <w:rPr>
                <w:rFonts w:ascii="宋体" w:hAnsi="宋体"/>
                <w:color w:val="auto"/>
                <w:sz w:val="24"/>
                <w:highlight w:val="none"/>
              </w:rPr>
            </w:pPr>
            <w:r>
              <w:rPr>
                <w:rFonts w:hint="eastAsia" w:ascii="宋体" w:hAnsi="宋体"/>
                <w:color w:val="auto"/>
                <w:sz w:val="24"/>
                <w:highlight w:val="none"/>
              </w:rPr>
              <w:t>标段</w:t>
            </w:r>
          </w:p>
        </w:tc>
        <w:tc>
          <w:tcPr>
            <w:tcW w:w="1470" w:type="dxa"/>
            <w:vAlign w:val="center"/>
          </w:tcPr>
          <w:p>
            <w:pPr>
              <w:tabs>
                <w:tab w:val="left" w:pos="8280"/>
              </w:tabs>
              <w:autoSpaceDE w:val="0"/>
              <w:autoSpaceDN w:val="0"/>
              <w:adjustRightInd w:val="0"/>
              <w:ind w:right="25"/>
              <w:jc w:val="center"/>
              <w:rPr>
                <w:rFonts w:ascii="宋体" w:hAnsi="宋体"/>
                <w:color w:val="auto"/>
                <w:sz w:val="24"/>
                <w:highlight w:val="none"/>
              </w:rPr>
            </w:pPr>
            <w:r>
              <w:rPr>
                <w:rFonts w:hint="eastAsia" w:ascii="宋体" w:hAnsi="宋体"/>
                <w:color w:val="auto"/>
                <w:sz w:val="24"/>
                <w:highlight w:val="none"/>
              </w:rPr>
              <w:t>台州湾新区科技治水服务项目</w:t>
            </w:r>
          </w:p>
        </w:tc>
        <w:tc>
          <w:tcPr>
            <w:tcW w:w="4200" w:type="dxa"/>
            <w:vAlign w:val="center"/>
          </w:tcPr>
          <w:p>
            <w:pPr>
              <w:spacing w:line="0" w:lineRule="atLeast"/>
              <w:jc w:val="left"/>
              <w:rPr>
                <w:color w:val="auto"/>
                <w:sz w:val="24"/>
                <w:highlight w:val="none"/>
              </w:rPr>
            </w:pPr>
            <w:r>
              <w:rPr>
                <w:rFonts w:hint="eastAsia"/>
                <w:color w:val="auto"/>
                <w:sz w:val="24"/>
                <w:highlight w:val="none"/>
              </w:rPr>
              <w:t>台州湾新区科技治水“管家式”服务：</w:t>
            </w:r>
          </w:p>
          <w:p>
            <w:pPr>
              <w:spacing w:line="0" w:lineRule="atLeast"/>
              <w:jc w:val="left"/>
              <w:rPr>
                <w:color w:val="auto"/>
                <w:sz w:val="24"/>
                <w:highlight w:val="none"/>
              </w:rPr>
            </w:pPr>
            <w:r>
              <w:rPr>
                <w:rFonts w:hint="eastAsia"/>
                <w:color w:val="auto"/>
                <w:sz w:val="24"/>
                <w:highlight w:val="none"/>
              </w:rPr>
              <w:t>1、台州湾新区水生态环境跟踪监测及预警服务；</w:t>
            </w:r>
          </w:p>
          <w:p>
            <w:pPr>
              <w:spacing w:line="0" w:lineRule="atLeast"/>
              <w:jc w:val="left"/>
              <w:rPr>
                <w:color w:val="auto"/>
                <w:sz w:val="24"/>
                <w:highlight w:val="none"/>
              </w:rPr>
            </w:pPr>
            <w:r>
              <w:rPr>
                <w:rFonts w:hint="eastAsia"/>
                <w:color w:val="auto"/>
                <w:sz w:val="24"/>
                <w:highlight w:val="none"/>
              </w:rPr>
              <w:t>2、台州湾新区涉水污染源及排水口调查巡查监管服务；</w:t>
            </w:r>
          </w:p>
          <w:p>
            <w:pPr>
              <w:spacing w:line="0" w:lineRule="atLeast"/>
              <w:jc w:val="left"/>
              <w:rPr>
                <w:color w:val="auto"/>
                <w:sz w:val="24"/>
                <w:highlight w:val="none"/>
              </w:rPr>
            </w:pPr>
            <w:r>
              <w:rPr>
                <w:rFonts w:hint="eastAsia"/>
                <w:color w:val="auto"/>
                <w:sz w:val="24"/>
                <w:highlight w:val="none"/>
              </w:rPr>
              <w:t>3、台州湾新区污水零直排区建设技术支持服务；</w:t>
            </w:r>
          </w:p>
          <w:p>
            <w:pPr>
              <w:spacing w:line="0" w:lineRule="atLeast"/>
              <w:jc w:val="left"/>
              <w:rPr>
                <w:color w:val="auto"/>
                <w:sz w:val="24"/>
                <w:highlight w:val="none"/>
              </w:rPr>
            </w:pPr>
            <w:r>
              <w:rPr>
                <w:rFonts w:hint="eastAsia"/>
                <w:color w:val="auto"/>
                <w:sz w:val="24"/>
                <w:highlight w:val="none"/>
              </w:rPr>
              <w:t>4、相关技术报告等其他服务。</w:t>
            </w:r>
          </w:p>
          <w:p>
            <w:pPr>
              <w:spacing w:line="0" w:lineRule="atLeast"/>
              <w:jc w:val="left"/>
              <w:rPr>
                <w:rFonts w:ascii="宋体" w:hAnsi="宋体"/>
                <w:color w:val="auto"/>
                <w:sz w:val="24"/>
                <w:highlight w:val="none"/>
              </w:rPr>
            </w:pPr>
            <w:r>
              <w:rPr>
                <w:rFonts w:hint="eastAsia"/>
                <w:color w:val="auto"/>
                <w:sz w:val="24"/>
                <w:highlight w:val="none"/>
              </w:rPr>
              <w:t>（详见招标需求）</w:t>
            </w:r>
          </w:p>
        </w:tc>
        <w:tc>
          <w:tcPr>
            <w:tcW w:w="1335" w:type="dxa"/>
            <w:vAlign w:val="center"/>
          </w:tcPr>
          <w:p>
            <w:pPr>
              <w:tabs>
                <w:tab w:val="left" w:pos="8280"/>
              </w:tabs>
              <w:autoSpaceDE w:val="0"/>
              <w:autoSpaceDN w:val="0"/>
              <w:adjustRightInd w:val="0"/>
              <w:ind w:right="25"/>
              <w:jc w:val="center"/>
              <w:rPr>
                <w:rFonts w:ascii="宋体" w:hAnsi="宋体"/>
                <w:snapToGrid w:val="0"/>
                <w:color w:val="auto"/>
                <w:kern w:val="0"/>
                <w:sz w:val="24"/>
                <w:highlight w:val="none"/>
              </w:rPr>
            </w:pPr>
            <w:r>
              <w:rPr>
                <w:rFonts w:hint="eastAsia" w:ascii="宋体" w:hAnsi="宋体"/>
                <w:snapToGrid w:val="0"/>
                <w:color w:val="auto"/>
                <w:kern w:val="0"/>
                <w:sz w:val="24"/>
                <w:highlight w:val="none"/>
              </w:rPr>
              <w:t>580</w:t>
            </w:r>
          </w:p>
        </w:tc>
        <w:tc>
          <w:tcPr>
            <w:tcW w:w="1333" w:type="dxa"/>
            <w:vAlign w:val="center"/>
          </w:tcPr>
          <w:p>
            <w:pPr>
              <w:tabs>
                <w:tab w:val="left" w:pos="8280"/>
              </w:tabs>
              <w:autoSpaceDE w:val="0"/>
              <w:autoSpaceDN w:val="0"/>
              <w:adjustRightInd w:val="0"/>
              <w:ind w:right="25"/>
              <w:jc w:val="center"/>
              <w:rPr>
                <w:rFonts w:ascii="宋体" w:hAnsi="宋体"/>
                <w:snapToGrid w:val="0"/>
                <w:color w:val="auto"/>
                <w:kern w:val="0"/>
                <w:sz w:val="24"/>
                <w:highlight w:val="none"/>
              </w:rPr>
            </w:pPr>
            <w:r>
              <w:rPr>
                <w:rFonts w:hint="eastAsia" w:ascii="宋体" w:hAnsi="宋体"/>
                <w:snapToGrid w:val="0"/>
                <w:color w:val="auto"/>
                <w:kern w:val="0"/>
                <w:sz w:val="24"/>
                <w:highlight w:val="none"/>
              </w:rPr>
              <w:t>580</w:t>
            </w:r>
          </w:p>
        </w:tc>
        <w:tc>
          <w:tcPr>
            <w:tcW w:w="1087" w:type="dxa"/>
            <w:vAlign w:val="center"/>
          </w:tcPr>
          <w:p>
            <w:pPr>
              <w:spacing w:line="520" w:lineRule="exact"/>
              <w:jc w:val="center"/>
              <w:rPr>
                <w:rFonts w:ascii="宋体" w:hAnsi="宋体"/>
                <w:snapToGrid w:val="0"/>
                <w:color w:val="auto"/>
                <w:kern w:val="0"/>
                <w:sz w:val="24"/>
                <w:highlight w:val="none"/>
              </w:rPr>
            </w:pPr>
            <w:r>
              <w:rPr>
                <w:rFonts w:hint="eastAsia" w:ascii="宋体" w:hAnsi="宋体"/>
                <w:snapToGrid w:val="0"/>
                <w:color w:val="auto"/>
                <w:kern w:val="0"/>
                <w:sz w:val="24"/>
                <w:highlight w:val="none"/>
              </w:rPr>
              <w:t>2年</w:t>
            </w:r>
          </w:p>
        </w:tc>
        <w:bookmarkStart w:id="0" w:name="B17_备注"/>
      </w:tr>
      <w:bookmarkEnd w:id="0"/>
    </w:tbl>
    <w:p>
      <w:pPr>
        <w:tabs>
          <w:tab w:val="left" w:pos="180"/>
          <w:tab w:val="left" w:pos="360"/>
          <w:tab w:val="left" w:pos="540"/>
          <w:tab w:val="left" w:pos="8280"/>
        </w:tabs>
        <w:autoSpaceDE w:val="0"/>
        <w:autoSpaceDN w:val="0"/>
        <w:adjustRightInd w:val="0"/>
        <w:spacing w:before="100" w:line="360" w:lineRule="auto"/>
        <w:ind w:left="539" w:right="23"/>
        <w:jc w:val="left"/>
        <w:rPr>
          <w:rFonts w:ascii="宋体" w:hAnsi="宋体"/>
          <w:b/>
          <w:color w:val="auto"/>
          <w:kern w:val="0"/>
          <w:sz w:val="24"/>
          <w:highlight w:val="none"/>
        </w:rPr>
      </w:pPr>
      <w:r>
        <w:rPr>
          <w:rFonts w:hint="eastAsia" w:ascii="宋体" w:hAnsi="宋体"/>
          <w:b/>
          <w:color w:val="auto"/>
          <w:sz w:val="24"/>
          <w:highlight w:val="none"/>
        </w:rPr>
        <w:t>三、合格投标人的资格条件：</w:t>
      </w:r>
    </w:p>
    <w:p>
      <w:pPr>
        <w:pStyle w:val="33"/>
        <w:adjustRightInd w:val="0"/>
        <w:snapToGrid w:val="0"/>
        <w:spacing w:before="0" w:line="360" w:lineRule="auto"/>
        <w:ind w:left="102" w:right="102" w:firstLine="480"/>
        <w:rPr>
          <w:rFonts w:ascii="宋体" w:eastAsia="宋体"/>
          <w:color w:val="auto"/>
          <w:sz w:val="24"/>
          <w:szCs w:val="24"/>
          <w:highlight w:val="none"/>
        </w:rPr>
      </w:pPr>
      <w:r>
        <w:rPr>
          <w:rFonts w:hint="eastAsia" w:ascii="宋体" w:eastAsia="宋体"/>
          <w:color w:val="auto"/>
          <w:sz w:val="24"/>
          <w:szCs w:val="24"/>
          <w:highlight w:val="none"/>
        </w:rPr>
        <w:t>（一）符合《中华人民共和国政府采购法》第二十二条规定的投标人资格条件。</w:t>
      </w:r>
    </w:p>
    <w:p>
      <w:pPr>
        <w:pStyle w:val="33"/>
        <w:adjustRightInd w:val="0"/>
        <w:snapToGrid w:val="0"/>
        <w:spacing w:before="0" w:line="360" w:lineRule="auto"/>
        <w:ind w:left="102" w:right="102" w:firstLine="480"/>
        <w:rPr>
          <w:rFonts w:ascii="宋体" w:eastAsia="宋体"/>
          <w:color w:val="auto"/>
          <w:sz w:val="24"/>
          <w:szCs w:val="24"/>
          <w:highlight w:val="none"/>
        </w:rPr>
      </w:pPr>
      <w:r>
        <w:rPr>
          <w:rFonts w:hint="eastAsia" w:ascii="宋体" w:eastAsia="宋体"/>
          <w:color w:val="auto"/>
          <w:sz w:val="24"/>
          <w:szCs w:val="24"/>
          <w:highlight w:val="none"/>
        </w:rPr>
        <w:t>（二）未被“信用中国”（www.creditchina.gov.cn）、中国政府采购网（www.ccgp.gov.cn）列入失信被执行人、重大税收违法案件当事人名单、政府采购严重违法失信行为记录名单。</w:t>
      </w:r>
    </w:p>
    <w:p>
      <w:pPr>
        <w:spacing w:line="360" w:lineRule="auto"/>
        <w:ind w:firstLine="540" w:firstLineChars="225"/>
        <w:rPr>
          <w:rFonts w:ascii="宋体" w:hAnsi="宋体"/>
          <w:color w:val="auto"/>
          <w:sz w:val="24"/>
          <w:highlight w:val="none"/>
        </w:rPr>
      </w:pPr>
      <w:r>
        <w:rPr>
          <w:rFonts w:hint="eastAsia" w:ascii="宋体" w:hAnsi="宋体"/>
          <w:color w:val="auto"/>
          <w:sz w:val="24"/>
          <w:highlight w:val="none"/>
        </w:rPr>
        <w:t>（三）落实政府采购政策需满足的资格要求：本项目按照《政府采购促进中小企业发展管理办法》【财库（2020）46号】第七条规定：专门面向中小企业采购。</w:t>
      </w:r>
    </w:p>
    <w:p>
      <w:pPr>
        <w:tabs>
          <w:tab w:val="left" w:pos="180"/>
          <w:tab w:val="left" w:pos="360"/>
          <w:tab w:val="left" w:pos="540"/>
          <w:tab w:val="left" w:pos="8280"/>
        </w:tabs>
        <w:autoSpaceDE w:val="0"/>
        <w:autoSpaceDN w:val="0"/>
        <w:adjustRightInd w:val="0"/>
        <w:spacing w:before="100" w:line="360" w:lineRule="auto"/>
        <w:ind w:right="23" w:firstLine="480" w:firstLineChars="200"/>
        <w:jc w:val="left"/>
        <w:rPr>
          <w:rFonts w:ascii="宋体" w:hAnsi="宋体"/>
          <w:color w:val="auto"/>
          <w:sz w:val="24"/>
          <w:highlight w:val="none"/>
        </w:rPr>
      </w:pPr>
      <w:r>
        <w:rPr>
          <w:rFonts w:hint="eastAsia" w:ascii="宋体" w:hAnsi="宋体"/>
          <w:color w:val="auto"/>
          <w:sz w:val="24"/>
          <w:highlight w:val="none"/>
          <w:lang w:eastAsia="zh-CN"/>
        </w:rPr>
        <w:t>（</w:t>
      </w:r>
      <w:r>
        <w:rPr>
          <w:rFonts w:hint="eastAsia" w:ascii="宋体" w:hAnsi="宋体"/>
          <w:color w:val="auto"/>
          <w:sz w:val="24"/>
          <w:highlight w:val="none"/>
          <w:lang w:val="en-US" w:eastAsia="zh-CN"/>
        </w:rPr>
        <w:t>四</w:t>
      </w:r>
      <w:r>
        <w:rPr>
          <w:rFonts w:hint="eastAsia" w:ascii="宋体" w:hAnsi="宋体"/>
          <w:color w:val="auto"/>
          <w:sz w:val="24"/>
          <w:highlight w:val="none"/>
          <w:lang w:eastAsia="zh-CN"/>
        </w:rPr>
        <w:t>）</w:t>
      </w:r>
      <w:r>
        <w:rPr>
          <w:rFonts w:hint="eastAsia" w:ascii="宋体" w:hAnsi="宋体"/>
          <w:color w:val="auto"/>
          <w:sz w:val="24"/>
          <w:highlight w:val="none"/>
        </w:rPr>
        <w:t>是否允许联合体投标：不允许。</w:t>
      </w:r>
    </w:p>
    <w:p>
      <w:pPr>
        <w:tabs>
          <w:tab w:val="left" w:pos="180"/>
          <w:tab w:val="left" w:pos="360"/>
          <w:tab w:val="left" w:pos="540"/>
          <w:tab w:val="left" w:pos="8280"/>
        </w:tabs>
        <w:autoSpaceDE w:val="0"/>
        <w:autoSpaceDN w:val="0"/>
        <w:adjustRightInd w:val="0"/>
        <w:spacing w:before="100" w:line="360" w:lineRule="auto"/>
        <w:ind w:right="23" w:firstLine="482" w:firstLineChars="200"/>
        <w:jc w:val="left"/>
        <w:rPr>
          <w:rFonts w:ascii="宋体" w:hAnsi="宋体"/>
          <w:b/>
          <w:color w:val="auto"/>
          <w:sz w:val="24"/>
          <w:highlight w:val="none"/>
        </w:rPr>
      </w:pPr>
      <w:r>
        <w:rPr>
          <w:rFonts w:hint="eastAsia" w:ascii="宋体" w:hAnsi="宋体"/>
          <w:b/>
          <w:color w:val="auto"/>
          <w:sz w:val="24"/>
          <w:highlight w:val="none"/>
        </w:rPr>
        <w:t>四、招标文件获取的方式、时间：</w:t>
      </w:r>
    </w:p>
    <w:p>
      <w:pPr>
        <w:widowControl/>
        <w:spacing w:before="100" w:beforeAutospacing="1" w:after="100" w:afterAutospacing="1" w:line="360" w:lineRule="auto"/>
        <w:ind w:firstLine="420"/>
        <w:jc w:val="left"/>
        <w:rPr>
          <w:rFonts w:ascii="宋体" w:hAnsi="宋体" w:cs="宋体"/>
          <w:color w:val="auto"/>
          <w:kern w:val="0"/>
          <w:sz w:val="27"/>
          <w:szCs w:val="27"/>
          <w:highlight w:val="none"/>
        </w:rPr>
      </w:pPr>
      <w:r>
        <w:rPr>
          <w:rFonts w:hint="eastAsia" w:ascii="宋体" w:hAnsi="宋体" w:cs="宋体"/>
          <w:color w:val="auto"/>
          <w:kern w:val="0"/>
          <w:sz w:val="24"/>
          <w:highlight w:val="none"/>
        </w:rPr>
        <w:t>1、本项目招标文件实行“政府采购云平台”在线获取，不提供招标文件纸质版。供应商获取招标文件前应先完成“政府采购云平台”的账号注册；</w:t>
      </w:r>
    </w:p>
    <w:p>
      <w:pPr>
        <w:widowControl/>
        <w:spacing w:before="100" w:beforeAutospacing="1" w:after="100" w:afterAutospacing="1" w:line="360" w:lineRule="auto"/>
        <w:ind w:firstLine="480"/>
        <w:jc w:val="left"/>
        <w:rPr>
          <w:rFonts w:ascii="宋体" w:hAnsi="宋体" w:cs="宋体"/>
          <w:color w:val="auto"/>
          <w:kern w:val="0"/>
          <w:sz w:val="27"/>
          <w:szCs w:val="27"/>
          <w:highlight w:val="none"/>
        </w:rPr>
      </w:pPr>
      <w:r>
        <w:rPr>
          <w:rFonts w:hint="eastAsia" w:ascii="宋体" w:hAnsi="宋体" w:cs="宋体"/>
          <w:color w:val="auto"/>
          <w:kern w:val="0"/>
          <w:sz w:val="24"/>
          <w:highlight w:val="none"/>
        </w:rPr>
        <w:t>2、地点：</w:t>
      </w:r>
    </w:p>
    <w:p>
      <w:pPr>
        <w:widowControl/>
        <w:spacing w:before="100" w:beforeAutospacing="1" w:after="100" w:afterAutospacing="1" w:line="360" w:lineRule="auto"/>
        <w:ind w:firstLine="480"/>
        <w:jc w:val="left"/>
        <w:rPr>
          <w:rFonts w:ascii="宋体" w:hAnsi="宋体" w:cs="宋体"/>
          <w:color w:val="auto"/>
          <w:kern w:val="0"/>
          <w:sz w:val="27"/>
          <w:szCs w:val="27"/>
          <w:highlight w:val="none"/>
        </w:rPr>
      </w:pPr>
      <w:r>
        <w:rPr>
          <w:rFonts w:hint="eastAsia" w:ascii="宋体" w:hAnsi="宋体" w:cs="宋体"/>
          <w:color w:val="auto"/>
          <w:kern w:val="0"/>
          <w:sz w:val="24"/>
          <w:highlight w:val="none"/>
        </w:rPr>
        <w:t>（1）政采云平台（http://zfcg.czt.zj.gov.cn）；</w:t>
      </w:r>
    </w:p>
    <w:p>
      <w:pPr>
        <w:widowControl/>
        <w:spacing w:before="100" w:beforeAutospacing="1" w:after="100" w:afterAutospacing="1" w:line="360" w:lineRule="auto"/>
        <w:ind w:firstLine="480"/>
        <w:jc w:val="left"/>
        <w:rPr>
          <w:rFonts w:ascii="宋体" w:hAnsi="宋体" w:cs="宋体"/>
          <w:color w:val="auto"/>
          <w:kern w:val="0"/>
          <w:sz w:val="27"/>
          <w:szCs w:val="27"/>
          <w:highlight w:val="none"/>
        </w:rPr>
      </w:pPr>
      <w:r>
        <w:rPr>
          <w:rFonts w:hint="eastAsia" w:ascii="宋体" w:hAnsi="宋体" w:cs="宋体"/>
          <w:color w:val="auto"/>
          <w:kern w:val="0"/>
          <w:sz w:val="24"/>
          <w:highlight w:val="none"/>
        </w:rPr>
        <w:t>（2）供应商网上报名操作指南：“浙江政府采购网-办事指南-省采中心-网上报名”（http://zfcg.czt.zj.gov.cn/bs_other/2018-03-30/12002.html）。</w:t>
      </w:r>
    </w:p>
    <w:p>
      <w:pPr>
        <w:widowControl/>
        <w:spacing w:before="100" w:beforeAutospacing="1" w:after="100" w:afterAutospacing="1" w:line="360" w:lineRule="auto"/>
        <w:ind w:firstLine="480"/>
        <w:jc w:val="left"/>
        <w:rPr>
          <w:rFonts w:ascii="宋体" w:hAnsi="宋体" w:cs="宋体"/>
          <w:color w:val="auto"/>
          <w:kern w:val="0"/>
          <w:sz w:val="27"/>
          <w:szCs w:val="27"/>
          <w:highlight w:val="none"/>
        </w:rPr>
      </w:pPr>
      <w:r>
        <w:rPr>
          <w:rFonts w:hint="eastAsia" w:ascii="宋体" w:hAnsi="宋体" w:cs="宋体"/>
          <w:color w:val="auto"/>
          <w:kern w:val="0"/>
          <w:sz w:val="24"/>
          <w:highlight w:val="none"/>
        </w:rPr>
        <w:t>3、方式：潜在供应商登陆政采云平台，在线申请获取招标文件（进入“项目采购”应用，在获取招标文件菜单中选择项目，申请获取招标文件，本项目招标文件不收取工本费；</w:t>
      </w:r>
      <w:bookmarkStart w:id="23" w:name="_GoBack"/>
      <w:bookmarkEnd w:id="23"/>
    </w:p>
    <w:p>
      <w:pPr>
        <w:widowControl/>
        <w:spacing w:before="100" w:beforeAutospacing="1" w:after="100" w:afterAutospacing="1" w:line="360" w:lineRule="auto"/>
        <w:ind w:firstLine="480"/>
        <w:jc w:val="left"/>
        <w:rPr>
          <w:rFonts w:ascii="宋体" w:hAnsi="宋体" w:cs="宋体"/>
          <w:color w:val="auto"/>
          <w:kern w:val="0"/>
          <w:sz w:val="27"/>
          <w:szCs w:val="27"/>
          <w:highlight w:val="none"/>
        </w:rPr>
      </w:pPr>
      <w:r>
        <w:rPr>
          <w:rFonts w:hint="eastAsia" w:ascii="宋体" w:hAnsi="宋体" w:cs="宋体"/>
          <w:color w:val="auto"/>
          <w:kern w:val="0"/>
          <w:sz w:val="24"/>
          <w:highlight w:val="none"/>
        </w:rPr>
        <w:t>4、供应商获取招标文件时须提交的文件资料：无；</w:t>
      </w:r>
    </w:p>
    <w:p>
      <w:pPr>
        <w:widowControl/>
        <w:spacing w:before="100" w:beforeAutospacing="1" w:after="100" w:afterAutospacing="1" w:line="360" w:lineRule="auto"/>
        <w:ind w:firstLine="480"/>
        <w:jc w:val="left"/>
        <w:rPr>
          <w:rFonts w:ascii="宋体" w:hAnsi="宋体" w:cs="宋体"/>
          <w:color w:val="auto"/>
          <w:kern w:val="0"/>
          <w:sz w:val="27"/>
          <w:szCs w:val="27"/>
          <w:highlight w:val="none"/>
        </w:rPr>
      </w:pPr>
      <w:r>
        <w:rPr>
          <w:rFonts w:hint="eastAsia" w:ascii="宋体" w:hAnsi="宋体" w:cs="宋体"/>
          <w:color w:val="auto"/>
          <w:kern w:val="0"/>
          <w:sz w:val="24"/>
          <w:highlight w:val="none"/>
        </w:rPr>
        <w:t>5、提示：招标公告附件内的招标文件（或采购需求）仅供阅览使用，供应商只有在“政府采购云平台”完成获取招标文件申请并下载了招标文件后才视作依法获取招标文件（法律法规所指的供应商获取招标文件时间以供应商完成获取招标文件申请后下载招标文件的时间为准）。</w:t>
      </w:r>
    </w:p>
    <w:p>
      <w:pPr>
        <w:spacing w:line="360" w:lineRule="auto"/>
        <w:ind w:firstLine="480" w:firstLineChars="200"/>
        <w:rPr>
          <w:rFonts w:ascii="宋体" w:hAnsi="宋体" w:cs="仿宋"/>
          <w:color w:val="auto"/>
          <w:sz w:val="24"/>
          <w:highlight w:val="none"/>
        </w:rPr>
      </w:pPr>
      <w:r>
        <w:rPr>
          <w:rFonts w:hint="eastAsia" w:ascii="宋体" w:hAnsi="宋体" w:cs="宋体"/>
          <w:color w:val="auto"/>
          <w:kern w:val="0"/>
          <w:sz w:val="24"/>
          <w:highlight w:val="none"/>
        </w:rPr>
        <w:t>注：请供应商按上述要求获取招标文件，如未在“政采云”系统内完成相关流程，引起的投标无效责任自负。</w:t>
      </w: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line="360" w:lineRule="auto"/>
        <w:ind w:right="23" w:firstLine="539"/>
        <w:jc w:val="left"/>
        <w:rPr>
          <w:rFonts w:ascii="宋体" w:hAnsi="宋体"/>
          <w:b/>
          <w:color w:val="auto"/>
          <w:kern w:val="0"/>
          <w:sz w:val="24"/>
          <w:highlight w:val="none"/>
        </w:rPr>
      </w:pPr>
      <w:r>
        <w:rPr>
          <w:rFonts w:hint="eastAsia" w:ascii="宋体" w:hAnsi="宋体" w:cs="Calibri Light"/>
          <w:b/>
          <w:color w:val="auto"/>
          <w:sz w:val="24"/>
          <w:highlight w:val="none"/>
        </w:rPr>
        <w:t>五、电子</w:t>
      </w:r>
      <w:r>
        <w:rPr>
          <w:rFonts w:hint="eastAsia" w:ascii="宋体" w:hAnsi="宋体"/>
          <w:b/>
          <w:color w:val="auto"/>
          <w:kern w:val="0"/>
          <w:sz w:val="24"/>
          <w:highlight w:val="none"/>
        </w:rPr>
        <w:t>投标文件递交截止时间及开标时间、地点：</w:t>
      </w: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line="360" w:lineRule="auto"/>
        <w:ind w:right="23" w:firstLine="480"/>
        <w:jc w:val="left"/>
        <w:rPr>
          <w:rFonts w:ascii="宋体" w:hAnsi="宋体" w:cs="仿宋"/>
          <w:color w:val="auto"/>
          <w:sz w:val="24"/>
          <w:highlight w:val="none"/>
        </w:rPr>
      </w:pPr>
      <w:r>
        <w:rPr>
          <w:rFonts w:hint="eastAsia" w:ascii="宋体" w:hAnsi="宋体" w:cs="仿宋"/>
          <w:color w:val="auto"/>
          <w:sz w:val="24"/>
          <w:highlight w:val="none"/>
        </w:rPr>
        <w:t>1、电子投标文件递交截止时间及开标时间：</w:t>
      </w:r>
      <w:r>
        <w:rPr>
          <w:rFonts w:hint="eastAsia" w:ascii="宋体" w:hAnsi="宋体" w:cs="仿宋"/>
          <w:color w:val="auto"/>
          <w:sz w:val="24"/>
          <w:highlight w:val="none"/>
          <w:u w:val="single"/>
        </w:rPr>
        <w:t>详见浙江政府采购网招标公告</w:t>
      </w:r>
      <w:r>
        <w:rPr>
          <w:rFonts w:hint="eastAsia" w:ascii="宋体" w:hAnsi="宋体" w:cs="仿宋"/>
          <w:color w:val="auto"/>
          <w:sz w:val="24"/>
          <w:highlight w:val="none"/>
        </w:rPr>
        <w:t>；</w:t>
      </w: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line="360" w:lineRule="auto"/>
        <w:ind w:right="23" w:firstLine="480"/>
        <w:jc w:val="left"/>
        <w:rPr>
          <w:rFonts w:ascii="宋体" w:hAnsi="宋体" w:cs="仿宋"/>
          <w:color w:val="auto"/>
          <w:sz w:val="24"/>
          <w:highlight w:val="none"/>
        </w:rPr>
      </w:pPr>
      <w:r>
        <w:rPr>
          <w:rFonts w:ascii="宋体" w:hAnsi="宋体" w:cs="仿宋"/>
          <w:color w:val="auto"/>
          <w:sz w:val="24"/>
          <w:highlight w:val="none"/>
        </w:rPr>
        <w:t>2</w:t>
      </w:r>
      <w:r>
        <w:rPr>
          <w:rFonts w:hint="eastAsia" w:ascii="宋体" w:hAnsi="宋体" w:cs="仿宋"/>
          <w:color w:val="auto"/>
          <w:sz w:val="24"/>
          <w:highlight w:val="none"/>
        </w:rPr>
        <w:t>、电子投标文件提交：通过“政府采购云平台（www.zcygov.cn）”实行在线投标响应；</w:t>
      </w: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line="360" w:lineRule="auto"/>
        <w:ind w:right="23" w:firstLine="482" w:firstLineChars="200"/>
        <w:jc w:val="left"/>
        <w:rPr>
          <w:rFonts w:ascii="宋体" w:hAnsi="宋体" w:cs="Calibri Light"/>
          <w:color w:val="auto"/>
          <w:kern w:val="0"/>
          <w:sz w:val="24"/>
          <w:highlight w:val="none"/>
        </w:rPr>
      </w:pPr>
      <w:r>
        <w:rPr>
          <w:rFonts w:hint="eastAsia" w:ascii="宋体" w:hAnsi="宋体" w:cs="Calibri Light"/>
          <w:b/>
          <w:bCs/>
          <w:color w:val="auto"/>
          <w:sz w:val="24"/>
          <w:highlight w:val="none"/>
        </w:rPr>
        <w:t>六、投标保证金</w:t>
      </w:r>
      <w:r>
        <w:rPr>
          <w:rFonts w:hint="eastAsia" w:ascii="宋体" w:hAnsi="宋体" w:cs="Calibri Light"/>
          <w:b/>
          <w:color w:val="auto"/>
          <w:sz w:val="24"/>
          <w:highlight w:val="none"/>
        </w:rPr>
        <w:t>：</w:t>
      </w:r>
    </w:p>
    <w:p>
      <w:pPr>
        <w:snapToGrid w:val="0"/>
        <w:spacing w:line="360" w:lineRule="auto"/>
        <w:ind w:firstLine="480" w:firstLineChars="200"/>
        <w:rPr>
          <w:rFonts w:ascii="宋体" w:hAnsi="宋体" w:cs="仿宋"/>
          <w:color w:val="auto"/>
          <w:sz w:val="24"/>
          <w:highlight w:val="none"/>
        </w:rPr>
      </w:pPr>
      <w:r>
        <w:rPr>
          <w:rFonts w:hint="eastAsia" w:ascii="宋体" w:hAnsi="宋体" w:cs="仿宋"/>
          <w:color w:val="auto"/>
          <w:sz w:val="24"/>
          <w:highlight w:val="none"/>
        </w:rPr>
        <w:t>无</w:t>
      </w:r>
    </w:p>
    <w:p>
      <w:pPr>
        <w:snapToGrid w:val="0"/>
        <w:spacing w:line="360" w:lineRule="auto"/>
        <w:ind w:firstLine="482" w:firstLineChars="200"/>
        <w:rPr>
          <w:rFonts w:ascii="宋体" w:hAnsi="宋体" w:cs="仿宋"/>
          <w:b/>
          <w:bCs/>
          <w:color w:val="auto"/>
          <w:sz w:val="24"/>
          <w:highlight w:val="none"/>
        </w:rPr>
      </w:pPr>
      <w:r>
        <w:rPr>
          <w:rFonts w:hint="eastAsia" w:ascii="宋体" w:hAnsi="宋体" w:cs="仿宋"/>
          <w:b/>
          <w:bCs/>
          <w:color w:val="auto"/>
          <w:sz w:val="24"/>
          <w:highlight w:val="none"/>
        </w:rPr>
        <w:t>七、在线投标响应（电子投标）说明：</w:t>
      </w:r>
    </w:p>
    <w:p>
      <w:pPr>
        <w:snapToGrid w:val="0"/>
        <w:spacing w:line="360" w:lineRule="auto"/>
        <w:ind w:firstLine="480" w:firstLineChars="200"/>
        <w:rPr>
          <w:rFonts w:ascii="宋体" w:hAnsi="宋体" w:cs="Calibri Light"/>
          <w:color w:val="auto"/>
          <w:kern w:val="0"/>
          <w:sz w:val="24"/>
          <w:highlight w:val="none"/>
        </w:rPr>
      </w:pPr>
      <w:r>
        <w:rPr>
          <w:rFonts w:hint="eastAsia" w:ascii="宋体" w:hAnsi="宋体" w:cs="Calibri Light"/>
          <w:color w:val="auto"/>
          <w:kern w:val="0"/>
          <w:sz w:val="24"/>
          <w:highlight w:val="none"/>
        </w:rPr>
        <w:t>1、本项目通过“政府采购云平台（www.zcygov.cn）”实行在线投标响应（电子投标），供应商应先安装“政采云电子交易客户端”，并按照本招标文件和“政府采购云平台”的要求，通过“政采云电子交易客户端”编制并加密投标文件。供应商未按规定加密的投标文件，“政府采购云平台”将予以拒收。</w:t>
      </w:r>
    </w:p>
    <w:p>
      <w:pPr>
        <w:snapToGrid w:val="0"/>
        <w:spacing w:line="360" w:lineRule="auto"/>
        <w:ind w:firstLine="480" w:firstLineChars="200"/>
        <w:rPr>
          <w:rFonts w:ascii="宋体" w:hAnsi="宋体" w:cs="Calibri Light"/>
          <w:color w:val="auto"/>
          <w:kern w:val="0"/>
          <w:sz w:val="24"/>
          <w:highlight w:val="none"/>
        </w:rPr>
      </w:pPr>
      <w:r>
        <w:rPr>
          <w:rFonts w:hint="eastAsia" w:ascii="宋体" w:hAnsi="宋体" w:cs="Calibri Light"/>
          <w:color w:val="auto"/>
          <w:kern w:val="0"/>
          <w:sz w:val="24"/>
          <w:highlight w:val="none"/>
        </w:rPr>
        <w:t>“政采云电子交易客户端”请自行前往“浙江政府采购网-下载专区-电子交易客户端”进行下载；电子投标具体操作流程详见《供应商项目采购-电子招投标操作指南》；通过“政府采购云平台”参与在线投标时如遇平台技术问题详询400-881-7190。</w:t>
      </w:r>
    </w:p>
    <w:p>
      <w:pPr>
        <w:snapToGrid w:val="0"/>
        <w:spacing w:line="360" w:lineRule="auto"/>
        <w:ind w:firstLine="480" w:firstLineChars="200"/>
        <w:rPr>
          <w:rFonts w:ascii="宋体" w:hAnsi="宋体" w:cs="Calibri Light"/>
          <w:color w:val="auto"/>
          <w:kern w:val="0"/>
          <w:sz w:val="24"/>
          <w:highlight w:val="none"/>
        </w:rPr>
      </w:pPr>
      <w:r>
        <w:rPr>
          <w:rFonts w:hint="eastAsia" w:ascii="宋体" w:hAnsi="宋体" w:cs="Calibri Light"/>
          <w:color w:val="auto"/>
          <w:kern w:val="0"/>
          <w:sz w:val="24"/>
          <w:highlight w:val="none"/>
        </w:rPr>
        <w:t>2、为确保网上操作合法、有效和安全，投标供应商应当在投标截止时间前完成在“政府采购云平台”的身份认证，确保在电子投标过程中能够对相关数据电文进行加密和使用电子签章。使用“政采云电子交易客户端”需要提前申领CA数字证书，申领流程请自行前往“浙江政府采购网-下载专区-电子交易客户端-CA驱动和申领流程”进行查阅；</w:t>
      </w:r>
    </w:p>
    <w:p>
      <w:pPr>
        <w:snapToGrid w:val="0"/>
        <w:spacing w:line="360" w:lineRule="auto"/>
        <w:ind w:firstLine="480" w:firstLineChars="200"/>
        <w:rPr>
          <w:rFonts w:ascii="宋体" w:hAnsi="宋体" w:cs="Calibri Light"/>
          <w:color w:val="auto"/>
          <w:kern w:val="0"/>
          <w:sz w:val="24"/>
          <w:highlight w:val="none"/>
        </w:rPr>
      </w:pPr>
      <w:r>
        <w:rPr>
          <w:rFonts w:hint="eastAsia" w:ascii="宋体" w:hAnsi="宋体" w:cs="Calibri Light"/>
          <w:color w:val="auto"/>
          <w:kern w:val="0"/>
          <w:sz w:val="24"/>
          <w:highlight w:val="none"/>
        </w:rPr>
        <w:t>3、投标供应商应当在投标截止时间前，将生成的“电子加密投标文件”上传递交至“政府采购云平台”。投标截止时间以后上传递交的投标文件将被“政府采购云平台”拒收。</w:t>
      </w:r>
    </w:p>
    <w:p>
      <w:pPr>
        <w:snapToGrid w:val="0"/>
        <w:spacing w:line="360" w:lineRule="auto"/>
        <w:ind w:firstLine="480" w:firstLineChars="200"/>
        <w:rPr>
          <w:rFonts w:ascii="宋体" w:hAnsi="宋体" w:cs="Calibri Light"/>
          <w:color w:val="auto"/>
          <w:kern w:val="0"/>
          <w:sz w:val="24"/>
          <w:highlight w:val="none"/>
        </w:rPr>
      </w:pPr>
      <w:r>
        <w:rPr>
          <w:rFonts w:hint="eastAsia" w:ascii="宋体" w:hAnsi="宋体" w:cs="Calibri Light"/>
          <w:color w:val="auto"/>
          <w:kern w:val="0"/>
          <w:sz w:val="24"/>
          <w:highlight w:val="none"/>
        </w:rPr>
        <w:t>4、投标供应商在“政府采购云平台”完成“电子加密投标文件”的上传递交后，还可以（EMS邮寄或顺丰邮寄形式）在投标截止时间前递交以介质（U盘）存储的数据电文形式的“备份投标文件”，“备份投标文件”应当密封包装并在包装上标注投标项目名称、投标单位名称并加盖公章。</w:t>
      </w:r>
    </w:p>
    <w:p>
      <w:pPr>
        <w:snapToGrid w:val="0"/>
        <w:spacing w:line="360" w:lineRule="auto"/>
        <w:ind w:firstLine="480" w:firstLineChars="200"/>
        <w:rPr>
          <w:rFonts w:ascii="宋体" w:hAnsi="宋体" w:cs="Arial"/>
          <w:color w:val="auto"/>
          <w:sz w:val="24"/>
          <w:highlight w:val="none"/>
        </w:rPr>
      </w:pPr>
      <w:r>
        <w:rPr>
          <w:rFonts w:hint="eastAsia" w:ascii="宋体" w:hAnsi="宋体" w:cs="Calibri Light"/>
          <w:color w:val="auto"/>
          <w:kern w:val="0"/>
          <w:sz w:val="24"/>
          <w:highlight w:val="none"/>
        </w:rPr>
        <w:t>5、通过“政府采购云平台”上传递交的“电子加密投标文件”无法按时解密，投标供应商递交了备份投标文件的，以备份投标文件为依据，否则视为投标文件撤回。通过“政府采购云平台”上传递交的“电子加密投标文件”已按时解密的，“备份投标文件”自动失效。投标供应商仅递交备份投标文件的，投标无效。</w:t>
      </w:r>
    </w:p>
    <w:p>
      <w:pPr>
        <w:snapToGrid w:val="0"/>
        <w:spacing w:line="360" w:lineRule="auto"/>
        <w:ind w:firstLine="482" w:firstLineChars="200"/>
        <w:rPr>
          <w:rFonts w:ascii="宋体" w:hAnsi="宋体" w:cs="Arial"/>
          <w:color w:val="auto"/>
          <w:sz w:val="24"/>
          <w:highlight w:val="none"/>
        </w:rPr>
      </w:pPr>
      <w:r>
        <w:rPr>
          <w:rFonts w:hint="eastAsia" w:ascii="宋体" w:hAnsi="宋体" w:cs="Arial"/>
          <w:b/>
          <w:bCs/>
          <w:color w:val="auto"/>
          <w:sz w:val="24"/>
          <w:highlight w:val="none"/>
        </w:rPr>
        <w:t>九</w:t>
      </w:r>
      <w:r>
        <w:rPr>
          <w:rFonts w:ascii="宋体" w:hAnsi="宋体" w:cs="Arial"/>
          <w:b/>
          <w:bCs/>
          <w:color w:val="auto"/>
          <w:sz w:val="24"/>
          <w:highlight w:val="none"/>
        </w:rPr>
        <w:t>、</w:t>
      </w:r>
      <w:r>
        <w:rPr>
          <w:rFonts w:hint="eastAsia" w:ascii="宋体" w:hAnsi="宋体" w:cs="Arial"/>
          <w:b/>
          <w:color w:val="auto"/>
          <w:sz w:val="24"/>
          <w:highlight w:val="none"/>
        </w:rPr>
        <w:t>相关注意事项</w:t>
      </w:r>
      <w:r>
        <w:rPr>
          <w:rFonts w:hint="eastAsia" w:ascii="宋体" w:hAnsi="宋体" w:cs="Arial"/>
          <w:color w:val="auto"/>
          <w:sz w:val="24"/>
          <w:highlight w:val="none"/>
        </w:rPr>
        <w:t>：</w:t>
      </w:r>
    </w:p>
    <w:p>
      <w:pPr>
        <w:snapToGrid w:val="0"/>
        <w:spacing w:line="360" w:lineRule="auto"/>
        <w:ind w:firstLine="480" w:firstLineChars="200"/>
        <w:rPr>
          <w:rFonts w:ascii="宋体" w:hAnsi="宋体" w:cs="Arial"/>
          <w:color w:val="auto"/>
          <w:sz w:val="24"/>
          <w:highlight w:val="none"/>
        </w:rPr>
      </w:pPr>
      <w:r>
        <w:rPr>
          <w:rFonts w:hint="eastAsia" w:ascii="宋体" w:hAnsi="宋体" w:cs="Arial"/>
          <w:color w:val="auto"/>
          <w:sz w:val="24"/>
          <w:highlight w:val="none"/>
        </w:rPr>
        <w:t>1、供应商认为采购文件使自己的权益受到损害的，可以自收到采购文件之日（获取/发售截止日之后收到采购文件的，以获取/发售截止日为准）起7个工作日内且应当在采购响应截止时间之前，以书面形式一次性向采购人和采购代理机构提出同一环节的质疑。否则，被质疑人可不予接受。质疑供应商对采购人、采购代理机构的答复不满意或者采购人、采购代理机构未在规定的时间内作出答复的，可以在答复期满后十五个工作日内向同级政府采购监督管理部门投诉。</w:t>
      </w:r>
    </w:p>
    <w:p>
      <w:pPr>
        <w:snapToGrid w:val="0"/>
        <w:spacing w:line="360" w:lineRule="auto"/>
        <w:ind w:firstLine="480" w:firstLineChars="200"/>
        <w:rPr>
          <w:rFonts w:ascii="宋体" w:hAnsi="宋体" w:cs="Calibri Light"/>
          <w:color w:val="auto"/>
          <w:kern w:val="0"/>
          <w:sz w:val="24"/>
          <w:highlight w:val="none"/>
        </w:rPr>
      </w:pPr>
      <w:r>
        <w:rPr>
          <w:rFonts w:hint="eastAsia" w:ascii="宋体" w:hAnsi="宋体" w:cs="Calibri Light"/>
          <w:color w:val="auto"/>
          <w:kern w:val="0"/>
          <w:sz w:val="24"/>
          <w:highlight w:val="none"/>
        </w:rPr>
        <w:t>招标</w:t>
      </w:r>
      <w:r>
        <w:rPr>
          <w:rFonts w:ascii="宋体" w:hAnsi="宋体" w:cs="Calibri Light"/>
          <w:color w:val="auto"/>
          <w:kern w:val="0"/>
          <w:sz w:val="24"/>
          <w:highlight w:val="none"/>
        </w:rPr>
        <w:t>代理机构</w:t>
      </w:r>
      <w:r>
        <w:rPr>
          <w:rFonts w:hint="eastAsia" w:ascii="宋体" w:hAnsi="宋体" w:cs="Calibri Light"/>
          <w:color w:val="auto"/>
          <w:kern w:val="0"/>
          <w:sz w:val="24"/>
          <w:highlight w:val="none"/>
        </w:rPr>
        <w:t>书面质疑接收人：赖文俊</w:t>
      </w:r>
    </w:p>
    <w:p>
      <w:pPr>
        <w:snapToGrid w:val="0"/>
        <w:spacing w:line="360" w:lineRule="auto"/>
        <w:ind w:firstLine="480" w:firstLineChars="200"/>
        <w:rPr>
          <w:rFonts w:ascii="宋体" w:hAnsi="宋体" w:cs="Calibri Light"/>
          <w:color w:val="auto"/>
          <w:kern w:val="0"/>
          <w:sz w:val="24"/>
          <w:highlight w:val="none"/>
        </w:rPr>
      </w:pPr>
      <w:r>
        <w:rPr>
          <w:rFonts w:hint="eastAsia" w:ascii="宋体" w:hAnsi="宋体" w:cs="Calibri Light"/>
          <w:color w:val="auto"/>
          <w:kern w:val="0"/>
          <w:sz w:val="24"/>
          <w:highlight w:val="none"/>
        </w:rPr>
        <w:t>联系电话：0576-885500</w:t>
      </w:r>
      <w:r>
        <w:rPr>
          <w:rFonts w:ascii="宋体" w:hAnsi="宋体" w:cs="Calibri Light"/>
          <w:color w:val="auto"/>
          <w:kern w:val="0"/>
          <w:sz w:val="24"/>
          <w:highlight w:val="none"/>
        </w:rPr>
        <w:t>56</w:t>
      </w:r>
    </w:p>
    <w:p>
      <w:pPr>
        <w:snapToGrid w:val="0"/>
        <w:spacing w:line="360" w:lineRule="auto"/>
        <w:ind w:firstLine="480" w:firstLineChars="200"/>
        <w:rPr>
          <w:rFonts w:ascii="宋体" w:hAnsi="宋体" w:cs="Calibri Light"/>
          <w:color w:val="auto"/>
          <w:kern w:val="0"/>
          <w:sz w:val="24"/>
          <w:highlight w:val="none"/>
        </w:rPr>
      </w:pPr>
      <w:r>
        <w:rPr>
          <w:rFonts w:hint="eastAsia" w:ascii="宋体" w:hAnsi="宋体" w:cs="Calibri Light"/>
          <w:color w:val="auto"/>
          <w:kern w:val="0"/>
          <w:sz w:val="24"/>
          <w:highlight w:val="none"/>
        </w:rPr>
        <w:t>书面质疑接收地址：浙江省台州市椒江区爱华路18号新台州大厦16F</w:t>
      </w:r>
    </w:p>
    <w:p>
      <w:pPr>
        <w:snapToGrid w:val="0"/>
        <w:spacing w:line="360" w:lineRule="auto"/>
        <w:ind w:firstLine="480" w:firstLineChars="200"/>
        <w:rPr>
          <w:rFonts w:ascii="宋体" w:hAnsi="宋体" w:cs="Calibri Light"/>
          <w:color w:val="auto"/>
          <w:kern w:val="0"/>
          <w:sz w:val="24"/>
          <w:highlight w:val="none"/>
        </w:rPr>
      </w:pPr>
      <w:r>
        <w:rPr>
          <w:rFonts w:hint="eastAsia" w:ascii="宋体" w:hAnsi="宋体" w:cs="Calibri Light"/>
          <w:color w:val="auto"/>
          <w:kern w:val="0"/>
          <w:sz w:val="24"/>
          <w:highlight w:val="none"/>
        </w:rPr>
        <w:t>采购人书面质疑接收人：郑先生</w:t>
      </w:r>
    </w:p>
    <w:p>
      <w:pPr>
        <w:snapToGrid w:val="0"/>
        <w:spacing w:line="360" w:lineRule="auto"/>
        <w:ind w:firstLine="480" w:firstLineChars="200"/>
        <w:rPr>
          <w:rFonts w:ascii="宋体" w:hAnsi="宋体" w:cs="Calibri Light"/>
          <w:color w:val="auto"/>
          <w:kern w:val="0"/>
          <w:sz w:val="24"/>
          <w:highlight w:val="none"/>
        </w:rPr>
      </w:pPr>
      <w:r>
        <w:rPr>
          <w:rFonts w:hint="eastAsia" w:ascii="宋体" w:hAnsi="宋体" w:cs="Calibri Light"/>
          <w:color w:val="auto"/>
          <w:kern w:val="0"/>
          <w:sz w:val="24"/>
          <w:highlight w:val="none"/>
        </w:rPr>
        <w:t>联系电话：0576-88909573</w:t>
      </w:r>
    </w:p>
    <w:p>
      <w:pPr>
        <w:snapToGrid w:val="0"/>
        <w:spacing w:line="360" w:lineRule="auto"/>
        <w:ind w:firstLine="480" w:firstLineChars="200"/>
        <w:rPr>
          <w:rFonts w:ascii="宋体" w:hAnsi="宋体" w:cs="Arial"/>
          <w:color w:val="auto"/>
          <w:sz w:val="24"/>
          <w:highlight w:val="none"/>
        </w:rPr>
      </w:pPr>
      <w:r>
        <w:rPr>
          <w:rFonts w:hint="eastAsia" w:ascii="宋体" w:hAnsi="宋体" w:cs="Calibri Light"/>
          <w:color w:val="auto"/>
          <w:kern w:val="0"/>
          <w:sz w:val="24"/>
          <w:highlight w:val="none"/>
        </w:rPr>
        <w:t>书面质疑接收地址：台州湾新区甲南大道东段9号管委会大楼</w:t>
      </w:r>
    </w:p>
    <w:p>
      <w:pPr>
        <w:spacing w:line="360" w:lineRule="auto"/>
        <w:ind w:firstLine="590" w:firstLineChars="245"/>
        <w:rPr>
          <w:rFonts w:ascii="宋体" w:hAnsi="宋体"/>
          <w:b/>
          <w:color w:val="auto"/>
          <w:sz w:val="24"/>
          <w:highlight w:val="none"/>
        </w:rPr>
      </w:pPr>
      <w:r>
        <w:rPr>
          <w:rFonts w:hint="eastAsia" w:ascii="宋体" w:hAnsi="宋体"/>
          <w:b/>
          <w:color w:val="auto"/>
          <w:sz w:val="24"/>
          <w:highlight w:val="none"/>
        </w:rPr>
        <w:t>十、联系方式：</w:t>
      </w:r>
    </w:p>
    <w:p>
      <w:pPr>
        <w:spacing w:line="360" w:lineRule="auto"/>
        <w:ind w:firstLine="472" w:firstLineChars="196"/>
        <w:rPr>
          <w:rFonts w:ascii="宋体" w:hAnsi="宋体"/>
          <w:b/>
          <w:color w:val="auto"/>
          <w:sz w:val="24"/>
          <w:highlight w:val="none"/>
        </w:rPr>
      </w:pPr>
      <w:r>
        <w:rPr>
          <w:rFonts w:hint="eastAsia" w:ascii="宋体" w:hAnsi="宋体"/>
          <w:b/>
          <w:color w:val="auto"/>
          <w:sz w:val="24"/>
          <w:highlight w:val="none"/>
        </w:rPr>
        <w:t>（一）采购代理机构</w:t>
      </w:r>
    </w:p>
    <w:p>
      <w:pPr>
        <w:snapToGrid w:val="0"/>
        <w:spacing w:line="360" w:lineRule="auto"/>
        <w:ind w:firstLine="600" w:firstLineChars="250"/>
        <w:rPr>
          <w:rFonts w:ascii="宋体" w:hAnsi="宋体" w:cs="仿宋"/>
          <w:color w:val="auto"/>
          <w:sz w:val="24"/>
          <w:highlight w:val="none"/>
        </w:rPr>
      </w:pPr>
      <w:r>
        <w:rPr>
          <w:rFonts w:hint="eastAsia" w:ascii="宋体" w:hAnsi="宋体" w:cs="仿宋"/>
          <w:color w:val="auto"/>
          <w:sz w:val="24"/>
          <w:highlight w:val="none"/>
        </w:rPr>
        <w:t>采购代理机构名称：建经投资咨询有限公司</w:t>
      </w:r>
    </w:p>
    <w:p>
      <w:pPr>
        <w:snapToGrid w:val="0"/>
        <w:spacing w:line="360" w:lineRule="auto"/>
        <w:ind w:firstLine="600" w:firstLineChars="250"/>
        <w:rPr>
          <w:rFonts w:ascii="宋体" w:hAnsi="宋体" w:cs="仿宋"/>
          <w:color w:val="auto"/>
          <w:sz w:val="24"/>
          <w:highlight w:val="none"/>
        </w:rPr>
      </w:pPr>
      <w:r>
        <w:rPr>
          <w:rFonts w:hint="eastAsia" w:ascii="宋体" w:hAnsi="宋体" w:cs="仿宋"/>
          <w:color w:val="auto"/>
          <w:sz w:val="24"/>
          <w:highlight w:val="none"/>
        </w:rPr>
        <w:t>项目联系人：戴萍</w:t>
      </w:r>
    </w:p>
    <w:p>
      <w:pPr>
        <w:snapToGrid w:val="0"/>
        <w:spacing w:line="360" w:lineRule="auto"/>
        <w:ind w:firstLine="600" w:firstLineChars="250"/>
        <w:rPr>
          <w:rFonts w:ascii="宋体" w:hAnsi="宋体" w:cs="仿宋"/>
          <w:color w:val="auto"/>
          <w:sz w:val="24"/>
          <w:highlight w:val="none"/>
        </w:rPr>
      </w:pPr>
      <w:r>
        <w:rPr>
          <w:rFonts w:hint="eastAsia" w:ascii="宋体" w:hAnsi="宋体" w:cs="仿宋"/>
          <w:color w:val="auto"/>
          <w:sz w:val="24"/>
          <w:highlight w:val="none"/>
        </w:rPr>
        <w:t>联系电话：0576-88550073     传真：</w:t>
      </w:r>
      <w:r>
        <w:rPr>
          <w:rFonts w:ascii="宋体" w:hAnsi="宋体" w:cs="仿宋"/>
          <w:color w:val="auto"/>
          <w:sz w:val="24"/>
          <w:highlight w:val="none"/>
        </w:rPr>
        <w:t>0576-88550037</w:t>
      </w:r>
    </w:p>
    <w:p>
      <w:pPr>
        <w:spacing w:line="360" w:lineRule="auto"/>
        <w:ind w:firstLine="600" w:firstLineChars="250"/>
        <w:rPr>
          <w:rFonts w:ascii="宋体" w:hAnsi="宋体" w:cs="Arial"/>
          <w:color w:val="auto"/>
          <w:sz w:val="24"/>
          <w:highlight w:val="none"/>
        </w:rPr>
      </w:pPr>
      <w:r>
        <w:rPr>
          <w:rFonts w:hint="eastAsia" w:ascii="宋体" w:hAnsi="宋体" w:cs="仿宋"/>
          <w:color w:val="auto"/>
          <w:sz w:val="24"/>
          <w:highlight w:val="none"/>
        </w:rPr>
        <w:t>地址：台州市经济开发区爱华路18号新台州大厦16楼F座</w:t>
      </w:r>
    </w:p>
    <w:p>
      <w:pPr>
        <w:snapToGrid w:val="0"/>
        <w:spacing w:line="360" w:lineRule="auto"/>
        <w:ind w:firstLine="602" w:firstLineChars="250"/>
        <w:rPr>
          <w:rFonts w:ascii="宋体" w:hAnsi="宋体"/>
          <w:b/>
          <w:color w:val="auto"/>
          <w:sz w:val="24"/>
          <w:highlight w:val="none"/>
        </w:rPr>
      </w:pPr>
      <w:r>
        <w:rPr>
          <w:rFonts w:hint="eastAsia" w:ascii="宋体" w:hAnsi="宋体"/>
          <w:b/>
          <w:color w:val="auto"/>
          <w:sz w:val="24"/>
          <w:highlight w:val="none"/>
        </w:rPr>
        <w:t>（二）采购人</w:t>
      </w:r>
    </w:p>
    <w:p>
      <w:pPr>
        <w:snapToGrid w:val="0"/>
        <w:spacing w:line="360" w:lineRule="auto"/>
        <w:ind w:firstLine="600" w:firstLineChars="250"/>
        <w:rPr>
          <w:rFonts w:ascii="宋体" w:hAnsi="宋体" w:cs="Arial"/>
          <w:color w:val="auto"/>
          <w:sz w:val="24"/>
          <w:highlight w:val="none"/>
        </w:rPr>
      </w:pPr>
      <w:r>
        <w:rPr>
          <w:rFonts w:ascii="宋体" w:hAnsi="宋体" w:cs="Arial"/>
          <w:color w:val="auto"/>
          <w:sz w:val="24"/>
          <w:highlight w:val="none"/>
        </w:rPr>
        <w:t>采购</w:t>
      </w:r>
      <w:r>
        <w:rPr>
          <w:rFonts w:hint="eastAsia" w:ascii="宋体" w:hAnsi="宋体" w:cs="Arial"/>
          <w:color w:val="auto"/>
          <w:sz w:val="24"/>
          <w:highlight w:val="none"/>
        </w:rPr>
        <w:t>人</w:t>
      </w:r>
      <w:r>
        <w:rPr>
          <w:rFonts w:ascii="宋体" w:hAnsi="宋体" w:cs="Arial"/>
          <w:color w:val="auto"/>
          <w:sz w:val="24"/>
          <w:highlight w:val="none"/>
        </w:rPr>
        <w:t>名称：</w:t>
      </w:r>
      <w:r>
        <w:rPr>
          <w:rFonts w:hint="eastAsia" w:ascii="宋体" w:hAnsi="宋体" w:cs="Arial"/>
          <w:color w:val="auto"/>
          <w:sz w:val="24"/>
          <w:highlight w:val="none"/>
        </w:rPr>
        <w:t>台州湾新区管理委员会</w:t>
      </w:r>
    </w:p>
    <w:p>
      <w:pPr>
        <w:snapToGrid w:val="0"/>
        <w:spacing w:line="360" w:lineRule="auto"/>
        <w:ind w:firstLine="600" w:firstLineChars="250"/>
        <w:rPr>
          <w:rFonts w:ascii="宋体" w:hAnsi="宋体" w:cs="Arial"/>
          <w:color w:val="auto"/>
          <w:sz w:val="24"/>
          <w:highlight w:val="none"/>
        </w:rPr>
      </w:pPr>
      <w:r>
        <w:rPr>
          <w:rFonts w:ascii="宋体" w:hAnsi="宋体" w:cs="Arial"/>
          <w:color w:val="auto"/>
          <w:sz w:val="24"/>
          <w:highlight w:val="none"/>
        </w:rPr>
        <w:t>联系人：</w:t>
      </w:r>
      <w:r>
        <w:rPr>
          <w:rFonts w:hint="eastAsia" w:ascii="宋体" w:hAnsi="宋体" w:cs="Arial"/>
          <w:color w:val="auto"/>
          <w:sz w:val="24"/>
          <w:highlight w:val="none"/>
        </w:rPr>
        <w:t>黄先生</w:t>
      </w:r>
    </w:p>
    <w:p>
      <w:pPr>
        <w:snapToGrid w:val="0"/>
        <w:spacing w:line="360" w:lineRule="auto"/>
        <w:ind w:firstLine="600" w:firstLineChars="250"/>
        <w:rPr>
          <w:rFonts w:ascii="宋体" w:hAnsi="宋体" w:cs="Arial"/>
          <w:color w:val="auto"/>
          <w:sz w:val="24"/>
          <w:highlight w:val="none"/>
        </w:rPr>
      </w:pPr>
      <w:r>
        <w:rPr>
          <w:rFonts w:hint="eastAsia" w:ascii="宋体" w:hAnsi="宋体" w:cs="Arial"/>
          <w:color w:val="auto"/>
          <w:sz w:val="24"/>
          <w:highlight w:val="none"/>
        </w:rPr>
        <w:t>联系电话：0576-88538838</w:t>
      </w:r>
    </w:p>
    <w:p>
      <w:pPr>
        <w:snapToGrid w:val="0"/>
        <w:spacing w:line="360" w:lineRule="auto"/>
        <w:ind w:firstLine="600" w:firstLineChars="250"/>
        <w:rPr>
          <w:rFonts w:ascii="宋体" w:hAnsi="宋体" w:cs="Arial"/>
          <w:color w:val="auto"/>
          <w:sz w:val="24"/>
          <w:highlight w:val="none"/>
        </w:rPr>
      </w:pPr>
      <w:r>
        <w:rPr>
          <w:rFonts w:ascii="宋体" w:hAnsi="宋体" w:cs="Arial"/>
          <w:color w:val="auto"/>
          <w:sz w:val="24"/>
          <w:highlight w:val="none"/>
        </w:rPr>
        <w:t>采购</w:t>
      </w:r>
      <w:r>
        <w:rPr>
          <w:rFonts w:hint="eastAsia" w:ascii="宋体" w:hAnsi="宋体" w:cs="Arial"/>
          <w:color w:val="auto"/>
          <w:sz w:val="24"/>
          <w:highlight w:val="none"/>
        </w:rPr>
        <w:t>人</w:t>
      </w:r>
      <w:r>
        <w:rPr>
          <w:rFonts w:ascii="宋体" w:hAnsi="宋体" w:cs="Arial"/>
          <w:color w:val="auto"/>
          <w:sz w:val="24"/>
          <w:highlight w:val="none"/>
        </w:rPr>
        <w:t>地址：</w:t>
      </w:r>
      <w:r>
        <w:rPr>
          <w:rFonts w:hint="eastAsia" w:ascii="宋体" w:hAnsi="宋体" w:cs="Arial"/>
          <w:color w:val="auto"/>
          <w:sz w:val="24"/>
          <w:highlight w:val="none"/>
        </w:rPr>
        <w:t>台州湾新区甲南大道东段9号管委会大楼</w:t>
      </w:r>
    </w:p>
    <w:p>
      <w:pPr>
        <w:spacing w:line="360" w:lineRule="auto"/>
        <w:ind w:firstLine="472" w:firstLineChars="196"/>
        <w:rPr>
          <w:rFonts w:ascii="宋体" w:hAnsi="宋体"/>
          <w:b/>
          <w:color w:val="auto"/>
          <w:sz w:val="24"/>
          <w:highlight w:val="none"/>
        </w:rPr>
      </w:pPr>
      <w:r>
        <w:rPr>
          <w:rFonts w:hint="eastAsia" w:ascii="宋体" w:hAnsi="宋体"/>
          <w:b/>
          <w:color w:val="auto"/>
          <w:sz w:val="24"/>
          <w:highlight w:val="none"/>
        </w:rPr>
        <w:t>（三）同级政府采购监督管理部门</w:t>
      </w:r>
    </w:p>
    <w:p>
      <w:pPr>
        <w:snapToGrid w:val="0"/>
        <w:spacing w:line="360" w:lineRule="auto"/>
        <w:ind w:left="525" w:leftChars="250"/>
        <w:rPr>
          <w:rFonts w:ascii="宋体" w:hAnsi="宋体" w:cs="仿宋"/>
          <w:color w:val="auto"/>
          <w:sz w:val="24"/>
          <w:highlight w:val="none"/>
        </w:rPr>
      </w:pPr>
      <w:r>
        <w:rPr>
          <w:rFonts w:hint="eastAsia" w:ascii="宋体" w:hAnsi="宋体" w:cs="仿宋"/>
          <w:color w:val="auto"/>
          <w:sz w:val="24"/>
          <w:highlight w:val="none"/>
        </w:rPr>
        <w:t>名称：台州市财政局政府采购监管处</w:t>
      </w:r>
    </w:p>
    <w:p>
      <w:pPr>
        <w:snapToGrid w:val="0"/>
        <w:spacing w:line="360" w:lineRule="auto"/>
        <w:ind w:firstLine="600" w:firstLineChars="250"/>
        <w:rPr>
          <w:rFonts w:ascii="宋体" w:hAnsi="宋体" w:cs="仿宋"/>
          <w:color w:val="auto"/>
          <w:sz w:val="24"/>
          <w:highlight w:val="none"/>
        </w:rPr>
      </w:pPr>
      <w:r>
        <w:rPr>
          <w:rFonts w:hint="eastAsia" w:ascii="宋体" w:hAnsi="宋体" w:cs="仿宋"/>
          <w:color w:val="auto"/>
          <w:sz w:val="24"/>
          <w:highlight w:val="none"/>
        </w:rPr>
        <w:t>联系人：陈女士、李工</w:t>
      </w:r>
    </w:p>
    <w:p>
      <w:pPr>
        <w:snapToGrid w:val="0"/>
        <w:spacing w:line="360" w:lineRule="auto"/>
        <w:ind w:firstLine="600" w:firstLineChars="250"/>
        <w:rPr>
          <w:rFonts w:ascii="宋体" w:hAnsi="宋体" w:cs="仿宋"/>
          <w:color w:val="auto"/>
          <w:sz w:val="24"/>
          <w:highlight w:val="none"/>
        </w:rPr>
      </w:pPr>
      <w:r>
        <w:rPr>
          <w:rFonts w:hint="eastAsia" w:ascii="宋体" w:hAnsi="宋体" w:cs="仿宋"/>
          <w:color w:val="auto"/>
          <w:sz w:val="24"/>
          <w:highlight w:val="none"/>
        </w:rPr>
        <w:t>监督投诉电话：0576-88206705、0576-88206731</w:t>
      </w:r>
    </w:p>
    <w:p>
      <w:pPr>
        <w:tabs>
          <w:tab w:val="left" w:pos="720"/>
          <w:tab w:val="left" w:pos="1440"/>
          <w:tab w:val="left" w:pos="2160"/>
          <w:tab w:val="left" w:pos="2880"/>
          <w:tab w:val="left" w:pos="3600"/>
          <w:tab w:val="left" w:pos="4320"/>
          <w:tab w:val="left" w:pos="5040"/>
          <w:tab w:val="left" w:pos="5760"/>
          <w:tab w:val="left" w:pos="8400"/>
        </w:tabs>
        <w:autoSpaceDE w:val="0"/>
        <w:autoSpaceDN w:val="0"/>
        <w:adjustRightInd w:val="0"/>
        <w:spacing w:line="240" w:lineRule="atLeast"/>
        <w:ind w:right="386" w:firstLine="600" w:firstLineChars="250"/>
        <w:rPr>
          <w:rFonts w:ascii="宋体" w:hAnsi="宋体" w:cs="仿宋"/>
          <w:color w:val="auto"/>
          <w:sz w:val="24"/>
          <w:highlight w:val="none"/>
        </w:rPr>
      </w:pPr>
      <w:r>
        <w:rPr>
          <w:rFonts w:hint="eastAsia" w:ascii="宋体" w:hAnsi="宋体" w:cs="仿宋"/>
          <w:color w:val="auto"/>
          <w:sz w:val="24"/>
          <w:highlight w:val="none"/>
        </w:rPr>
        <w:t>地址：台州市椒江区纬一路66号</w:t>
      </w:r>
    </w:p>
    <w:p>
      <w:pPr>
        <w:tabs>
          <w:tab w:val="left" w:pos="720"/>
          <w:tab w:val="left" w:pos="1440"/>
          <w:tab w:val="left" w:pos="2160"/>
          <w:tab w:val="left" w:pos="2880"/>
          <w:tab w:val="left" w:pos="3600"/>
          <w:tab w:val="left" w:pos="4320"/>
          <w:tab w:val="left" w:pos="5040"/>
          <w:tab w:val="left" w:pos="5760"/>
          <w:tab w:val="left" w:pos="8400"/>
        </w:tabs>
        <w:autoSpaceDE w:val="0"/>
        <w:autoSpaceDN w:val="0"/>
        <w:adjustRightInd w:val="0"/>
        <w:spacing w:line="240" w:lineRule="atLeast"/>
        <w:ind w:right="386" w:firstLine="600" w:firstLineChars="250"/>
        <w:rPr>
          <w:rFonts w:ascii="宋体" w:hAnsi="宋体" w:cs="仿宋"/>
          <w:color w:val="auto"/>
          <w:sz w:val="24"/>
          <w:highlight w:val="none"/>
        </w:rPr>
      </w:pPr>
    </w:p>
    <w:p>
      <w:pPr>
        <w:tabs>
          <w:tab w:val="left" w:pos="720"/>
          <w:tab w:val="left" w:pos="1440"/>
          <w:tab w:val="left" w:pos="2160"/>
          <w:tab w:val="left" w:pos="2880"/>
          <w:tab w:val="left" w:pos="3600"/>
          <w:tab w:val="left" w:pos="4320"/>
          <w:tab w:val="left" w:pos="5040"/>
          <w:tab w:val="left" w:pos="5760"/>
          <w:tab w:val="left" w:pos="8400"/>
        </w:tabs>
        <w:autoSpaceDE w:val="0"/>
        <w:autoSpaceDN w:val="0"/>
        <w:adjustRightInd w:val="0"/>
        <w:spacing w:line="240" w:lineRule="atLeast"/>
        <w:ind w:right="386" w:firstLine="600" w:firstLineChars="250"/>
        <w:rPr>
          <w:rFonts w:ascii="宋体" w:hAnsi="宋体" w:cs="Arial"/>
          <w:color w:val="auto"/>
          <w:sz w:val="24"/>
          <w:highlight w:val="none"/>
        </w:rPr>
      </w:pP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line="360" w:lineRule="auto"/>
        <w:ind w:right="23" w:firstLine="539"/>
        <w:rPr>
          <w:rFonts w:ascii="宋体"/>
          <w:color w:val="auto"/>
          <w:kern w:val="0"/>
          <w:sz w:val="24"/>
          <w:highlight w:val="none"/>
        </w:rPr>
      </w:pPr>
    </w:p>
    <w:p>
      <w:pPr>
        <w:rPr>
          <w:color w:val="auto"/>
          <w:highlight w:val="none"/>
        </w:rPr>
        <w:sectPr>
          <w:footerReference r:id="rId4" w:type="default"/>
          <w:pgSz w:w="11906" w:h="16838"/>
          <w:pgMar w:top="1440" w:right="1800" w:bottom="1440" w:left="1800" w:header="851" w:footer="992" w:gutter="0"/>
          <w:pgNumType w:start="1"/>
          <w:cols w:space="425" w:num="1"/>
          <w:docGrid w:type="lines" w:linePitch="312" w:charSpace="0"/>
        </w:sectPr>
      </w:pPr>
    </w:p>
    <w:p>
      <w:pPr>
        <w:numPr>
          <w:ilvl w:val="0"/>
          <w:numId w:val="3"/>
        </w:numPr>
        <w:spacing w:line="360" w:lineRule="auto"/>
        <w:jc w:val="center"/>
        <w:rPr>
          <w:rFonts w:ascii="宋体" w:hAnsi="宋体"/>
          <w:b/>
          <w:color w:val="auto"/>
          <w:sz w:val="36"/>
          <w:szCs w:val="36"/>
          <w:highlight w:val="none"/>
        </w:rPr>
      </w:pPr>
      <w:r>
        <w:rPr>
          <w:rFonts w:hint="eastAsia" w:ascii="宋体" w:hAnsi="宋体"/>
          <w:b/>
          <w:color w:val="auto"/>
          <w:sz w:val="36"/>
          <w:szCs w:val="36"/>
          <w:highlight w:val="none"/>
        </w:rPr>
        <w:t>投标人须知</w:t>
      </w:r>
    </w:p>
    <w:p>
      <w:pPr>
        <w:spacing w:line="360" w:lineRule="auto"/>
        <w:jc w:val="center"/>
        <w:rPr>
          <w:rFonts w:ascii="宋体" w:hAnsi="宋体"/>
          <w:b/>
          <w:color w:val="auto"/>
          <w:sz w:val="24"/>
          <w:highlight w:val="none"/>
        </w:rPr>
      </w:pPr>
      <w:r>
        <w:rPr>
          <w:rFonts w:hint="eastAsia" w:ascii="宋体" w:hAnsi="宋体"/>
          <w:b/>
          <w:color w:val="auto"/>
          <w:sz w:val="24"/>
          <w:highlight w:val="none"/>
        </w:rPr>
        <w:t>前附表</w:t>
      </w:r>
    </w:p>
    <w:tbl>
      <w:tblPr>
        <w:tblStyle w:val="24"/>
        <w:tblW w:w="88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949"/>
        <w:gridCol w:w="6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序号</w:t>
            </w:r>
          </w:p>
        </w:tc>
        <w:tc>
          <w:tcPr>
            <w:tcW w:w="194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项    目</w:t>
            </w:r>
          </w:p>
        </w:tc>
        <w:tc>
          <w:tcPr>
            <w:tcW w:w="61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94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供应商特定资格要求</w:t>
            </w:r>
          </w:p>
        </w:tc>
        <w:tc>
          <w:tcPr>
            <w:tcW w:w="613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符合招标公告资格要求的供应商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94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kern w:val="0"/>
                <w:sz w:val="24"/>
                <w:highlight w:val="none"/>
              </w:rPr>
              <w:t>答疑会或</w:t>
            </w:r>
            <w:r>
              <w:rPr>
                <w:rFonts w:hint="eastAsia" w:ascii="宋体" w:hAnsi="宋体" w:cs="宋体"/>
                <w:color w:val="auto"/>
                <w:sz w:val="24"/>
                <w:highlight w:val="none"/>
              </w:rPr>
              <w:t>现场踏勘</w:t>
            </w:r>
          </w:p>
        </w:tc>
        <w:tc>
          <w:tcPr>
            <w:tcW w:w="613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 w:val="24"/>
                <w:highlight w:val="none"/>
              </w:rPr>
            </w:pPr>
            <w:r>
              <w:rPr>
                <w:rFonts w:hint="eastAsia" w:ascii="宋体" w:hAnsi="宋体" w:cs="Arial"/>
                <w:color w:val="auto"/>
                <w:sz w:val="24"/>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3</w:t>
            </w:r>
          </w:p>
        </w:tc>
        <w:tc>
          <w:tcPr>
            <w:tcW w:w="194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投标文件的编制</w:t>
            </w:r>
          </w:p>
        </w:tc>
        <w:tc>
          <w:tcPr>
            <w:tcW w:w="613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供应商应先安装“政采云电子交易客户端”，并按照本招标文件和“政府采购云平台”的要求，通过“政采云电子交易客户端”编制并加密投标文件。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Calibri Light"/>
                <w:color w:val="auto"/>
                <w:sz w:val="24"/>
                <w:highlight w:val="none"/>
              </w:rPr>
            </w:pPr>
            <w:r>
              <w:rPr>
                <w:rFonts w:hint="eastAsia" w:ascii="宋体" w:hAnsi="宋体" w:cs="Calibri Light"/>
                <w:color w:val="auto"/>
                <w:sz w:val="24"/>
                <w:highlight w:val="none"/>
              </w:rPr>
              <w:t>4</w:t>
            </w:r>
          </w:p>
        </w:tc>
        <w:tc>
          <w:tcPr>
            <w:tcW w:w="194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Calibri Light"/>
                <w:color w:val="auto"/>
                <w:sz w:val="24"/>
                <w:highlight w:val="none"/>
              </w:rPr>
            </w:pPr>
            <w:r>
              <w:rPr>
                <w:rFonts w:hint="eastAsia" w:ascii="宋体" w:hAnsi="宋体" w:cs="宋体"/>
                <w:color w:val="auto"/>
                <w:sz w:val="24"/>
                <w:highlight w:val="none"/>
              </w:rPr>
              <w:t>投标文件的签章</w:t>
            </w:r>
          </w:p>
        </w:tc>
        <w:tc>
          <w:tcPr>
            <w:tcW w:w="6134"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cs="Calibri Light"/>
                <w:color w:val="auto"/>
                <w:sz w:val="24"/>
                <w:highlight w:val="none"/>
              </w:rPr>
            </w:pPr>
            <w:r>
              <w:rPr>
                <w:rFonts w:hint="eastAsia" w:ascii="宋体" w:hAnsi="宋体" w:cs="宋体"/>
                <w:color w:val="auto"/>
                <w:sz w:val="24"/>
                <w:highlight w:val="none"/>
              </w:rPr>
              <w:t>电子签章。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Calibri Light"/>
                <w:color w:val="auto"/>
                <w:sz w:val="24"/>
                <w:highlight w:val="none"/>
              </w:rPr>
            </w:pPr>
            <w:r>
              <w:rPr>
                <w:rFonts w:hint="eastAsia" w:ascii="宋体" w:hAnsi="宋体" w:cs="Calibri Light"/>
                <w:color w:val="auto"/>
                <w:sz w:val="24"/>
                <w:highlight w:val="none"/>
              </w:rPr>
              <w:t>5</w:t>
            </w:r>
          </w:p>
        </w:tc>
        <w:tc>
          <w:tcPr>
            <w:tcW w:w="194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Calibri Light"/>
                <w:color w:val="auto"/>
                <w:sz w:val="24"/>
                <w:highlight w:val="none"/>
              </w:rPr>
            </w:pPr>
            <w:r>
              <w:rPr>
                <w:rFonts w:hint="eastAsia" w:ascii="宋体" w:hAnsi="宋体" w:cs="宋体"/>
                <w:color w:val="auto"/>
                <w:sz w:val="24"/>
                <w:highlight w:val="none"/>
              </w:rPr>
              <w:t>投标文件的形式</w:t>
            </w:r>
          </w:p>
        </w:tc>
        <w:tc>
          <w:tcPr>
            <w:tcW w:w="613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 w:val="24"/>
                <w:highlight w:val="none"/>
              </w:rPr>
            </w:pPr>
            <w:r>
              <w:rPr>
                <w:rFonts w:ascii="Segoe UI Emoji" w:hAnsi="Segoe UI Emoji" w:cs="Segoe UI Emoji"/>
                <w:color w:val="auto"/>
                <w:sz w:val="24"/>
                <w:highlight w:val="none"/>
              </w:rPr>
              <w:t>☑</w:t>
            </w:r>
            <w:r>
              <w:rPr>
                <w:rFonts w:hint="eastAsia" w:ascii="宋体" w:hAnsi="宋体" w:cs="宋体"/>
                <w:color w:val="auto"/>
                <w:sz w:val="24"/>
                <w:highlight w:val="none"/>
              </w:rPr>
              <w:t>电子投标文件（包括“电子加密投标文件”和“备份投标文件”，在投标文件编制完成后同时生成）；</w:t>
            </w:r>
          </w:p>
          <w:p>
            <w:pPr>
              <w:spacing w:line="360" w:lineRule="auto"/>
              <w:rPr>
                <w:rFonts w:ascii="宋体" w:hAnsi="宋体" w:cs="宋体"/>
                <w:color w:val="auto"/>
                <w:sz w:val="24"/>
                <w:highlight w:val="none"/>
              </w:rPr>
            </w:pPr>
            <w:r>
              <w:rPr>
                <w:rFonts w:hint="eastAsia" w:ascii="宋体" w:hAnsi="宋体" w:cs="宋体"/>
                <w:color w:val="auto"/>
                <w:sz w:val="24"/>
                <w:highlight w:val="none"/>
              </w:rPr>
              <w:t>（1）“电子加密投标文件”是指通过“政采云电子交易客户端”完成投标文件编制后生成并加密的数据电文形式的投标文件。</w:t>
            </w:r>
          </w:p>
          <w:p>
            <w:pPr>
              <w:spacing w:line="360" w:lineRule="auto"/>
              <w:rPr>
                <w:rFonts w:ascii="宋体" w:hAnsi="宋体" w:cs="宋体"/>
                <w:color w:val="auto"/>
                <w:sz w:val="24"/>
                <w:highlight w:val="none"/>
              </w:rPr>
            </w:pPr>
            <w:r>
              <w:rPr>
                <w:rFonts w:hint="eastAsia" w:ascii="宋体" w:hAnsi="宋体" w:cs="宋体"/>
                <w:color w:val="auto"/>
                <w:sz w:val="24"/>
                <w:highlight w:val="none"/>
              </w:rPr>
              <w:t>（2）“备份投标文件”是指与“电子加密投标文件”同时生成的数据电文形式的电子文件（备份标书），其他方式编制的备份投标文件视为无效备份投标文件。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Calibri Light"/>
                <w:color w:val="auto"/>
                <w:sz w:val="24"/>
                <w:highlight w:val="none"/>
              </w:rPr>
            </w:pPr>
            <w:r>
              <w:rPr>
                <w:rFonts w:hint="eastAsia" w:ascii="宋体" w:hAnsi="宋体" w:cs="宋体"/>
                <w:color w:val="auto"/>
                <w:sz w:val="24"/>
                <w:highlight w:val="none"/>
              </w:rPr>
              <w:t>6</w:t>
            </w:r>
          </w:p>
        </w:tc>
        <w:tc>
          <w:tcPr>
            <w:tcW w:w="194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Calibri Light"/>
                <w:color w:val="auto"/>
                <w:sz w:val="24"/>
                <w:highlight w:val="none"/>
              </w:rPr>
            </w:pPr>
            <w:r>
              <w:rPr>
                <w:rFonts w:hint="eastAsia" w:ascii="宋体" w:hAnsi="宋体" w:cs="宋体"/>
                <w:color w:val="auto"/>
                <w:sz w:val="24"/>
                <w:highlight w:val="none"/>
              </w:rPr>
              <w:t>投标文件份数</w:t>
            </w:r>
          </w:p>
        </w:tc>
        <w:tc>
          <w:tcPr>
            <w:tcW w:w="613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（1）“电子加密投标文件”：在线上传递交、一份。</w:t>
            </w:r>
          </w:p>
          <w:p>
            <w:pPr>
              <w:spacing w:line="360" w:lineRule="auto"/>
              <w:rPr>
                <w:rFonts w:ascii="宋体" w:hAnsi="宋体" w:cs="宋体"/>
                <w:color w:val="auto"/>
                <w:sz w:val="24"/>
                <w:highlight w:val="none"/>
              </w:rPr>
            </w:pPr>
            <w:r>
              <w:rPr>
                <w:rFonts w:hint="eastAsia" w:ascii="宋体" w:hAnsi="宋体" w:cs="宋体"/>
                <w:color w:val="auto"/>
                <w:sz w:val="24"/>
                <w:highlight w:val="none"/>
              </w:rPr>
              <w:t>（2）“备份投标文件”：建议密封包装后于投标截止时间前邮寄至招标代理处、一份。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Calibri Light"/>
                <w:color w:val="auto"/>
                <w:sz w:val="24"/>
                <w:highlight w:val="none"/>
              </w:rPr>
            </w:pPr>
            <w:r>
              <w:rPr>
                <w:rFonts w:hint="eastAsia" w:ascii="宋体" w:hAnsi="宋体" w:cs="Calibri Light"/>
                <w:color w:val="auto"/>
                <w:sz w:val="24"/>
                <w:highlight w:val="none"/>
              </w:rPr>
              <w:t>7</w:t>
            </w:r>
          </w:p>
        </w:tc>
        <w:tc>
          <w:tcPr>
            <w:tcW w:w="194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Calibri Light"/>
                <w:color w:val="auto"/>
                <w:sz w:val="24"/>
                <w:highlight w:val="none"/>
              </w:rPr>
            </w:pPr>
            <w:r>
              <w:rPr>
                <w:rFonts w:hint="eastAsia" w:ascii="宋体" w:hAnsi="宋体" w:cs="宋体"/>
                <w:color w:val="auto"/>
                <w:sz w:val="24"/>
                <w:highlight w:val="none"/>
              </w:rPr>
              <w:t>投标文件的上传和递交</w:t>
            </w:r>
          </w:p>
        </w:tc>
        <w:tc>
          <w:tcPr>
            <w:tcW w:w="613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（1）“电子加密投标文件”的上传、递交：</w:t>
            </w:r>
          </w:p>
          <w:p>
            <w:pPr>
              <w:spacing w:line="360" w:lineRule="auto"/>
              <w:rPr>
                <w:rFonts w:ascii="宋体" w:hAnsi="宋体" w:cs="宋体"/>
                <w:color w:val="auto"/>
                <w:sz w:val="24"/>
                <w:highlight w:val="none"/>
              </w:rPr>
            </w:pPr>
            <w:r>
              <w:rPr>
                <w:rFonts w:hint="eastAsia" w:ascii="宋体" w:hAnsi="宋体" w:cs="宋体"/>
                <w:color w:val="auto"/>
                <w:sz w:val="24"/>
                <w:highlight w:val="none"/>
              </w:rPr>
              <w:t>a.投标供应商应在投标截止时间前将“电子加密投标文件”成功上传递交至“政府采购云平台”，否则投标无效。</w:t>
            </w:r>
          </w:p>
          <w:p>
            <w:pPr>
              <w:spacing w:line="360" w:lineRule="auto"/>
              <w:rPr>
                <w:rFonts w:ascii="宋体" w:hAnsi="宋体" w:cs="宋体"/>
                <w:color w:val="auto"/>
                <w:sz w:val="24"/>
                <w:highlight w:val="none"/>
              </w:rPr>
            </w:pPr>
            <w:r>
              <w:rPr>
                <w:rFonts w:hint="eastAsia" w:ascii="宋体" w:hAnsi="宋体" w:cs="宋体"/>
                <w:color w:val="auto"/>
                <w:sz w:val="24"/>
                <w:highlight w:val="none"/>
              </w:rPr>
              <w:t>b.“电子加密投标文件”成功上传递交后，供应商可自行打印投标文件接收回执。</w:t>
            </w:r>
          </w:p>
          <w:p>
            <w:pPr>
              <w:spacing w:line="360" w:lineRule="auto"/>
              <w:rPr>
                <w:rFonts w:ascii="宋体" w:hAnsi="宋体" w:cs="宋体"/>
                <w:color w:val="auto"/>
                <w:sz w:val="24"/>
                <w:highlight w:val="none"/>
              </w:rPr>
            </w:pPr>
            <w:r>
              <w:rPr>
                <w:rFonts w:hint="eastAsia" w:ascii="宋体" w:hAnsi="宋体" w:cs="宋体"/>
                <w:color w:val="auto"/>
                <w:sz w:val="24"/>
                <w:highlight w:val="none"/>
              </w:rPr>
              <w:t>（2）“备份投标文件”的密封包装、递交：</w:t>
            </w:r>
          </w:p>
          <w:p>
            <w:pPr>
              <w:spacing w:line="360" w:lineRule="auto"/>
              <w:rPr>
                <w:rFonts w:ascii="宋体" w:hAnsi="宋体" w:cs="宋体"/>
                <w:color w:val="auto"/>
                <w:sz w:val="24"/>
                <w:highlight w:val="none"/>
              </w:rPr>
            </w:pPr>
            <w:r>
              <w:rPr>
                <w:rFonts w:hint="eastAsia" w:ascii="宋体" w:hAnsi="宋体" w:cs="宋体"/>
                <w:color w:val="auto"/>
                <w:sz w:val="24"/>
                <w:highlight w:val="none"/>
              </w:rPr>
              <w:t>a. “备份投标文件”以U盘的形式存储，并密封包装，在包装上标注投标项目名称、投标单位名称并加盖公章。没有密封包装或者（以收到邮件时间为准）逾期邮寄送达至投标地点的将不予接收；</w:t>
            </w:r>
          </w:p>
          <w:p>
            <w:pPr>
              <w:spacing w:line="400" w:lineRule="exact"/>
              <w:rPr>
                <w:rFonts w:ascii="宋体" w:hAnsi="宋体" w:cs="宋体"/>
                <w:color w:val="auto"/>
                <w:sz w:val="24"/>
                <w:highlight w:val="none"/>
              </w:rPr>
            </w:pPr>
            <w:r>
              <w:rPr>
                <w:rFonts w:ascii="宋体" w:hAnsi="宋体" w:cs="宋体"/>
                <w:color w:val="auto"/>
                <w:sz w:val="24"/>
                <w:highlight w:val="none"/>
              </w:rPr>
              <w:t>b</w:t>
            </w:r>
            <w:r>
              <w:rPr>
                <w:rFonts w:hint="eastAsia" w:ascii="宋体" w:hAnsi="宋体" w:cs="宋体"/>
                <w:color w:val="auto"/>
                <w:sz w:val="24"/>
                <w:highlight w:val="none"/>
              </w:rPr>
              <w:t>.通过“政府采购云平台”成功上传递交的“电子加密投标文件”已按时解密的，“备份投标文件”自动失效。投标截止时间前，投标供应商仅递交了“备份投标文件”而未将“电子加密投标文件”成功上传至“政府采购云平台”的，投标无效。</w:t>
            </w:r>
          </w:p>
          <w:p>
            <w:pPr>
              <w:spacing w:line="400" w:lineRule="exact"/>
              <w:rPr>
                <w:rFonts w:ascii="宋体" w:hAnsi="宋体" w:cs="Calibri Light"/>
                <w:b/>
                <w:bCs/>
                <w:color w:val="auto"/>
                <w:sz w:val="24"/>
                <w:highlight w:val="none"/>
              </w:rPr>
            </w:pPr>
            <w:r>
              <w:rPr>
                <w:rFonts w:hint="eastAsia" w:ascii="宋体" w:hAnsi="宋体" w:cs="Calibri Light"/>
                <w:b/>
                <w:bCs/>
                <w:color w:val="auto"/>
                <w:sz w:val="24"/>
                <w:highlight w:val="none"/>
              </w:rPr>
              <w:t xml:space="preserve">邮寄地址：台州市经济开发区爱华路18号新台州大厦16楼F </w:t>
            </w:r>
          </w:p>
          <w:p>
            <w:pPr>
              <w:spacing w:line="400" w:lineRule="exact"/>
              <w:rPr>
                <w:rFonts w:ascii="宋体" w:hAnsi="宋体" w:cs="Calibri Light"/>
                <w:b/>
                <w:bCs/>
                <w:color w:val="auto"/>
                <w:sz w:val="24"/>
                <w:highlight w:val="none"/>
              </w:rPr>
            </w:pPr>
            <w:r>
              <w:rPr>
                <w:rFonts w:hint="eastAsia" w:ascii="宋体" w:hAnsi="宋体" w:cs="Calibri Light"/>
                <w:b/>
                <w:bCs/>
                <w:color w:val="auto"/>
                <w:sz w:val="24"/>
                <w:highlight w:val="none"/>
              </w:rPr>
              <w:t>收件人：戴萍</w:t>
            </w:r>
          </w:p>
          <w:p>
            <w:pPr>
              <w:spacing w:line="400" w:lineRule="exact"/>
              <w:rPr>
                <w:rFonts w:ascii="宋体" w:hAnsi="宋体" w:cs="Calibri Light"/>
                <w:b/>
                <w:bCs/>
                <w:color w:val="auto"/>
                <w:sz w:val="24"/>
                <w:highlight w:val="none"/>
              </w:rPr>
            </w:pPr>
            <w:r>
              <w:rPr>
                <w:rFonts w:hint="eastAsia" w:ascii="宋体" w:hAnsi="宋体" w:cs="Calibri Light"/>
                <w:b/>
                <w:bCs/>
                <w:color w:val="auto"/>
                <w:sz w:val="24"/>
                <w:highlight w:val="none"/>
              </w:rPr>
              <w:t>联系电话：0576-88550073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Calibri Light"/>
                <w:color w:val="auto"/>
                <w:sz w:val="24"/>
                <w:highlight w:val="none"/>
              </w:rPr>
            </w:pPr>
            <w:r>
              <w:rPr>
                <w:rFonts w:hint="eastAsia" w:ascii="宋体" w:hAnsi="宋体" w:cs="Calibri Light"/>
                <w:color w:val="auto"/>
                <w:sz w:val="24"/>
                <w:highlight w:val="none"/>
              </w:rPr>
              <w:t>8</w:t>
            </w:r>
          </w:p>
        </w:tc>
        <w:tc>
          <w:tcPr>
            <w:tcW w:w="194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电子加密投标文件的解密和异常情况处理</w:t>
            </w:r>
          </w:p>
          <w:p>
            <w:pPr>
              <w:spacing w:line="400" w:lineRule="exact"/>
              <w:jc w:val="center"/>
              <w:rPr>
                <w:rFonts w:ascii="宋体" w:hAnsi="宋体" w:cs="Calibri Light"/>
                <w:color w:val="auto"/>
                <w:sz w:val="24"/>
                <w:highlight w:val="none"/>
              </w:rPr>
            </w:pPr>
          </w:p>
        </w:tc>
        <w:tc>
          <w:tcPr>
            <w:tcW w:w="613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（1）开标后，采购组织机构将向各投标供应商发出“电子加密投标文件”的解密通知，各投标供应商代表应当在接到解密通知后30分钟内自行完成“电子加密投标文件”的在线解密。</w:t>
            </w:r>
          </w:p>
          <w:p>
            <w:pPr>
              <w:spacing w:line="360" w:lineRule="auto"/>
              <w:rPr>
                <w:rFonts w:ascii="宋体" w:hAnsi="宋体" w:cs="宋体"/>
                <w:color w:val="auto"/>
                <w:sz w:val="24"/>
                <w:highlight w:val="none"/>
              </w:rPr>
            </w:pPr>
            <w:r>
              <w:rPr>
                <w:rFonts w:hint="eastAsia" w:ascii="宋体" w:hAnsi="宋体" w:cs="宋体"/>
                <w:color w:val="auto"/>
                <w:sz w:val="24"/>
                <w:highlight w:val="none"/>
              </w:rPr>
              <w:t>（2）通过“政府采购云平台”成功上传递交的“电子加密投标文件”无法按时解密，投标供应商如按规定递交了“备份投标文件”的，以“备份投标文件”为依据（由采购组织机构按“政府采购云平台”操作规范将“备份投标文件”上传至“政府采购云平台”，上传成功后，“电子加密投标文件”自动失效），否则视为投标文件撤回。</w:t>
            </w:r>
          </w:p>
          <w:p>
            <w:pPr>
              <w:spacing w:line="400" w:lineRule="exact"/>
              <w:rPr>
                <w:rFonts w:ascii="宋体" w:hAnsi="宋体" w:cs="Calibri Light"/>
                <w:color w:val="auto"/>
                <w:sz w:val="24"/>
                <w:highlight w:val="none"/>
              </w:rPr>
            </w:pPr>
            <w:r>
              <w:rPr>
                <w:rFonts w:hint="eastAsia" w:ascii="宋体" w:hAnsi="宋体" w:cs="宋体"/>
                <w:color w:val="auto"/>
                <w:sz w:val="24"/>
                <w:highlight w:val="none"/>
              </w:rPr>
              <w:t>（3）投标截止时间前，投标供应商仅递交了“备份投标文件”而未将电子加密投标文件上传至“政府采购云平台”的，投标无效。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ascii="宋体" w:hAnsi="宋体" w:cs="宋体"/>
                <w:color w:val="auto"/>
                <w:sz w:val="24"/>
                <w:highlight w:val="none"/>
              </w:rPr>
              <w:t>9</w:t>
            </w:r>
          </w:p>
        </w:tc>
        <w:tc>
          <w:tcPr>
            <w:tcW w:w="194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投标有效期</w:t>
            </w:r>
          </w:p>
        </w:tc>
        <w:tc>
          <w:tcPr>
            <w:tcW w:w="613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投标有效期为开标后90天，</w:t>
            </w:r>
            <w:r>
              <w:rPr>
                <w:rFonts w:hint="eastAsia" w:ascii="宋体" w:hAnsi="宋体" w:cs="宋体"/>
                <w:color w:val="auto"/>
                <w:kern w:val="0"/>
                <w:sz w:val="24"/>
                <w:highlight w:val="none"/>
              </w:rPr>
              <w:t>投标有效期从提交投标文件的截止之日起算。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ascii="宋体" w:hAnsi="宋体" w:cs="宋体"/>
                <w:color w:val="auto"/>
                <w:sz w:val="24"/>
                <w:highlight w:val="none"/>
              </w:rPr>
              <w:t>10</w:t>
            </w:r>
          </w:p>
        </w:tc>
        <w:tc>
          <w:tcPr>
            <w:tcW w:w="194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投标文件递交</w:t>
            </w:r>
          </w:p>
        </w:tc>
        <w:tc>
          <w:tcPr>
            <w:tcW w:w="613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截止时间：详见招标公告</w:t>
            </w:r>
          </w:p>
          <w:p>
            <w:pPr>
              <w:spacing w:line="360" w:lineRule="auto"/>
              <w:rPr>
                <w:rFonts w:ascii="宋体" w:hAnsi="宋体" w:cs="宋体"/>
                <w:color w:val="auto"/>
                <w:sz w:val="24"/>
                <w:highlight w:val="none"/>
              </w:rPr>
            </w:pPr>
            <w:r>
              <w:rPr>
                <w:rFonts w:hint="eastAsia" w:ascii="宋体" w:hAnsi="宋体" w:cs="宋体"/>
                <w:color w:val="auto"/>
                <w:sz w:val="24"/>
                <w:highlight w:val="none"/>
              </w:rPr>
              <w:t>递交地点：详见招标公告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ascii="宋体" w:hAnsi="宋体" w:cs="宋体"/>
                <w:color w:val="auto"/>
                <w:sz w:val="24"/>
                <w:highlight w:val="none"/>
              </w:rPr>
              <w:t>11</w:t>
            </w:r>
          </w:p>
        </w:tc>
        <w:tc>
          <w:tcPr>
            <w:tcW w:w="194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开标时间及地点</w:t>
            </w:r>
          </w:p>
        </w:tc>
        <w:tc>
          <w:tcPr>
            <w:tcW w:w="613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时间：详见招标公告</w:t>
            </w:r>
          </w:p>
          <w:p>
            <w:pPr>
              <w:spacing w:line="360" w:lineRule="auto"/>
              <w:rPr>
                <w:rFonts w:ascii="宋体" w:hAnsi="宋体" w:cs="宋体"/>
                <w:color w:val="auto"/>
                <w:sz w:val="24"/>
                <w:highlight w:val="none"/>
              </w:rPr>
            </w:pPr>
            <w:r>
              <w:rPr>
                <w:rFonts w:hint="eastAsia" w:ascii="宋体" w:hAnsi="宋体" w:cs="宋体"/>
                <w:color w:val="auto"/>
                <w:sz w:val="24"/>
                <w:highlight w:val="none"/>
              </w:rPr>
              <w:t>地点：详见招标公告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ascii="宋体" w:hAnsi="宋体" w:cs="宋体"/>
                <w:color w:val="auto"/>
                <w:sz w:val="24"/>
                <w:highlight w:val="none"/>
              </w:rPr>
              <w:t>12</w:t>
            </w:r>
          </w:p>
        </w:tc>
        <w:tc>
          <w:tcPr>
            <w:tcW w:w="194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投标保证金</w:t>
            </w:r>
          </w:p>
        </w:tc>
        <w:tc>
          <w:tcPr>
            <w:tcW w:w="613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ascii="宋体" w:hAnsi="宋体" w:cs="宋体"/>
                <w:color w:val="auto"/>
                <w:sz w:val="24"/>
                <w:highlight w:val="none"/>
              </w:rPr>
              <w:t>13</w:t>
            </w:r>
          </w:p>
        </w:tc>
        <w:tc>
          <w:tcPr>
            <w:tcW w:w="194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履约保证金</w:t>
            </w:r>
          </w:p>
        </w:tc>
        <w:tc>
          <w:tcPr>
            <w:tcW w:w="6134" w:type="dxa"/>
            <w:tcBorders>
              <w:top w:val="single" w:color="auto" w:sz="4" w:space="0"/>
              <w:left w:val="single" w:color="auto" w:sz="4" w:space="0"/>
              <w:bottom w:val="single" w:color="auto" w:sz="4" w:space="0"/>
              <w:right w:val="single" w:color="auto" w:sz="4" w:space="0"/>
            </w:tcBorders>
            <w:vAlign w:val="center"/>
          </w:tcPr>
          <w:p>
            <w:pPr>
              <w:pStyle w:val="16"/>
              <w:spacing w:line="360" w:lineRule="auto"/>
              <w:ind w:left="0" w:leftChars="0"/>
              <w:rPr>
                <w:rFonts w:ascii="宋体" w:hAnsi="宋体" w:eastAsia="宋体" w:cs="宋体"/>
                <w:color w:val="auto"/>
                <w:sz w:val="24"/>
                <w:szCs w:val="24"/>
                <w:highlight w:val="none"/>
              </w:rPr>
            </w:pPr>
            <w:r>
              <w:rPr>
                <w:rFonts w:hint="eastAsia" w:ascii="宋体" w:hAnsi="宋体" w:eastAsia="宋体" w:cs="宋体"/>
                <w:color w:val="auto"/>
                <w:sz w:val="24"/>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ascii="宋体" w:hAnsi="宋体" w:cs="宋体"/>
                <w:color w:val="auto"/>
                <w:sz w:val="24"/>
                <w:highlight w:val="none"/>
              </w:rPr>
              <w:t>14</w:t>
            </w:r>
          </w:p>
        </w:tc>
        <w:tc>
          <w:tcPr>
            <w:tcW w:w="194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cs="宋体"/>
                <w:color w:val="auto"/>
                <w:sz w:val="24"/>
                <w:highlight w:val="none"/>
                <w:lang w:val="zh-CN"/>
              </w:rPr>
            </w:pPr>
            <w:r>
              <w:rPr>
                <w:rFonts w:hint="eastAsia" w:ascii="宋体" w:hAnsi="宋体" w:cs="宋体"/>
                <w:color w:val="auto"/>
                <w:sz w:val="24"/>
                <w:highlight w:val="none"/>
                <w:lang w:val="zh-CN"/>
              </w:rPr>
              <w:t>实质性条款</w:t>
            </w:r>
          </w:p>
        </w:tc>
        <w:tc>
          <w:tcPr>
            <w:tcW w:w="61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带“</w:t>
            </w:r>
            <w:r>
              <w:rPr>
                <w:rFonts w:hint="eastAsia" w:ascii="宋体" w:hAnsi="宋体" w:cs="宋体"/>
                <w:bCs/>
                <w:color w:val="auto"/>
                <w:sz w:val="24"/>
                <w:highlight w:val="none"/>
              </w:rPr>
              <w:t>▲”的条款是实质性条款，投标文件须作出实质性响应，否则作无效投标处理。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5</w:t>
            </w:r>
          </w:p>
        </w:tc>
        <w:tc>
          <w:tcPr>
            <w:tcW w:w="194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cs="宋体"/>
                <w:color w:val="auto"/>
                <w:sz w:val="24"/>
                <w:highlight w:val="none"/>
                <w:lang w:val="zh-CN"/>
              </w:rPr>
            </w:pPr>
            <w:r>
              <w:rPr>
                <w:rFonts w:hint="eastAsia" w:ascii="宋体" w:hAnsi="宋体" w:cs="宋体"/>
                <w:color w:val="auto"/>
                <w:sz w:val="24"/>
                <w:highlight w:val="none"/>
                <w:lang w:val="zh-CN"/>
              </w:rPr>
              <w:t>所属行业</w:t>
            </w:r>
          </w:p>
        </w:tc>
        <w:tc>
          <w:tcPr>
            <w:tcW w:w="61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根据《关于印发中小企业划型标准规定的通知》（工信部联企业〔2011〕300号），本项目属于其他未列明行业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ascii="宋体" w:hAnsi="宋体" w:cs="宋体"/>
                <w:color w:val="auto"/>
                <w:sz w:val="24"/>
                <w:highlight w:val="none"/>
              </w:rPr>
              <w:t>16</w:t>
            </w:r>
          </w:p>
        </w:tc>
        <w:tc>
          <w:tcPr>
            <w:tcW w:w="194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解释权</w:t>
            </w:r>
          </w:p>
        </w:tc>
        <w:tc>
          <w:tcPr>
            <w:tcW w:w="61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rPr>
                <w:rFonts w:ascii="宋体" w:hAnsi="宋体" w:cs="宋体"/>
                <w:color w:val="auto"/>
                <w:sz w:val="24"/>
                <w:highlight w:val="none"/>
              </w:rPr>
            </w:pPr>
            <w:r>
              <w:rPr>
                <w:rFonts w:hint="eastAsia" w:ascii="宋体" w:hAnsi="宋体" w:cs="宋体"/>
                <w:color w:val="auto"/>
                <w:sz w:val="24"/>
                <w:highlight w:val="none"/>
              </w:rPr>
              <w:t>本招标文件解释权属于采购人和</w:t>
            </w:r>
            <w:r>
              <w:rPr>
                <w:rFonts w:hint="eastAsia" w:ascii="宋体" w:hAnsi="宋体" w:cs="Arial"/>
                <w:color w:val="auto"/>
                <w:sz w:val="24"/>
                <w:highlight w:val="none"/>
              </w:rPr>
              <w:t>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4" w:hRule="atLeast"/>
          <w:jc w:val="center"/>
        </w:trPr>
        <w:tc>
          <w:tcPr>
            <w:tcW w:w="7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17</w:t>
            </w:r>
          </w:p>
        </w:tc>
        <w:tc>
          <w:tcPr>
            <w:tcW w:w="194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其他</w:t>
            </w:r>
            <w:r>
              <w:rPr>
                <w:rFonts w:ascii="宋体" w:hAnsi="宋体" w:cs="宋体"/>
                <w:color w:val="auto"/>
                <w:sz w:val="24"/>
                <w:highlight w:val="none"/>
              </w:rPr>
              <w:t>事项</w:t>
            </w:r>
          </w:p>
        </w:tc>
        <w:tc>
          <w:tcPr>
            <w:tcW w:w="6134"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4"/>
                <w:highlight w:val="none"/>
              </w:rPr>
            </w:pPr>
            <w:r>
              <w:rPr>
                <w:rFonts w:hint="eastAsia" w:ascii="宋体" w:hAnsi="宋体" w:cs="宋体"/>
                <w:color w:val="auto"/>
                <w:sz w:val="24"/>
                <w:highlight w:val="none"/>
              </w:rPr>
              <w:t>中标供应商如有融资需求，可使用以下银行的政采贷服务。</w:t>
            </w:r>
          </w:p>
          <w:tbl>
            <w:tblPr>
              <w:tblStyle w:val="24"/>
              <w:tblW w:w="59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2"/>
              <w:gridCol w:w="1227"/>
              <w:gridCol w:w="1090"/>
              <w:gridCol w:w="1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182" w:type="dxa"/>
                  <w:shd w:val="clear" w:color="auto" w:fill="auto"/>
                  <w:vAlign w:val="center"/>
                </w:tcPr>
                <w:p>
                  <w:pPr>
                    <w:jc w:val="center"/>
                    <w:rPr>
                      <w:rFonts w:asciiTheme="minorEastAsia" w:hAnsiTheme="minorEastAsia" w:eastAsiaTheme="minorEastAsia" w:cstheme="minorEastAsia"/>
                      <w:color w:val="auto"/>
                      <w:szCs w:val="21"/>
                      <w:highlight w:val="none"/>
                    </w:rPr>
                  </w:pPr>
                </w:p>
              </w:tc>
              <w:tc>
                <w:tcPr>
                  <w:tcW w:w="1227"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贷款年利率</w:t>
                  </w:r>
                </w:p>
              </w:tc>
              <w:tc>
                <w:tcPr>
                  <w:tcW w:w="1090"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联系人</w:t>
                  </w:r>
                </w:p>
              </w:tc>
              <w:tc>
                <w:tcPr>
                  <w:tcW w:w="1499"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82"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中国工商银行</w:t>
                  </w:r>
                </w:p>
              </w:tc>
              <w:tc>
                <w:tcPr>
                  <w:tcW w:w="1227"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3.8%起</w:t>
                  </w:r>
                </w:p>
              </w:tc>
              <w:tc>
                <w:tcPr>
                  <w:tcW w:w="1090"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王霖</w:t>
                  </w:r>
                </w:p>
              </w:tc>
              <w:tc>
                <w:tcPr>
                  <w:tcW w:w="1499"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88588246  13857654562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182"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中国农业银行</w:t>
                  </w:r>
                </w:p>
              </w:tc>
              <w:tc>
                <w:tcPr>
                  <w:tcW w:w="1227"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3.8%起</w:t>
                  </w:r>
                </w:p>
              </w:tc>
              <w:tc>
                <w:tcPr>
                  <w:tcW w:w="1090"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龚盛</w:t>
                  </w:r>
                </w:p>
              </w:tc>
              <w:tc>
                <w:tcPr>
                  <w:tcW w:w="1499"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15858682216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2182"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中国建设银行</w:t>
                  </w:r>
                </w:p>
              </w:tc>
              <w:tc>
                <w:tcPr>
                  <w:tcW w:w="1227"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3.8%起</w:t>
                  </w:r>
                </w:p>
              </w:tc>
              <w:tc>
                <w:tcPr>
                  <w:tcW w:w="1090"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梅晶晶</w:t>
                  </w:r>
                </w:p>
              </w:tc>
              <w:tc>
                <w:tcPr>
                  <w:tcW w:w="1499"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88525339</w:t>
                  </w:r>
                </w:p>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13736585303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182"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中国银行</w:t>
                  </w:r>
                </w:p>
              </w:tc>
              <w:tc>
                <w:tcPr>
                  <w:tcW w:w="1227"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3.75%起</w:t>
                  </w:r>
                </w:p>
              </w:tc>
              <w:tc>
                <w:tcPr>
                  <w:tcW w:w="1090"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任茜</w:t>
                  </w:r>
                </w:p>
              </w:tc>
              <w:tc>
                <w:tcPr>
                  <w:tcW w:w="1499"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13857695378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182"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浦发银行台州分行</w:t>
                  </w:r>
                </w:p>
              </w:tc>
              <w:tc>
                <w:tcPr>
                  <w:tcW w:w="1227"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4.05%起</w:t>
                  </w:r>
                </w:p>
              </w:tc>
              <w:tc>
                <w:tcPr>
                  <w:tcW w:w="1090"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王渊</w:t>
                  </w:r>
                </w:p>
              </w:tc>
              <w:tc>
                <w:tcPr>
                  <w:tcW w:w="1499"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13616676319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182"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浦发银行椒江分行</w:t>
                  </w:r>
                </w:p>
              </w:tc>
              <w:tc>
                <w:tcPr>
                  <w:tcW w:w="1227"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4.05%起</w:t>
                  </w:r>
                </w:p>
              </w:tc>
              <w:tc>
                <w:tcPr>
                  <w:tcW w:w="1090"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孙瑞华</w:t>
                  </w:r>
                </w:p>
              </w:tc>
              <w:tc>
                <w:tcPr>
                  <w:tcW w:w="1499"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13857688081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182"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交通银行台州分行</w:t>
                  </w:r>
                </w:p>
              </w:tc>
              <w:tc>
                <w:tcPr>
                  <w:tcW w:w="1227"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3.75%起</w:t>
                  </w:r>
                </w:p>
              </w:tc>
              <w:tc>
                <w:tcPr>
                  <w:tcW w:w="1090"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周翔宇</w:t>
                  </w:r>
                </w:p>
              </w:tc>
              <w:tc>
                <w:tcPr>
                  <w:tcW w:w="1499"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13867697018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2182"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招商银行台州分行</w:t>
                  </w:r>
                </w:p>
              </w:tc>
              <w:tc>
                <w:tcPr>
                  <w:tcW w:w="1227"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4.32%起</w:t>
                  </w:r>
                </w:p>
              </w:tc>
              <w:tc>
                <w:tcPr>
                  <w:tcW w:w="1090"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王海玲</w:t>
                  </w:r>
                </w:p>
              </w:tc>
              <w:tc>
                <w:tcPr>
                  <w:tcW w:w="1499"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13566413827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2182"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浙商银行台州分行</w:t>
                  </w:r>
                </w:p>
              </w:tc>
              <w:tc>
                <w:tcPr>
                  <w:tcW w:w="1227"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5.01%起</w:t>
                  </w:r>
                </w:p>
              </w:tc>
              <w:tc>
                <w:tcPr>
                  <w:tcW w:w="1090"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章涉漪</w:t>
                  </w:r>
                </w:p>
              </w:tc>
              <w:tc>
                <w:tcPr>
                  <w:tcW w:w="1499"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81880185</w:t>
                  </w:r>
                </w:p>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13606681262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182"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中信银行台州分行</w:t>
                  </w:r>
                </w:p>
              </w:tc>
              <w:tc>
                <w:tcPr>
                  <w:tcW w:w="1227"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4.15%起</w:t>
                  </w:r>
                </w:p>
              </w:tc>
              <w:tc>
                <w:tcPr>
                  <w:tcW w:w="1090"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陈金园</w:t>
                  </w:r>
                </w:p>
              </w:tc>
              <w:tc>
                <w:tcPr>
                  <w:tcW w:w="1499"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13586052161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2182"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华夏银行台州分行</w:t>
                  </w:r>
                </w:p>
              </w:tc>
              <w:tc>
                <w:tcPr>
                  <w:tcW w:w="1227"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4.5%起</w:t>
                  </w:r>
                </w:p>
              </w:tc>
              <w:tc>
                <w:tcPr>
                  <w:tcW w:w="1090"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邱明达</w:t>
                  </w:r>
                </w:p>
              </w:tc>
              <w:tc>
                <w:tcPr>
                  <w:tcW w:w="1499"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81871518</w:t>
                  </w:r>
                </w:p>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13736252233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182"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泰隆银行开发区支行</w:t>
                  </w:r>
                </w:p>
              </w:tc>
              <w:tc>
                <w:tcPr>
                  <w:tcW w:w="1227"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5.6%起</w:t>
                  </w:r>
                </w:p>
              </w:tc>
              <w:tc>
                <w:tcPr>
                  <w:tcW w:w="1090"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梁宛莉</w:t>
                  </w:r>
                </w:p>
              </w:tc>
              <w:tc>
                <w:tcPr>
                  <w:tcW w:w="1499"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13306869100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182"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民泰银行椒江支行</w:t>
                  </w:r>
                </w:p>
              </w:tc>
              <w:tc>
                <w:tcPr>
                  <w:tcW w:w="1227"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5.8%起</w:t>
                  </w:r>
                </w:p>
              </w:tc>
              <w:tc>
                <w:tcPr>
                  <w:tcW w:w="1090"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陈慧珠</w:t>
                  </w:r>
                </w:p>
              </w:tc>
              <w:tc>
                <w:tcPr>
                  <w:tcW w:w="1499"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13857699669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182"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绍兴银行台州分行</w:t>
                  </w:r>
                </w:p>
              </w:tc>
              <w:tc>
                <w:tcPr>
                  <w:tcW w:w="1227"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5.1%起</w:t>
                  </w:r>
                </w:p>
              </w:tc>
              <w:tc>
                <w:tcPr>
                  <w:tcW w:w="1090"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郭庭斌</w:t>
                  </w:r>
                </w:p>
              </w:tc>
              <w:tc>
                <w:tcPr>
                  <w:tcW w:w="1499"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15958633119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182"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温州银行台州分行</w:t>
                  </w:r>
                </w:p>
              </w:tc>
              <w:tc>
                <w:tcPr>
                  <w:tcW w:w="1227"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4.55%起</w:t>
                  </w:r>
                </w:p>
              </w:tc>
              <w:tc>
                <w:tcPr>
                  <w:tcW w:w="1090"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王晓波</w:t>
                  </w:r>
                </w:p>
              </w:tc>
              <w:tc>
                <w:tcPr>
                  <w:tcW w:w="1499"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15824005475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182"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平安银行台州分行</w:t>
                  </w:r>
                </w:p>
              </w:tc>
              <w:tc>
                <w:tcPr>
                  <w:tcW w:w="1227"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6.53%起</w:t>
                  </w:r>
                </w:p>
              </w:tc>
              <w:tc>
                <w:tcPr>
                  <w:tcW w:w="1090"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李俊丽</w:t>
                  </w:r>
                </w:p>
              </w:tc>
              <w:tc>
                <w:tcPr>
                  <w:tcW w:w="1499"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15906861025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182"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宁波银行台州分行</w:t>
                  </w:r>
                </w:p>
              </w:tc>
              <w:tc>
                <w:tcPr>
                  <w:tcW w:w="1227"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4.35%起</w:t>
                  </w:r>
                </w:p>
              </w:tc>
              <w:tc>
                <w:tcPr>
                  <w:tcW w:w="1090"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戴莉丽</w:t>
                  </w:r>
                </w:p>
              </w:tc>
              <w:tc>
                <w:tcPr>
                  <w:tcW w:w="1499"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13566627207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2182"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金华银行台州分行</w:t>
                  </w:r>
                </w:p>
              </w:tc>
              <w:tc>
                <w:tcPr>
                  <w:tcW w:w="1227"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4.05%起</w:t>
                  </w:r>
                </w:p>
              </w:tc>
              <w:tc>
                <w:tcPr>
                  <w:tcW w:w="1090"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金雪婷</w:t>
                  </w:r>
                </w:p>
              </w:tc>
              <w:tc>
                <w:tcPr>
                  <w:tcW w:w="1499"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81886670</w:t>
                  </w:r>
                </w:p>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15968661569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182"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台州银行</w:t>
                  </w:r>
                </w:p>
              </w:tc>
              <w:tc>
                <w:tcPr>
                  <w:tcW w:w="1227"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5.6%起</w:t>
                  </w:r>
                </w:p>
              </w:tc>
              <w:tc>
                <w:tcPr>
                  <w:tcW w:w="1090"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洪婷</w:t>
                  </w:r>
                </w:p>
              </w:tc>
              <w:tc>
                <w:tcPr>
                  <w:tcW w:w="1499"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15858624999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2182"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邮储银行台州分行</w:t>
                  </w:r>
                </w:p>
              </w:tc>
              <w:tc>
                <w:tcPr>
                  <w:tcW w:w="1227"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3.85%起</w:t>
                  </w:r>
                </w:p>
              </w:tc>
              <w:tc>
                <w:tcPr>
                  <w:tcW w:w="1090"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董庆</w:t>
                  </w:r>
                </w:p>
              </w:tc>
              <w:tc>
                <w:tcPr>
                  <w:tcW w:w="1499"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81888982</w:t>
                  </w:r>
                </w:p>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18957683735</w:t>
                  </w:r>
                </w:p>
              </w:tc>
            </w:tr>
          </w:tbl>
          <w:p>
            <w:pPr>
              <w:rPr>
                <w:color w:val="auto"/>
                <w:sz w:val="32"/>
                <w:szCs w:val="32"/>
                <w:highlight w:val="none"/>
              </w:rPr>
            </w:pPr>
            <w:r>
              <w:rPr>
                <w:rFonts w:hint="eastAsia" w:ascii="宋体" w:hAnsi="宋体" w:cs="宋体"/>
                <w:color w:val="auto"/>
                <w:sz w:val="24"/>
                <w:highlight w:val="none"/>
              </w:rPr>
              <w:t>中标供应商如有合同履约保函需求，可使用以下联系方式：</w:t>
            </w:r>
          </w:p>
          <w:tbl>
            <w:tblPr>
              <w:tblStyle w:val="24"/>
              <w:tblW w:w="589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15"/>
              <w:gridCol w:w="1500"/>
              <w:gridCol w:w="867"/>
              <w:gridCol w:w="11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7" w:hRule="atLeast"/>
              </w:trPr>
              <w:tc>
                <w:tcPr>
                  <w:tcW w:w="2415"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保险公司名称</w:t>
                  </w:r>
                </w:p>
              </w:tc>
              <w:tc>
                <w:tcPr>
                  <w:tcW w:w="1500"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保费率</w:t>
                  </w:r>
                </w:p>
              </w:tc>
              <w:tc>
                <w:tcPr>
                  <w:tcW w:w="867"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联系人</w:t>
                  </w:r>
                </w:p>
              </w:tc>
              <w:tc>
                <w:tcPr>
                  <w:tcW w:w="1117" w:type="dxa"/>
                  <w:shd w:val="clear" w:color="auto" w:fill="auto"/>
                  <w:vAlign w:val="center"/>
                </w:tcPr>
                <w:p>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3" w:hRule="atLeast"/>
              </w:trPr>
              <w:tc>
                <w:tcPr>
                  <w:tcW w:w="2415" w:type="dxa"/>
                  <w:shd w:val="clear" w:color="auto" w:fill="auto"/>
                </w:tcPr>
                <w:p>
                  <w:pP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中国人寿财产保险股份有限公司台州中心支公司</w:t>
                  </w:r>
                </w:p>
              </w:tc>
              <w:tc>
                <w:tcPr>
                  <w:tcW w:w="1500" w:type="dxa"/>
                  <w:shd w:val="clear" w:color="auto" w:fill="auto"/>
                </w:tcPr>
                <w:p>
                  <w:pP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年费率1%，最低保费500元</w:t>
                  </w:r>
                </w:p>
              </w:tc>
              <w:tc>
                <w:tcPr>
                  <w:tcW w:w="867" w:type="dxa"/>
                  <w:shd w:val="clear" w:color="auto" w:fill="auto"/>
                </w:tcPr>
                <w:p>
                  <w:pP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徐凌</w:t>
                  </w:r>
                </w:p>
              </w:tc>
              <w:tc>
                <w:tcPr>
                  <w:tcW w:w="1117" w:type="dxa"/>
                  <w:shd w:val="clear" w:color="auto" w:fill="auto"/>
                </w:tcPr>
                <w:p>
                  <w:pP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13905168070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3" w:hRule="atLeast"/>
              </w:trPr>
              <w:tc>
                <w:tcPr>
                  <w:tcW w:w="2415" w:type="dxa"/>
                  <w:shd w:val="clear" w:color="auto" w:fill="auto"/>
                </w:tcPr>
                <w:p>
                  <w:pP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永诚财产保险股份有限公司台州分公司</w:t>
                  </w:r>
                </w:p>
              </w:tc>
              <w:tc>
                <w:tcPr>
                  <w:tcW w:w="1500" w:type="dxa"/>
                  <w:shd w:val="clear" w:color="auto" w:fill="auto"/>
                </w:tcPr>
                <w:p>
                  <w:pP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年费率1%，最低保费1000元</w:t>
                  </w:r>
                </w:p>
              </w:tc>
              <w:tc>
                <w:tcPr>
                  <w:tcW w:w="867" w:type="dxa"/>
                  <w:shd w:val="clear" w:color="auto" w:fill="auto"/>
                </w:tcPr>
                <w:p>
                  <w:pP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尹刚强</w:t>
                  </w:r>
                </w:p>
              </w:tc>
              <w:tc>
                <w:tcPr>
                  <w:tcW w:w="1117" w:type="dxa"/>
                  <w:shd w:val="clear" w:color="auto" w:fill="auto"/>
                </w:tcPr>
                <w:p>
                  <w:pP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13750668184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9" w:hRule="atLeast"/>
              </w:trPr>
              <w:tc>
                <w:tcPr>
                  <w:tcW w:w="2415" w:type="dxa"/>
                  <w:shd w:val="clear" w:color="auto" w:fill="auto"/>
                </w:tcPr>
                <w:p>
                  <w:pP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华泰财产保险有限公司台州中心支公司</w:t>
                  </w:r>
                </w:p>
              </w:tc>
              <w:tc>
                <w:tcPr>
                  <w:tcW w:w="1500" w:type="dxa"/>
                  <w:shd w:val="clear" w:color="auto" w:fill="auto"/>
                </w:tcPr>
                <w:p>
                  <w:pP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年费率0.5%，最低保费1000元</w:t>
                  </w:r>
                </w:p>
              </w:tc>
              <w:tc>
                <w:tcPr>
                  <w:tcW w:w="867" w:type="dxa"/>
                  <w:shd w:val="clear" w:color="auto" w:fill="auto"/>
                </w:tcPr>
                <w:p>
                  <w:pP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王灵芳</w:t>
                  </w:r>
                </w:p>
              </w:tc>
              <w:tc>
                <w:tcPr>
                  <w:tcW w:w="1117" w:type="dxa"/>
                  <w:shd w:val="clear" w:color="auto" w:fill="auto"/>
                </w:tcPr>
                <w:p>
                  <w:pP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88869818 13586123199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9" w:hRule="atLeast"/>
              </w:trPr>
              <w:tc>
                <w:tcPr>
                  <w:tcW w:w="2415" w:type="dxa"/>
                  <w:shd w:val="clear" w:color="auto" w:fill="auto"/>
                </w:tcPr>
                <w:p>
                  <w:pP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中国大地财产保险股份有限公司台州中心支公司</w:t>
                  </w:r>
                </w:p>
              </w:tc>
              <w:tc>
                <w:tcPr>
                  <w:tcW w:w="1500" w:type="dxa"/>
                  <w:shd w:val="clear" w:color="auto" w:fill="auto"/>
                </w:tcPr>
                <w:p>
                  <w:pP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年费率1.5%，最低保费1000元</w:t>
                  </w:r>
                </w:p>
              </w:tc>
              <w:tc>
                <w:tcPr>
                  <w:tcW w:w="867" w:type="dxa"/>
                  <w:shd w:val="clear" w:color="auto" w:fill="auto"/>
                </w:tcPr>
                <w:p>
                  <w:pP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徐小明</w:t>
                  </w:r>
                </w:p>
              </w:tc>
              <w:tc>
                <w:tcPr>
                  <w:tcW w:w="1117" w:type="dxa"/>
                  <w:shd w:val="clear" w:color="auto" w:fill="auto"/>
                </w:tcPr>
                <w:p>
                  <w:pP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88552788      13968603112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3" w:hRule="atLeast"/>
              </w:trPr>
              <w:tc>
                <w:tcPr>
                  <w:tcW w:w="2415" w:type="dxa"/>
                  <w:shd w:val="clear" w:color="auto" w:fill="auto"/>
                </w:tcPr>
                <w:p>
                  <w:pP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阳光保险台州中心支公司</w:t>
                  </w:r>
                </w:p>
              </w:tc>
              <w:tc>
                <w:tcPr>
                  <w:tcW w:w="1500" w:type="dxa"/>
                  <w:shd w:val="clear" w:color="auto" w:fill="auto"/>
                </w:tcPr>
                <w:p>
                  <w:pP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年费率1%，最低保费500元</w:t>
                  </w:r>
                </w:p>
              </w:tc>
              <w:tc>
                <w:tcPr>
                  <w:tcW w:w="867" w:type="dxa"/>
                  <w:shd w:val="clear" w:color="auto" w:fill="auto"/>
                </w:tcPr>
                <w:p>
                  <w:pP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林高明</w:t>
                  </w:r>
                </w:p>
              </w:tc>
              <w:tc>
                <w:tcPr>
                  <w:tcW w:w="1117" w:type="dxa"/>
                  <w:shd w:val="clear" w:color="auto" w:fill="auto"/>
                </w:tcPr>
                <w:p>
                  <w:pP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15888682693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3" w:hRule="atLeast"/>
              </w:trPr>
              <w:tc>
                <w:tcPr>
                  <w:tcW w:w="2415" w:type="dxa"/>
                  <w:shd w:val="clear" w:color="auto" w:fill="auto"/>
                </w:tcPr>
                <w:p>
                  <w:pP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中华联合财产保险股份有限公司台州中心支公司</w:t>
                  </w:r>
                </w:p>
              </w:tc>
              <w:tc>
                <w:tcPr>
                  <w:tcW w:w="1500" w:type="dxa"/>
                  <w:shd w:val="clear" w:color="auto" w:fill="auto"/>
                </w:tcPr>
                <w:p>
                  <w:pP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年费率2%，最低保费500元</w:t>
                  </w:r>
                </w:p>
              </w:tc>
              <w:tc>
                <w:tcPr>
                  <w:tcW w:w="867" w:type="dxa"/>
                  <w:shd w:val="clear" w:color="auto" w:fill="auto"/>
                </w:tcPr>
                <w:p>
                  <w:pP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王仙高</w:t>
                  </w:r>
                </w:p>
              </w:tc>
              <w:tc>
                <w:tcPr>
                  <w:tcW w:w="1117" w:type="dxa"/>
                  <w:shd w:val="clear" w:color="auto" w:fill="auto"/>
                </w:tcPr>
                <w:p>
                  <w:pP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13858600221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9" w:hRule="atLeast"/>
              </w:trPr>
              <w:tc>
                <w:tcPr>
                  <w:tcW w:w="2415" w:type="dxa"/>
                  <w:shd w:val="clear" w:color="auto" w:fill="auto"/>
                </w:tcPr>
                <w:p>
                  <w:pP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中国人民财产保险股份有限公司台州中心支公司</w:t>
                  </w:r>
                </w:p>
              </w:tc>
              <w:tc>
                <w:tcPr>
                  <w:tcW w:w="1500" w:type="dxa"/>
                  <w:shd w:val="clear" w:color="auto" w:fill="auto"/>
                </w:tcPr>
                <w:p>
                  <w:pP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年费率0.3%，最低保费1000元</w:t>
                  </w:r>
                </w:p>
              </w:tc>
              <w:tc>
                <w:tcPr>
                  <w:tcW w:w="867" w:type="dxa"/>
                  <w:shd w:val="clear" w:color="auto" w:fill="auto"/>
                </w:tcPr>
                <w:p>
                  <w:pP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王仙春</w:t>
                  </w:r>
                </w:p>
              </w:tc>
              <w:tc>
                <w:tcPr>
                  <w:tcW w:w="1117" w:type="dxa"/>
                  <w:shd w:val="clear" w:color="auto" w:fill="auto"/>
                </w:tcPr>
                <w:p>
                  <w:pP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13515769179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3" w:hRule="atLeast"/>
              </w:trPr>
              <w:tc>
                <w:tcPr>
                  <w:tcW w:w="2415" w:type="dxa"/>
                  <w:shd w:val="clear" w:color="auto" w:fill="auto"/>
                </w:tcPr>
                <w:p>
                  <w:pPr>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永安财产保险股份有限公司台州中心支公司</w:t>
                  </w:r>
                </w:p>
              </w:tc>
              <w:tc>
                <w:tcPr>
                  <w:tcW w:w="1500" w:type="dxa"/>
                  <w:shd w:val="clear" w:color="auto" w:fill="auto"/>
                </w:tcPr>
                <w:p>
                  <w:pPr>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年费率0.3%，最低保费1000</w:t>
                  </w:r>
                </w:p>
              </w:tc>
              <w:tc>
                <w:tcPr>
                  <w:tcW w:w="867" w:type="dxa"/>
                  <w:shd w:val="clear" w:color="auto" w:fill="auto"/>
                </w:tcPr>
                <w:p>
                  <w:pPr>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王春宇</w:t>
                  </w:r>
                </w:p>
              </w:tc>
              <w:tc>
                <w:tcPr>
                  <w:tcW w:w="1117" w:type="dxa"/>
                  <w:shd w:val="clear" w:color="auto" w:fill="auto"/>
                </w:tcPr>
                <w:p>
                  <w:pPr>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13676675331</w:t>
                  </w:r>
                </w:p>
              </w:tc>
            </w:tr>
          </w:tbl>
          <w:p>
            <w:pPr>
              <w:jc w:val="center"/>
              <w:rPr>
                <w:color w:val="auto"/>
                <w:sz w:val="32"/>
                <w:szCs w:val="32"/>
                <w:highlight w:val="none"/>
              </w:rPr>
            </w:pPr>
          </w:p>
          <w:p>
            <w:pPr>
              <w:rPr>
                <w:color w:val="auto"/>
                <w:sz w:val="32"/>
                <w:szCs w:val="32"/>
                <w:highlight w:val="none"/>
              </w:rPr>
            </w:pPr>
            <w:r>
              <w:rPr>
                <w:rFonts w:hint="eastAsia" w:ascii="宋体" w:hAnsi="宋体" w:cs="宋体"/>
                <w:color w:val="auto"/>
                <w:sz w:val="24"/>
                <w:highlight w:val="none"/>
              </w:rPr>
              <w:t>中标供应商如有预付款保函需求，可使用以下联系方式：</w:t>
            </w:r>
          </w:p>
          <w:tbl>
            <w:tblPr>
              <w:tblStyle w:val="24"/>
              <w:tblW w:w="595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04"/>
              <w:gridCol w:w="1671"/>
              <w:gridCol w:w="856"/>
              <w:gridCol w:w="10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2404" w:type="dxa"/>
                  <w:shd w:val="clear" w:color="auto" w:fill="auto"/>
                  <w:vAlign w:val="center"/>
                </w:tcPr>
                <w:p>
                  <w:pPr>
                    <w:jc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保险公司名称</w:t>
                  </w:r>
                </w:p>
              </w:tc>
              <w:tc>
                <w:tcPr>
                  <w:tcW w:w="1671" w:type="dxa"/>
                  <w:shd w:val="clear" w:color="auto" w:fill="auto"/>
                  <w:vAlign w:val="center"/>
                </w:tcPr>
                <w:p>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保费率</w:t>
                  </w:r>
                </w:p>
              </w:tc>
              <w:tc>
                <w:tcPr>
                  <w:tcW w:w="856" w:type="dxa"/>
                  <w:shd w:val="clear" w:color="auto" w:fill="auto"/>
                  <w:vAlign w:val="center"/>
                </w:tcPr>
                <w:p>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联系人</w:t>
                  </w:r>
                </w:p>
              </w:tc>
              <w:tc>
                <w:tcPr>
                  <w:tcW w:w="1026" w:type="dxa"/>
                  <w:shd w:val="clear" w:color="auto" w:fill="auto"/>
                  <w:vAlign w:val="center"/>
                </w:tcPr>
                <w:p>
                  <w:pPr>
                    <w:jc w:val="cente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2404" w:type="dxa"/>
                  <w:shd w:val="clear" w:color="auto" w:fill="auto"/>
                </w:tcPr>
                <w:p>
                  <w:pP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中国人寿财产保险股份有限公司台州中心支公司</w:t>
                  </w:r>
                </w:p>
              </w:tc>
              <w:tc>
                <w:tcPr>
                  <w:tcW w:w="1671" w:type="dxa"/>
                  <w:shd w:val="clear" w:color="auto" w:fill="auto"/>
                </w:tcPr>
                <w:p>
                  <w:pP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年费率3%，最低保费500元</w:t>
                  </w:r>
                </w:p>
              </w:tc>
              <w:tc>
                <w:tcPr>
                  <w:tcW w:w="856" w:type="dxa"/>
                  <w:shd w:val="clear" w:color="auto" w:fill="auto"/>
                </w:tcPr>
                <w:p>
                  <w:pP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徐凌</w:t>
                  </w:r>
                </w:p>
              </w:tc>
              <w:tc>
                <w:tcPr>
                  <w:tcW w:w="1026" w:type="dxa"/>
                  <w:shd w:val="clear" w:color="auto" w:fill="auto"/>
                </w:tcPr>
                <w:p>
                  <w:pP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13905168070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2404" w:type="dxa"/>
                  <w:shd w:val="clear" w:color="auto" w:fill="auto"/>
                </w:tcPr>
                <w:p>
                  <w:pP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阳光保险台州中心支公司</w:t>
                  </w:r>
                </w:p>
              </w:tc>
              <w:tc>
                <w:tcPr>
                  <w:tcW w:w="1671" w:type="dxa"/>
                  <w:shd w:val="clear" w:color="auto" w:fill="auto"/>
                </w:tcPr>
                <w:p>
                  <w:pP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年费率1%，最低保费500元</w:t>
                  </w:r>
                </w:p>
              </w:tc>
              <w:tc>
                <w:tcPr>
                  <w:tcW w:w="856" w:type="dxa"/>
                  <w:shd w:val="clear" w:color="auto" w:fill="auto"/>
                </w:tcPr>
                <w:p>
                  <w:pP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林高明</w:t>
                  </w:r>
                </w:p>
              </w:tc>
              <w:tc>
                <w:tcPr>
                  <w:tcW w:w="1026" w:type="dxa"/>
                  <w:shd w:val="clear" w:color="auto" w:fill="auto"/>
                </w:tcPr>
                <w:p>
                  <w:pP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15888682693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3" w:hRule="atLeast"/>
              </w:trPr>
              <w:tc>
                <w:tcPr>
                  <w:tcW w:w="2404" w:type="dxa"/>
                  <w:shd w:val="clear" w:color="auto" w:fill="auto"/>
                </w:tcPr>
                <w:p>
                  <w:pP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天安财产保险股份有限公司台州中心支公司</w:t>
                  </w:r>
                </w:p>
              </w:tc>
              <w:tc>
                <w:tcPr>
                  <w:tcW w:w="1671" w:type="dxa"/>
                  <w:shd w:val="clear" w:color="auto" w:fill="auto"/>
                </w:tcPr>
                <w:p>
                  <w:pP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年费率1%-2%，最低保费500元</w:t>
                  </w:r>
                </w:p>
              </w:tc>
              <w:tc>
                <w:tcPr>
                  <w:tcW w:w="856" w:type="dxa"/>
                  <w:shd w:val="clear" w:color="auto" w:fill="auto"/>
                </w:tcPr>
                <w:p>
                  <w:pP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罗赛</w:t>
                  </w:r>
                </w:p>
              </w:tc>
              <w:tc>
                <w:tcPr>
                  <w:tcW w:w="1026" w:type="dxa"/>
                  <w:shd w:val="clear" w:color="auto" w:fill="auto"/>
                </w:tcPr>
                <w:p>
                  <w:pPr>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13736605643</w:t>
                  </w:r>
                </w:p>
              </w:tc>
            </w:tr>
          </w:tbl>
          <w:p>
            <w:pPr>
              <w:autoSpaceDE w:val="0"/>
              <w:autoSpaceDN w:val="0"/>
              <w:adjustRightInd w:val="0"/>
              <w:spacing w:line="360" w:lineRule="auto"/>
              <w:rPr>
                <w:rFonts w:ascii="宋体" w:hAnsi="宋体" w:cs="宋体"/>
                <w:color w:val="auto"/>
                <w:sz w:val="24"/>
                <w:highlight w:val="none"/>
              </w:rPr>
            </w:pPr>
          </w:p>
        </w:tc>
      </w:tr>
    </w:tbl>
    <w:p>
      <w:pPr>
        <w:pStyle w:val="15"/>
        <w:snapToGrid w:val="0"/>
        <w:spacing w:before="120" w:after="120" w:line="360" w:lineRule="auto"/>
        <w:rPr>
          <w:rFonts w:hAnsi="宋体"/>
          <w:b/>
          <w:color w:val="auto"/>
          <w:sz w:val="24"/>
          <w:highlight w:val="none"/>
        </w:rPr>
      </w:pPr>
    </w:p>
    <w:p>
      <w:pPr>
        <w:pStyle w:val="15"/>
        <w:snapToGrid w:val="0"/>
        <w:spacing w:before="120" w:after="120" w:line="360" w:lineRule="auto"/>
        <w:rPr>
          <w:rFonts w:hAnsi="宋体"/>
          <w:b/>
          <w:color w:val="auto"/>
          <w:sz w:val="24"/>
          <w:highlight w:val="none"/>
        </w:rPr>
        <w:sectPr>
          <w:pgSz w:w="11906" w:h="16838"/>
          <w:pgMar w:top="1440" w:right="1800" w:bottom="1440" w:left="1800" w:header="851" w:footer="992" w:gutter="0"/>
          <w:cols w:space="425" w:num="1"/>
          <w:docGrid w:type="lines" w:linePitch="312" w:charSpace="0"/>
        </w:sectPr>
      </w:pPr>
    </w:p>
    <w:p>
      <w:pPr>
        <w:pStyle w:val="15"/>
        <w:snapToGrid w:val="0"/>
        <w:spacing w:before="120" w:after="120" w:line="360" w:lineRule="auto"/>
        <w:rPr>
          <w:rFonts w:hAnsi="宋体"/>
          <w:b/>
          <w:color w:val="auto"/>
          <w:sz w:val="24"/>
          <w:highlight w:val="none"/>
        </w:rPr>
      </w:pPr>
      <w:r>
        <w:rPr>
          <w:rFonts w:hint="eastAsia" w:hAnsi="宋体"/>
          <w:b/>
          <w:color w:val="auto"/>
          <w:sz w:val="24"/>
          <w:highlight w:val="none"/>
        </w:rPr>
        <w:t>一 、总  则</w:t>
      </w:r>
    </w:p>
    <w:p>
      <w:pPr>
        <w:snapToGrid w:val="0"/>
        <w:spacing w:line="360" w:lineRule="auto"/>
        <w:ind w:firstLine="472" w:firstLineChars="196"/>
        <w:jc w:val="left"/>
        <w:outlineLvl w:val="1"/>
        <w:rPr>
          <w:rFonts w:ascii="宋体" w:hAnsi="宋体"/>
          <w:b/>
          <w:color w:val="auto"/>
          <w:sz w:val="24"/>
          <w:highlight w:val="none"/>
        </w:rPr>
      </w:pPr>
      <w:r>
        <w:rPr>
          <w:rFonts w:hint="eastAsia" w:ascii="宋体" w:hAnsi="宋体"/>
          <w:b/>
          <w:color w:val="auto"/>
          <w:sz w:val="24"/>
          <w:highlight w:val="none"/>
        </w:rPr>
        <w:t>（一）</w:t>
      </w:r>
      <w:r>
        <w:rPr>
          <w:rFonts w:ascii="宋体" w:hAnsi="宋体"/>
          <w:b/>
          <w:color w:val="auto"/>
          <w:sz w:val="24"/>
          <w:highlight w:val="none"/>
        </w:rPr>
        <w:t xml:space="preserve"> 适用范围</w:t>
      </w:r>
    </w:p>
    <w:p>
      <w:pPr>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本招标文件适用于</w:t>
      </w:r>
      <w:r>
        <w:rPr>
          <w:rFonts w:hint="eastAsia" w:ascii="宋体" w:hAnsi="宋体"/>
          <w:bCs/>
          <w:color w:val="auto"/>
          <w:sz w:val="24"/>
          <w:highlight w:val="none"/>
        </w:rPr>
        <w:t>本次</w:t>
      </w:r>
      <w:r>
        <w:rPr>
          <w:rFonts w:hint="eastAsia" w:ascii="宋体" w:hAnsi="宋体"/>
          <w:color w:val="auto"/>
          <w:sz w:val="24"/>
          <w:highlight w:val="none"/>
        </w:rPr>
        <w:t>项目的招标、投标、评标、定标、验收、合同履约、付款等行为（法律、法规另有规定的，从其规定）。</w:t>
      </w:r>
    </w:p>
    <w:p>
      <w:pPr>
        <w:snapToGrid w:val="0"/>
        <w:spacing w:beforeLines="50" w:line="360" w:lineRule="auto"/>
        <w:ind w:firstLine="354" w:firstLineChars="147"/>
        <w:jc w:val="left"/>
        <w:outlineLvl w:val="1"/>
        <w:rPr>
          <w:rFonts w:ascii="宋体" w:hAnsi="宋体"/>
          <w:b/>
          <w:color w:val="auto"/>
          <w:sz w:val="24"/>
          <w:highlight w:val="none"/>
        </w:rPr>
      </w:pPr>
      <w:r>
        <w:rPr>
          <w:rFonts w:hint="eastAsia" w:ascii="宋体" w:hAnsi="宋体"/>
          <w:b/>
          <w:color w:val="auto"/>
          <w:sz w:val="24"/>
          <w:highlight w:val="none"/>
        </w:rPr>
        <w:t>（二）定义</w:t>
      </w:r>
    </w:p>
    <w:p>
      <w:pPr>
        <w:pStyle w:val="8"/>
        <w:keepNext w:val="0"/>
        <w:keepLines w:val="0"/>
        <w:tabs>
          <w:tab w:val="left" w:pos="0"/>
          <w:tab w:val="left" w:pos="851"/>
        </w:tabs>
        <w:autoSpaceDE w:val="0"/>
        <w:autoSpaceDN w:val="0"/>
        <w:adjustRightInd w:val="0"/>
        <w:snapToGrid w:val="0"/>
        <w:spacing w:before="0" w:after="0"/>
        <w:ind w:firstLine="566" w:firstLineChars="236"/>
        <w:jc w:val="left"/>
        <w:rPr>
          <w:rFonts w:ascii="宋体" w:hAnsi="宋体"/>
          <w:b w:val="0"/>
          <w:bCs w:val="0"/>
          <w:color w:val="auto"/>
          <w:sz w:val="24"/>
          <w:szCs w:val="24"/>
          <w:highlight w:val="none"/>
        </w:rPr>
      </w:pPr>
      <w:r>
        <w:rPr>
          <w:rFonts w:hint="eastAsia" w:ascii="宋体" w:hAnsi="宋体"/>
          <w:b w:val="0"/>
          <w:color w:val="auto"/>
          <w:sz w:val="24"/>
          <w:szCs w:val="24"/>
          <w:highlight w:val="none"/>
        </w:rPr>
        <w:t>1、</w:t>
      </w:r>
      <w:r>
        <w:rPr>
          <w:rFonts w:hint="eastAsia" w:ascii="宋体" w:hAnsi="宋体"/>
          <w:b w:val="0"/>
          <w:bCs w:val="0"/>
          <w:color w:val="auto"/>
          <w:sz w:val="24"/>
          <w:szCs w:val="24"/>
          <w:highlight w:val="none"/>
          <w:lang w:val="zh-CN"/>
        </w:rPr>
        <w:t>“采购组织机构”指采购人委托组织招标的采购代理机构。</w:t>
      </w:r>
    </w:p>
    <w:p>
      <w:pPr>
        <w:snapToGrid w:val="0"/>
        <w:spacing w:line="360" w:lineRule="auto"/>
        <w:ind w:firstLine="566" w:firstLineChars="236"/>
        <w:rPr>
          <w:rFonts w:ascii="宋体" w:hAnsi="宋体"/>
          <w:color w:val="auto"/>
          <w:sz w:val="24"/>
          <w:highlight w:val="none"/>
        </w:rPr>
      </w:pPr>
      <w:r>
        <w:rPr>
          <w:rFonts w:hint="eastAsia" w:ascii="宋体" w:hAnsi="宋体"/>
          <w:color w:val="auto"/>
          <w:sz w:val="24"/>
          <w:highlight w:val="none"/>
        </w:rPr>
        <w:t>2、采购人：是指委托采购代理机构采购本次项目的国家机关、事业单位和团体组织。</w:t>
      </w:r>
    </w:p>
    <w:p>
      <w:pPr>
        <w:snapToGrid w:val="0"/>
        <w:spacing w:line="360" w:lineRule="auto"/>
        <w:ind w:left="424" w:leftChars="202" w:firstLine="141" w:firstLineChars="59"/>
        <w:jc w:val="left"/>
        <w:rPr>
          <w:rFonts w:ascii="宋体" w:hAnsi="宋体"/>
          <w:color w:val="auto"/>
          <w:sz w:val="24"/>
          <w:highlight w:val="none"/>
        </w:rPr>
      </w:pPr>
      <w:r>
        <w:rPr>
          <w:rFonts w:hint="eastAsia" w:ascii="宋体" w:hAnsi="宋体"/>
          <w:color w:val="auto"/>
          <w:sz w:val="24"/>
          <w:highlight w:val="none"/>
        </w:rPr>
        <w:t>3、投标人/投标供应商：是</w:t>
      </w:r>
      <w:r>
        <w:rPr>
          <w:rFonts w:ascii="宋体" w:hAnsi="宋体"/>
          <w:color w:val="auto"/>
          <w:sz w:val="24"/>
          <w:highlight w:val="none"/>
        </w:rPr>
        <w:t>指向</w:t>
      </w:r>
      <w:r>
        <w:rPr>
          <w:rFonts w:hint="eastAsia" w:ascii="宋体" w:hAnsi="宋体"/>
          <w:color w:val="auto"/>
          <w:sz w:val="24"/>
          <w:highlight w:val="none"/>
        </w:rPr>
        <w:t>采购</w:t>
      </w:r>
      <w:r>
        <w:rPr>
          <w:rFonts w:hint="eastAsia" w:ascii="宋体" w:hAnsi="宋体"/>
          <w:color w:val="auto"/>
          <w:sz w:val="24"/>
          <w:highlight w:val="none"/>
          <w:lang w:val="zh-CN"/>
        </w:rPr>
        <w:t>组织</w:t>
      </w:r>
      <w:r>
        <w:rPr>
          <w:rFonts w:hint="eastAsia" w:ascii="宋体" w:hAnsi="宋体"/>
          <w:color w:val="auto"/>
          <w:sz w:val="24"/>
          <w:highlight w:val="none"/>
        </w:rPr>
        <w:t>机构</w:t>
      </w:r>
      <w:r>
        <w:rPr>
          <w:rFonts w:ascii="宋体" w:hAnsi="宋体"/>
          <w:color w:val="auto"/>
          <w:sz w:val="24"/>
          <w:highlight w:val="none"/>
        </w:rPr>
        <w:t>提交投标文件的单位或个人。</w:t>
      </w:r>
    </w:p>
    <w:p>
      <w:pPr>
        <w:snapToGrid w:val="0"/>
        <w:spacing w:line="360" w:lineRule="auto"/>
        <w:ind w:left="424" w:leftChars="202" w:firstLine="143"/>
        <w:jc w:val="left"/>
        <w:rPr>
          <w:rFonts w:ascii="宋体" w:hAnsi="宋体"/>
          <w:color w:val="auto"/>
          <w:sz w:val="24"/>
          <w:highlight w:val="none"/>
        </w:rPr>
      </w:pPr>
      <w:r>
        <w:rPr>
          <w:rFonts w:hint="eastAsia" w:ascii="宋体" w:hAnsi="宋体"/>
          <w:color w:val="auto"/>
          <w:sz w:val="24"/>
          <w:highlight w:val="none"/>
        </w:rPr>
        <w:t>4、</w:t>
      </w:r>
      <w:r>
        <w:rPr>
          <w:rFonts w:ascii="宋体" w:hAnsi="宋体"/>
          <w:color w:val="auto"/>
          <w:sz w:val="24"/>
          <w:highlight w:val="none"/>
        </w:rPr>
        <w:t>货物</w:t>
      </w:r>
      <w:r>
        <w:rPr>
          <w:rFonts w:hint="eastAsia" w:ascii="宋体" w:hAnsi="宋体"/>
          <w:color w:val="auto"/>
          <w:sz w:val="24"/>
          <w:highlight w:val="none"/>
        </w:rPr>
        <w:t>：</w:t>
      </w:r>
      <w:r>
        <w:rPr>
          <w:rFonts w:ascii="宋体" w:hAnsi="宋体"/>
          <w:color w:val="auto"/>
          <w:sz w:val="24"/>
          <w:highlight w:val="none"/>
        </w:rPr>
        <w:t>是指各种形态和种类的物品，包括原材料、燃料、设备、产品等。</w:t>
      </w:r>
    </w:p>
    <w:p>
      <w:pPr>
        <w:snapToGrid w:val="0"/>
        <w:spacing w:line="360" w:lineRule="auto"/>
        <w:ind w:firstLine="566" w:firstLineChars="236"/>
        <w:jc w:val="left"/>
        <w:rPr>
          <w:rFonts w:ascii="宋体" w:hAnsi="宋体"/>
          <w:b/>
          <w:color w:val="auto"/>
          <w:sz w:val="24"/>
          <w:highlight w:val="none"/>
        </w:rPr>
      </w:pPr>
      <w:r>
        <w:rPr>
          <w:rFonts w:hint="eastAsia" w:ascii="宋体" w:hAnsi="宋体"/>
          <w:color w:val="auto"/>
          <w:sz w:val="24"/>
          <w:highlight w:val="none"/>
        </w:rPr>
        <w:t>5、</w:t>
      </w:r>
      <w:r>
        <w:rPr>
          <w:rFonts w:ascii="宋体" w:hAnsi="宋体"/>
          <w:color w:val="auto"/>
          <w:sz w:val="24"/>
          <w:highlight w:val="none"/>
        </w:rPr>
        <w:t>服务</w:t>
      </w:r>
      <w:r>
        <w:rPr>
          <w:rFonts w:hint="eastAsia" w:ascii="宋体" w:hAnsi="宋体"/>
          <w:color w:val="auto"/>
          <w:sz w:val="24"/>
          <w:highlight w:val="none"/>
        </w:rPr>
        <w:t>：</w:t>
      </w:r>
      <w:r>
        <w:rPr>
          <w:rFonts w:ascii="宋体" w:hAnsi="宋体"/>
          <w:color w:val="auto"/>
          <w:sz w:val="24"/>
          <w:highlight w:val="none"/>
        </w:rPr>
        <w:t>是指除货物和工程以外的政府采购对象，包括各类专业服务、信息网络开发服务、金融保险服务、运输服务，以及维修与维护服务等。</w:t>
      </w:r>
    </w:p>
    <w:p>
      <w:pPr>
        <w:snapToGrid w:val="0"/>
        <w:spacing w:line="360" w:lineRule="auto"/>
        <w:ind w:firstLine="566" w:firstLineChars="236"/>
        <w:jc w:val="left"/>
        <w:rPr>
          <w:rFonts w:ascii="宋体" w:hAnsi="宋体"/>
          <w:color w:val="auto"/>
          <w:sz w:val="24"/>
          <w:highlight w:val="none"/>
        </w:rPr>
      </w:pPr>
      <w:r>
        <w:rPr>
          <w:rFonts w:hint="eastAsia" w:ascii="宋体" w:hAnsi="宋体"/>
          <w:color w:val="auto"/>
          <w:sz w:val="24"/>
          <w:highlight w:val="none"/>
        </w:rPr>
        <w:t>6、</w:t>
      </w:r>
      <w:r>
        <w:rPr>
          <w:rFonts w:ascii="宋体" w:hAnsi="宋体"/>
          <w:color w:val="auto"/>
          <w:sz w:val="24"/>
          <w:highlight w:val="none"/>
        </w:rPr>
        <w:t>“书面形式”包括信函、传真等。</w:t>
      </w:r>
    </w:p>
    <w:p>
      <w:pPr>
        <w:snapToGrid w:val="0"/>
        <w:spacing w:line="360" w:lineRule="auto"/>
        <w:ind w:firstLine="566" w:firstLineChars="236"/>
        <w:jc w:val="left"/>
        <w:rPr>
          <w:rFonts w:ascii="宋体" w:hAnsi="宋体"/>
          <w:color w:val="auto"/>
          <w:sz w:val="24"/>
          <w:highlight w:val="none"/>
        </w:rPr>
      </w:pPr>
      <w:r>
        <w:rPr>
          <w:rFonts w:hint="eastAsia" w:ascii="宋体" w:hAnsi="宋体"/>
          <w:color w:val="auto"/>
          <w:sz w:val="24"/>
          <w:highlight w:val="none"/>
        </w:rPr>
        <w:t>7、</w:t>
      </w:r>
      <w:r>
        <w:rPr>
          <w:rFonts w:ascii="宋体" w:hAnsi="宋体"/>
          <w:color w:val="auto"/>
          <w:sz w:val="24"/>
          <w:highlight w:val="none"/>
        </w:rPr>
        <w:t>“▲”系指实质性要求条款。</w:t>
      </w:r>
    </w:p>
    <w:p>
      <w:pPr>
        <w:snapToGrid w:val="0"/>
        <w:spacing w:beforeLines="50" w:line="360" w:lineRule="auto"/>
        <w:ind w:firstLine="472" w:firstLineChars="196"/>
        <w:jc w:val="left"/>
        <w:outlineLvl w:val="1"/>
        <w:rPr>
          <w:rFonts w:ascii="宋体" w:hAnsi="宋体"/>
          <w:b/>
          <w:color w:val="auto"/>
          <w:sz w:val="24"/>
          <w:highlight w:val="none"/>
        </w:rPr>
      </w:pPr>
      <w:r>
        <w:rPr>
          <w:rFonts w:hint="eastAsia" w:ascii="宋体" w:hAnsi="宋体"/>
          <w:b/>
          <w:color w:val="auto"/>
          <w:sz w:val="24"/>
          <w:highlight w:val="none"/>
        </w:rPr>
        <w:t>（三）投标费用</w:t>
      </w:r>
    </w:p>
    <w:p>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不论投标结果如何，投标人均应自行承担所有与投标有关的全部费用（招标文件有相关规定除外）。</w:t>
      </w:r>
    </w:p>
    <w:p>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lang w:val="en-US" w:eastAsia="zh-CN"/>
        </w:rPr>
        <w:t>本项目</w:t>
      </w:r>
      <w:r>
        <w:rPr>
          <w:rFonts w:hint="eastAsia" w:ascii="宋体" w:hAnsi="宋体"/>
          <w:color w:val="auto"/>
          <w:sz w:val="24"/>
          <w:highlight w:val="none"/>
        </w:rPr>
        <w:t>招标代理服务费4万元，由中标单位在中标通知书发放时支付给代理机构。</w:t>
      </w:r>
    </w:p>
    <w:p>
      <w:pPr>
        <w:pStyle w:val="15"/>
        <w:snapToGrid w:val="0"/>
        <w:spacing w:line="360" w:lineRule="auto"/>
        <w:ind w:left="2" w:leftChars="1" w:firstLine="482" w:firstLineChars="200"/>
        <w:rPr>
          <w:rFonts w:hAnsi="宋体"/>
          <w:b/>
          <w:color w:val="auto"/>
          <w:sz w:val="24"/>
          <w:highlight w:val="none"/>
        </w:rPr>
      </w:pPr>
      <w:r>
        <w:rPr>
          <w:rFonts w:hint="eastAsia" w:hAnsi="宋体"/>
          <w:b/>
          <w:color w:val="auto"/>
          <w:sz w:val="24"/>
          <w:highlight w:val="none"/>
        </w:rPr>
        <w:t>（四）特别说明</w:t>
      </w:r>
    </w:p>
    <w:p>
      <w:pPr>
        <w:pStyle w:val="15"/>
        <w:snapToGrid w:val="0"/>
        <w:spacing w:line="360" w:lineRule="auto"/>
        <w:ind w:left="2" w:leftChars="1" w:firstLine="480" w:firstLineChars="200"/>
        <w:rPr>
          <w:rFonts w:hAnsi="宋体"/>
          <w:color w:val="auto"/>
          <w:sz w:val="24"/>
          <w:highlight w:val="none"/>
        </w:rPr>
      </w:pPr>
      <w:r>
        <w:rPr>
          <w:rFonts w:hint="eastAsia" w:hAnsi="宋体"/>
          <w:color w:val="auto"/>
          <w:sz w:val="24"/>
          <w:highlight w:val="none"/>
        </w:rPr>
        <w:t>1、</w:t>
      </w:r>
      <w:r>
        <w:rPr>
          <w:rFonts w:hAnsi="宋体"/>
          <w:color w:val="auto"/>
          <w:sz w:val="24"/>
          <w:highlight w:val="none"/>
        </w:rPr>
        <w:t>投标人投标所使用的资格、信誉、荣誉、业绩与企业认证必须为本法人所拥有。投标人投标所使用的采购项目实施人员必须为本法人员工（</w:t>
      </w:r>
      <w:r>
        <w:rPr>
          <w:rFonts w:hint="eastAsia" w:hAnsi="宋体"/>
          <w:color w:val="auto"/>
          <w:sz w:val="24"/>
          <w:highlight w:val="none"/>
        </w:rPr>
        <w:t>指</w:t>
      </w:r>
      <w:r>
        <w:rPr>
          <w:rFonts w:hAnsi="宋体"/>
          <w:color w:val="auto"/>
          <w:sz w:val="24"/>
          <w:highlight w:val="none"/>
        </w:rPr>
        <w:t>本法人或控股公司正式员工）。</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投标供应商所投产品除招标文件中明确规定要求“提供官网截图或相应检测报告的证明材料”以外，所有技术参数描述均以投标文件为准。投标供应商对所投产品技术参数的真实性承担法律责任。项目招标结束后、质疑期限内，如有质疑供应商认为中标供应商所投产品、投标文件技术参数与招标需求存在重大偏离、错误、甚至造假的情况，应提供具体有效的证明材料。</w:t>
      </w:r>
      <w:r>
        <w:rPr>
          <w:rFonts w:hint="eastAsia" w:ascii="宋体" w:hAnsi="宋体"/>
          <w:color w:val="auto"/>
          <w:sz w:val="24"/>
          <w:highlight w:val="none"/>
        </w:rPr>
        <w:tab/>
      </w:r>
    </w:p>
    <w:p>
      <w:pPr>
        <w:pStyle w:val="34"/>
        <w:snapToGrid w:val="0"/>
        <w:spacing w:line="360" w:lineRule="auto"/>
        <w:ind w:firstLineChars="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投标人在投标活动中提供任何虚假材料,其投标无效，并报监管部门查处；中标后发现的,根据《中华人民共和国政府采购法》第七十七条第一款第一项之规定</w:t>
      </w:r>
      <w:r>
        <w:rPr>
          <w:rFonts w:hint="eastAsia" w:ascii="宋体" w:hAnsi="宋体"/>
          <w:color w:val="auto"/>
          <w:sz w:val="24"/>
          <w:szCs w:val="24"/>
          <w:highlight w:val="none"/>
        </w:rPr>
        <w:t>，</w:t>
      </w:r>
      <w:r>
        <w:rPr>
          <w:rFonts w:ascii="宋体" w:hAnsi="宋体"/>
          <w:color w:val="auto"/>
          <w:sz w:val="24"/>
          <w:szCs w:val="24"/>
          <w:highlight w:val="none"/>
        </w:rPr>
        <w:t>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r>
        <w:rPr>
          <w:rFonts w:hint="eastAsia" w:ascii="宋体" w:hAnsi="宋体"/>
          <w:color w:val="auto"/>
          <w:sz w:val="24"/>
          <w:szCs w:val="24"/>
          <w:highlight w:val="none"/>
        </w:rPr>
        <w:t>。</w:t>
      </w:r>
    </w:p>
    <w:p>
      <w:pPr>
        <w:pStyle w:val="8"/>
        <w:keepNext w:val="0"/>
        <w:keepLines w:val="0"/>
        <w:tabs>
          <w:tab w:val="left" w:pos="851"/>
        </w:tabs>
        <w:autoSpaceDE w:val="0"/>
        <w:autoSpaceDN w:val="0"/>
        <w:adjustRightInd w:val="0"/>
        <w:snapToGrid w:val="0"/>
        <w:spacing w:before="0" w:after="0" w:line="360" w:lineRule="auto"/>
        <w:ind w:firstLine="480" w:firstLineChars="200"/>
        <w:rPr>
          <w:rFonts w:ascii="宋体" w:hAnsi="宋体"/>
          <w:b w:val="0"/>
          <w:bCs w:val="0"/>
          <w:color w:val="auto"/>
          <w:sz w:val="24"/>
          <w:szCs w:val="24"/>
          <w:highlight w:val="none"/>
        </w:rPr>
      </w:pPr>
      <w:r>
        <w:rPr>
          <w:rFonts w:hint="eastAsia" w:ascii="宋体" w:hAnsi="宋体"/>
          <w:b w:val="0"/>
          <w:bCs w:val="0"/>
          <w:color w:val="auto"/>
          <w:sz w:val="24"/>
          <w:szCs w:val="24"/>
          <w:highlight w:val="none"/>
        </w:rPr>
        <w:t>4、投标人不得相互串通投标报价，不得妨碍其他投标人的公平竞争，不得损害采购人或其他投标人的合法权益，投标人不得以向采购人、评标委员会成员行贿或者采取其他不正当手段谋取中标。</w:t>
      </w:r>
    </w:p>
    <w:p>
      <w:pPr>
        <w:pStyle w:val="8"/>
        <w:keepNext w:val="0"/>
        <w:keepLines w:val="0"/>
        <w:tabs>
          <w:tab w:val="left" w:pos="851"/>
        </w:tabs>
        <w:autoSpaceDE w:val="0"/>
        <w:autoSpaceDN w:val="0"/>
        <w:adjustRightInd w:val="0"/>
        <w:snapToGrid w:val="0"/>
        <w:spacing w:before="0" w:after="0" w:line="360" w:lineRule="auto"/>
        <w:ind w:firstLine="480" w:firstLineChars="200"/>
        <w:rPr>
          <w:rFonts w:ascii="宋体" w:hAnsi="宋体"/>
          <w:b w:val="0"/>
          <w:bCs w:val="0"/>
          <w:color w:val="auto"/>
          <w:sz w:val="24"/>
          <w:szCs w:val="24"/>
          <w:highlight w:val="none"/>
        </w:rPr>
      </w:pPr>
      <w:r>
        <w:rPr>
          <w:rFonts w:hint="eastAsia" w:ascii="宋体" w:hAnsi="宋体"/>
          <w:b w:val="0"/>
          <w:bCs w:val="0"/>
          <w:color w:val="auto"/>
          <w:sz w:val="24"/>
          <w:szCs w:val="24"/>
          <w:highlight w:val="none"/>
        </w:rPr>
        <w:t>5、为采购项目提供整体设计、规范编制或者项目管理、监理、检测等服务的供应商，不得再参加该采购项目的其他采购活动。</w:t>
      </w:r>
    </w:p>
    <w:p>
      <w:pPr>
        <w:pStyle w:val="8"/>
        <w:keepNext w:val="0"/>
        <w:keepLines w:val="0"/>
        <w:tabs>
          <w:tab w:val="left" w:pos="851"/>
        </w:tabs>
        <w:autoSpaceDE w:val="0"/>
        <w:autoSpaceDN w:val="0"/>
        <w:adjustRightInd w:val="0"/>
        <w:snapToGrid w:val="0"/>
        <w:spacing w:before="0" w:after="0" w:line="360" w:lineRule="auto"/>
        <w:ind w:firstLine="480" w:firstLineChars="200"/>
        <w:rPr>
          <w:rFonts w:ascii="宋体" w:hAnsi="宋体"/>
          <w:b w:val="0"/>
          <w:bCs w:val="0"/>
          <w:color w:val="auto"/>
          <w:sz w:val="24"/>
          <w:szCs w:val="24"/>
          <w:highlight w:val="none"/>
        </w:rPr>
      </w:pPr>
      <w:r>
        <w:rPr>
          <w:rFonts w:hint="eastAsia" w:ascii="宋体" w:hAnsi="宋体"/>
          <w:b w:val="0"/>
          <w:bCs w:val="0"/>
          <w:color w:val="auto"/>
          <w:sz w:val="24"/>
          <w:szCs w:val="24"/>
          <w:highlight w:val="none"/>
        </w:rPr>
        <w:t>6、投标文件格式中的表格式样可以根据项目差别做适当调整,但应当保持表格样式基本形态不变。</w:t>
      </w:r>
    </w:p>
    <w:p>
      <w:pPr>
        <w:pStyle w:val="8"/>
        <w:keepNext w:val="0"/>
        <w:keepLines w:val="0"/>
        <w:tabs>
          <w:tab w:val="left" w:pos="851"/>
        </w:tabs>
        <w:autoSpaceDE w:val="0"/>
        <w:autoSpaceDN w:val="0"/>
        <w:adjustRightInd w:val="0"/>
        <w:snapToGrid w:val="0"/>
        <w:spacing w:before="0" w:after="0" w:line="360" w:lineRule="auto"/>
        <w:ind w:firstLine="480" w:firstLineChars="200"/>
        <w:rPr>
          <w:rFonts w:ascii="宋体" w:hAnsi="宋体"/>
          <w:b w:val="0"/>
          <w:bCs w:val="0"/>
          <w:color w:val="auto"/>
          <w:sz w:val="24"/>
          <w:szCs w:val="24"/>
          <w:highlight w:val="none"/>
        </w:rPr>
      </w:pPr>
      <w:r>
        <w:rPr>
          <w:rFonts w:hint="eastAsia" w:ascii="宋体" w:hAnsi="宋体"/>
          <w:b w:val="0"/>
          <w:bCs w:val="0"/>
          <w:color w:val="auto"/>
          <w:sz w:val="24"/>
          <w:szCs w:val="24"/>
          <w:highlight w:val="none"/>
        </w:rPr>
        <w:t>7、单位负责人为同一人或者存在直接控股、管理关系的不同供应商，不得参加同一合同项下的政府采购活动。</w:t>
      </w:r>
    </w:p>
    <w:p>
      <w:pPr>
        <w:pStyle w:val="8"/>
        <w:keepNext w:val="0"/>
        <w:keepLines w:val="0"/>
        <w:tabs>
          <w:tab w:val="left" w:pos="851"/>
        </w:tabs>
        <w:autoSpaceDE w:val="0"/>
        <w:autoSpaceDN w:val="0"/>
        <w:adjustRightInd w:val="0"/>
        <w:snapToGrid w:val="0"/>
        <w:spacing w:before="0" w:after="0" w:line="360" w:lineRule="auto"/>
        <w:ind w:firstLine="480" w:firstLineChars="200"/>
        <w:rPr>
          <w:rFonts w:ascii="宋体" w:hAnsi="宋体"/>
          <w:b w:val="0"/>
          <w:bCs w:val="0"/>
          <w:color w:val="auto"/>
          <w:sz w:val="24"/>
          <w:szCs w:val="24"/>
          <w:highlight w:val="none"/>
        </w:rPr>
      </w:pPr>
      <w:r>
        <w:rPr>
          <w:rFonts w:hint="eastAsia" w:ascii="宋体" w:hAnsi="宋体"/>
          <w:b w:val="0"/>
          <w:bCs w:val="0"/>
          <w:color w:val="auto"/>
          <w:sz w:val="24"/>
          <w:szCs w:val="24"/>
          <w:highlight w:val="none"/>
        </w:rPr>
        <w:t>8、本项目不允许分包。</w:t>
      </w:r>
    </w:p>
    <w:p>
      <w:pPr>
        <w:tabs>
          <w:tab w:val="left" w:pos="720"/>
          <w:tab w:val="left" w:pos="1260"/>
          <w:tab w:val="left" w:pos="2160"/>
          <w:tab w:val="left" w:pos="2880"/>
          <w:tab w:val="left" w:pos="3600"/>
          <w:tab w:val="left" w:pos="4320"/>
          <w:tab w:val="left" w:pos="5040"/>
          <w:tab w:val="left" w:pos="5760"/>
        </w:tabs>
        <w:autoSpaceDE w:val="0"/>
        <w:autoSpaceDN w:val="0"/>
        <w:adjustRightInd w:val="0"/>
        <w:spacing w:line="360" w:lineRule="auto"/>
        <w:ind w:right="1800"/>
        <w:jc w:val="left"/>
        <w:rPr>
          <w:rFonts w:ascii="宋体" w:hAnsi="宋体"/>
          <w:b/>
          <w:color w:val="auto"/>
          <w:kern w:val="0"/>
          <w:sz w:val="24"/>
          <w:highlight w:val="none"/>
        </w:rPr>
      </w:pPr>
      <w:r>
        <w:rPr>
          <w:rFonts w:hint="eastAsia" w:ascii="宋体" w:hAnsi="宋体"/>
          <w:b/>
          <w:color w:val="auto"/>
          <w:kern w:val="0"/>
          <w:sz w:val="24"/>
          <w:highlight w:val="none"/>
        </w:rPr>
        <w:t>二、招标文件</w:t>
      </w:r>
    </w:p>
    <w:p>
      <w:pPr>
        <w:autoSpaceDE w:val="0"/>
        <w:autoSpaceDN w:val="0"/>
        <w:adjustRightInd w:val="0"/>
        <w:spacing w:line="360" w:lineRule="auto"/>
        <w:rPr>
          <w:rFonts w:ascii="宋体" w:hAnsi="宋体"/>
          <w:color w:val="auto"/>
          <w:kern w:val="0"/>
          <w:sz w:val="24"/>
          <w:highlight w:val="none"/>
        </w:rPr>
      </w:pPr>
      <w:r>
        <w:rPr>
          <w:rFonts w:hint="eastAsia" w:ascii="宋体" w:hAnsi="宋体"/>
          <w:color w:val="auto"/>
          <w:kern w:val="0"/>
          <w:sz w:val="24"/>
          <w:highlight w:val="none"/>
        </w:rPr>
        <w:t xml:space="preserve">   （一）招标文件由招标文件总目录所列内容组成。</w:t>
      </w:r>
    </w:p>
    <w:p>
      <w:pPr>
        <w:autoSpaceDE w:val="0"/>
        <w:autoSpaceDN w:val="0"/>
        <w:adjustRightInd w:val="0"/>
        <w:spacing w:line="360" w:lineRule="auto"/>
        <w:ind w:firstLine="360" w:firstLineChars="150"/>
        <w:rPr>
          <w:rFonts w:ascii="宋体" w:hAnsi="宋体"/>
          <w:color w:val="auto"/>
          <w:kern w:val="0"/>
          <w:sz w:val="24"/>
          <w:highlight w:val="none"/>
        </w:rPr>
      </w:pPr>
      <w:r>
        <w:rPr>
          <w:rFonts w:hint="eastAsia" w:ascii="宋体" w:hAnsi="宋体"/>
          <w:color w:val="auto"/>
          <w:kern w:val="0"/>
          <w:sz w:val="24"/>
          <w:highlight w:val="none"/>
        </w:rPr>
        <w:t>（二）招标文件的澄清或修改</w:t>
      </w:r>
    </w:p>
    <w:p>
      <w:pPr>
        <w:autoSpaceDE w:val="0"/>
        <w:autoSpaceDN w:val="0"/>
        <w:adjustRightInd w:val="0"/>
        <w:spacing w:line="360" w:lineRule="auto"/>
        <w:ind w:firstLine="420" w:firstLineChars="175"/>
        <w:rPr>
          <w:rFonts w:ascii="宋体" w:hAnsi="宋体"/>
          <w:color w:val="auto"/>
          <w:kern w:val="0"/>
          <w:sz w:val="24"/>
          <w:highlight w:val="none"/>
        </w:rPr>
      </w:pPr>
      <w:r>
        <w:rPr>
          <w:rFonts w:hint="eastAsia" w:ascii="宋体" w:hAnsi="宋体"/>
          <w:color w:val="auto"/>
          <w:kern w:val="0"/>
          <w:sz w:val="24"/>
          <w:highlight w:val="none"/>
        </w:rPr>
        <w:t xml:space="preserve">1、采购组织机构可视采购具体情况对已发出的招标文件进行必要的澄清或者修改。澄清或者修改的内容可能影响投标文件编制的，采购人或者采购组织机构应当在投标截止时间至少15日前，在原公告发布媒体上发布澄清公告，澄清或者修改的内容为招标文件的组成部分；不足15日的，采购人或者采购组织机构应当顺延提交投标文件的截止时间。 </w:t>
      </w:r>
    </w:p>
    <w:p>
      <w:pPr>
        <w:autoSpaceDE w:val="0"/>
        <w:autoSpaceDN w:val="0"/>
        <w:adjustRightInd w:val="0"/>
        <w:spacing w:line="360" w:lineRule="auto"/>
        <w:ind w:firstLine="480"/>
        <w:rPr>
          <w:rFonts w:ascii="宋体" w:hAnsi="宋体"/>
          <w:color w:val="auto"/>
          <w:kern w:val="0"/>
          <w:sz w:val="24"/>
          <w:highlight w:val="none"/>
        </w:rPr>
      </w:pPr>
      <w:r>
        <w:rPr>
          <w:rFonts w:hint="eastAsia" w:ascii="宋体" w:hAnsi="宋体"/>
          <w:color w:val="auto"/>
          <w:kern w:val="0"/>
          <w:sz w:val="24"/>
          <w:highlight w:val="none"/>
        </w:rPr>
        <w:t>2、</w:t>
      </w:r>
      <w:r>
        <w:rPr>
          <w:rFonts w:ascii="宋体" w:hAnsi="宋体"/>
          <w:color w:val="auto"/>
          <w:kern w:val="0"/>
          <w:sz w:val="24"/>
          <w:highlight w:val="none"/>
        </w:rPr>
        <w:t>投标人在规定的时间内未对招标文件提出疑问、质疑或要求澄清的，将视其为无异议。对招标文件中描述有歧义或前后不一致的地方，评标委员会有权进行评判，但对同一条款的评判应适用于每个投标人</w:t>
      </w:r>
      <w:r>
        <w:rPr>
          <w:rFonts w:hint="eastAsia" w:ascii="宋体" w:hAnsi="宋体"/>
          <w:color w:val="auto"/>
          <w:kern w:val="0"/>
          <w:sz w:val="24"/>
          <w:highlight w:val="none"/>
        </w:rPr>
        <w:t>。</w:t>
      </w:r>
    </w:p>
    <w:p>
      <w:pPr>
        <w:tabs>
          <w:tab w:val="left" w:pos="1418"/>
        </w:tabs>
        <w:autoSpaceDE w:val="0"/>
        <w:autoSpaceDN w:val="0"/>
        <w:adjustRightInd w:val="0"/>
        <w:spacing w:line="360" w:lineRule="auto"/>
        <w:rPr>
          <w:rFonts w:ascii="宋体" w:hAnsi="宋体"/>
          <w:b/>
          <w:color w:val="auto"/>
          <w:kern w:val="0"/>
          <w:sz w:val="24"/>
          <w:highlight w:val="none"/>
        </w:rPr>
      </w:pPr>
      <w:r>
        <w:rPr>
          <w:rFonts w:hint="eastAsia" w:ascii="宋体" w:hAnsi="宋体"/>
          <w:b/>
          <w:color w:val="auto"/>
          <w:kern w:val="0"/>
          <w:sz w:val="24"/>
          <w:highlight w:val="none"/>
        </w:rPr>
        <w:t xml:space="preserve"> 三、投标文件</w:t>
      </w:r>
    </w:p>
    <w:p>
      <w:pPr>
        <w:autoSpaceDE w:val="0"/>
        <w:autoSpaceDN w:val="0"/>
        <w:adjustRightInd w:val="0"/>
        <w:spacing w:line="360" w:lineRule="auto"/>
        <w:ind w:firstLine="482" w:firstLineChars="200"/>
        <w:rPr>
          <w:rFonts w:ascii="宋体" w:hAnsi="宋体"/>
          <w:b/>
          <w:bCs/>
          <w:color w:val="auto"/>
          <w:kern w:val="0"/>
          <w:sz w:val="24"/>
          <w:highlight w:val="none"/>
        </w:rPr>
      </w:pPr>
      <w:r>
        <w:rPr>
          <w:rFonts w:hint="eastAsia" w:ascii="宋体"/>
          <w:b/>
          <w:color w:val="auto"/>
          <w:sz w:val="24"/>
          <w:highlight w:val="none"/>
          <w:lang w:val="zh-CN"/>
        </w:rPr>
        <w:t>（一）</w:t>
      </w:r>
      <w:r>
        <w:rPr>
          <w:rFonts w:hint="eastAsia" w:ascii="宋体" w:hAnsi="宋体"/>
          <w:b/>
          <w:bCs/>
          <w:color w:val="auto"/>
          <w:kern w:val="0"/>
          <w:sz w:val="24"/>
          <w:highlight w:val="none"/>
        </w:rPr>
        <w:t>投标文件的组成</w:t>
      </w:r>
    </w:p>
    <w:p>
      <w:pPr>
        <w:snapToGrid w:val="0"/>
        <w:spacing w:line="360" w:lineRule="auto"/>
        <w:ind w:firstLine="480" w:firstLineChars="200"/>
        <w:rPr>
          <w:rFonts w:ascii="仿宋_GB2312" w:hAnsi="仿宋_GB2312" w:eastAsia="仿宋_GB2312" w:cs="仿宋_GB2312"/>
          <w:color w:val="auto"/>
          <w:sz w:val="24"/>
          <w:highlight w:val="none"/>
          <w:lang w:val="zh-CN"/>
        </w:rPr>
      </w:pPr>
      <w:r>
        <w:rPr>
          <w:rFonts w:hint="eastAsia" w:ascii="宋体" w:hAnsi="宋体"/>
          <w:color w:val="auto"/>
          <w:kern w:val="0"/>
          <w:sz w:val="24"/>
          <w:highlight w:val="none"/>
        </w:rPr>
        <w:t xml:space="preserve">  投标人接到招标文件后，按照采购组织机构的要求提供：资格证明文件、商务与技术文件和报价文件。</w:t>
      </w:r>
    </w:p>
    <w:p>
      <w:pPr>
        <w:snapToGrid w:val="0"/>
        <w:spacing w:line="360" w:lineRule="auto"/>
        <w:ind w:firstLine="482" w:firstLineChars="200"/>
        <w:rPr>
          <w:rFonts w:ascii="宋体" w:hAnsi="宋体"/>
          <w:color w:val="auto"/>
          <w:kern w:val="0"/>
          <w:sz w:val="24"/>
          <w:highlight w:val="none"/>
        </w:rPr>
      </w:pPr>
      <w:r>
        <w:rPr>
          <w:rFonts w:hint="eastAsia" w:ascii="宋体" w:hAnsi="宋体" w:cs="宋体"/>
          <w:b/>
          <w:color w:val="auto"/>
          <w:sz w:val="24"/>
          <w:highlight w:val="none"/>
        </w:rPr>
        <w:t>▲</w:t>
      </w:r>
      <w:r>
        <w:rPr>
          <w:rFonts w:hint="eastAsia" w:ascii="宋体" w:hAnsi="宋体"/>
          <w:b/>
          <w:color w:val="auto"/>
          <w:sz w:val="24"/>
          <w:highlight w:val="none"/>
        </w:rPr>
        <w:t>1、资格证明</w:t>
      </w:r>
      <w:r>
        <w:rPr>
          <w:rFonts w:ascii="宋体" w:hAnsi="宋体"/>
          <w:b/>
          <w:color w:val="auto"/>
          <w:sz w:val="24"/>
          <w:highlight w:val="none"/>
        </w:rPr>
        <w:t>文件</w:t>
      </w:r>
      <w:r>
        <w:rPr>
          <w:rFonts w:hint="eastAsia" w:ascii="宋体" w:hAnsi="宋体"/>
          <w:b/>
          <w:color w:val="auto"/>
          <w:sz w:val="24"/>
          <w:highlight w:val="none"/>
        </w:rPr>
        <w:t>的组成：</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1）投标声明书</w:t>
      </w:r>
      <w:r>
        <w:rPr>
          <w:rFonts w:hint="eastAsia" w:ascii="宋体" w:hAnsi="宋体"/>
          <w:bCs/>
          <w:color w:val="auto"/>
          <w:kern w:val="0"/>
          <w:sz w:val="24"/>
          <w:highlight w:val="none"/>
        </w:rPr>
        <w:t>（格式详见附件）</w:t>
      </w:r>
      <w:r>
        <w:rPr>
          <w:rFonts w:ascii="宋体" w:hAnsi="宋体"/>
          <w:color w:val="auto"/>
          <w:sz w:val="24"/>
          <w:highlight w:val="none"/>
        </w:rPr>
        <w:t>；</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2）授权委托书（法定代表人亲自办理投标事宜的，则无需提交)</w:t>
      </w:r>
      <w:r>
        <w:rPr>
          <w:rFonts w:hint="eastAsia" w:ascii="宋体" w:hAnsi="宋体"/>
          <w:bCs/>
          <w:color w:val="auto"/>
          <w:kern w:val="0"/>
          <w:sz w:val="24"/>
          <w:highlight w:val="none"/>
        </w:rPr>
        <w:t>（格式详见附件）</w:t>
      </w:r>
      <w:r>
        <w:rPr>
          <w:rFonts w:ascii="宋体" w:hAnsi="宋体"/>
          <w:color w:val="auto"/>
          <w:sz w:val="24"/>
          <w:highlight w:val="none"/>
        </w:rPr>
        <w:t>；</w:t>
      </w:r>
    </w:p>
    <w:p>
      <w:pPr>
        <w:snapToGrid w:val="0"/>
        <w:spacing w:line="360" w:lineRule="auto"/>
        <w:ind w:firstLine="480" w:firstLineChars="200"/>
        <w:rPr>
          <w:rFonts w:hint="eastAsia" w:ascii="宋体" w:hAnsi="宋体" w:eastAsia="宋体"/>
          <w:color w:val="auto"/>
          <w:sz w:val="24"/>
          <w:highlight w:val="none"/>
          <w:lang w:eastAsia="zh-CN"/>
        </w:rPr>
      </w:pPr>
      <w:r>
        <w:rPr>
          <w:rFonts w:hint="eastAsia" w:ascii="宋体" w:hAnsi="宋体"/>
          <w:color w:val="auto"/>
          <w:sz w:val="24"/>
          <w:highlight w:val="none"/>
        </w:rPr>
        <w:t>（</w:t>
      </w:r>
      <w:r>
        <w:rPr>
          <w:rFonts w:ascii="宋体" w:hAnsi="宋体"/>
          <w:color w:val="auto"/>
          <w:sz w:val="24"/>
          <w:highlight w:val="none"/>
        </w:rPr>
        <w:t>3）</w:t>
      </w:r>
      <w:r>
        <w:rPr>
          <w:rFonts w:hint="eastAsia" w:ascii="宋体" w:hAnsi="宋体"/>
          <w:color w:val="auto"/>
          <w:sz w:val="24"/>
          <w:highlight w:val="none"/>
        </w:rPr>
        <w:t>中小企业声明函</w:t>
      </w:r>
      <w:r>
        <w:rPr>
          <w:rFonts w:hint="eastAsia" w:ascii="宋体" w:hAnsi="宋体"/>
          <w:bCs/>
          <w:color w:val="auto"/>
          <w:kern w:val="0"/>
          <w:sz w:val="24"/>
          <w:highlight w:val="none"/>
        </w:rPr>
        <w:t>（格式详见附件）</w:t>
      </w:r>
      <w:r>
        <w:rPr>
          <w:rFonts w:ascii="宋体" w:hAnsi="宋体"/>
          <w:color w:val="auto"/>
          <w:sz w:val="24"/>
          <w:highlight w:val="none"/>
        </w:rPr>
        <w:t>；</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lang w:eastAsia="zh-CN"/>
        </w:rPr>
        <w:t>（</w:t>
      </w:r>
      <w:r>
        <w:rPr>
          <w:rFonts w:hint="eastAsia" w:ascii="宋体" w:hAnsi="宋体"/>
          <w:color w:val="auto"/>
          <w:sz w:val="24"/>
          <w:highlight w:val="none"/>
          <w:lang w:val="en-US" w:eastAsia="zh-CN"/>
        </w:rPr>
        <w:t>4</w:t>
      </w:r>
      <w:r>
        <w:rPr>
          <w:rFonts w:hint="eastAsia" w:ascii="宋体" w:hAnsi="宋体"/>
          <w:color w:val="auto"/>
          <w:sz w:val="24"/>
          <w:highlight w:val="none"/>
          <w:lang w:eastAsia="zh-CN"/>
        </w:rPr>
        <w:t>）</w:t>
      </w:r>
      <w:r>
        <w:rPr>
          <w:rFonts w:ascii="宋体" w:hAnsi="宋体"/>
          <w:color w:val="auto"/>
          <w:sz w:val="24"/>
          <w:highlight w:val="none"/>
        </w:rPr>
        <w:t>法人或者其他组织的营业执照等证明文件，自然人的身份证明；</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5</w:t>
      </w:r>
      <w:r>
        <w:rPr>
          <w:rFonts w:ascii="宋体" w:hAnsi="宋体"/>
          <w:color w:val="auto"/>
          <w:sz w:val="24"/>
          <w:highlight w:val="none"/>
        </w:rPr>
        <w:t>）财务状况报告，依法缴纳税收和社会保障资金的相关材料；</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6</w:t>
      </w:r>
      <w:r>
        <w:rPr>
          <w:rFonts w:ascii="宋体" w:hAnsi="宋体"/>
          <w:color w:val="auto"/>
          <w:sz w:val="24"/>
          <w:highlight w:val="none"/>
        </w:rPr>
        <w:t>）具备履行合同所必需的设备和专业技术能力的证明材料(根据项目性质提供)；</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7</w:t>
      </w:r>
      <w:r>
        <w:rPr>
          <w:rFonts w:ascii="宋体" w:hAnsi="宋体"/>
          <w:color w:val="auto"/>
          <w:sz w:val="24"/>
          <w:highlight w:val="none"/>
        </w:rPr>
        <w:t>）</w:t>
      </w:r>
      <w:r>
        <w:rPr>
          <w:rFonts w:hint="eastAsia" w:ascii="宋体" w:hAnsi="宋体"/>
          <w:color w:val="auto"/>
          <w:sz w:val="24"/>
          <w:highlight w:val="none"/>
        </w:rPr>
        <w:t>其他</w:t>
      </w:r>
      <w:r>
        <w:rPr>
          <w:rFonts w:ascii="宋体" w:hAnsi="宋体"/>
          <w:color w:val="auto"/>
          <w:sz w:val="24"/>
          <w:highlight w:val="none"/>
        </w:rPr>
        <w:t>需要说明的其他资料</w:t>
      </w:r>
      <w:r>
        <w:rPr>
          <w:rFonts w:hint="eastAsia" w:ascii="宋体" w:hAnsi="宋体"/>
          <w:color w:val="auto"/>
          <w:sz w:val="24"/>
          <w:highlight w:val="none"/>
        </w:rPr>
        <w:t>（如有）</w:t>
      </w:r>
      <w:r>
        <w:rPr>
          <w:rFonts w:ascii="宋体" w:hAnsi="宋体"/>
          <w:color w:val="auto"/>
          <w:sz w:val="24"/>
          <w:highlight w:val="none"/>
        </w:rPr>
        <w:t>；</w:t>
      </w:r>
    </w:p>
    <w:p>
      <w:pPr>
        <w:snapToGrid w:val="0"/>
        <w:spacing w:line="360" w:lineRule="auto"/>
        <w:ind w:firstLine="482" w:firstLineChars="200"/>
        <w:rPr>
          <w:rFonts w:ascii="宋体" w:hAnsi="宋体" w:cs="宋体"/>
          <w:color w:val="auto"/>
          <w:sz w:val="24"/>
          <w:highlight w:val="none"/>
          <w:u w:val="single"/>
        </w:rPr>
      </w:pPr>
      <w:r>
        <w:rPr>
          <w:rFonts w:hint="eastAsia" w:ascii="宋体" w:hAnsi="宋体"/>
          <w:b/>
          <w:color w:val="auto"/>
          <w:sz w:val="24"/>
          <w:highlight w:val="none"/>
        </w:rPr>
        <w:t>2、商务与技术文件的组成：</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投标人基本情况表</w:t>
      </w:r>
      <w:r>
        <w:rPr>
          <w:rFonts w:hint="eastAsia" w:ascii="宋体" w:hAnsi="宋体"/>
          <w:bCs/>
          <w:color w:val="auto"/>
          <w:kern w:val="0"/>
          <w:sz w:val="24"/>
          <w:highlight w:val="none"/>
        </w:rPr>
        <w:t>（格式详见附件）；</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（2）投标人类似项目实施情况一览表</w:t>
      </w:r>
      <w:r>
        <w:rPr>
          <w:rFonts w:hint="eastAsia" w:ascii="宋体" w:hAnsi="宋体"/>
          <w:bCs/>
          <w:color w:val="auto"/>
          <w:kern w:val="0"/>
          <w:sz w:val="24"/>
          <w:highlight w:val="none"/>
        </w:rPr>
        <w:t>（格式详见附件）；</w:t>
      </w:r>
    </w:p>
    <w:p>
      <w:pPr>
        <w:snapToGrid w:val="0"/>
        <w:spacing w:line="360" w:lineRule="auto"/>
        <w:ind w:firstLine="480" w:firstLineChars="200"/>
        <w:rPr>
          <w:rFonts w:ascii="宋体" w:hAnsi="宋体"/>
          <w:bCs/>
          <w:color w:val="auto"/>
          <w:kern w:val="0"/>
          <w:sz w:val="24"/>
          <w:highlight w:val="none"/>
        </w:rPr>
      </w:pPr>
      <w:r>
        <w:rPr>
          <w:rFonts w:hint="eastAsia" w:ascii="宋体" w:hAnsi="宋体"/>
          <w:color w:val="auto"/>
          <w:sz w:val="24"/>
          <w:highlight w:val="none"/>
        </w:rPr>
        <w:t>（3）项目实施人员一览表</w:t>
      </w:r>
      <w:r>
        <w:rPr>
          <w:rFonts w:hint="eastAsia" w:ascii="宋体" w:hAnsi="宋体"/>
          <w:bCs/>
          <w:color w:val="auto"/>
          <w:kern w:val="0"/>
          <w:sz w:val="24"/>
          <w:highlight w:val="none"/>
        </w:rPr>
        <w:t>（格式详见附件）；</w:t>
      </w:r>
    </w:p>
    <w:p>
      <w:pPr>
        <w:snapToGrid w:val="0"/>
        <w:spacing w:line="360" w:lineRule="auto"/>
        <w:ind w:firstLine="480" w:firstLineChars="200"/>
        <w:rPr>
          <w:rFonts w:ascii="宋体" w:hAnsi="宋体"/>
          <w:bCs/>
          <w:color w:val="auto"/>
          <w:kern w:val="0"/>
          <w:sz w:val="24"/>
          <w:highlight w:val="none"/>
        </w:rPr>
      </w:pPr>
      <w:r>
        <w:rPr>
          <w:rFonts w:hint="eastAsia" w:ascii="宋体" w:hAnsi="宋体"/>
          <w:bCs/>
          <w:color w:val="auto"/>
          <w:kern w:val="0"/>
          <w:sz w:val="24"/>
          <w:highlight w:val="none"/>
        </w:rPr>
        <w:t>（4）商务需求响应表（格式详见附件）；</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（5）</w:t>
      </w:r>
      <w:r>
        <w:rPr>
          <w:rFonts w:ascii="宋体" w:hAnsi="宋体"/>
          <w:color w:val="auto"/>
          <w:sz w:val="24"/>
          <w:highlight w:val="none"/>
        </w:rPr>
        <w:t>根据评标办法自行</w:t>
      </w:r>
      <w:r>
        <w:rPr>
          <w:rFonts w:hint="eastAsia" w:ascii="宋体" w:hAnsi="宋体"/>
          <w:color w:val="auto"/>
          <w:sz w:val="24"/>
          <w:highlight w:val="none"/>
        </w:rPr>
        <w:t>编制商务与技术文件</w:t>
      </w:r>
      <w:r>
        <w:rPr>
          <w:rFonts w:ascii="宋体" w:hAnsi="宋体"/>
          <w:color w:val="auto"/>
          <w:sz w:val="24"/>
          <w:highlight w:val="none"/>
        </w:rPr>
        <w:t>；</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（6</w:t>
      </w:r>
      <w:r>
        <w:rPr>
          <w:rFonts w:ascii="宋体" w:hAnsi="宋体"/>
          <w:color w:val="auto"/>
          <w:sz w:val="24"/>
          <w:highlight w:val="none"/>
        </w:rPr>
        <w:t>）投标人认为需要提供的其他资料。</w:t>
      </w:r>
    </w:p>
    <w:p>
      <w:pPr>
        <w:pStyle w:val="11"/>
        <w:widowControl/>
        <w:adjustRightInd w:val="0"/>
        <w:snapToGrid w:val="0"/>
        <w:spacing w:line="360" w:lineRule="auto"/>
        <w:ind w:left="218" w:leftChars="104" w:firstLine="622" w:firstLineChars="258"/>
        <w:rPr>
          <w:rFonts w:ascii="宋体" w:hAnsi="宋体" w:cs="宋体"/>
          <w:color w:val="auto"/>
          <w:sz w:val="24"/>
          <w:szCs w:val="24"/>
          <w:highlight w:val="none"/>
        </w:rPr>
      </w:pPr>
      <w:r>
        <w:rPr>
          <w:rFonts w:hint="eastAsia" w:ascii="宋体"/>
          <w:b/>
          <w:color w:val="auto"/>
          <w:kern w:val="0"/>
          <w:sz w:val="24"/>
          <w:highlight w:val="none"/>
        </w:rPr>
        <w:t>招标需求中要求提供的相关证明材料及根据评标办法提供的证明材料均需在投标文件中提供扫描件。</w:t>
      </w:r>
    </w:p>
    <w:p>
      <w:pPr>
        <w:autoSpaceDE w:val="0"/>
        <w:autoSpaceDN w:val="0"/>
        <w:adjustRightInd w:val="0"/>
        <w:spacing w:line="360" w:lineRule="auto"/>
        <w:ind w:left="426" w:firstLine="65" w:firstLineChars="27"/>
        <w:rPr>
          <w:rFonts w:ascii="宋体" w:hAnsi="宋体"/>
          <w:b/>
          <w:color w:val="auto"/>
          <w:kern w:val="0"/>
          <w:sz w:val="24"/>
          <w:highlight w:val="none"/>
        </w:rPr>
      </w:pPr>
      <w:r>
        <w:rPr>
          <w:rFonts w:hint="eastAsia" w:ascii="宋体" w:hAnsi="宋体"/>
          <w:b/>
          <w:color w:val="auto"/>
          <w:kern w:val="0"/>
          <w:sz w:val="24"/>
          <w:highlight w:val="none"/>
        </w:rPr>
        <w:t>3、报价文件的组成</w:t>
      </w:r>
    </w:p>
    <w:p>
      <w:pPr>
        <w:autoSpaceDE w:val="0"/>
        <w:autoSpaceDN w:val="0"/>
        <w:adjustRightInd w:val="0"/>
        <w:spacing w:line="360" w:lineRule="auto"/>
        <w:ind w:firstLine="480" w:firstLineChars="200"/>
        <w:rPr>
          <w:rFonts w:ascii="宋体" w:hAnsi="宋体"/>
          <w:bCs/>
          <w:color w:val="auto"/>
          <w:kern w:val="0"/>
          <w:sz w:val="24"/>
          <w:highlight w:val="none"/>
        </w:rPr>
      </w:pPr>
      <w:r>
        <w:rPr>
          <w:rFonts w:hint="eastAsia" w:ascii="宋体" w:hAnsi="宋体"/>
          <w:bCs/>
          <w:color w:val="auto"/>
          <w:kern w:val="0"/>
          <w:sz w:val="24"/>
          <w:highlight w:val="none"/>
        </w:rPr>
        <w:t>（1）开标一览表（格式详见附件）；</w:t>
      </w:r>
    </w:p>
    <w:p>
      <w:pPr>
        <w:autoSpaceDE w:val="0"/>
        <w:autoSpaceDN w:val="0"/>
        <w:adjustRightInd w:val="0"/>
        <w:spacing w:line="360" w:lineRule="auto"/>
        <w:ind w:firstLine="480" w:firstLineChars="200"/>
        <w:rPr>
          <w:rFonts w:ascii="宋体" w:hAnsi="宋体"/>
          <w:bCs/>
          <w:color w:val="auto"/>
          <w:kern w:val="0"/>
          <w:sz w:val="24"/>
          <w:highlight w:val="none"/>
        </w:rPr>
      </w:pPr>
      <w:r>
        <w:rPr>
          <w:rFonts w:hint="eastAsia" w:ascii="宋体" w:hAnsi="宋体"/>
          <w:bCs/>
          <w:color w:val="auto"/>
          <w:kern w:val="0"/>
          <w:sz w:val="24"/>
          <w:highlight w:val="none"/>
        </w:rPr>
        <w:t>（</w:t>
      </w:r>
      <w:r>
        <w:rPr>
          <w:rFonts w:ascii="宋体" w:hAnsi="宋体"/>
          <w:bCs/>
          <w:color w:val="auto"/>
          <w:kern w:val="0"/>
          <w:sz w:val="24"/>
          <w:highlight w:val="none"/>
        </w:rPr>
        <w:t>2</w:t>
      </w:r>
      <w:r>
        <w:rPr>
          <w:rFonts w:hint="eastAsia" w:ascii="宋体" w:hAnsi="宋体"/>
          <w:bCs/>
          <w:color w:val="auto"/>
          <w:kern w:val="0"/>
          <w:sz w:val="24"/>
          <w:highlight w:val="none"/>
        </w:rPr>
        <w:t>）报价明细表（格式详见附件）；</w:t>
      </w:r>
    </w:p>
    <w:p>
      <w:pPr>
        <w:autoSpaceDE w:val="0"/>
        <w:autoSpaceDN w:val="0"/>
        <w:adjustRightInd w:val="0"/>
        <w:spacing w:line="360" w:lineRule="auto"/>
        <w:ind w:firstLine="480" w:firstLineChars="200"/>
        <w:rPr>
          <w:rFonts w:ascii="宋体" w:hAnsi="宋体"/>
          <w:color w:val="auto"/>
          <w:kern w:val="0"/>
          <w:sz w:val="24"/>
          <w:highlight w:val="none"/>
        </w:rPr>
      </w:pPr>
      <w:r>
        <w:rPr>
          <w:rFonts w:hint="eastAsia" w:ascii="宋体" w:hAnsi="宋体"/>
          <w:color w:val="auto"/>
          <w:kern w:val="0"/>
          <w:sz w:val="24"/>
          <w:highlight w:val="none"/>
        </w:rPr>
        <w:t>此报价为投标人一次性报出唯一的最终价格，包含其它一切所要涉及到的费用，有选择的报价将被拒绝。</w:t>
      </w:r>
    </w:p>
    <w:p>
      <w:pPr>
        <w:autoSpaceDE w:val="0"/>
        <w:autoSpaceDN w:val="0"/>
        <w:adjustRightInd w:val="0"/>
        <w:spacing w:line="360" w:lineRule="auto"/>
        <w:ind w:firstLine="480" w:firstLineChars="200"/>
        <w:rPr>
          <w:rFonts w:ascii="宋体" w:hAnsi="宋体"/>
          <w:color w:val="auto"/>
          <w:kern w:val="0"/>
          <w:sz w:val="24"/>
          <w:highlight w:val="none"/>
        </w:rPr>
      </w:pPr>
      <w:r>
        <w:rPr>
          <w:rFonts w:hint="eastAsia" w:ascii="宋体" w:hAnsi="宋体"/>
          <w:color w:val="auto"/>
          <w:kern w:val="0"/>
          <w:sz w:val="24"/>
          <w:highlight w:val="none"/>
        </w:rPr>
        <w:t>投标报价是指完成本项目合同所需的一切本身和不可或缺的所有工作开支、政策性文件规定计合同包含的所有风险、责任等各项全部费用组成。</w:t>
      </w:r>
    </w:p>
    <w:p>
      <w:pPr>
        <w:autoSpaceDE w:val="0"/>
        <w:autoSpaceDN w:val="0"/>
        <w:adjustRightInd w:val="0"/>
        <w:spacing w:line="360" w:lineRule="auto"/>
        <w:ind w:firstLine="480" w:firstLineChars="200"/>
        <w:rPr>
          <w:rFonts w:ascii="宋体" w:hAnsi="宋体"/>
          <w:color w:val="auto"/>
          <w:kern w:val="0"/>
          <w:sz w:val="24"/>
          <w:highlight w:val="none"/>
        </w:rPr>
      </w:pPr>
      <w:r>
        <w:rPr>
          <w:rFonts w:hint="eastAsia" w:ascii="宋体" w:hAnsi="宋体"/>
          <w:color w:val="auto"/>
          <w:kern w:val="0"/>
          <w:sz w:val="24"/>
          <w:highlight w:val="none"/>
        </w:rPr>
        <w:t>投标报价单不得涂改和增删，如有错漏必须修改，修改处须由同一签署人签字或盖章。由于字迹模糊或表达不清引起的后果由投标人负责。</w:t>
      </w:r>
    </w:p>
    <w:p>
      <w:pPr>
        <w:autoSpaceDE w:val="0"/>
        <w:autoSpaceDN w:val="0"/>
        <w:adjustRightInd w:val="0"/>
        <w:ind w:firstLine="480" w:firstLineChars="200"/>
        <w:rPr>
          <w:rFonts w:ascii="宋体" w:hAnsi="宋体"/>
          <w:color w:val="auto"/>
          <w:sz w:val="24"/>
          <w:highlight w:val="none"/>
        </w:rPr>
      </w:pPr>
      <w:r>
        <w:rPr>
          <w:rFonts w:ascii="宋体" w:hAnsi="宋体"/>
          <w:color w:val="auto"/>
          <w:sz w:val="24"/>
          <w:highlight w:val="none"/>
        </w:rPr>
        <w:t>投标报价应按招标文件中相关附表格式填写。</w:t>
      </w:r>
    </w:p>
    <w:p>
      <w:pPr>
        <w:numPr>
          <w:ilvl w:val="0"/>
          <w:numId w:val="4"/>
        </w:numPr>
        <w:rPr>
          <w:rFonts w:ascii="宋体" w:hAnsi="宋体"/>
          <w:b/>
          <w:bCs/>
          <w:color w:val="auto"/>
          <w:kern w:val="0"/>
          <w:sz w:val="24"/>
          <w:highlight w:val="none"/>
        </w:rPr>
      </w:pPr>
      <w:r>
        <w:rPr>
          <w:rFonts w:hint="eastAsia" w:ascii="宋体" w:hAnsi="宋体"/>
          <w:b/>
          <w:bCs/>
          <w:color w:val="auto"/>
          <w:kern w:val="0"/>
          <w:sz w:val="24"/>
          <w:highlight w:val="none"/>
        </w:rPr>
        <w:t>投标文件的制作、封装及递交要求</w:t>
      </w:r>
    </w:p>
    <w:p>
      <w:pPr>
        <w:autoSpaceDE w:val="0"/>
        <w:autoSpaceDN w:val="0"/>
        <w:adjustRightInd w:val="0"/>
        <w:spacing w:line="360" w:lineRule="auto"/>
        <w:ind w:firstLine="480"/>
        <w:rPr>
          <w:rFonts w:ascii="宋体" w:hAnsi="宋体"/>
          <w:b/>
          <w:bCs/>
          <w:color w:val="auto"/>
          <w:sz w:val="24"/>
          <w:highlight w:val="none"/>
        </w:rPr>
      </w:pPr>
      <w:r>
        <w:rPr>
          <w:rFonts w:hint="eastAsia" w:ascii="宋体" w:hAnsi="宋体"/>
          <w:b/>
          <w:bCs/>
          <w:color w:val="auto"/>
          <w:sz w:val="24"/>
          <w:highlight w:val="none"/>
        </w:rPr>
        <w:t>1、投标文件的制作要求</w:t>
      </w:r>
    </w:p>
    <w:p>
      <w:pPr>
        <w:spacing w:line="360" w:lineRule="auto"/>
        <w:ind w:firstLine="480" w:firstLineChars="200"/>
        <w:rPr>
          <w:rFonts w:ascii="宋体" w:hAnsi="宋体" w:cs="Arial"/>
          <w:color w:val="auto"/>
          <w:sz w:val="24"/>
          <w:highlight w:val="non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s="Arial"/>
          <w:color w:val="auto"/>
          <w:sz w:val="24"/>
          <w:highlight w:val="none"/>
        </w:rPr>
        <w:t>本项目通过“政府采购云平台（</w:t>
      </w:r>
      <w:r>
        <w:rPr>
          <w:rFonts w:ascii="宋体" w:hAnsi="宋体" w:cs="Arial"/>
          <w:color w:val="auto"/>
          <w:sz w:val="24"/>
          <w:highlight w:val="none"/>
        </w:rPr>
        <w:t>www.</w:t>
      </w:r>
      <w:r>
        <w:rPr>
          <w:rFonts w:hint="eastAsia" w:ascii="宋体" w:hAnsi="宋体" w:cs="Arial"/>
          <w:color w:val="auto"/>
          <w:sz w:val="24"/>
          <w:highlight w:val="none"/>
        </w:rPr>
        <w:t>zcy</w:t>
      </w:r>
      <w:r>
        <w:rPr>
          <w:rFonts w:ascii="宋体" w:hAnsi="宋体" w:cs="Arial"/>
          <w:color w:val="auto"/>
          <w:sz w:val="24"/>
          <w:highlight w:val="none"/>
        </w:rPr>
        <w:t>gov.cn</w:t>
      </w:r>
      <w:r>
        <w:rPr>
          <w:rFonts w:hint="eastAsia" w:ascii="宋体" w:hAnsi="宋体" w:cs="Arial"/>
          <w:color w:val="auto"/>
          <w:sz w:val="24"/>
          <w:highlight w:val="none"/>
        </w:rPr>
        <w:t>）”实行在线投标响应（电子投标）。供应商应通过“政采云电子交易客户端”，并按照本招标文件和“政府采购云平台”的要求编制并加密投标文件。</w:t>
      </w:r>
    </w:p>
    <w:p>
      <w:pPr>
        <w:spacing w:line="360" w:lineRule="auto"/>
        <w:ind w:firstLine="420" w:firstLineChars="175"/>
        <w:rPr>
          <w:rFonts w:ascii="宋体" w:hAnsi="宋体" w:cs="Arial"/>
          <w:color w:val="auto"/>
          <w:kern w:val="0"/>
          <w:sz w:val="24"/>
          <w:highlight w:val="none"/>
        </w:rPr>
      </w:pPr>
      <w:r>
        <w:rPr>
          <w:rFonts w:hint="eastAsia" w:ascii="宋体" w:hAnsi="宋体" w:cs="Arial"/>
          <w:color w:val="auto"/>
          <w:kern w:val="0"/>
          <w:sz w:val="24"/>
          <w:highlight w:val="none"/>
        </w:rPr>
        <w:t>（2）投标供应商应当按照</w:t>
      </w:r>
      <w:r>
        <w:rPr>
          <w:rFonts w:ascii="宋体" w:hAnsi="宋体" w:cs="Arial"/>
          <w:color w:val="auto"/>
          <w:kern w:val="0"/>
          <w:sz w:val="24"/>
          <w:highlight w:val="none"/>
        </w:rPr>
        <w:t>本</w:t>
      </w:r>
      <w:r>
        <w:rPr>
          <w:rFonts w:hint="eastAsia" w:ascii="宋体" w:hAnsi="宋体" w:cs="Arial"/>
          <w:color w:val="auto"/>
          <w:kern w:val="0"/>
          <w:sz w:val="24"/>
          <w:highlight w:val="none"/>
        </w:rPr>
        <w:t>章节 “投标文件组成”规定的内容及顺序在“政采云电子交易客户端”编制投标文件。其中《资格证明文件》和《商务技术文件》中不得出现本项目投标报价，如因投标人原因提前泄露投标报价，是投标人的责任。</w:t>
      </w:r>
    </w:p>
    <w:p>
      <w:pPr>
        <w:autoSpaceDE w:val="0"/>
        <w:autoSpaceDN w:val="0"/>
        <w:adjustRightInd w:val="0"/>
        <w:spacing w:line="360" w:lineRule="auto"/>
        <w:ind w:firstLine="480"/>
        <w:rPr>
          <w:rFonts w:ascii="宋体" w:hAnsi="宋体"/>
          <w:color w:val="auto"/>
          <w:sz w:val="24"/>
          <w:highlight w:val="none"/>
        </w:rPr>
      </w:pPr>
      <w:r>
        <w:rPr>
          <w:rFonts w:hint="eastAsia" w:ascii="宋体" w:hAnsi="宋体"/>
          <w:bCs/>
          <w:color w:val="auto"/>
          <w:sz w:val="24"/>
          <w:highlight w:val="none"/>
        </w:rPr>
        <w:t>（3）本文件《第五部分  应提交的有关格式范例》中有</w:t>
      </w:r>
      <w:r>
        <w:rPr>
          <w:rFonts w:ascii="宋体" w:hAnsi="宋体"/>
          <w:bCs/>
          <w:color w:val="auto"/>
          <w:sz w:val="24"/>
          <w:highlight w:val="none"/>
        </w:rPr>
        <w:t>提供格式的，投标</w:t>
      </w:r>
      <w:r>
        <w:rPr>
          <w:rFonts w:hint="eastAsia" w:ascii="宋体" w:hAnsi="宋体"/>
          <w:bCs/>
          <w:color w:val="auto"/>
          <w:sz w:val="24"/>
          <w:highlight w:val="none"/>
        </w:rPr>
        <w:t>供应商须参</w:t>
      </w:r>
      <w:r>
        <w:rPr>
          <w:rFonts w:ascii="宋体" w:hAnsi="宋体"/>
          <w:bCs/>
          <w:color w:val="auto"/>
          <w:sz w:val="24"/>
          <w:highlight w:val="none"/>
        </w:rPr>
        <w:t>照格式</w:t>
      </w:r>
      <w:r>
        <w:rPr>
          <w:rFonts w:hint="eastAsia" w:ascii="宋体" w:hAnsi="宋体"/>
          <w:bCs/>
          <w:color w:val="auto"/>
          <w:sz w:val="24"/>
          <w:highlight w:val="none"/>
        </w:rPr>
        <w:t>进行编制（格式中要求提供相关证明材料的还需后附相关证明材料），并按格式要求在指定位置根据要求进行电子签章，否则视为未提供；本文件《第五部分  应提交的有关格式范例》</w:t>
      </w:r>
      <w:r>
        <w:rPr>
          <w:rFonts w:ascii="宋体" w:hAnsi="宋体"/>
          <w:bCs/>
          <w:color w:val="auto"/>
          <w:sz w:val="24"/>
          <w:highlight w:val="none"/>
        </w:rPr>
        <w:t>未提供格式的，请各投标单位自行拟定格式</w:t>
      </w:r>
      <w:r>
        <w:rPr>
          <w:rFonts w:hint="eastAsia" w:ascii="宋体" w:hAnsi="宋体"/>
          <w:color w:val="auto"/>
          <w:sz w:val="24"/>
          <w:highlight w:val="none"/>
        </w:rPr>
        <w:t>。</w:t>
      </w:r>
    </w:p>
    <w:p>
      <w:pPr>
        <w:autoSpaceDE w:val="0"/>
        <w:autoSpaceDN w:val="0"/>
        <w:adjustRightInd w:val="0"/>
        <w:spacing w:line="360" w:lineRule="auto"/>
        <w:ind w:firstLine="480" w:firstLineChars="200"/>
        <w:rPr>
          <w:rFonts w:ascii="宋体" w:hAnsi="宋体"/>
          <w:color w:val="auto"/>
          <w:kern w:val="0"/>
          <w:sz w:val="24"/>
          <w:highlight w:val="none"/>
          <w:lang w:val="zh-CN"/>
        </w:rPr>
      </w:pPr>
      <w:r>
        <w:rPr>
          <w:rFonts w:hint="eastAsia" w:ascii="宋体" w:hAnsi="宋体"/>
          <w:color w:val="auto"/>
          <w:sz w:val="24"/>
          <w:highlight w:val="none"/>
        </w:rPr>
        <w:t>（</w:t>
      </w:r>
      <w:r>
        <w:rPr>
          <w:rFonts w:ascii="宋体" w:hAnsi="宋体"/>
          <w:color w:val="auto"/>
          <w:sz w:val="24"/>
          <w:highlight w:val="none"/>
        </w:rPr>
        <w:t>4</w:t>
      </w:r>
      <w:r>
        <w:rPr>
          <w:rFonts w:hint="eastAsia" w:ascii="宋体" w:hAnsi="宋体"/>
          <w:color w:val="auto"/>
          <w:sz w:val="24"/>
          <w:highlight w:val="none"/>
        </w:rPr>
        <w:t>）供应商应对所提供的全部资料的真实性承担法律责任。</w:t>
      </w:r>
    </w:p>
    <w:p>
      <w:pPr>
        <w:snapToGrid w:val="0"/>
        <w:spacing w:line="360" w:lineRule="auto"/>
        <w:ind w:firstLine="480" w:firstLineChars="200"/>
        <w:jc w:val="left"/>
        <w:rPr>
          <w:rFonts w:ascii="宋体" w:hAnsi="宋体"/>
          <w:color w:val="auto"/>
          <w:sz w:val="24"/>
          <w:highlight w:val="none"/>
        </w:rPr>
      </w:pPr>
      <w:r>
        <w:rPr>
          <w:rFonts w:hint="eastAsia" w:ascii="宋体" w:hAnsi="宋体"/>
          <w:color w:val="auto"/>
          <w:kern w:val="0"/>
          <w:sz w:val="24"/>
          <w:highlight w:val="none"/>
          <w:lang w:val="zh-CN"/>
        </w:rPr>
        <w:t>（</w:t>
      </w:r>
      <w:r>
        <w:rPr>
          <w:rFonts w:ascii="宋体" w:hAnsi="宋体"/>
          <w:color w:val="auto"/>
          <w:kern w:val="0"/>
          <w:sz w:val="24"/>
          <w:highlight w:val="none"/>
        </w:rPr>
        <w:t>5</w:t>
      </w:r>
      <w:r>
        <w:rPr>
          <w:rFonts w:hint="eastAsia" w:ascii="宋体" w:hAnsi="宋体"/>
          <w:color w:val="auto"/>
          <w:kern w:val="0"/>
          <w:sz w:val="24"/>
          <w:highlight w:val="none"/>
          <w:lang w:val="zh-CN"/>
        </w:rPr>
        <w:t>）</w:t>
      </w:r>
      <w:r>
        <w:rPr>
          <w:rFonts w:hint="eastAsia" w:ascii="宋体" w:hAnsi="宋体"/>
          <w:color w:val="auto"/>
          <w:sz w:val="24"/>
          <w:highlight w:val="none"/>
        </w:rPr>
        <w:t>投标文件</w:t>
      </w:r>
      <w:r>
        <w:rPr>
          <w:rFonts w:ascii="宋体" w:hAnsi="宋体"/>
          <w:color w:val="auto"/>
          <w:sz w:val="24"/>
          <w:highlight w:val="none"/>
        </w:rPr>
        <w:t>以及</w:t>
      </w:r>
      <w:r>
        <w:rPr>
          <w:rFonts w:hint="eastAsia" w:ascii="宋体" w:hAnsi="宋体"/>
          <w:color w:val="auto"/>
          <w:sz w:val="24"/>
          <w:highlight w:val="none"/>
        </w:rPr>
        <w:t>投标供应商</w:t>
      </w:r>
      <w:r>
        <w:rPr>
          <w:rFonts w:ascii="宋体" w:hAnsi="宋体"/>
          <w:color w:val="auto"/>
          <w:sz w:val="24"/>
          <w:highlight w:val="none"/>
        </w:rPr>
        <w:t>与</w:t>
      </w:r>
      <w:r>
        <w:rPr>
          <w:rFonts w:hint="eastAsia" w:ascii="宋体" w:hAnsi="宋体"/>
          <w:color w:val="auto"/>
          <w:sz w:val="24"/>
          <w:highlight w:val="none"/>
        </w:rPr>
        <w:t>采购组织机构</w:t>
      </w:r>
      <w:r>
        <w:rPr>
          <w:rFonts w:ascii="宋体" w:hAnsi="宋体"/>
          <w:color w:val="auto"/>
          <w:sz w:val="24"/>
          <w:highlight w:val="none"/>
        </w:rPr>
        <w:t>就有关</w:t>
      </w:r>
      <w:r>
        <w:rPr>
          <w:rFonts w:hint="eastAsia" w:ascii="宋体" w:hAnsi="宋体"/>
          <w:color w:val="auto"/>
          <w:sz w:val="24"/>
          <w:highlight w:val="none"/>
        </w:rPr>
        <w:t>招投标</w:t>
      </w:r>
      <w:r>
        <w:rPr>
          <w:rFonts w:ascii="宋体" w:hAnsi="宋体"/>
          <w:color w:val="auto"/>
          <w:sz w:val="24"/>
          <w:highlight w:val="none"/>
        </w:rPr>
        <w:t>事宜的所有来往函电，均应以中文汉语书写。除</w:t>
      </w:r>
      <w:r>
        <w:rPr>
          <w:rFonts w:hint="eastAsia" w:ascii="宋体" w:hAnsi="宋体"/>
          <w:color w:val="auto"/>
          <w:sz w:val="24"/>
          <w:highlight w:val="none"/>
        </w:rPr>
        <w:t>签字</w:t>
      </w:r>
      <w:r>
        <w:rPr>
          <w:rFonts w:ascii="宋体" w:hAnsi="宋体"/>
          <w:color w:val="auto"/>
          <w:sz w:val="24"/>
          <w:highlight w:val="none"/>
        </w:rPr>
        <w:t>、盖章、专用名称等特殊情形外，以中文汉语以外的文字表述的</w:t>
      </w:r>
      <w:r>
        <w:rPr>
          <w:rFonts w:hint="eastAsia" w:ascii="宋体" w:hAnsi="宋体"/>
          <w:color w:val="auto"/>
          <w:sz w:val="24"/>
          <w:highlight w:val="none"/>
        </w:rPr>
        <w:t>投标文件</w:t>
      </w:r>
      <w:r>
        <w:rPr>
          <w:rFonts w:ascii="宋体" w:hAnsi="宋体"/>
          <w:color w:val="auto"/>
          <w:sz w:val="24"/>
          <w:highlight w:val="none"/>
        </w:rPr>
        <w:t>视同未提供。</w:t>
      </w:r>
    </w:p>
    <w:p>
      <w:pPr>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6</w:t>
      </w:r>
      <w:r>
        <w:rPr>
          <w:rFonts w:hint="eastAsia" w:ascii="宋体" w:hAnsi="宋体"/>
          <w:color w:val="auto"/>
          <w:sz w:val="24"/>
          <w:highlight w:val="none"/>
        </w:rPr>
        <w:t>）投标</w:t>
      </w:r>
      <w:r>
        <w:rPr>
          <w:rFonts w:ascii="宋体" w:hAnsi="宋体"/>
          <w:color w:val="auto"/>
          <w:sz w:val="24"/>
          <w:highlight w:val="none"/>
        </w:rPr>
        <w:t>计量单位，</w:t>
      </w:r>
      <w:r>
        <w:rPr>
          <w:rFonts w:hint="eastAsia" w:ascii="宋体" w:hAnsi="宋体"/>
          <w:bCs/>
          <w:color w:val="auto"/>
          <w:sz w:val="24"/>
          <w:highlight w:val="none"/>
        </w:rPr>
        <w:t>采购文件</w:t>
      </w:r>
      <w:r>
        <w:rPr>
          <w:rFonts w:ascii="宋体" w:hAnsi="宋体"/>
          <w:color w:val="auto"/>
          <w:sz w:val="24"/>
          <w:highlight w:val="none"/>
        </w:rPr>
        <w:t>已有明确规定的，使用</w:t>
      </w:r>
      <w:r>
        <w:rPr>
          <w:rFonts w:hint="eastAsia" w:ascii="宋体" w:hAnsi="宋体"/>
          <w:bCs/>
          <w:color w:val="auto"/>
          <w:sz w:val="24"/>
          <w:highlight w:val="none"/>
        </w:rPr>
        <w:t>采购文件</w:t>
      </w:r>
      <w:r>
        <w:rPr>
          <w:rFonts w:ascii="宋体" w:hAnsi="宋体"/>
          <w:color w:val="auto"/>
          <w:sz w:val="24"/>
          <w:highlight w:val="none"/>
        </w:rPr>
        <w:t>规定的计量单位；</w:t>
      </w:r>
      <w:r>
        <w:rPr>
          <w:rFonts w:hint="eastAsia" w:ascii="宋体" w:hAnsi="宋体"/>
          <w:bCs/>
          <w:color w:val="auto"/>
          <w:sz w:val="24"/>
          <w:highlight w:val="none"/>
        </w:rPr>
        <w:t>采购文件</w:t>
      </w:r>
      <w:r>
        <w:rPr>
          <w:rFonts w:ascii="宋体" w:hAnsi="宋体"/>
          <w:color w:val="auto"/>
          <w:sz w:val="24"/>
          <w:highlight w:val="none"/>
        </w:rPr>
        <w:t>没有规定的，应采用中华人民共和国法定计量单位（货币单位：人民币元），否则视同未响应。</w:t>
      </w:r>
    </w:p>
    <w:p>
      <w:pPr>
        <w:autoSpaceDE w:val="0"/>
        <w:autoSpaceDN w:val="0"/>
        <w:adjustRightInd w:val="0"/>
        <w:spacing w:line="360" w:lineRule="auto"/>
        <w:ind w:firstLine="480"/>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7</w:t>
      </w:r>
      <w:r>
        <w:rPr>
          <w:rFonts w:hint="eastAsia" w:ascii="宋体" w:hAnsi="宋体"/>
          <w:color w:val="auto"/>
          <w:sz w:val="24"/>
          <w:highlight w:val="none"/>
        </w:rPr>
        <w:t>）</w:t>
      </w:r>
      <w:r>
        <w:rPr>
          <w:rFonts w:ascii="宋体" w:hAnsi="宋体"/>
          <w:color w:val="auto"/>
          <w:sz w:val="24"/>
          <w:highlight w:val="none"/>
        </w:rPr>
        <w:t>若</w:t>
      </w:r>
      <w:r>
        <w:rPr>
          <w:rFonts w:hint="eastAsia" w:ascii="宋体" w:hAnsi="宋体"/>
          <w:color w:val="auto"/>
          <w:sz w:val="24"/>
          <w:highlight w:val="none"/>
        </w:rPr>
        <w:t>投标供应商</w:t>
      </w:r>
      <w:r>
        <w:rPr>
          <w:rFonts w:ascii="宋体" w:hAnsi="宋体"/>
          <w:color w:val="auto"/>
          <w:sz w:val="24"/>
          <w:highlight w:val="none"/>
        </w:rPr>
        <w:t>不按采购文件的要求提供资格审查材料，其风险由</w:t>
      </w:r>
      <w:r>
        <w:rPr>
          <w:rFonts w:hint="eastAsia" w:ascii="宋体" w:hAnsi="宋体"/>
          <w:color w:val="auto"/>
          <w:sz w:val="24"/>
          <w:highlight w:val="none"/>
        </w:rPr>
        <w:t>投标供应商</w:t>
      </w:r>
      <w:r>
        <w:rPr>
          <w:rFonts w:ascii="宋体" w:hAnsi="宋体"/>
          <w:color w:val="auto"/>
          <w:sz w:val="24"/>
          <w:highlight w:val="none"/>
        </w:rPr>
        <w:t>自行承担。</w:t>
      </w:r>
    </w:p>
    <w:p>
      <w:pPr>
        <w:autoSpaceDE w:val="0"/>
        <w:autoSpaceDN w:val="0"/>
        <w:adjustRightInd w:val="0"/>
        <w:spacing w:line="360" w:lineRule="auto"/>
        <w:ind w:firstLine="480"/>
        <w:rPr>
          <w:rFonts w:ascii="宋体" w:hAnsi="宋体"/>
          <w:color w:val="auto"/>
          <w:sz w:val="24"/>
          <w:highlight w:val="none"/>
        </w:rPr>
      </w:pPr>
      <w:r>
        <w:rPr>
          <w:rFonts w:hint="eastAsia" w:ascii="宋体" w:hAnsi="宋体"/>
          <w:color w:val="auto"/>
          <w:kern w:val="0"/>
          <w:sz w:val="24"/>
          <w:highlight w:val="none"/>
        </w:rPr>
        <w:t>（</w:t>
      </w:r>
      <w:r>
        <w:rPr>
          <w:rFonts w:ascii="宋体" w:hAnsi="宋体"/>
          <w:color w:val="auto"/>
          <w:kern w:val="0"/>
          <w:sz w:val="24"/>
          <w:highlight w:val="none"/>
        </w:rPr>
        <w:t>8</w:t>
      </w:r>
      <w:r>
        <w:rPr>
          <w:rFonts w:hint="eastAsia" w:ascii="宋体" w:hAnsi="宋体"/>
          <w:color w:val="auto"/>
          <w:kern w:val="0"/>
          <w:sz w:val="24"/>
          <w:highlight w:val="none"/>
        </w:rPr>
        <w:t>）</w:t>
      </w:r>
      <w:r>
        <w:rPr>
          <w:rFonts w:hint="eastAsia" w:ascii="宋体" w:hAnsi="宋体"/>
          <w:color w:val="auto"/>
          <w:sz w:val="24"/>
          <w:highlight w:val="none"/>
        </w:rPr>
        <w:t>与本次投标无关的内容请不要制作在内，确保投标文件有针对性、简洁明了。</w:t>
      </w:r>
    </w:p>
    <w:p>
      <w:pPr>
        <w:autoSpaceDE w:val="0"/>
        <w:autoSpaceDN w:val="0"/>
        <w:adjustRightInd w:val="0"/>
        <w:spacing w:line="360" w:lineRule="auto"/>
        <w:ind w:firstLine="480"/>
        <w:rPr>
          <w:rFonts w:ascii="宋体" w:hAnsi="宋体"/>
          <w:color w:val="auto"/>
          <w:sz w:val="24"/>
          <w:highlight w:val="none"/>
        </w:rPr>
      </w:pPr>
      <w:r>
        <w:rPr>
          <w:rFonts w:hint="eastAsia" w:ascii="宋体" w:hAnsi="宋体"/>
          <w:b/>
          <w:bCs/>
          <w:color w:val="auto"/>
          <w:sz w:val="24"/>
          <w:highlight w:val="none"/>
        </w:rPr>
        <w:t>2、投标文件的签章</w:t>
      </w:r>
    </w:p>
    <w:p>
      <w:pPr>
        <w:spacing w:line="360" w:lineRule="auto"/>
        <w:ind w:firstLine="460" w:firstLineChars="192"/>
        <w:rPr>
          <w:rFonts w:ascii="宋体" w:hAnsi="宋体" w:cs="Arial"/>
          <w:bCs/>
          <w:color w:val="auto"/>
          <w:kern w:val="0"/>
          <w:sz w:val="24"/>
          <w:highlight w:val="none"/>
        </w:rPr>
      </w:pPr>
      <w:r>
        <w:rPr>
          <w:rFonts w:hint="eastAsia" w:ascii="宋体" w:hAnsi="宋体" w:cs="Arial"/>
          <w:bCs/>
          <w:color w:val="auto"/>
          <w:kern w:val="0"/>
          <w:sz w:val="24"/>
          <w:highlight w:val="none"/>
        </w:rPr>
        <w:t>（1）《</w:t>
      </w:r>
      <w:r>
        <w:rPr>
          <w:rFonts w:ascii="宋体" w:hAnsi="宋体" w:cs="Arial"/>
          <w:bCs/>
          <w:color w:val="auto"/>
          <w:kern w:val="0"/>
          <w:sz w:val="24"/>
          <w:highlight w:val="none"/>
        </w:rPr>
        <w:t>投标文件</w:t>
      </w:r>
      <w:r>
        <w:rPr>
          <w:rFonts w:hint="eastAsia" w:ascii="宋体" w:hAnsi="宋体" w:cs="Arial"/>
          <w:bCs/>
          <w:color w:val="auto"/>
          <w:kern w:val="0"/>
          <w:sz w:val="24"/>
          <w:highlight w:val="none"/>
        </w:rPr>
        <w:t>》的签章：</w:t>
      </w:r>
      <w:r>
        <w:rPr>
          <w:rFonts w:hint="eastAsia" w:ascii="宋体" w:hAnsi="宋体"/>
          <w:bCs/>
          <w:color w:val="auto"/>
          <w:sz w:val="24"/>
          <w:highlight w:val="none"/>
        </w:rPr>
        <w:t>见《前附表》；</w:t>
      </w:r>
    </w:p>
    <w:p>
      <w:pPr>
        <w:spacing w:line="360" w:lineRule="auto"/>
        <w:ind w:firstLine="460" w:firstLineChars="192"/>
        <w:rPr>
          <w:rFonts w:ascii="宋体" w:hAnsi="宋体" w:cs="Arial"/>
          <w:bCs/>
          <w:color w:val="auto"/>
          <w:kern w:val="0"/>
          <w:sz w:val="24"/>
          <w:highlight w:val="none"/>
        </w:rPr>
      </w:pPr>
      <w:r>
        <w:rPr>
          <w:rFonts w:hint="eastAsia" w:ascii="宋体" w:hAnsi="宋体" w:cs="Arial"/>
          <w:bCs/>
          <w:color w:val="auto"/>
          <w:kern w:val="0"/>
          <w:sz w:val="24"/>
          <w:highlight w:val="none"/>
        </w:rPr>
        <w:t>（2）《</w:t>
      </w:r>
      <w:r>
        <w:rPr>
          <w:rFonts w:ascii="宋体" w:hAnsi="宋体" w:cs="Arial"/>
          <w:bCs/>
          <w:color w:val="auto"/>
          <w:kern w:val="0"/>
          <w:sz w:val="24"/>
          <w:highlight w:val="none"/>
        </w:rPr>
        <w:t>投标文件</w:t>
      </w:r>
      <w:r>
        <w:rPr>
          <w:rFonts w:hint="eastAsia" w:ascii="宋体" w:hAnsi="宋体" w:cs="Arial"/>
          <w:bCs/>
          <w:color w:val="auto"/>
          <w:kern w:val="0"/>
          <w:sz w:val="24"/>
          <w:highlight w:val="none"/>
        </w:rPr>
        <w:t>》应由投标供应商法定代表人或其授权代表签字（或签章），并时加盖投标供应商公章。</w:t>
      </w:r>
    </w:p>
    <w:p>
      <w:pPr>
        <w:autoSpaceDE w:val="0"/>
        <w:autoSpaceDN w:val="0"/>
        <w:adjustRightInd w:val="0"/>
        <w:spacing w:line="360" w:lineRule="auto"/>
        <w:ind w:firstLine="480"/>
        <w:rPr>
          <w:rFonts w:ascii="宋体" w:hAnsi="宋体"/>
          <w:color w:val="auto"/>
          <w:kern w:val="0"/>
          <w:sz w:val="24"/>
          <w:highlight w:val="none"/>
          <w:lang w:val="zh-CN"/>
        </w:rPr>
      </w:pPr>
      <w:r>
        <w:rPr>
          <w:rFonts w:hint="eastAsia" w:ascii="宋体" w:hAnsi="宋体" w:cs="Arial"/>
          <w:bCs/>
          <w:color w:val="auto"/>
          <w:kern w:val="0"/>
          <w:sz w:val="24"/>
          <w:highlight w:val="none"/>
        </w:rPr>
        <w:t>（</w:t>
      </w:r>
      <w:r>
        <w:rPr>
          <w:rFonts w:ascii="宋体" w:hAnsi="宋体" w:cs="Arial"/>
          <w:bCs/>
          <w:color w:val="auto"/>
          <w:kern w:val="0"/>
          <w:sz w:val="24"/>
          <w:highlight w:val="none"/>
        </w:rPr>
        <w:t>3</w:t>
      </w:r>
      <w:r>
        <w:rPr>
          <w:rFonts w:hint="eastAsia" w:ascii="宋体" w:hAnsi="宋体" w:cs="Arial"/>
          <w:bCs/>
          <w:color w:val="auto"/>
          <w:kern w:val="0"/>
          <w:sz w:val="24"/>
          <w:highlight w:val="none"/>
        </w:rPr>
        <w:t>）电子签章操作指南详见</w:t>
      </w:r>
      <w:r>
        <w:rPr>
          <w:rFonts w:hint="eastAsia" w:ascii="宋体" w:hAnsi="宋体" w:cs="Arial"/>
          <w:bCs/>
          <w:color w:val="auto"/>
          <w:sz w:val="24"/>
          <w:highlight w:val="none"/>
        </w:rPr>
        <w:t>《供应商项目采购-电子招投标操作指南》。</w:t>
      </w:r>
    </w:p>
    <w:p>
      <w:pPr>
        <w:autoSpaceDE w:val="0"/>
        <w:autoSpaceDN w:val="0"/>
        <w:adjustRightInd w:val="0"/>
        <w:spacing w:line="360" w:lineRule="auto"/>
        <w:ind w:firstLine="480"/>
        <w:rPr>
          <w:rFonts w:ascii="宋体" w:hAnsi="宋体"/>
          <w:b/>
          <w:color w:val="auto"/>
          <w:kern w:val="0"/>
          <w:sz w:val="24"/>
          <w:highlight w:val="none"/>
        </w:rPr>
      </w:pPr>
      <w:r>
        <w:rPr>
          <w:rFonts w:hint="eastAsia" w:ascii="宋体" w:hAnsi="宋体"/>
          <w:b/>
          <w:color w:val="auto"/>
          <w:kern w:val="0"/>
          <w:sz w:val="24"/>
          <w:highlight w:val="none"/>
        </w:rPr>
        <w:t>3、投标文件的形式</w:t>
      </w:r>
    </w:p>
    <w:p>
      <w:pPr>
        <w:spacing w:line="360" w:lineRule="auto"/>
        <w:ind w:firstLine="422" w:firstLineChars="176"/>
        <w:rPr>
          <w:rFonts w:ascii="宋体" w:hAnsi="宋体" w:cs="Arial"/>
          <w:bCs/>
          <w:color w:val="auto"/>
          <w:sz w:val="24"/>
          <w:highlight w:val="none"/>
        </w:rPr>
      </w:pPr>
      <w:r>
        <w:rPr>
          <w:rFonts w:hint="eastAsia" w:ascii="宋体" w:hAnsi="宋体" w:cs="Arial"/>
          <w:bCs/>
          <w:color w:val="auto"/>
          <w:sz w:val="24"/>
          <w:highlight w:val="none"/>
        </w:rPr>
        <w:t>（1）投标文件的形式：</w:t>
      </w:r>
      <w:r>
        <w:rPr>
          <w:rFonts w:hint="eastAsia" w:ascii="宋体" w:hAnsi="宋体"/>
          <w:bCs/>
          <w:color w:val="auto"/>
          <w:sz w:val="24"/>
          <w:highlight w:val="none"/>
        </w:rPr>
        <w:t>见《前附表》；</w:t>
      </w:r>
    </w:p>
    <w:p>
      <w:pPr>
        <w:spacing w:line="360" w:lineRule="auto"/>
        <w:ind w:firstLine="422" w:firstLineChars="176"/>
        <w:rPr>
          <w:rFonts w:ascii="宋体" w:hAnsi="宋体" w:cs="Arial"/>
          <w:bCs/>
          <w:color w:val="auto"/>
          <w:sz w:val="24"/>
          <w:highlight w:val="none"/>
        </w:rPr>
      </w:pPr>
      <w:r>
        <w:rPr>
          <w:rFonts w:hint="eastAsia" w:ascii="宋体" w:hAnsi="宋体" w:cs="Arial"/>
          <w:bCs/>
          <w:color w:val="auto"/>
          <w:sz w:val="24"/>
          <w:highlight w:val="none"/>
        </w:rPr>
        <w:t>（2）“电子加密投标文件”：“电子加密投标文件”是指通过“政采云电子交易客户端”完成投标文件编制后生成并加密的数据电文形式的投标文件。</w:t>
      </w:r>
    </w:p>
    <w:p>
      <w:pPr>
        <w:autoSpaceDE w:val="0"/>
        <w:autoSpaceDN w:val="0"/>
        <w:adjustRightInd w:val="0"/>
        <w:spacing w:line="360" w:lineRule="auto"/>
        <w:ind w:firstLine="480"/>
        <w:rPr>
          <w:rFonts w:ascii="宋体" w:hAnsi="宋体" w:cs="Arial"/>
          <w:bCs/>
          <w:color w:val="auto"/>
          <w:sz w:val="24"/>
          <w:highlight w:val="none"/>
        </w:rPr>
      </w:pPr>
      <w:r>
        <w:rPr>
          <w:rFonts w:hint="eastAsia" w:ascii="宋体" w:hAnsi="宋体" w:cs="Arial"/>
          <w:bCs/>
          <w:color w:val="auto"/>
          <w:sz w:val="24"/>
          <w:highlight w:val="none"/>
        </w:rPr>
        <w:t>（3）“备份投标文件”：“备份投标文件”是指与“电子加密投标文件”同时生成的数据电文形式的电子文件（备份标书），其他方式编制的“备份投标文件”视为无效的“备份投标文件”。</w:t>
      </w:r>
    </w:p>
    <w:p>
      <w:pPr>
        <w:autoSpaceDE w:val="0"/>
        <w:autoSpaceDN w:val="0"/>
        <w:adjustRightInd w:val="0"/>
        <w:spacing w:line="360" w:lineRule="auto"/>
        <w:ind w:firstLine="480"/>
        <w:rPr>
          <w:rFonts w:ascii="宋体" w:hAnsi="宋体"/>
          <w:b/>
          <w:color w:val="auto"/>
          <w:kern w:val="0"/>
          <w:sz w:val="24"/>
          <w:highlight w:val="none"/>
        </w:rPr>
      </w:pPr>
      <w:r>
        <w:rPr>
          <w:rFonts w:hint="eastAsia" w:ascii="宋体" w:hAnsi="宋体"/>
          <w:b/>
          <w:color w:val="auto"/>
          <w:kern w:val="0"/>
          <w:sz w:val="24"/>
          <w:highlight w:val="none"/>
        </w:rPr>
        <w:t>4、投标文件的份数</w:t>
      </w:r>
    </w:p>
    <w:p>
      <w:pPr>
        <w:autoSpaceDE w:val="0"/>
        <w:autoSpaceDN w:val="0"/>
        <w:adjustRightInd w:val="0"/>
        <w:spacing w:line="360" w:lineRule="auto"/>
        <w:ind w:firstLine="480"/>
        <w:rPr>
          <w:rFonts w:ascii="宋体" w:hAnsi="宋体"/>
          <w:bCs/>
          <w:color w:val="auto"/>
          <w:kern w:val="0"/>
          <w:sz w:val="24"/>
          <w:highlight w:val="none"/>
        </w:rPr>
      </w:pPr>
      <w:r>
        <w:rPr>
          <w:rFonts w:hint="eastAsia" w:ascii="宋体" w:hAnsi="宋体"/>
          <w:bCs/>
          <w:color w:val="auto"/>
          <w:kern w:val="0"/>
          <w:sz w:val="24"/>
          <w:highlight w:val="none"/>
        </w:rPr>
        <w:t>（1）投标文件的份数：见《前附表》。</w:t>
      </w:r>
    </w:p>
    <w:p>
      <w:pPr>
        <w:tabs>
          <w:tab w:val="left" w:pos="1898"/>
        </w:tabs>
        <w:autoSpaceDE w:val="0"/>
        <w:autoSpaceDN w:val="0"/>
        <w:adjustRightInd w:val="0"/>
        <w:spacing w:line="360" w:lineRule="auto"/>
        <w:ind w:firstLine="482" w:firstLineChars="200"/>
        <w:rPr>
          <w:rFonts w:ascii="宋体" w:hAnsi="宋体"/>
          <w:b/>
          <w:color w:val="auto"/>
          <w:kern w:val="0"/>
          <w:sz w:val="24"/>
          <w:highlight w:val="none"/>
        </w:rPr>
      </w:pPr>
      <w:r>
        <w:rPr>
          <w:rFonts w:ascii="宋体" w:hAnsi="宋体"/>
          <w:b/>
          <w:color w:val="auto"/>
          <w:kern w:val="0"/>
          <w:sz w:val="24"/>
          <w:highlight w:val="none"/>
        </w:rPr>
        <w:t>5</w:t>
      </w:r>
      <w:r>
        <w:rPr>
          <w:rFonts w:hint="eastAsia" w:ascii="宋体" w:hAnsi="宋体"/>
          <w:b/>
          <w:color w:val="auto"/>
          <w:kern w:val="0"/>
          <w:sz w:val="24"/>
          <w:highlight w:val="none"/>
        </w:rPr>
        <w:t>、投标文件的补充、修改和撤回。</w:t>
      </w:r>
    </w:p>
    <w:p>
      <w:pPr>
        <w:tabs>
          <w:tab w:val="left" w:pos="960"/>
          <w:tab w:val="left" w:pos="1418"/>
        </w:tabs>
        <w:autoSpaceDE w:val="0"/>
        <w:autoSpaceDN w:val="0"/>
        <w:adjustRightInd w:val="0"/>
        <w:spacing w:line="360" w:lineRule="auto"/>
        <w:ind w:firstLine="480" w:firstLineChars="200"/>
        <w:rPr>
          <w:rFonts w:ascii="宋体" w:hAnsi="宋体"/>
          <w:color w:val="auto"/>
          <w:kern w:val="0"/>
          <w:sz w:val="24"/>
          <w:highlight w:val="none"/>
        </w:rPr>
      </w:pPr>
      <w:r>
        <w:rPr>
          <w:rFonts w:hint="eastAsia" w:ascii="宋体" w:hAnsi="宋体"/>
          <w:color w:val="auto"/>
          <w:kern w:val="0"/>
          <w:sz w:val="24"/>
          <w:highlight w:val="none"/>
        </w:rPr>
        <w:t>（1）供应商应当在投标截止时间前完成投标文件的上传、递交，并可以补充、修改或者撤回投标文件。补充或者修改投标文件的，应当先行撤回原文件，补充、修改后重新上传、递交。投标截止时间前未完成上传、递交的，视为撤回投标文件。投标截止时间后递交的投标文件，“政府采购云平台”将予以拒收。</w:t>
      </w:r>
    </w:p>
    <w:p>
      <w:pPr>
        <w:tabs>
          <w:tab w:val="left" w:pos="1418"/>
        </w:tabs>
        <w:autoSpaceDE w:val="0"/>
        <w:autoSpaceDN w:val="0"/>
        <w:adjustRightInd w:val="0"/>
        <w:spacing w:line="360" w:lineRule="auto"/>
        <w:ind w:firstLine="480" w:firstLineChars="200"/>
        <w:rPr>
          <w:rFonts w:ascii="宋体" w:hAnsi="宋体"/>
          <w:color w:val="auto"/>
          <w:kern w:val="0"/>
          <w:sz w:val="24"/>
          <w:highlight w:val="none"/>
        </w:rPr>
      </w:pPr>
      <w:r>
        <w:rPr>
          <w:rFonts w:hint="eastAsia" w:ascii="宋体" w:hAnsi="宋体"/>
          <w:color w:val="auto"/>
          <w:kern w:val="0"/>
          <w:sz w:val="24"/>
          <w:highlight w:val="none"/>
        </w:rPr>
        <w:t>投标截止时间后，投标供应商不得撤回、修改《投标文件》。</w:t>
      </w:r>
    </w:p>
    <w:p>
      <w:pPr>
        <w:tabs>
          <w:tab w:val="left" w:pos="1898"/>
        </w:tabs>
        <w:autoSpaceDE w:val="0"/>
        <w:autoSpaceDN w:val="0"/>
        <w:adjustRightInd w:val="0"/>
        <w:spacing w:line="360" w:lineRule="auto"/>
        <w:rPr>
          <w:rFonts w:ascii="宋体" w:hAnsi="宋体"/>
          <w:b/>
          <w:color w:val="auto"/>
          <w:kern w:val="0"/>
          <w:sz w:val="24"/>
          <w:highlight w:val="none"/>
        </w:rPr>
      </w:pPr>
      <w:r>
        <w:rPr>
          <w:rFonts w:hint="eastAsia" w:ascii="宋体" w:hAnsi="宋体"/>
          <w:b/>
          <w:color w:val="auto"/>
          <w:kern w:val="0"/>
          <w:sz w:val="24"/>
          <w:highlight w:val="none"/>
        </w:rPr>
        <w:t>（三）投标文件的有效期</w:t>
      </w:r>
    </w:p>
    <w:p>
      <w:pPr>
        <w:pStyle w:val="10"/>
        <w:tabs>
          <w:tab w:val="left" w:pos="454"/>
          <w:tab w:val="left" w:pos="720"/>
          <w:tab w:val="left" w:pos="1200"/>
        </w:tabs>
        <w:snapToGrid w:val="0"/>
        <w:spacing w:line="360" w:lineRule="auto"/>
        <w:ind w:left="0" w:firstLine="480" w:firstLineChars="200"/>
        <w:rPr>
          <w:rFonts w:ascii="仿宋_GB2312" w:hAnsi="仿宋_GB2312" w:eastAsia="仿宋_GB2312" w:cs="仿宋_GB2312"/>
          <w:color w:val="auto"/>
          <w:sz w:val="24"/>
          <w:highlight w:val="none"/>
          <w:lang w:val="en-GB"/>
        </w:rPr>
      </w:pPr>
      <w:r>
        <w:rPr>
          <w:rFonts w:hint="eastAsia" w:ascii="宋体" w:hAnsi="宋体"/>
          <w:color w:val="auto"/>
          <w:sz w:val="24"/>
          <w:highlight w:val="none"/>
          <w:lang w:val="en-GB"/>
        </w:rPr>
        <w:t>自投标截止日起90天投标文件应保持有效。有效期不足的投标文件将被拒绝。</w:t>
      </w:r>
    </w:p>
    <w:p>
      <w:pPr>
        <w:pStyle w:val="10"/>
        <w:tabs>
          <w:tab w:val="left" w:pos="454"/>
          <w:tab w:val="left" w:pos="720"/>
          <w:tab w:val="left" w:pos="1200"/>
        </w:tabs>
        <w:snapToGrid w:val="0"/>
        <w:spacing w:line="360" w:lineRule="auto"/>
        <w:ind w:left="0" w:firstLine="480" w:firstLineChars="200"/>
        <w:rPr>
          <w:rFonts w:ascii="宋体" w:hAnsi="宋体"/>
          <w:color w:val="auto"/>
          <w:sz w:val="24"/>
          <w:highlight w:val="none"/>
          <w:lang w:val="en-GB"/>
        </w:rPr>
      </w:pPr>
      <w:r>
        <w:rPr>
          <w:rFonts w:hint="eastAsia" w:ascii="宋体" w:hAnsi="宋体"/>
          <w:color w:val="auto"/>
          <w:sz w:val="24"/>
          <w:highlight w:val="none"/>
          <w:lang w:val="en-GB"/>
        </w:rPr>
        <w:t>在特殊情况下，采购人可与投标人协商延长投标文件的有效期，这种要求和答复均以书面形式进行。</w:t>
      </w:r>
    </w:p>
    <w:p>
      <w:pPr>
        <w:pStyle w:val="10"/>
        <w:numPr>
          <w:ilvl w:val="0"/>
          <w:numId w:val="0"/>
        </w:numPr>
        <w:tabs>
          <w:tab w:val="left" w:pos="0"/>
          <w:tab w:val="left" w:pos="720"/>
          <w:tab w:val="left" w:pos="1200"/>
          <w:tab w:val="clear" w:pos="360"/>
        </w:tabs>
        <w:snapToGrid w:val="0"/>
        <w:spacing w:line="360" w:lineRule="auto"/>
        <w:ind w:firstLine="420" w:firstLineChars="175"/>
        <w:rPr>
          <w:rFonts w:ascii="宋体" w:hAnsi="宋体"/>
          <w:color w:val="auto"/>
          <w:sz w:val="24"/>
          <w:highlight w:val="none"/>
        </w:rPr>
      </w:pPr>
      <w:r>
        <w:rPr>
          <w:rFonts w:hint="eastAsia" w:ascii="宋体" w:hAnsi="宋体"/>
          <w:color w:val="auto"/>
          <w:sz w:val="24"/>
          <w:highlight w:val="none"/>
        </w:rPr>
        <w:t>3.</w:t>
      </w:r>
      <w:r>
        <w:rPr>
          <w:rFonts w:ascii="宋体" w:hAnsi="宋体"/>
          <w:color w:val="auto"/>
          <w:sz w:val="24"/>
          <w:highlight w:val="none"/>
        </w:rPr>
        <w:t>中标人的投标文件自开标之日起至合同履行完毕均应保持有效。</w:t>
      </w:r>
    </w:p>
    <w:p>
      <w:pPr>
        <w:snapToGrid w:val="0"/>
        <w:spacing w:line="360" w:lineRule="auto"/>
        <w:jc w:val="left"/>
        <w:outlineLvl w:val="0"/>
        <w:rPr>
          <w:rFonts w:ascii="宋体" w:hAnsi="宋体"/>
          <w:b/>
          <w:color w:val="auto"/>
          <w:kern w:val="0"/>
          <w:sz w:val="24"/>
          <w:highlight w:val="none"/>
        </w:rPr>
      </w:pPr>
      <w:r>
        <w:rPr>
          <w:rFonts w:hint="eastAsia" w:ascii="宋体" w:hAnsi="宋体"/>
          <w:b/>
          <w:color w:val="auto"/>
          <w:kern w:val="0"/>
          <w:sz w:val="24"/>
          <w:highlight w:val="none"/>
        </w:rPr>
        <w:t>（四）投标文件的备选方案</w:t>
      </w:r>
    </w:p>
    <w:p>
      <w:pPr>
        <w:tabs>
          <w:tab w:val="left" w:pos="1418"/>
        </w:tabs>
        <w:autoSpaceDE w:val="0"/>
        <w:autoSpaceDN w:val="0"/>
        <w:adjustRightInd w:val="0"/>
        <w:spacing w:line="360" w:lineRule="auto"/>
        <w:ind w:firstLine="480" w:firstLineChars="200"/>
        <w:rPr>
          <w:rFonts w:ascii="宋体" w:hAnsi="宋体"/>
          <w:b/>
          <w:bCs/>
          <w:color w:val="auto"/>
          <w:kern w:val="0"/>
          <w:sz w:val="24"/>
          <w:highlight w:val="none"/>
        </w:rPr>
      </w:pPr>
      <w:r>
        <w:rPr>
          <w:rFonts w:hint="eastAsia" w:ascii="宋体" w:hAnsi="宋体"/>
          <w:color w:val="auto"/>
          <w:kern w:val="0"/>
          <w:sz w:val="24"/>
          <w:highlight w:val="none"/>
        </w:rPr>
        <w:t>1、投标供应商不得递交任何的投标备选（替代）方案，否则其投标文件将作无效标处理。</w:t>
      </w:r>
      <w:r>
        <w:rPr>
          <w:rFonts w:hint="eastAsia" w:ascii="宋体" w:hAnsi="宋体"/>
          <w:b/>
          <w:bCs/>
          <w:color w:val="auto"/>
          <w:kern w:val="0"/>
          <w:sz w:val="24"/>
          <w:highlight w:val="none"/>
        </w:rPr>
        <w:t>与“电子加密投标文件”同时生成的“备份投标文件”不是投标备选（替代）方案。</w:t>
      </w:r>
    </w:p>
    <w:p>
      <w:pPr>
        <w:tabs>
          <w:tab w:val="left" w:pos="1418"/>
        </w:tabs>
        <w:autoSpaceDE w:val="0"/>
        <w:autoSpaceDN w:val="0"/>
        <w:adjustRightInd w:val="0"/>
        <w:spacing w:line="360" w:lineRule="auto"/>
        <w:rPr>
          <w:rFonts w:ascii="宋体" w:hAnsi="宋体"/>
          <w:b/>
          <w:color w:val="auto"/>
          <w:kern w:val="0"/>
          <w:sz w:val="24"/>
          <w:highlight w:val="none"/>
        </w:rPr>
      </w:pPr>
      <w:r>
        <w:rPr>
          <w:rFonts w:hint="eastAsia" w:ascii="宋体" w:hAnsi="宋体"/>
          <w:b/>
          <w:color w:val="auto"/>
          <w:kern w:val="0"/>
          <w:sz w:val="24"/>
          <w:highlight w:val="none"/>
        </w:rPr>
        <w:t>四、投标保证金</w:t>
      </w:r>
    </w:p>
    <w:p>
      <w:pPr>
        <w:tabs>
          <w:tab w:val="left" w:pos="1418"/>
        </w:tabs>
        <w:autoSpaceDE w:val="0"/>
        <w:autoSpaceDN w:val="0"/>
        <w:adjustRightInd w:val="0"/>
        <w:spacing w:line="360" w:lineRule="auto"/>
        <w:rPr>
          <w:rFonts w:ascii="宋体" w:hAnsi="宋体"/>
          <w:bCs/>
          <w:color w:val="auto"/>
          <w:sz w:val="24"/>
          <w:highlight w:val="none"/>
        </w:rPr>
      </w:pPr>
      <w:r>
        <w:rPr>
          <w:rFonts w:hint="eastAsia" w:ascii="宋体" w:hAnsi="宋体"/>
          <w:color w:val="auto"/>
          <w:kern w:val="0"/>
          <w:sz w:val="24"/>
          <w:highlight w:val="none"/>
        </w:rPr>
        <w:t>无</w:t>
      </w:r>
    </w:p>
    <w:p>
      <w:pPr>
        <w:snapToGrid w:val="0"/>
        <w:spacing w:line="360" w:lineRule="auto"/>
        <w:jc w:val="left"/>
        <w:rPr>
          <w:rFonts w:ascii="宋体" w:hAnsi="宋体"/>
          <w:b/>
          <w:color w:val="auto"/>
          <w:kern w:val="0"/>
          <w:sz w:val="24"/>
          <w:highlight w:val="none"/>
        </w:rPr>
      </w:pPr>
      <w:r>
        <w:rPr>
          <w:rFonts w:hint="eastAsia" w:ascii="宋体" w:hAnsi="宋体"/>
          <w:b/>
          <w:color w:val="auto"/>
          <w:kern w:val="0"/>
          <w:sz w:val="24"/>
          <w:highlight w:val="none"/>
        </w:rPr>
        <w:t>五、开标</w:t>
      </w:r>
    </w:p>
    <w:p>
      <w:pPr>
        <w:pStyle w:val="8"/>
        <w:spacing w:before="0" w:after="0"/>
        <w:ind w:left="720" w:hanging="720"/>
        <w:rPr>
          <w:rFonts w:ascii="宋体" w:hAnsi="宋体"/>
          <w:color w:val="auto"/>
          <w:sz w:val="24"/>
          <w:szCs w:val="24"/>
          <w:highlight w:val="none"/>
        </w:rPr>
      </w:pPr>
      <w:r>
        <w:rPr>
          <w:rFonts w:hint="eastAsia" w:ascii="宋体" w:hAnsi="宋体" w:cs="宋体"/>
          <w:color w:val="auto"/>
          <w:sz w:val="24"/>
          <w:szCs w:val="24"/>
          <w:highlight w:val="none"/>
        </w:rPr>
        <w:t>（一）</w:t>
      </w:r>
      <w:r>
        <w:rPr>
          <w:rFonts w:hint="eastAsia" w:ascii="宋体" w:hAnsi="宋体"/>
          <w:color w:val="auto"/>
          <w:sz w:val="24"/>
          <w:szCs w:val="24"/>
          <w:highlight w:val="none"/>
        </w:rPr>
        <w:t>开标</w:t>
      </w:r>
      <w:r>
        <w:rPr>
          <w:rFonts w:hint="eastAsia" w:ascii="宋体" w:hAnsi="宋体" w:cs="宋体"/>
          <w:color w:val="auto"/>
          <w:sz w:val="24"/>
          <w:szCs w:val="24"/>
          <w:highlight w:val="none"/>
        </w:rPr>
        <w:t>形式</w:t>
      </w:r>
    </w:p>
    <w:p>
      <w:pPr>
        <w:spacing w:line="360" w:lineRule="auto"/>
        <w:ind w:firstLine="426" w:firstLineChars="177"/>
        <w:rPr>
          <w:rFonts w:ascii="宋体" w:hAnsi="宋体"/>
          <w:b/>
          <w:color w:val="auto"/>
          <w:sz w:val="24"/>
          <w:highlight w:val="none"/>
        </w:rPr>
      </w:pPr>
      <w:r>
        <w:rPr>
          <w:rFonts w:hint="eastAsia" w:ascii="宋体" w:hAnsi="宋体"/>
          <w:b/>
          <w:color w:val="auto"/>
          <w:sz w:val="24"/>
          <w:highlight w:val="none"/>
        </w:rPr>
        <w:t>1.1 采购组织机构将按照招标文件规定的时间通过“政府采购云平台”组织开标、开启投标文件，所有供应商均应当准时在线参加。</w:t>
      </w:r>
    </w:p>
    <w:p>
      <w:pPr>
        <w:pStyle w:val="8"/>
        <w:spacing w:before="0" w:after="0"/>
        <w:ind w:left="720" w:hanging="720"/>
        <w:rPr>
          <w:rFonts w:ascii="宋体" w:hAnsi="宋体"/>
          <w:color w:val="auto"/>
          <w:sz w:val="24"/>
          <w:szCs w:val="24"/>
          <w:highlight w:val="none"/>
        </w:rPr>
      </w:pPr>
      <w:r>
        <w:rPr>
          <w:rFonts w:hint="eastAsia" w:ascii="宋体" w:hAnsi="宋体" w:cs="宋体"/>
          <w:color w:val="auto"/>
          <w:sz w:val="24"/>
          <w:szCs w:val="24"/>
          <w:highlight w:val="none"/>
        </w:rPr>
        <w:t>（二）</w:t>
      </w:r>
      <w:r>
        <w:rPr>
          <w:rFonts w:ascii="宋体" w:hAnsi="宋体"/>
          <w:color w:val="auto"/>
          <w:sz w:val="24"/>
          <w:szCs w:val="24"/>
          <w:highlight w:val="none"/>
        </w:rPr>
        <w:t>开标</w:t>
      </w:r>
      <w:r>
        <w:rPr>
          <w:rFonts w:hint="eastAsia" w:ascii="宋体" w:hAnsi="宋体"/>
          <w:color w:val="auto"/>
          <w:sz w:val="24"/>
          <w:szCs w:val="24"/>
          <w:highlight w:val="none"/>
        </w:rPr>
        <w:t>说明</w:t>
      </w:r>
    </w:p>
    <w:p>
      <w:pPr>
        <w:spacing w:line="360" w:lineRule="auto"/>
        <w:ind w:firstLine="422" w:firstLineChars="176"/>
        <w:rPr>
          <w:rFonts w:ascii="宋体" w:hAnsi="宋体" w:cs="Arial"/>
          <w:color w:val="auto"/>
          <w:kern w:val="0"/>
          <w:sz w:val="24"/>
          <w:highlight w:val="none"/>
        </w:rPr>
      </w:pPr>
      <w:r>
        <w:rPr>
          <w:rFonts w:ascii="宋体" w:hAnsi="宋体" w:cs="Arial"/>
          <w:color w:val="auto"/>
          <w:kern w:val="0"/>
          <w:sz w:val="24"/>
          <w:highlight w:val="none"/>
        </w:rPr>
        <w:t>2</w:t>
      </w:r>
      <w:r>
        <w:rPr>
          <w:rFonts w:hint="eastAsia" w:ascii="宋体" w:hAnsi="宋体" w:cs="Arial"/>
          <w:color w:val="auto"/>
          <w:kern w:val="0"/>
          <w:sz w:val="24"/>
          <w:highlight w:val="none"/>
        </w:rPr>
        <w:t>.1开标的准备工作由采购组织机构负责落实；</w:t>
      </w:r>
    </w:p>
    <w:p>
      <w:pPr>
        <w:spacing w:line="360" w:lineRule="auto"/>
        <w:ind w:firstLine="422" w:firstLineChars="176"/>
        <w:rPr>
          <w:rFonts w:ascii="宋体" w:hAnsi="宋体" w:cs="Arial"/>
          <w:color w:val="auto"/>
          <w:kern w:val="0"/>
          <w:sz w:val="24"/>
          <w:highlight w:val="none"/>
        </w:rPr>
      </w:pPr>
      <w:r>
        <w:rPr>
          <w:rFonts w:ascii="宋体" w:hAnsi="宋体" w:cs="Arial"/>
          <w:color w:val="auto"/>
          <w:kern w:val="0"/>
          <w:sz w:val="24"/>
          <w:highlight w:val="none"/>
        </w:rPr>
        <w:t>2</w:t>
      </w:r>
      <w:r>
        <w:rPr>
          <w:rFonts w:hint="eastAsia" w:ascii="宋体" w:hAnsi="宋体" w:cs="Arial"/>
          <w:color w:val="auto"/>
          <w:kern w:val="0"/>
          <w:sz w:val="24"/>
          <w:highlight w:val="none"/>
        </w:rPr>
        <w:t>.2</w:t>
      </w:r>
      <w:r>
        <w:rPr>
          <w:rFonts w:hint="eastAsia" w:ascii="宋体" w:hAnsi="宋体"/>
          <w:b/>
          <w:color w:val="auto"/>
          <w:sz w:val="24"/>
          <w:highlight w:val="none"/>
        </w:rPr>
        <w:t>采购组织机构将按照招标文件规定的时间通过“政府采购云平台”组织开标、开启投标文件，所有供应商均应当准时在线参加。</w:t>
      </w:r>
      <w:r>
        <w:rPr>
          <w:rFonts w:hint="eastAsia" w:ascii="宋体" w:hAnsi="宋体" w:cs="Arial"/>
          <w:b/>
          <w:color w:val="auto"/>
          <w:kern w:val="0"/>
          <w:sz w:val="24"/>
          <w:highlight w:val="none"/>
        </w:rPr>
        <w:t>投标供应商</w:t>
      </w:r>
      <w:r>
        <w:rPr>
          <w:rFonts w:ascii="宋体" w:hAnsi="宋体" w:cs="Arial"/>
          <w:b/>
          <w:color w:val="auto"/>
          <w:kern w:val="0"/>
          <w:sz w:val="24"/>
          <w:highlight w:val="none"/>
        </w:rPr>
        <w:t>如不</w:t>
      </w:r>
      <w:r>
        <w:rPr>
          <w:rFonts w:hint="eastAsia" w:ascii="宋体" w:hAnsi="宋体" w:cs="Arial"/>
          <w:b/>
          <w:color w:val="auto"/>
          <w:kern w:val="0"/>
          <w:sz w:val="24"/>
          <w:highlight w:val="none"/>
        </w:rPr>
        <w:t>参加</w:t>
      </w:r>
      <w:r>
        <w:rPr>
          <w:rFonts w:ascii="宋体" w:hAnsi="宋体" w:cs="Arial"/>
          <w:b/>
          <w:color w:val="auto"/>
          <w:kern w:val="0"/>
          <w:sz w:val="24"/>
          <w:highlight w:val="none"/>
        </w:rPr>
        <w:t>开标大会的，</w:t>
      </w:r>
      <w:r>
        <w:rPr>
          <w:rFonts w:hint="eastAsia" w:ascii="宋体" w:hAnsi="宋体" w:cs="Arial"/>
          <w:b/>
          <w:color w:val="auto"/>
          <w:kern w:val="0"/>
          <w:sz w:val="24"/>
          <w:highlight w:val="none"/>
        </w:rPr>
        <w:t>视同认可开标结果，</w:t>
      </w:r>
      <w:r>
        <w:rPr>
          <w:rFonts w:ascii="宋体" w:hAnsi="宋体" w:cs="Arial"/>
          <w:b/>
          <w:color w:val="auto"/>
          <w:kern w:val="0"/>
          <w:sz w:val="24"/>
          <w:highlight w:val="none"/>
        </w:rPr>
        <w:t>事后不得对采购相关人员、开标过程和开标结果提出异议</w:t>
      </w:r>
      <w:r>
        <w:rPr>
          <w:rFonts w:hint="eastAsia" w:ascii="宋体" w:hAnsi="宋体" w:cs="Arial"/>
          <w:b/>
          <w:color w:val="auto"/>
          <w:kern w:val="0"/>
          <w:sz w:val="24"/>
          <w:highlight w:val="none"/>
        </w:rPr>
        <w:t>，同时投标供应商因未在线参加开标而导致投标文件无法按时解密等一切后果由供应商自己承担。</w:t>
      </w:r>
    </w:p>
    <w:p>
      <w:pPr>
        <w:pStyle w:val="8"/>
        <w:spacing w:before="0" w:after="0"/>
        <w:ind w:left="720" w:hanging="720"/>
        <w:rPr>
          <w:rFonts w:ascii="宋体" w:hAnsi="宋体"/>
          <w:color w:val="auto"/>
          <w:sz w:val="24"/>
          <w:szCs w:val="24"/>
          <w:highlight w:val="none"/>
        </w:rPr>
      </w:pPr>
      <w:r>
        <w:rPr>
          <w:rFonts w:hint="eastAsia" w:ascii="宋体" w:hAnsi="宋体" w:cs="宋体"/>
          <w:color w:val="auto"/>
          <w:sz w:val="24"/>
          <w:szCs w:val="24"/>
          <w:highlight w:val="none"/>
        </w:rPr>
        <w:t>（三）</w:t>
      </w:r>
      <w:r>
        <w:rPr>
          <w:rFonts w:ascii="宋体" w:hAnsi="宋体"/>
          <w:color w:val="auto"/>
          <w:sz w:val="24"/>
          <w:szCs w:val="24"/>
          <w:highlight w:val="none"/>
        </w:rPr>
        <w:t>开标</w:t>
      </w:r>
      <w:r>
        <w:rPr>
          <w:rFonts w:hint="eastAsia" w:ascii="宋体" w:hAnsi="宋体"/>
          <w:color w:val="auto"/>
          <w:sz w:val="24"/>
          <w:szCs w:val="24"/>
          <w:highlight w:val="none"/>
        </w:rPr>
        <w:t>流程（两阶段）</w:t>
      </w:r>
    </w:p>
    <w:p>
      <w:pPr>
        <w:spacing w:line="360" w:lineRule="auto"/>
        <w:ind w:firstLine="426" w:firstLineChars="177"/>
        <w:jc w:val="left"/>
        <w:rPr>
          <w:rFonts w:ascii="宋体" w:hAnsi="宋体" w:cs="Arial"/>
          <w:b/>
          <w:color w:val="auto"/>
          <w:kern w:val="0"/>
          <w:sz w:val="24"/>
          <w:highlight w:val="none"/>
        </w:rPr>
      </w:pPr>
      <w:r>
        <w:rPr>
          <w:rFonts w:hint="eastAsia" w:ascii="宋体" w:hAnsi="宋体" w:cs="Arial"/>
          <w:b/>
          <w:color w:val="auto"/>
          <w:kern w:val="0"/>
          <w:sz w:val="24"/>
          <w:highlight w:val="none"/>
        </w:rPr>
        <w:t>3.1开标第一阶段</w:t>
      </w:r>
    </w:p>
    <w:p>
      <w:pPr>
        <w:spacing w:line="360" w:lineRule="auto"/>
        <w:ind w:firstLine="424" w:firstLineChars="177"/>
        <w:jc w:val="left"/>
        <w:rPr>
          <w:rFonts w:ascii="宋体" w:hAnsi="宋体" w:cs="Arial"/>
          <w:color w:val="auto"/>
          <w:kern w:val="0"/>
          <w:sz w:val="24"/>
          <w:highlight w:val="none"/>
        </w:rPr>
      </w:pPr>
      <w:r>
        <w:rPr>
          <w:rFonts w:hint="eastAsia" w:ascii="宋体" w:hAnsi="宋体" w:cs="Arial"/>
          <w:color w:val="auto"/>
          <w:kern w:val="0"/>
          <w:sz w:val="24"/>
          <w:highlight w:val="none"/>
        </w:rPr>
        <w:t>（</w:t>
      </w:r>
      <w:r>
        <w:rPr>
          <w:rFonts w:ascii="宋体" w:hAnsi="宋体" w:cs="Arial"/>
          <w:color w:val="auto"/>
          <w:kern w:val="0"/>
          <w:sz w:val="24"/>
          <w:highlight w:val="none"/>
        </w:rPr>
        <w:t>1</w:t>
      </w:r>
      <w:r>
        <w:rPr>
          <w:rFonts w:hint="eastAsia" w:ascii="宋体" w:hAnsi="宋体" w:cs="Arial"/>
          <w:color w:val="auto"/>
          <w:kern w:val="0"/>
          <w:sz w:val="24"/>
          <w:highlight w:val="none"/>
        </w:rPr>
        <w:t>）向各投标供应商发出电子加密投标文件【开始解密】通知，由供应商按招标文件规定的时间内自行进行投标文件解密。投标供应商在规定的时间内无法完成已递交的“电子加密投标文件”解密的，如已按规定递交了备份投标文件的，将由采购组织机构按“政府采购云平台”操作规范将备份投标文件上传至“政府采购云平台”，上传成功后，“电子加密投标文件”自动失效；</w:t>
      </w:r>
    </w:p>
    <w:p>
      <w:pPr>
        <w:spacing w:line="360" w:lineRule="auto"/>
        <w:ind w:firstLine="424" w:firstLineChars="177"/>
        <w:jc w:val="left"/>
        <w:rPr>
          <w:rFonts w:ascii="宋体" w:hAnsi="宋体" w:cs="Arial"/>
          <w:color w:val="auto"/>
          <w:kern w:val="0"/>
          <w:sz w:val="24"/>
          <w:highlight w:val="none"/>
        </w:rPr>
      </w:pPr>
      <w:r>
        <w:rPr>
          <w:rFonts w:hint="eastAsia" w:ascii="宋体" w:hAnsi="宋体" w:cs="Arial"/>
          <w:color w:val="auto"/>
          <w:kern w:val="0"/>
          <w:sz w:val="24"/>
          <w:highlight w:val="none"/>
        </w:rPr>
        <w:t>（</w:t>
      </w:r>
      <w:r>
        <w:rPr>
          <w:rFonts w:ascii="宋体" w:hAnsi="宋体" w:cs="Arial"/>
          <w:color w:val="auto"/>
          <w:kern w:val="0"/>
          <w:sz w:val="24"/>
          <w:highlight w:val="none"/>
        </w:rPr>
        <w:t>2</w:t>
      </w:r>
      <w:r>
        <w:rPr>
          <w:rFonts w:hint="eastAsia" w:ascii="宋体" w:hAnsi="宋体" w:cs="Arial"/>
          <w:color w:val="auto"/>
          <w:kern w:val="0"/>
          <w:sz w:val="24"/>
          <w:highlight w:val="none"/>
        </w:rPr>
        <w:t>）投标文件解密结束，通过邮件形式发送各投标人组织签署《政府采购活动现场确认声明书》；</w:t>
      </w:r>
    </w:p>
    <w:p>
      <w:pPr>
        <w:spacing w:line="360" w:lineRule="auto"/>
        <w:ind w:firstLine="424" w:firstLineChars="177"/>
        <w:rPr>
          <w:rFonts w:ascii="宋体" w:hAnsi="宋体" w:cs="Arial"/>
          <w:color w:val="auto"/>
          <w:kern w:val="0"/>
          <w:sz w:val="24"/>
          <w:highlight w:val="none"/>
        </w:rPr>
      </w:pPr>
      <w:r>
        <w:rPr>
          <w:rFonts w:hint="eastAsia" w:ascii="宋体" w:hAnsi="宋体" w:cs="Arial"/>
          <w:color w:val="auto"/>
          <w:kern w:val="0"/>
          <w:sz w:val="24"/>
          <w:highlight w:val="none"/>
        </w:rPr>
        <w:t>（</w:t>
      </w:r>
      <w:r>
        <w:rPr>
          <w:rFonts w:ascii="宋体" w:hAnsi="宋体" w:cs="Arial"/>
          <w:color w:val="auto"/>
          <w:kern w:val="0"/>
          <w:sz w:val="24"/>
          <w:highlight w:val="none"/>
        </w:rPr>
        <w:t>3</w:t>
      </w:r>
      <w:r>
        <w:rPr>
          <w:rFonts w:hint="eastAsia" w:ascii="宋体" w:hAnsi="宋体" w:cs="Arial"/>
          <w:color w:val="auto"/>
          <w:kern w:val="0"/>
          <w:sz w:val="24"/>
          <w:highlight w:val="none"/>
        </w:rPr>
        <w:t>）开启投标文件，</w:t>
      </w:r>
      <w:r>
        <w:rPr>
          <w:rFonts w:hint="eastAsia" w:ascii="宋体" w:hAnsi="宋体" w:cs="Arial"/>
          <w:b/>
          <w:color w:val="auto"/>
          <w:kern w:val="0"/>
          <w:sz w:val="24"/>
          <w:highlight w:val="none"/>
        </w:rPr>
        <w:t>采购人将依法对投标供应商的资格进行审查</w:t>
      </w:r>
      <w:r>
        <w:rPr>
          <w:rFonts w:hint="eastAsia" w:ascii="宋体" w:hAnsi="宋体" w:cs="Arial"/>
          <w:color w:val="auto"/>
          <w:kern w:val="0"/>
          <w:sz w:val="24"/>
          <w:highlight w:val="none"/>
        </w:rPr>
        <w:t>；</w:t>
      </w:r>
      <w:r>
        <w:rPr>
          <w:rFonts w:ascii="宋体" w:hAnsi="宋体"/>
          <w:color w:val="auto"/>
          <w:sz w:val="24"/>
          <w:highlight w:val="none"/>
        </w:rPr>
        <w:t>如发现投标</w:t>
      </w:r>
      <w:r>
        <w:rPr>
          <w:rFonts w:hint="eastAsia" w:ascii="宋体" w:hAnsi="宋体"/>
          <w:color w:val="auto"/>
          <w:sz w:val="24"/>
          <w:highlight w:val="none"/>
        </w:rPr>
        <w:t>供应商</w:t>
      </w:r>
      <w:r>
        <w:rPr>
          <w:rFonts w:ascii="宋体" w:hAnsi="宋体"/>
          <w:color w:val="auto"/>
          <w:sz w:val="24"/>
          <w:highlight w:val="none"/>
        </w:rPr>
        <w:t>所提</w:t>
      </w:r>
      <w:r>
        <w:rPr>
          <w:rFonts w:hint="eastAsia" w:ascii="宋体" w:hAnsi="宋体"/>
          <w:color w:val="auto"/>
          <w:sz w:val="24"/>
          <w:highlight w:val="none"/>
        </w:rPr>
        <w:t>交</w:t>
      </w:r>
      <w:r>
        <w:rPr>
          <w:rFonts w:ascii="宋体" w:hAnsi="宋体"/>
          <w:color w:val="auto"/>
          <w:sz w:val="24"/>
          <w:highlight w:val="none"/>
        </w:rPr>
        <w:t>的资格证明材料不合法或</w:t>
      </w:r>
      <w:r>
        <w:rPr>
          <w:rFonts w:hint="eastAsia" w:ascii="宋体" w:hAnsi="宋体"/>
          <w:color w:val="auto"/>
          <w:sz w:val="24"/>
          <w:highlight w:val="none"/>
        </w:rPr>
        <w:t>与事实不符</w:t>
      </w:r>
      <w:r>
        <w:rPr>
          <w:rFonts w:ascii="宋体" w:hAnsi="宋体"/>
          <w:color w:val="auto"/>
          <w:sz w:val="24"/>
          <w:highlight w:val="none"/>
        </w:rPr>
        <w:t>，采购人可取消</w:t>
      </w:r>
      <w:r>
        <w:rPr>
          <w:rFonts w:hint="eastAsia" w:ascii="宋体" w:hAnsi="宋体"/>
          <w:color w:val="auto"/>
          <w:sz w:val="24"/>
          <w:highlight w:val="none"/>
        </w:rPr>
        <w:t>其</w:t>
      </w:r>
      <w:r>
        <w:rPr>
          <w:rFonts w:ascii="宋体" w:hAnsi="宋体"/>
          <w:color w:val="auto"/>
          <w:sz w:val="24"/>
          <w:highlight w:val="none"/>
        </w:rPr>
        <w:t>中标资格并追究投标</w:t>
      </w:r>
      <w:r>
        <w:rPr>
          <w:rFonts w:hint="eastAsia" w:ascii="宋体" w:hAnsi="宋体"/>
          <w:color w:val="auto"/>
          <w:sz w:val="24"/>
          <w:highlight w:val="none"/>
        </w:rPr>
        <w:t>供应商</w:t>
      </w:r>
      <w:r>
        <w:rPr>
          <w:rFonts w:ascii="宋体" w:hAnsi="宋体"/>
          <w:color w:val="auto"/>
          <w:sz w:val="24"/>
          <w:highlight w:val="none"/>
        </w:rPr>
        <w:t>的法律责任。</w:t>
      </w:r>
      <w:r>
        <w:rPr>
          <w:rFonts w:hint="eastAsia" w:ascii="宋体" w:hAnsi="宋体"/>
          <w:b/>
          <w:color w:val="auto"/>
          <w:sz w:val="24"/>
          <w:highlight w:val="none"/>
        </w:rPr>
        <w:t>如投标供应商提交的资格证明材料无法证明其符合招标文件规定的“投标供应商资格要求”的，采购人</w:t>
      </w:r>
      <w:r>
        <w:rPr>
          <w:rFonts w:hint="eastAsia" w:ascii="宋体" w:hAnsi="宋体" w:cs="Arial"/>
          <w:b/>
          <w:color w:val="auto"/>
          <w:kern w:val="0"/>
          <w:sz w:val="24"/>
          <w:highlight w:val="none"/>
        </w:rPr>
        <w:t>将对其作资格审查不通过处理（无效投标），评标委员会并不进行后续评审。</w:t>
      </w:r>
    </w:p>
    <w:p>
      <w:pPr>
        <w:spacing w:line="360" w:lineRule="auto"/>
        <w:ind w:firstLine="424" w:firstLineChars="177"/>
        <w:jc w:val="left"/>
        <w:rPr>
          <w:rFonts w:ascii="宋体" w:hAnsi="宋体" w:cs="Arial"/>
          <w:color w:val="auto"/>
          <w:kern w:val="0"/>
          <w:sz w:val="24"/>
          <w:highlight w:val="none"/>
        </w:rPr>
      </w:pPr>
      <w:r>
        <w:rPr>
          <w:rFonts w:hint="eastAsia" w:ascii="宋体" w:hAnsi="宋体" w:cs="Arial"/>
          <w:color w:val="auto"/>
          <w:kern w:val="0"/>
          <w:sz w:val="24"/>
          <w:highlight w:val="none"/>
        </w:rPr>
        <w:t>（</w:t>
      </w:r>
      <w:r>
        <w:rPr>
          <w:rFonts w:ascii="宋体" w:hAnsi="宋体" w:cs="Arial"/>
          <w:color w:val="auto"/>
          <w:kern w:val="0"/>
          <w:sz w:val="24"/>
          <w:highlight w:val="none"/>
        </w:rPr>
        <w:t>4</w:t>
      </w:r>
      <w:r>
        <w:rPr>
          <w:rFonts w:hint="eastAsia" w:ascii="宋体" w:hAnsi="宋体" w:cs="Arial"/>
          <w:color w:val="auto"/>
          <w:kern w:val="0"/>
          <w:sz w:val="24"/>
          <w:highlight w:val="none"/>
        </w:rPr>
        <w:t>）资格审查通过的投标供应商，其商务技术文件进入符合性审查、商务技术评审；</w:t>
      </w:r>
    </w:p>
    <w:p>
      <w:pPr>
        <w:spacing w:line="360" w:lineRule="auto"/>
        <w:ind w:firstLine="424" w:firstLineChars="177"/>
        <w:jc w:val="left"/>
        <w:rPr>
          <w:rFonts w:ascii="宋体" w:hAnsi="宋体" w:cs="Arial"/>
          <w:color w:val="auto"/>
          <w:kern w:val="0"/>
          <w:sz w:val="24"/>
          <w:highlight w:val="none"/>
        </w:rPr>
      </w:pPr>
      <w:r>
        <w:rPr>
          <w:rFonts w:hint="eastAsia" w:ascii="宋体" w:hAnsi="宋体" w:cs="Arial"/>
          <w:color w:val="auto"/>
          <w:kern w:val="0"/>
          <w:sz w:val="24"/>
          <w:highlight w:val="none"/>
        </w:rPr>
        <w:t>（</w:t>
      </w:r>
      <w:r>
        <w:rPr>
          <w:rFonts w:ascii="宋体" w:hAnsi="宋体" w:cs="Arial"/>
          <w:color w:val="auto"/>
          <w:kern w:val="0"/>
          <w:sz w:val="24"/>
          <w:highlight w:val="none"/>
        </w:rPr>
        <w:t>5</w:t>
      </w:r>
      <w:r>
        <w:rPr>
          <w:rFonts w:hint="eastAsia" w:ascii="宋体" w:hAnsi="宋体" w:cs="Arial"/>
          <w:color w:val="auto"/>
          <w:kern w:val="0"/>
          <w:sz w:val="24"/>
          <w:highlight w:val="none"/>
        </w:rPr>
        <w:t>）第一阶段开标结束。</w:t>
      </w:r>
    </w:p>
    <w:p>
      <w:pPr>
        <w:spacing w:line="360" w:lineRule="auto"/>
        <w:ind w:firstLine="426" w:firstLineChars="177"/>
        <w:jc w:val="left"/>
        <w:rPr>
          <w:rFonts w:ascii="宋体" w:hAnsi="宋体" w:cs="Arial"/>
          <w:b/>
          <w:color w:val="auto"/>
          <w:kern w:val="0"/>
          <w:sz w:val="24"/>
          <w:highlight w:val="none"/>
        </w:rPr>
      </w:pPr>
      <w:r>
        <w:rPr>
          <w:rFonts w:hint="eastAsia" w:ascii="宋体" w:hAnsi="宋体" w:cs="Arial"/>
          <w:b/>
          <w:color w:val="auto"/>
          <w:kern w:val="0"/>
          <w:sz w:val="24"/>
          <w:highlight w:val="none"/>
        </w:rPr>
        <w:t>3.2开标大会第二阶段</w:t>
      </w:r>
    </w:p>
    <w:p>
      <w:pPr>
        <w:spacing w:line="360" w:lineRule="auto"/>
        <w:ind w:firstLine="424" w:firstLineChars="177"/>
        <w:jc w:val="left"/>
        <w:rPr>
          <w:rFonts w:ascii="宋体" w:hAnsi="宋体" w:cs="Arial"/>
          <w:color w:val="auto"/>
          <w:kern w:val="0"/>
          <w:sz w:val="24"/>
          <w:highlight w:val="none"/>
        </w:rPr>
      </w:pPr>
      <w:r>
        <w:rPr>
          <w:rFonts w:hint="eastAsia" w:ascii="宋体" w:hAnsi="宋体" w:cs="Arial"/>
          <w:color w:val="auto"/>
          <w:kern w:val="0"/>
          <w:sz w:val="24"/>
          <w:highlight w:val="none"/>
        </w:rPr>
        <w:t>（1）首先公布符合性审查、商务技术评审无效供应商名称及理由</w:t>
      </w:r>
      <w:r>
        <w:rPr>
          <w:rFonts w:ascii="宋体" w:hAnsi="宋体" w:cs="Arial"/>
          <w:color w:val="auto"/>
          <w:kern w:val="0"/>
          <w:sz w:val="24"/>
          <w:highlight w:val="none"/>
        </w:rPr>
        <w:t>；公布经商务技术评审</w:t>
      </w:r>
      <w:r>
        <w:rPr>
          <w:rFonts w:hint="eastAsia" w:ascii="宋体" w:hAnsi="宋体" w:cs="Arial"/>
          <w:color w:val="auto"/>
          <w:kern w:val="0"/>
          <w:sz w:val="24"/>
          <w:highlight w:val="none"/>
        </w:rPr>
        <w:t>后有效投标</w:t>
      </w:r>
      <w:r>
        <w:rPr>
          <w:rFonts w:ascii="宋体" w:hAnsi="宋体" w:cs="Arial"/>
          <w:color w:val="auto"/>
          <w:kern w:val="0"/>
          <w:sz w:val="24"/>
          <w:highlight w:val="none"/>
        </w:rPr>
        <w:t>供应商</w:t>
      </w:r>
      <w:r>
        <w:rPr>
          <w:rFonts w:hint="eastAsia" w:ascii="宋体" w:hAnsi="宋体" w:cs="Arial"/>
          <w:color w:val="auto"/>
          <w:kern w:val="0"/>
          <w:sz w:val="24"/>
          <w:highlight w:val="none"/>
        </w:rPr>
        <w:t>的</w:t>
      </w:r>
      <w:r>
        <w:rPr>
          <w:rFonts w:ascii="宋体" w:hAnsi="宋体" w:cs="Arial"/>
          <w:color w:val="auto"/>
          <w:kern w:val="0"/>
          <w:sz w:val="24"/>
          <w:highlight w:val="none"/>
        </w:rPr>
        <w:t>名单，同时公布</w:t>
      </w:r>
      <w:r>
        <w:rPr>
          <w:rFonts w:hint="eastAsia" w:ascii="宋体" w:hAnsi="宋体" w:cs="Arial"/>
          <w:color w:val="auto"/>
          <w:kern w:val="0"/>
          <w:sz w:val="24"/>
          <w:highlight w:val="none"/>
        </w:rPr>
        <w:t>其</w:t>
      </w:r>
      <w:r>
        <w:rPr>
          <w:rFonts w:ascii="宋体" w:hAnsi="宋体" w:cs="Arial"/>
          <w:color w:val="auto"/>
          <w:kern w:val="0"/>
          <w:sz w:val="24"/>
          <w:highlight w:val="none"/>
        </w:rPr>
        <w:t>商务技术</w:t>
      </w:r>
      <w:r>
        <w:rPr>
          <w:rFonts w:hint="eastAsia" w:ascii="宋体" w:hAnsi="宋体" w:cs="Arial"/>
          <w:color w:val="auto"/>
          <w:kern w:val="0"/>
          <w:sz w:val="24"/>
          <w:highlight w:val="none"/>
        </w:rPr>
        <w:t>部分</w:t>
      </w:r>
      <w:r>
        <w:rPr>
          <w:rFonts w:ascii="宋体" w:hAnsi="宋体" w:cs="Arial"/>
          <w:color w:val="auto"/>
          <w:kern w:val="0"/>
          <w:sz w:val="24"/>
          <w:highlight w:val="none"/>
        </w:rPr>
        <w:t>得分情况</w:t>
      </w:r>
      <w:r>
        <w:rPr>
          <w:rFonts w:hint="eastAsia" w:ascii="宋体" w:hAnsi="宋体" w:cs="Arial"/>
          <w:color w:val="auto"/>
          <w:kern w:val="0"/>
          <w:sz w:val="24"/>
          <w:highlight w:val="none"/>
        </w:rPr>
        <w:t>。</w:t>
      </w:r>
    </w:p>
    <w:p>
      <w:pPr>
        <w:spacing w:line="360" w:lineRule="auto"/>
        <w:ind w:firstLine="424" w:firstLineChars="177"/>
        <w:jc w:val="left"/>
        <w:rPr>
          <w:rFonts w:ascii="宋体" w:hAnsi="宋体" w:cs="Arial"/>
          <w:color w:val="auto"/>
          <w:kern w:val="0"/>
          <w:sz w:val="24"/>
          <w:highlight w:val="none"/>
        </w:rPr>
      </w:pPr>
      <w:r>
        <w:rPr>
          <w:rFonts w:hint="eastAsia" w:ascii="宋体" w:hAnsi="宋体" w:cs="Arial"/>
          <w:color w:val="auto"/>
          <w:kern w:val="0"/>
          <w:sz w:val="24"/>
          <w:highlight w:val="none"/>
        </w:rPr>
        <w:t>（2）开启有效投标供应商的《报价文件》，供应商通过</w:t>
      </w:r>
      <w:r>
        <w:rPr>
          <w:rFonts w:ascii="宋体" w:hAnsi="宋体" w:cs="Arial"/>
          <w:color w:val="auto"/>
          <w:kern w:val="0"/>
          <w:sz w:val="24"/>
          <w:highlight w:val="none"/>
        </w:rPr>
        <w:t>政采云平台</w:t>
      </w:r>
      <w:r>
        <w:rPr>
          <w:rFonts w:hint="eastAsia" w:ascii="宋体" w:hAnsi="宋体" w:cs="Arial"/>
          <w:color w:val="auto"/>
          <w:kern w:val="0"/>
          <w:sz w:val="24"/>
          <w:highlight w:val="none"/>
        </w:rPr>
        <w:t>对</w:t>
      </w:r>
      <w:r>
        <w:rPr>
          <w:rFonts w:ascii="宋体" w:hAnsi="宋体" w:cs="Arial"/>
          <w:color w:val="auto"/>
          <w:kern w:val="0"/>
          <w:sz w:val="24"/>
          <w:highlight w:val="none"/>
        </w:rPr>
        <w:t>报价进行签字确认（不予确认的应说明理由，否则视为无异议）。唱标结束后，由评标委员会对报价的合理性、准确性等进行审查核实</w:t>
      </w:r>
      <w:r>
        <w:rPr>
          <w:rFonts w:hint="eastAsia" w:ascii="宋体" w:hAnsi="宋体" w:cs="Arial"/>
          <w:color w:val="auto"/>
          <w:kern w:val="0"/>
          <w:sz w:val="24"/>
          <w:highlight w:val="none"/>
        </w:rPr>
        <w:t>。</w:t>
      </w:r>
    </w:p>
    <w:p>
      <w:pPr>
        <w:spacing w:line="360" w:lineRule="auto"/>
        <w:ind w:firstLine="424" w:firstLineChars="177"/>
        <w:jc w:val="left"/>
        <w:rPr>
          <w:rFonts w:ascii="宋体" w:hAnsi="宋体" w:cs="Arial"/>
          <w:color w:val="auto"/>
          <w:kern w:val="0"/>
          <w:sz w:val="24"/>
          <w:highlight w:val="none"/>
        </w:rPr>
      </w:pPr>
      <w:r>
        <w:rPr>
          <w:rFonts w:hint="eastAsia" w:ascii="宋体" w:hAnsi="宋体" w:cs="Arial"/>
          <w:color w:val="auto"/>
          <w:kern w:val="0"/>
          <w:sz w:val="24"/>
          <w:highlight w:val="none"/>
        </w:rPr>
        <w:t>（3）评审结束后，公布中标（成交）候选供应商名单，及采购人最终确定中标或成交供应商名单的时间和公告方式等。</w:t>
      </w:r>
    </w:p>
    <w:p>
      <w:pPr>
        <w:autoSpaceDE w:val="0"/>
        <w:autoSpaceDN w:val="0"/>
        <w:adjustRightInd w:val="0"/>
        <w:spacing w:line="360" w:lineRule="auto"/>
        <w:rPr>
          <w:rFonts w:ascii="宋体" w:hAnsi="宋体"/>
          <w:color w:val="auto"/>
          <w:sz w:val="24"/>
          <w:highlight w:val="none"/>
        </w:rPr>
      </w:pPr>
      <w:r>
        <w:rPr>
          <w:rFonts w:hint="eastAsia" w:ascii="宋体" w:hAnsi="宋体" w:cs="Arial"/>
          <w:b/>
          <w:color w:val="auto"/>
          <w:kern w:val="0"/>
          <w:sz w:val="24"/>
          <w:highlight w:val="none"/>
        </w:rPr>
        <w:t>特别说明：如遇“政府采购云平台”电子化开标或评审程序调整的，按调整后程序执行。</w:t>
      </w:r>
    </w:p>
    <w:p>
      <w:pPr>
        <w:pStyle w:val="15"/>
        <w:snapToGrid w:val="0"/>
        <w:spacing w:line="360" w:lineRule="auto"/>
        <w:outlineLvl w:val="1"/>
        <w:rPr>
          <w:rFonts w:hAnsi="宋体"/>
          <w:b/>
          <w:color w:val="auto"/>
          <w:sz w:val="24"/>
          <w:highlight w:val="none"/>
        </w:rPr>
      </w:pPr>
      <w:r>
        <w:rPr>
          <w:rFonts w:hint="eastAsia" w:hAnsi="宋体"/>
          <w:b/>
          <w:color w:val="auto"/>
          <w:sz w:val="24"/>
          <w:highlight w:val="none"/>
        </w:rPr>
        <w:t>六、评标</w:t>
      </w:r>
    </w:p>
    <w:p>
      <w:pPr>
        <w:pStyle w:val="15"/>
        <w:snapToGrid w:val="0"/>
        <w:spacing w:line="360" w:lineRule="auto"/>
        <w:ind w:left="720" w:leftChars="228" w:hanging="241" w:hangingChars="100"/>
        <w:rPr>
          <w:rFonts w:hAnsi="宋体"/>
          <w:b/>
          <w:color w:val="auto"/>
          <w:sz w:val="24"/>
          <w:highlight w:val="none"/>
        </w:rPr>
      </w:pPr>
      <w:r>
        <w:rPr>
          <w:rFonts w:hAnsi="宋体"/>
          <w:b/>
          <w:color w:val="auto"/>
          <w:sz w:val="24"/>
          <w:highlight w:val="none"/>
        </w:rPr>
        <w:t>（一）组建评标委员会</w:t>
      </w:r>
    </w:p>
    <w:p>
      <w:pPr>
        <w:pStyle w:val="15"/>
        <w:snapToGrid w:val="0"/>
        <w:spacing w:line="360" w:lineRule="auto"/>
        <w:ind w:firstLine="480" w:firstLineChars="200"/>
        <w:rPr>
          <w:rFonts w:hAnsi="宋体"/>
          <w:color w:val="auto"/>
          <w:sz w:val="24"/>
          <w:highlight w:val="none"/>
        </w:rPr>
      </w:pPr>
      <w:r>
        <w:rPr>
          <w:rFonts w:hint="eastAsia" w:hAnsi="宋体"/>
          <w:color w:val="auto"/>
          <w:sz w:val="24"/>
          <w:highlight w:val="none"/>
        </w:rPr>
        <w:t>本项目评标委员会由政府采购评审专家和采购单位评审代表共5人组成，其中评审专家不少于成员总数的三分之二。</w:t>
      </w:r>
    </w:p>
    <w:p>
      <w:pPr>
        <w:pStyle w:val="15"/>
        <w:snapToGrid w:val="0"/>
        <w:spacing w:line="360" w:lineRule="auto"/>
        <w:ind w:left="720" w:leftChars="228" w:hanging="241" w:hangingChars="100"/>
        <w:rPr>
          <w:rFonts w:hAnsi="宋体"/>
          <w:b/>
          <w:color w:val="auto"/>
          <w:sz w:val="24"/>
          <w:highlight w:val="none"/>
        </w:rPr>
      </w:pPr>
      <w:r>
        <w:rPr>
          <w:rFonts w:hAnsi="宋体"/>
          <w:b/>
          <w:color w:val="auto"/>
          <w:sz w:val="24"/>
          <w:highlight w:val="none"/>
        </w:rPr>
        <w:t>（</w:t>
      </w:r>
      <w:r>
        <w:rPr>
          <w:rFonts w:hint="eastAsia" w:hAnsi="宋体"/>
          <w:b/>
          <w:color w:val="auto"/>
          <w:sz w:val="24"/>
          <w:highlight w:val="none"/>
        </w:rPr>
        <w:t>二</w:t>
      </w:r>
      <w:r>
        <w:rPr>
          <w:rFonts w:hAnsi="宋体"/>
          <w:b/>
          <w:color w:val="auto"/>
          <w:sz w:val="24"/>
          <w:highlight w:val="none"/>
        </w:rPr>
        <w:t>）</w:t>
      </w:r>
      <w:r>
        <w:rPr>
          <w:rFonts w:hAnsi="宋体"/>
          <w:b/>
          <w:bCs/>
          <w:color w:val="auto"/>
          <w:sz w:val="24"/>
          <w:highlight w:val="none"/>
        </w:rPr>
        <w:t>评标程序</w:t>
      </w:r>
    </w:p>
    <w:p>
      <w:pPr>
        <w:snapToGrid w:val="0"/>
        <w:spacing w:line="360" w:lineRule="auto"/>
        <w:ind w:firstLine="472" w:firstLineChars="196"/>
        <w:rPr>
          <w:rFonts w:ascii="宋体" w:hAnsi="宋体"/>
          <w:b/>
          <w:bCs/>
          <w:color w:val="auto"/>
          <w:sz w:val="24"/>
          <w:highlight w:val="none"/>
        </w:rPr>
      </w:pPr>
      <w:r>
        <w:rPr>
          <w:rFonts w:hint="eastAsia" w:ascii="宋体" w:hAnsi="宋体"/>
          <w:b/>
          <w:bCs/>
          <w:color w:val="auto"/>
          <w:sz w:val="24"/>
          <w:highlight w:val="none"/>
        </w:rPr>
        <w:t>1、资格</w:t>
      </w:r>
      <w:r>
        <w:rPr>
          <w:rFonts w:ascii="宋体" w:hAnsi="宋体"/>
          <w:b/>
          <w:bCs/>
          <w:color w:val="auto"/>
          <w:sz w:val="24"/>
          <w:highlight w:val="none"/>
        </w:rPr>
        <w:t>审查</w:t>
      </w:r>
    </w:p>
    <w:p>
      <w:pPr>
        <w:pStyle w:val="21"/>
        <w:spacing w:before="0" w:beforeAutospacing="0" w:after="0" w:afterAutospacing="0" w:line="360" w:lineRule="auto"/>
        <w:ind w:firstLine="480" w:firstLineChars="200"/>
        <w:jc w:val="both"/>
        <w:rPr>
          <w:rFonts w:hint="default"/>
          <w:color w:val="auto"/>
          <w:highlight w:val="none"/>
        </w:rPr>
      </w:pPr>
      <w:r>
        <w:rPr>
          <w:color w:val="auto"/>
          <w:highlight w:val="none"/>
        </w:rPr>
        <w:t>招标采购项目开标结束后，采购人或者采购组织机构应当依法对投标人的资格进行审查，对审查发现无效的进行必要的询标，结束后公布无效投标的投标人名单、投标无效的原因。</w:t>
      </w:r>
    </w:p>
    <w:p>
      <w:pPr>
        <w:pStyle w:val="21"/>
        <w:spacing w:before="0" w:beforeAutospacing="0" w:after="0" w:afterAutospacing="0" w:line="360" w:lineRule="auto"/>
        <w:ind w:firstLine="472" w:firstLineChars="196"/>
        <w:jc w:val="both"/>
        <w:rPr>
          <w:rFonts w:hint="default"/>
          <w:b/>
          <w:bCs/>
          <w:color w:val="auto"/>
          <w:highlight w:val="none"/>
        </w:rPr>
      </w:pPr>
      <w:r>
        <w:rPr>
          <w:b/>
          <w:bCs/>
          <w:color w:val="auto"/>
          <w:highlight w:val="none"/>
        </w:rPr>
        <w:t>2、符合性审查</w:t>
      </w:r>
    </w:p>
    <w:p>
      <w:pPr>
        <w:pStyle w:val="21"/>
        <w:spacing w:before="0" w:beforeAutospacing="0" w:after="0" w:afterAutospacing="0" w:line="360" w:lineRule="auto"/>
        <w:ind w:firstLine="480" w:firstLineChars="200"/>
        <w:jc w:val="both"/>
        <w:rPr>
          <w:rFonts w:hint="default"/>
          <w:color w:val="auto"/>
          <w:highlight w:val="none"/>
        </w:rPr>
      </w:pPr>
      <w:r>
        <w:rPr>
          <w:color w:val="auto"/>
          <w:highlight w:val="none"/>
        </w:rPr>
        <w:t>评标委员会应当对符合资格的投标人的投标文件进行符合性审查，以确定其是否满足招标文件的实质性要求，对审查发现无效的进行必要的询标，结束后公布无效投标的投标人名单、投标无效的原因。</w:t>
      </w:r>
    </w:p>
    <w:p>
      <w:pPr>
        <w:pStyle w:val="21"/>
        <w:spacing w:before="0" w:beforeAutospacing="0" w:after="0" w:afterAutospacing="0" w:line="360" w:lineRule="auto"/>
        <w:ind w:firstLine="482" w:firstLineChars="200"/>
        <w:jc w:val="both"/>
        <w:rPr>
          <w:rFonts w:hint="default"/>
          <w:color w:val="auto"/>
          <w:highlight w:val="none"/>
        </w:rPr>
      </w:pPr>
      <w:r>
        <w:rPr>
          <w:b/>
          <w:bCs/>
          <w:color w:val="auto"/>
          <w:highlight w:val="none"/>
        </w:rPr>
        <w:t>3、</w:t>
      </w:r>
      <w:r>
        <w:rPr>
          <w:rFonts w:hint="default" w:ascii="Arial" w:hAnsi="Arial" w:cs="Arial"/>
          <w:b/>
          <w:bCs/>
          <w:color w:val="auto"/>
          <w:highlight w:val="none"/>
        </w:rPr>
        <w:t>综合比较与评价</w:t>
      </w:r>
    </w:p>
    <w:p>
      <w:pPr>
        <w:pStyle w:val="21"/>
        <w:spacing w:before="0" w:beforeAutospacing="0" w:after="0" w:afterAutospacing="0" w:line="360" w:lineRule="auto"/>
        <w:ind w:firstLine="360" w:firstLineChars="150"/>
        <w:jc w:val="both"/>
        <w:rPr>
          <w:rFonts w:hint="default"/>
          <w:color w:val="auto"/>
          <w:highlight w:val="none"/>
        </w:rPr>
      </w:pPr>
      <w:r>
        <w:rPr>
          <w:color w:val="auto"/>
          <w:highlight w:val="none"/>
        </w:rPr>
        <w:t>（1）对于投标文件中含义不明确、同类问题表述不一致或者有明显文字和计算错误的内容，评标委员会应当以书面形式要求投标人作出必要的澄清、说明或者补正。</w:t>
      </w:r>
    </w:p>
    <w:p>
      <w:pPr>
        <w:pStyle w:val="21"/>
        <w:spacing w:before="0" w:beforeAutospacing="0" w:after="0" w:afterAutospacing="0" w:line="360" w:lineRule="auto"/>
        <w:ind w:firstLine="360" w:firstLineChars="150"/>
        <w:jc w:val="both"/>
        <w:rPr>
          <w:rFonts w:hint="default"/>
          <w:color w:val="auto"/>
          <w:highlight w:val="none"/>
        </w:rPr>
      </w:pPr>
      <w:r>
        <w:rPr>
          <w:color w:val="auto"/>
          <w:highlight w:val="none"/>
        </w:rPr>
        <w:t>（2）评标委员会应当按照招标文件中规定的评标方法和标准，对符合性审查合格的投标文件进行商务和技术评估，综合比较与评价。</w:t>
      </w:r>
    </w:p>
    <w:p>
      <w:pPr>
        <w:snapToGrid w:val="0"/>
        <w:spacing w:line="360" w:lineRule="auto"/>
        <w:ind w:firstLine="360" w:firstLineChars="150"/>
        <w:rPr>
          <w:rFonts w:ascii="宋体" w:hAnsi="宋体"/>
          <w:color w:val="auto"/>
          <w:kern w:val="0"/>
          <w:sz w:val="24"/>
          <w:highlight w:val="none"/>
        </w:rPr>
      </w:pPr>
      <w:r>
        <w:rPr>
          <w:rFonts w:hint="eastAsia" w:ascii="宋体" w:hAnsi="宋体"/>
          <w:color w:val="auto"/>
          <w:kern w:val="0"/>
          <w:sz w:val="24"/>
          <w:highlight w:val="none"/>
        </w:rPr>
        <w:t>（3）评标时，评标委员会各成员应当独立对每个投标人的投标文件进行评价，并汇总每个投标人的得分。</w:t>
      </w:r>
    </w:p>
    <w:p>
      <w:pPr>
        <w:numPr>
          <w:ilvl w:val="255"/>
          <w:numId w:val="0"/>
        </w:numPr>
        <w:snapToGrid w:val="0"/>
        <w:spacing w:line="360" w:lineRule="auto"/>
        <w:ind w:firstLine="482" w:firstLineChars="200"/>
        <w:rPr>
          <w:rFonts w:ascii="Arial" w:hAnsi="Arial" w:cs="Arial"/>
          <w:b/>
          <w:bCs/>
          <w:color w:val="auto"/>
          <w:sz w:val="24"/>
          <w:highlight w:val="none"/>
        </w:rPr>
      </w:pPr>
      <w:r>
        <w:rPr>
          <w:rFonts w:hint="eastAsia" w:ascii="Arial" w:hAnsi="Arial" w:cs="Arial"/>
          <w:b/>
          <w:bCs/>
          <w:color w:val="auto"/>
          <w:sz w:val="24"/>
          <w:highlight w:val="none"/>
        </w:rPr>
        <w:t>4、得分确认及评审报告编写</w:t>
      </w:r>
    </w:p>
    <w:p>
      <w:pPr>
        <w:pStyle w:val="15"/>
        <w:snapToGrid w:val="0"/>
        <w:spacing w:line="360" w:lineRule="auto"/>
        <w:ind w:firstLine="420" w:firstLineChars="175"/>
        <w:rPr>
          <w:rFonts w:hAnsi="宋体"/>
          <w:color w:val="auto"/>
          <w:sz w:val="24"/>
          <w:highlight w:val="none"/>
        </w:rPr>
      </w:pPr>
      <w:r>
        <w:rPr>
          <w:rFonts w:hAnsi="宋体"/>
          <w:color w:val="auto"/>
          <w:sz w:val="24"/>
          <w:highlight w:val="none"/>
        </w:rPr>
        <w:t>（</w:t>
      </w:r>
      <w:r>
        <w:rPr>
          <w:rFonts w:hint="eastAsia" w:hAnsi="宋体"/>
          <w:color w:val="auto"/>
          <w:sz w:val="24"/>
          <w:highlight w:val="none"/>
        </w:rPr>
        <w:t>1</w:t>
      </w:r>
      <w:r>
        <w:rPr>
          <w:rFonts w:hAnsi="宋体"/>
          <w:color w:val="auto"/>
          <w:sz w:val="24"/>
          <w:highlight w:val="none"/>
        </w:rPr>
        <w:t>）</w:t>
      </w:r>
      <w:r>
        <w:rPr>
          <w:rFonts w:hint="eastAsia" w:hAnsi="宋体"/>
          <w:color w:val="auto"/>
          <w:sz w:val="24"/>
          <w:highlight w:val="none"/>
        </w:rPr>
        <w:t>评标委员会对报价文件进行复核，对于系统计算出的价格分及总得分进行确认；</w:t>
      </w:r>
    </w:p>
    <w:p>
      <w:pPr>
        <w:pStyle w:val="21"/>
        <w:spacing w:before="0" w:beforeAutospacing="0" w:after="0" w:afterAutospacing="0" w:line="360" w:lineRule="auto"/>
        <w:ind w:firstLine="420" w:firstLineChars="175"/>
        <w:jc w:val="both"/>
        <w:rPr>
          <w:rFonts w:hint="default"/>
          <w:color w:val="auto"/>
          <w:highlight w:val="none"/>
        </w:rPr>
      </w:pPr>
      <w:r>
        <w:rPr>
          <w:color w:val="auto"/>
          <w:highlight w:val="none"/>
        </w:rPr>
        <w:t>（2）评标委员会应当按照招标文件中规定的评标方法和标准，对符合性审查合格的投标文件进行商务和技术评估，综合比较与评价。</w:t>
      </w:r>
    </w:p>
    <w:p>
      <w:pPr>
        <w:snapToGrid w:val="0"/>
        <w:spacing w:line="360" w:lineRule="auto"/>
        <w:ind w:firstLine="480" w:firstLineChars="200"/>
        <w:rPr>
          <w:rFonts w:ascii="Arial" w:hAnsi="Arial" w:cs="Arial"/>
          <w:b/>
          <w:bCs/>
          <w:color w:val="auto"/>
          <w:sz w:val="24"/>
          <w:highlight w:val="none"/>
        </w:rPr>
      </w:pPr>
      <w:r>
        <w:rPr>
          <w:rFonts w:ascii="宋体" w:hAnsi="宋体"/>
          <w:color w:val="auto"/>
          <w:sz w:val="24"/>
          <w:highlight w:val="none"/>
        </w:rPr>
        <w:t>（</w:t>
      </w:r>
      <w:r>
        <w:rPr>
          <w:rFonts w:hint="eastAsia" w:ascii="宋体" w:hAnsi="宋体"/>
          <w:color w:val="auto"/>
          <w:sz w:val="24"/>
          <w:highlight w:val="none"/>
        </w:rPr>
        <w:t>3</w:t>
      </w:r>
      <w:r>
        <w:rPr>
          <w:rFonts w:ascii="宋体" w:hAnsi="宋体"/>
          <w:color w:val="auto"/>
          <w:sz w:val="24"/>
          <w:highlight w:val="none"/>
        </w:rPr>
        <w:t>）</w:t>
      </w:r>
      <w:r>
        <w:rPr>
          <w:rFonts w:hint="eastAsia" w:ascii="宋体" w:hAnsi="宋体"/>
          <w:color w:val="auto"/>
          <w:kern w:val="0"/>
          <w:sz w:val="24"/>
          <w:highlight w:val="none"/>
        </w:rPr>
        <w:t>评标委员会</w:t>
      </w:r>
      <w:r>
        <w:rPr>
          <w:rFonts w:ascii="宋体" w:hAnsi="宋体"/>
          <w:color w:val="auto"/>
          <w:sz w:val="24"/>
          <w:highlight w:val="none"/>
        </w:rPr>
        <w:t>按评标原则</w:t>
      </w:r>
      <w:r>
        <w:rPr>
          <w:rFonts w:hint="eastAsia" w:ascii="宋体" w:hAnsi="宋体"/>
          <w:color w:val="auto"/>
          <w:sz w:val="24"/>
          <w:highlight w:val="none"/>
        </w:rPr>
        <w:t>及得分情况编写评审报告。</w:t>
      </w:r>
    </w:p>
    <w:p>
      <w:pPr>
        <w:numPr>
          <w:ilvl w:val="255"/>
          <w:numId w:val="0"/>
        </w:numPr>
        <w:snapToGrid w:val="0"/>
        <w:spacing w:line="360" w:lineRule="auto"/>
        <w:ind w:firstLine="482" w:firstLineChars="200"/>
        <w:rPr>
          <w:rFonts w:ascii="宋体" w:hAnsi="宋体"/>
          <w:b/>
          <w:color w:val="auto"/>
          <w:kern w:val="0"/>
          <w:sz w:val="24"/>
          <w:highlight w:val="none"/>
        </w:rPr>
      </w:pPr>
      <w:r>
        <w:rPr>
          <w:rFonts w:hint="eastAsia" w:ascii="宋体" w:hAnsi="宋体"/>
          <w:b/>
          <w:color w:val="auto"/>
          <w:kern w:val="0"/>
          <w:sz w:val="24"/>
          <w:highlight w:val="none"/>
        </w:rPr>
        <w:t>5、评价</w:t>
      </w:r>
    </w:p>
    <w:p>
      <w:pPr>
        <w:snapToGrid w:val="0"/>
        <w:spacing w:line="360" w:lineRule="auto"/>
        <w:ind w:firstLine="480" w:firstLineChars="200"/>
        <w:rPr>
          <w:rFonts w:ascii="宋体" w:hAnsi="宋体"/>
          <w:b/>
          <w:color w:val="auto"/>
          <w:kern w:val="0"/>
          <w:sz w:val="24"/>
          <w:highlight w:val="none"/>
        </w:rPr>
      </w:pPr>
      <w:r>
        <w:rPr>
          <w:rFonts w:hint="eastAsia" w:ascii="宋体" w:hAnsi="宋体"/>
          <w:color w:val="auto"/>
          <w:sz w:val="24"/>
          <w:highlight w:val="none"/>
        </w:rPr>
        <w:t>采购组织机构对评标委员会评审专家进行评价。</w:t>
      </w:r>
    </w:p>
    <w:p>
      <w:pPr>
        <w:snapToGrid w:val="0"/>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（三）澄清问题的形式</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投标人的澄清、说明或者补正应当采用书面形式，并加盖公章，或者由法定代理人或其授权的代表签字，并不得超出投标文件的范围或者改变投标文件的实质性内容。</w:t>
      </w:r>
    </w:p>
    <w:p>
      <w:pPr>
        <w:pStyle w:val="15"/>
        <w:snapToGrid w:val="0"/>
        <w:spacing w:line="360" w:lineRule="auto"/>
        <w:ind w:left="720" w:leftChars="228" w:hanging="241" w:hangingChars="100"/>
        <w:rPr>
          <w:rFonts w:hAnsi="宋体"/>
          <w:b/>
          <w:color w:val="auto"/>
          <w:sz w:val="24"/>
          <w:highlight w:val="none"/>
        </w:rPr>
      </w:pPr>
      <w:r>
        <w:rPr>
          <w:rFonts w:hint="eastAsia" w:hAnsi="宋体"/>
          <w:b/>
          <w:color w:val="auto"/>
          <w:sz w:val="24"/>
          <w:highlight w:val="none"/>
        </w:rPr>
        <w:t>（四）错误修正</w:t>
      </w:r>
    </w:p>
    <w:p>
      <w:pPr>
        <w:pStyle w:val="21"/>
        <w:spacing w:before="0" w:beforeAutospacing="0" w:after="0" w:afterAutospacing="0" w:line="360" w:lineRule="auto"/>
        <w:ind w:firstLine="480" w:firstLineChars="200"/>
        <w:jc w:val="both"/>
        <w:rPr>
          <w:rFonts w:hint="default" w:asciiTheme="minorEastAsia" w:hAnsiTheme="minorEastAsia" w:eastAsiaTheme="minorEastAsia"/>
          <w:color w:val="auto"/>
          <w:highlight w:val="none"/>
        </w:rPr>
      </w:pPr>
      <w:r>
        <w:rPr>
          <w:rFonts w:hint="default" w:asciiTheme="minorEastAsia" w:hAnsiTheme="minorEastAsia" w:eastAsiaTheme="minorEastAsia"/>
          <w:color w:val="auto"/>
          <w:highlight w:val="none"/>
        </w:rPr>
        <w:t>投标文件报价出现前后不一致的，除招标文件另有规定外，按照下列规定修正：</w:t>
      </w:r>
    </w:p>
    <w:p>
      <w:pPr>
        <w:pStyle w:val="21"/>
        <w:spacing w:before="0" w:beforeAutospacing="0" w:after="0" w:afterAutospacing="0" w:line="360" w:lineRule="auto"/>
        <w:jc w:val="both"/>
        <w:rPr>
          <w:rFonts w:hint="default" w:asciiTheme="minorEastAsia" w:hAnsiTheme="minorEastAsia" w:eastAsiaTheme="minorEastAsia"/>
          <w:color w:val="auto"/>
          <w:highlight w:val="none"/>
        </w:rPr>
      </w:pPr>
      <w:r>
        <w:rPr>
          <w:rFonts w:hint="default" w:asciiTheme="minorEastAsia" w:hAnsiTheme="minorEastAsia" w:eastAsiaTheme="minorEastAsia"/>
          <w:color w:val="auto"/>
          <w:highlight w:val="none"/>
        </w:rPr>
        <w:t>　　1、投标文件中开标一览表（报价函）内容与投标文件中相应内容不一致的，以开标一览表（报价表）为准；</w:t>
      </w:r>
    </w:p>
    <w:p>
      <w:pPr>
        <w:pStyle w:val="21"/>
        <w:spacing w:before="0" w:beforeAutospacing="0" w:after="0" w:afterAutospacing="0" w:line="360" w:lineRule="auto"/>
        <w:jc w:val="both"/>
        <w:rPr>
          <w:rFonts w:hint="default" w:asciiTheme="minorEastAsia" w:hAnsiTheme="minorEastAsia" w:eastAsiaTheme="minorEastAsia"/>
          <w:color w:val="auto"/>
          <w:highlight w:val="none"/>
        </w:rPr>
      </w:pPr>
      <w:r>
        <w:rPr>
          <w:rFonts w:hint="default" w:asciiTheme="minorEastAsia" w:hAnsiTheme="minorEastAsia" w:eastAsiaTheme="minorEastAsia"/>
          <w:color w:val="auto"/>
          <w:highlight w:val="none"/>
        </w:rPr>
        <w:t>　　2、大写金额和小写金额不一致的，以大写金额为准；</w:t>
      </w:r>
    </w:p>
    <w:p>
      <w:pPr>
        <w:pStyle w:val="21"/>
        <w:spacing w:before="0" w:beforeAutospacing="0" w:after="0" w:afterAutospacing="0" w:line="360" w:lineRule="auto"/>
        <w:jc w:val="both"/>
        <w:rPr>
          <w:rFonts w:hint="default" w:asciiTheme="minorEastAsia" w:hAnsiTheme="minorEastAsia" w:eastAsiaTheme="minorEastAsia"/>
          <w:color w:val="auto"/>
          <w:highlight w:val="none"/>
        </w:rPr>
      </w:pPr>
      <w:r>
        <w:rPr>
          <w:rFonts w:hint="default" w:asciiTheme="minorEastAsia" w:hAnsiTheme="minorEastAsia" w:eastAsiaTheme="minorEastAsia"/>
          <w:color w:val="auto"/>
          <w:highlight w:val="none"/>
        </w:rPr>
        <w:t>　　3、单价金额小数点或者百分比有明显错位的，以开标一览表的总价为准，并修改单价；</w:t>
      </w:r>
    </w:p>
    <w:p>
      <w:pPr>
        <w:pStyle w:val="21"/>
        <w:spacing w:before="0" w:beforeAutospacing="0" w:after="0" w:afterAutospacing="0" w:line="360" w:lineRule="auto"/>
        <w:jc w:val="both"/>
        <w:rPr>
          <w:rFonts w:hint="default" w:asciiTheme="minorEastAsia" w:hAnsiTheme="minorEastAsia" w:eastAsiaTheme="minorEastAsia"/>
          <w:color w:val="auto"/>
          <w:highlight w:val="none"/>
        </w:rPr>
      </w:pPr>
      <w:r>
        <w:rPr>
          <w:rFonts w:hint="default" w:asciiTheme="minorEastAsia" w:hAnsiTheme="minorEastAsia" w:eastAsiaTheme="minorEastAsia"/>
          <w:color w:val="auto"/>
          <w:highlight w:val="none"/>
        </w:rPr>
        <w:t>　　4、总价金额与按单价汇总金额不一致的，以单价金额计算结果为准。</w:t>
      </w:r>
    </w:p>
    <w:p>
      <w:pPr>
        <w:pStyle w:val="21"/>
        <w:spacing w:before="0" w:beforeAutospacing="0" w:after="0" w:afterAutospacing="0" w:line="360" w:lineRule="auto"/>
        <w:jc w:val="both"/>
        <w:rPr>
          <w:rFonts w:hint="default" w:asciiTheme="minorEastAsia" w:hAnsiTheme="minorEastAsia" w:eastAsiaTheme="minorEastAsia"/>
          <w:color w:val="auto"/>
          <w:highlight w:val="none"/>
        </w:rPr>
      </w:pPr>
      <w:r>
        <w:rPr>
          <w:rFonts w:hint="default" w:asciiTheme="minorEastAsia" w:hAnsiTheme="minorEastAsia" w:eastAsiaTheme="minorEastAsia"/>
          <w:color w:val="auto"/>
          <w:highlight w:val="none"/>
        </w:rPr>
        <w:t>　</w:t>
      </w:r>
      <w:r>
        <w:rPr>
          <w:rFonts w:asciiTheme="minorEastAsia" w:hAnsiTheme="minorEastAsia" w:eastAsiaTheme="minorEastAsia"/>
          <w:color w:val="auto"/>
          <w:highlight w:val="none"/>
        </w:rPr>
        <w:t xml:space="preserve">  5</w:t>
      </w:r>
      <w:r>
        <w:rPr>
          <w:rFonts w:hint="default" w:asciiTheme="minorEastAsia" w:hAnsiTheme="minorEastAsia" w:eastAsiaTheme="minorEastAsia"/>
          <w:color w:val="auto"/>
          <w:highlight w:val="none"/>
        </w:rPr>
        <w:t>、电子投标客户端的开标一览表中填报的报价与报价要求响应文件中的开标一览表报价不一致的，以报价要求响应文件中的开标一览表为准，修正网上报价。若网上报价无法修正的，以电子投标客户端的开标一览表中的为准，调整投标函报价与报价明细表，</w:t>
      </w:r>
      <w:r>
        <w:rPr>
          <w:rFonts w:hint="default" w:asciiTheme="minorEastAsia" w:hAnsiTheme="minorEastAsia" w:eastAsiaTheme="minorEastAsia"/>
          <w:color w:val="auto"/>
          <w:highlight w:val="none"/>
        </w:rPr>
        <w:t>以扫描件形式发送邮件至邮箱：390879439@qq.com；</w:t>
      </w:r>
    </w:p>
    <w:p>
      <w:pPr>
        <w:pStyle w:val="21"/>
        <w:spacing w:before="0" w:beforeAutospacing="0" w:after="0" w:afterAutospacing="0" w:line="360" w:lineRule="auto"/>
        <w:ind w:firstLine="480" w:firstLineChars="200"/>
        <w:jc w:val="both"/>
        <w:rPr>
          <w:rFonts w:hint="default"/>
          <w:color w:val="auto"/>
          <w:highlight w:val="none"/>
        </w:rPr>
      </w:pPr>
      <w:r>
        <w:rPr>
          <w:rFonts w:hint="default" w:asciiTheme="minorEastAsia" w:hAnsiTheme="minorEastAsia" w:eastAsiaTheme="minorEastAsia"/>
          <w:color w:val="auto"/>
          <w:highlight w:val="none"/>
        </w:rPr>
        <w:t>同时出现两种以上不一致的，按照前款规定的顺序修正。</w:t>
      </w:r>
      <w:r>
        <w:rPr>
          <w:color w:val="auto"/>
          <w:highlight w:val="none"/>
        </w:rPr>
        <w:t>调整或修正投标文件的投标报价，投标人同意并签字确认后，以扫描件形式发送至指定邮箱：</w:t>
      </w:r>
      <w:r>
        <w:rPr>
          <w:color w:val="auto"/>
          <w:highlight w:val="none"/>
        </w:rPr>
        <w:fldChar w:fldCharType="begin"/>
      </w:r>
      <w:r>
        <w:rPr>
          <w:color w:val="auto"/>
          <w:highlight w:val="none"/>
        </w:rPr>
        <w:instrText xml:space="preserve"> HYPERLINK "mailto:390879439@qq.com？？？。调整后的投标报价对投标人具有约束作用。如果投标人不接受修正后的报价，则其投标将作为无效投标处理。" </w:instrText>
      </w:r>
      <w:r>
        <w:rPr>
          <w:color w:val="auto"/>
          <w:highlight w:val="none"/>
        </w:rPr>
        <w:fldChar w:fldCharType="separate"/>
      </w:r>
      <w:r>
        <w:rPr>
          <w:rStyle w:val="31"/>
          <w:color w:val="auto"/>
          <w:highlight w:val="none"/>
        </w:rPr>
        <w:t>390879439@qq.com</w:t>
      </w:r>
      <w:r>
        <w:rPr>
          <w:rStyle w:val="31"/>
          <w:rFonts w:ascii="Times New Roman" w:hAnsi="Times New Roman"/>
          <w:color w:val="auto"/>
          <w:highlight w:val="none"/>
        </w:rPr>
        <w:t>。</w:t>
      </w:r>
      <w:r>
        <w:rPr>
          <w:rStyle w:val="31"/>
          <w:rFonts w:ascii="Times New Roman" w:hAnsi="Times New Roman"/>
          <w:color w:val="auto"/>
          <w:highlight w:val="none"/>
        </w:rPr>
        <w:t>调整后的投标报价对投标人具有约束作用。如果投标人不接受修正后的报价，则其投标将作为无效投标处理。</w:t>
      </w:r>
      <w:r>
        <w:rPr>
          <w:rStyle w:val="31"/>
          <w:rFonts w:ascii="Times New Roman" w:hAnsi="Times New Roman"/>
          <w:color w:val="auto"/>
          <w:highlight w:val="none"/>
        </w:rPr>
        <w:fldChar w:fldCharType="end"/>
      </w:r>
    </w:p>
    <w:p>
      <w:pPr>
        <w:pStyle w:val="21"/>
        <w:spacing w:before="0" w:beforeAutospacing="0" w:after="0" w:afterAutospacing="0" w:line="360" w:lineRule="auto"/>
        <w:ind w:firstLine="361" w:firstLineChars="150"/>
        <w:jc w:val="both"/>
        <w:rPr>
          <w:rFonts w:hint="default"/>
          <w:b/>
          <w:color w:val="auto"/>
          <w:highlight w:val="none"/>
        </w:rPr>
      </w:pPr>
      <w:r>
        <w:rPr>
          <w:b/>
          <w:bCs/>
          <w:color w:val="auto"/>
          <w:highlight w:val="none"/>
        </w:rPr>
        <w:t>（五）</w:t>
      </w:r>
      <w:r>
        <w:rPr>
          <w:b/>
          <w:color w:val="auto"/>
          <w:highlight w:val="none"/>
        </w:rPr>
        <w:t>投标人存在下列情况之一的，投标无效</w:t>
      </w:r>
    </w:p>
    <w:p>
      <w:pPr>
        <w:pStyle w:val="21"/>
        <w:adjustRightInd w:val="0"/>
        <w:snapToGrid w:val="0"/>
        <w:spacing w:before="0" w:beforeAutospacing="0" w:after="0" w:afterAutospacing="0" w:line="360" w:lineRule="auto"/>
        <w:ind w:firstLine="480" w:firstLineChars="200"/>
        <w:jc w:val="both"/>
        <w:rPr>
          <w:rFonts w:hint="default"/>
          <w:b/>
          <w:bCs/>
          <w:color w:val="auto"/>
          <w:highlight w:val="none"/>
        </w:rPr>
      </w:pPr>
      <w:r>
        <w:rPr>
          <w:color w:val="auto"/>
          <w:highlight w:val="none"/>
        </w:rPr>
        <w:t>1、资格证明文件或商务与技术文件跟报价文件出现混装或在资格证明文件或商务与技术文件中出现投标报价的，或者报价文件中报价的货物跟商务与技术文件中的投标货物出现重大偏差的；</w:t>
      </w:r>
    </w:p>
    <w:p>
      <w:pPr>
        <w:pStyle w:val="21"/>
        <w:tabs>
          <w:tab w:val="left" w:pos="7380"/>
        </w:tabs>
        <w:adjustRightInd w:val="0"/>
        <w:snapToGrid w:val="0"/>
        <w:spacing w:before="0" w:beforeAutospacing="0" w:after="0" w:afterAutospacing="0" w:line="360" w:lineRule="auto"/>
        <w:jc w:val="both"/>
        <w:rPr>
          <w:rFonts w:hint="default"/>
          <w:color w:val="auto"/>
          <w:highlight w:val="none"/>
        </w:rPr>
      </w:pPr>
      <w:r>
        <w:rPr>
          <w:color w:val="auto"/>
          <w:highlight w:val="none"/>
        </w:rPr>
        <w:t>　　</w:t>
      </w:r>
      <w:r>
        <w:rPr>
          <w:rFonts w:hint="default"/>
          <w:color w:val="auto"/>
          <w:highlight w:val="none"/>
        </w:rPr>
        <w:t>2</w:t>
      </w:r>
      <w:r>
        <w:rPr>
          <w:color w:val="auto"/>
          <w:highlight w:val="none"/>
        </w:rPr>
        <w:t>、不具备招标文件中规定的资格要求的。</w:t>
      </w:r>
      <w:r>
        <w:rPr>
          <w:rFonts w:hint="default"/>
          <w:color w:val="auto"/>
          <w:highlight w:val="none"/>
        </w:rPr>
        <w:tab/>
      </w:r>
    </w:p>
    <w:p>
      <w:pPr>
        <w:pStyle w:val="21"/>
        <w:adjustRightInd w:val="0"/>
        <w:snapToGrid w:val="0"/>
        <w:spacing w:before="0" w:beforeAutospacing="0" w:after="0" w:afterAutospacing="0" w:line="360" w:lineRule="auto"/>
        <w:jc w:val="both"/>
        <w:rPr>
          <w:rFonts w:hint="default"/>
          <w:color w:val="auto"/>
          <w:highlight w:val="none"/>
        </w:rPr>
      </w:pPr>
      <w:r>
        <w:rPr>
          <w:color w:val="auto"/>
          <w:highlight w:val="none"/>
        </w:rPr>
        <w:t xml:space="preserve">　  </w:t>
      </w:r>
      <w:r>
        <w:rPr>
          <w:rFonts w:hint="default"/>
          <w:color w:val="auto"/>
          <w:highlight w:val="none"/>
        </w:rPr>
        <w:t>3</w:t>
      </w:r>
      <w:r>
        <w:rPr>
          <w:color w:val="auto"/>
          <w:highlight w:val="none"/>
        </w:rPr>
        <w:t>、投标文件含有采购人不能接受的附加条件的。</w:t>
      </w:r>
    </w:p>
    <w:p>
      <w:pPr>
        <w:adjustRightInd w:val="0"/>
        <w:snapToGrid w:val="0"/>
        <w:spacing w:line="360" w:lineRule="auto"/>
        <w:ind w:firstLine="470" w:firstLineChars="196"/>
        <w:rPr>
          <w:rFonts w:ascii="宋体" w:hAnsi="宋体"/>
          <w:bCs/>
          <w:color w:val="auto"/>
          <w:kern w:val="0"/>
          <w:sz w:val="24"/>
          <w:highlight w:val="none"/>
        </w:rPr>
      </w:pPr>
      <w:r>
        <w:rPr>
          <w:rFonts w:ascii="宋体" w:hAnsi="宋体"/>
          <w:color w:val="auto"/>
          <w:kern w:val="0"/>
          <w:sz w:val="24"/>
          <w:highlight w:val="none"/>
        </w:rPr>
        <w:t>4</w:t>
      </w:r>
      <w:r>
        <w:rPr>
          <w:rFonts w:hint="eastAsia" w:ascii="宋体" w:hAnsi="宋体"/>
          <w:color w:val="auto"/>
          <w:sz w:val="24"/>
          <w:highlight w:val="none"/>
        </w:rPr>
        <w:t>、投标代表人未能出具身份证明或与法定代表人授权委托人身份不符的；</w:t>
      </w:r>
    </w:p>
    <w:p>
      <w:pPr>
        <w:pStyle w:val="21"/>
        <w:adjustRightInd w:val="0"/>
        <w:snapToGrid w:val="0"/>
        <w:spacing w:before="0" w:beforeAutospacing="0" w:after="0" w:afterAutospacing="0" w:line="360" w:lineRule="auto"/>
        <w:ind w:firstLine="480" w:firstLineChars="200"/>
        <w:jc w:val="both"/>
        <w:rPr>
          <w:rFonts w:hint="default"/>
          <w:color w:val="auto"/>
          <w:highlight w:val="none"/>
        </w:rPr>
      </w:pPr>
      <w:r>
        <w:rPr>
          <w:rFonts w:hint="default"/>
          <w:color w:val="auto"/>
          <w:highlight w:val="none"/>
        </w:rPr>
        <w:t>5</w:t>
      </w:r>
      <w:r>
        <w:rPr>
          <w:color w:val="auto"/>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21"/>
        <w:adjustRightInd w:val="0"/>
        <w:snapToGrid w:val="0"/>
        <w:spacing w:before="0" w:beforeAutospacing="0" w:after="0" w:afterAutospacing="0" w:line="360" w:lineRule="auto"/>
        <w:ind w:firstLine="480" w:firstLineChars="200"/>
        <w:jc w:val="both"/>
        <w:rPr>
          <w:rFonts w:hint="default"/>
          <w:color w:val="auto"/>
          <w:highlight w:val="none"/>
        </w:rPr>
      </w:pPr>
      <w:r>
        <w:rPr>
          <w:rFonts w:hint="default"/>
          <w:color w:val="auto"/>
          <w:highlight w:val="none"/>
        </w:rPr>
        <w:t>6</w:t>
      </w:r>
      <w:r>
        <w:rPr>
          <w:color w:val="auto"/>
          <w:highlight w:val="none"/>
        </w:rPr>
        <w:t xml:space="preserve">、报价超过招标文件中规定的预算金额/最高限价。 </w:t>
      </w:r>
    </w:p>
    <w:p>
      <w:pPr>
        <w:pStyle w:val="21"/>
        <w:adjustRightInd w:val="0"/>
        <w:snapToGrid w:val="0"/>
        <w:spacing w:before="0" w:beforeAutospacing="0" w:after="0" w:afterAutospacing="0" w:line="360" w:lineRule="auto"/>
        <w:ind w:firstLine="480" w:firstLineChars="200"/>
        <w:jc w:val="both"/>
        <w:rPr>
          <w:rFonts w:hint="default"/>
          <w:color w:val="auto"/>
          <w:highlight w:val="none"/>
        </w:rPr>
      </w:pPr>
      <w:r>
        <w:rPr>
          <w:rFonts w:hint="default"/>
          <w:color w:val="auto"/>
          <w:highlight w:val="none"/>
        </w:rPr>
        <w:t>7</w:t>
      </w:r>
      <w:r>
        <w:rPr>
          <w:color w:val="auto"/>
          <w:highlight w:val="none"/>
        </w:rPr>
        <w:t>、投标参数未如实填写，完全复制粘贴招标参数的。</w:t>
      </w:r>
    </w:p>
    <w:p>
      <w:pPr>
        <w:tabs>
          <w:tab w:val="left" w:pos="1898"/>
        </w:tabs>
        <w:autoSpaceDE w:val="0"/>
        <w:autoSpaceDN w:val="0"/>
        <w:adjustRightInd w:val="0"/>
        <w:snapToGrid w:val="0"/>
        <w:spacing w:line="360" w:lineRule="auto"/>
        <w:ind w:firstLine="480"/>
        <w:rPr>
          <w:rFonts w:ascii="宋体" w:hAnsi="宋体"/>
          <w:color w:val="auto"/>
          <w:kern w:val="0"/>
          <w:sz w:val="24"/>
          <w:highlight w:val="none"/>
        </w:rPr>
      </w:pPr>
      <w:r>
        <w:rPr>
          <w:rFonts w:ascii="宋体" w:hAnsi="宋体"/>
          <w:color w:val="auto"/>
          <w:kern w:val="0"/>
          <w:sz w:val="24"/>
          <w:highlight w:val="none"/>
        </w:rPr>
        <w:t>8</w:t>
      </w:r>
      <w:r>
        <w:rPr>
          <w:rFonts w:hint="eastAsia" w:ascii="宋体" w:hAnsi="宋体"/>
          <w:color w:val="auto"/>
          <w:kern w:val="0"/>
          <w:sz w:val="24"/>
          <w:highlight w:val="none"/>
        </w:rPr>
        <w:t xml:space="preserve">、投标文件提供虚假材料的。 </w:t>
      </w:r>
    </w:p>
    <w:p>
      <w:pPr>
        <w:tabs>
          <w:tab w:val="left" w:pos="1898"/>
        </w:tabs>
        <w:autoSpaceDE w:val="0"/>
        <w:autoSpaceDN w:val="0"/>
        <w:adjustRightInd w:val="0"/>
        <w:snapToGrid w:val="0"/>
        <w:spacing w:line="360" w:lineRule="auto"/>
        <w:ind w:firstLine="480"/>
        <w:rPr>
          <w:rFonts w:ascii="宋体" w:hAnsi="宋体"/>
          <w:color w:val="auto"/>
          <w:kern w:val="0"/>
          <w:sz w:val="24"/>
          <w:highlight w:val="none"/>
        </w:rPr>
      </w:pPr>
      <w:r>
        <w:rPr>
          <w:rFonts w:ascii="宋体" w:hAnsi="宋体"/>
          <w:color w:val="auto"/>
          <w:kern w:val="0"/>
          <w:sz w:val="24"/>
          <w:highlight w:val="none"/>
        </w:rPr>
        <w:t>9、不符合中华人民共和国财政部令第87号《政府采购货物和服务招标投标管理办法》第三十七条情形之一的，视为投标人串通投标，其投标无效</w:t>
      </w:r>
      <w:r>
        <w:rPr>
          <w:rFonts w:hint="eastAsia" w:ascii="宋体" w:hAnsi="宋体"/>
          <w:color w:val="auto"/>
          <w:kern w:val="0"/>
          <w:sz w:val="24"/>
          <w:highlight w:val="none"/>
        </w:rPr>
        <w:t>，并移送采购监管部门</w:t>
      </w:r>
      <w:r>
        <w:rPr>
          <w:rFonts w:ascii="宋体" w:hAnsi="宋体"/>
          <w:color w:val="auto"/>
          <w:kern w:val="0"/>
          <w:sz w:val="24"/>
          <w:highlight w:val="none"/>
        </w:rPr>
        <w:t>：</w:t>
      </w:r>
    </w:p>
    <w:p>
      <w:pPr>
        <w:pStyle w:val="21"/>
        <w:spacing w:before="0" w:beforeAutospacing="0" w:after="0" w:afterAutospacing="0" w:line="360" w:lineRule="auto"/>
        <w:jc w:val="both"/>
        <w:rPr>
          <w:rFonts w:hint="default"/>
          <w:color w:val="auto"/>
          <w:highlight w:val="none"/>
        </w:rPr>
      </w:pPr>
      <w:r>
        <w:rPr>
          <w:color w:val="auto"/>
          <w:highlight w:val="none"/>
        </w:rPr>
        <w:t>　 （1）不同投标人的投标文件由同一单位或者个人编制；</w:t>
      </w:r>
    </w:p>
    <w:p>
      <w:pPr>
        <w:pStyle w:val="21"/>
        <w:spacing w:before="0" w:beforeAutospacing="0" w:after="0" w:afterAutospacing="0" w:line="360" w:lineRule="auto"/>
        <w:jc w:val="both"/>
        <w:rPr>
          <w:rFonts w:hint="default"/>
          <w:color w:val="auto"/>
          <w:highlight w:val="none"/>
        </w:rPr>
      </w:pPr>
      <w:r>
        <w:rPr>
          <w:color w:val="auto"/>
          <w:highlight w:val="none"/>
        </w:rPr>
        <w:t>　 （2）不同投标人委托同一单位或者个人办理投标事宜；</w:t>
      </w:r>
    </w:p>
    <w:p>
      <w:pPr>
        <w:pStyle w:val="21"/>
        <w:spacing w:before="0" w:beforeAutospacing="0" w:after="0" w:afterAutospacing="0" w:line="360" w:lineRule="auto"/>
        <w:jc w:val="both"/>
        <w:rPr>
          <w:rFonts w:hint="default"/>
          <w:color w:val="auto"/>
          <w:highlight w:val="none"/>
        </w:rPr>
      </w:pPr>
      <w:r>
        <w:rPr>
          <w:color w:val="auto"/>
          <w:highlight w:val="none"/>
        </w:rPr>
        <w:t>　 （3）不同投标人的投标文件载明的项目管理成员或者联系人员为同一人；</w:t>
      </w:r>
    </w:p>
    <w:p>
      <w:pPr>
        <w:pStyle w:val="21"/>
        <w:spacing w:before="0" w:beforeAutospacing="0" w:after="0" w:afterAutospacing="0" w:line="360" w:lineRule="auto"/>
        <w:jc w:val="both"/>
        <w:rPr>
          <w:rFonts w:hint="default"/>
          <w:color w:val="auto"/>
          <w:highlight w:val="none"/>
        </w:rPr>
      </w:pPr>
      <w:r>
        <w:rPr>
          <w:color w:val="auto"/>
          <w:highlight w:val="none"/>
        </w:rPr>
        <w:t>　 （4）不同投标人的投标文件异常一致或者投标报价呈规律性差异；</w:t>
      </w:r>
    </w:p>
    <w:p>
      <w:pPr>
        <w:pStyle w:val="21"/>
        <w:spacing w:before="0" w:beforeAutospacing="0" w:after="0" w:afterAutospacing="0" w:line="360" w:lineRule="auto"/>
        <w:jc w:val="both"/>
        <w:rPr>
          <w:rFonts w:hint="default"/>
          <w:color w:val="auto"/>
          <w:highlight w:val="none"/>
        </w:rPr>
      </w:pPr>
      <w:r>
        <w:rPr>
          <w:color w:val="auto"/>
          <w:highlight w:val="none"/>
        </w:rPr>
        <w:t>　 （5）不同投标人的投标文件相互混装；</w:t>
      </w:r>
    </w:p>
    <w:p>
      <w:pPr>
        <w:pStyle w:val="21"/>
        <w:spacing w:before="0" w:beforeAutospacing="0" w:after="0" w:afterAutospacing="0" w:line="360" w:lineRule="auto"/>
        <w:jc w:val="both"/>
        <w:rPr>
          <w:rFonts w:hint="default"/>
          <w:color w:val="auto"/>
          <w:highlight w:val="none"/>
        </w:rPr>
      </w:pPr>
      <w:r>
        <w:rPr>
          <w:color w:val="auto"/>
          <w:highlight w:val="none"/>
        </w:rPr>
        <w:t>　 1</w:t>
      </w:r>
      <w:r>
        <w:rPr>
          <w:rFonts w:hint="default"/>
          <w:color w:val="auto"/>
          <w:highlight w:val="none"/>
        </w:rPr>
        <w:t>0</w:t>
      </w:r>
      <w:r>
        <w:rPr>
          <w:color w:val="auto"/>
          <w:highlight w:val="none"/>
        </w:rPr>
        <w:t>、不符合法律、法规和招标文件中规定的其他实质性要求的（招标文件</w:t>
      </w:r>
    </w:p>
    <w:p>
      <w:pPr>
        <w:tabs>
          <w:tab w:val="right" w:pos="8306"/>
        </w:tabs>
        <w:autoSpaceDE w:val="0"/>
        <w:autoSpaceDN w:val="0"/>
        <w:adjustRightInd w:val="0"/>
        <w:spacing w:line="360" w:lineRule="auto"/>
        <w:rPr>
          <w:rFonts w:ascii="宋体" w:hAnsi="宋体"/>
          <w:color w:val="auto"/>
          <w:kern w:val="0"/>
          <w:sz w:val="24"/>
          <w:highlight w:val="none"/>
        </w:rPr>
      </w:pPr>
      <w:r>
        <w:rPr>
          <w:rFonts w:hint="eastAsia" w:ascii="宋体" w:hAnsi="宋体"/>
          <w:color w:val="auto"/>
          <w:kern w:val="0"/>
          <w:sz w:val="24"/>
          <w:highlight w:val="none"/>
        </w:rPr>
        <w:t>中打“▲”内容及被拒绝的条款）。</w:t>
      </w:r>
    </w:p>
    <w:p>
      <w:pPr>
        <w:tabs>
          <w:tab w:val="right" w:pos="8306"/>
        </w:tabs>
        <w:autoSpaceDE w:val="0"/>
        <w:autoSpaceDN w:val="0"/>
        <w:adjustRightInd w:val="0"/>
        <w:spacing w:line="360" w:lineRule="auto"/>
        <w:ind w:firstLine="360" w:firstLineChars="150"/>
        <w:rPr>
          <w:rFonts w:ascii="宋体" w:hAnsi="宋体"/>
          <w:color w:val="auto"/>
          <w:kern w:val="0"/>
          <w:sz w:val="24"/>
          <w:highlight w:val="none"/>
        </w:rPr>
      </w:pPr>
      <w:r>
        <w:rPr>
          <w:rFonts w:hint="eastAsia" w:ascii="宋体" w:hAnsi="宋体"/>
          <w:color w:val="auto"/>
          <w:kern w:val="0"/>
          <w:sz w:val="24"/>
          <w:highlight w:val="none"/>
        </w:rPr>
        <w:t>1</w:t>
      </w:r>
      <w:r>
        <w:rPr>
          <w:rFonts w:ascii="宋体" w:hAnsi="宋体"/>
          <w:color w:val="auto"/>
          <w:kern w:val="0"/>
          <w:sz w:val="24"/>
          <w:highlight w:val="none"/>
        </w:rPr>
        <w:t>1</w:t>
      </w:r>
      <w:r>
        <w:rPr>
          <w:rFonts w:hint="eastAsia" w:ascii="宋体" w:hAnsi="宋体"/>
          <w:color w:val="auto"/>
          <w:kern w:val="0"/>
          <w:sz w:val="24"/>
          <w:highlight w:val="none"/>
        </w:rPr>
        <w:t>、仅提交“备份投标文件”或电子投标文件未按时完成解密，又未提供备份电子投标文件的。</w:t>
      </w:r>
    </w:p>
    <w:p>
      <w:pPr>
        <w:autoSpaceDE w:val="0"/>
        <w:autoSpaceDN w:val="0"/>
        <w:adjustRightInd w:val="0"/>
        <w:spacing w:line="360" w:lineRule="auto"/>
        <w:ind w:left="480"/>
        <w:rPr>
          <w:rFonts w:ascii="宋体" w:hAnsi="宋体"/>
          <w:color w:val="auto"/>
          <w:kern w:val="0"/>
          <w:sz w:val="24"/>
          <w:highlight w:val="none"/>
        </w:rPr>
      </w:pPr>
      <w:r>
        <w:rPr>
          <w:rFonts w:hint="eastAsia" w:ascii="宋体" w:hAnsi="宋体"/>
          <w:b/>
          <w:color w:val="auto"/>
          <w:kern w:val="0"/>
          <w:sz w:val="24"/>
          <w:highlight w:val="none"/>
        </w:rPr>
        <w:t>（六）有下列情况之一的，本次招标作为废标处理</w:t>
      </w:r>
    </w:p>
    <w:p>
      <w:pPr>
        <w:pStyle w:val="21"/>
        <w:spacing w:before="0" w:beforeAutospacing="0" w:after="0" w:afterAutospacing="0" w:line="360" w:lineRule="auto"/>
        <w:ind w:firstLine="600" w:firstLineChars="250"/>
        <w:jc w:val="both"/>
        <w:rPr>
          <w:rFonts w:hint="default"/>
          <w:color w:val="auto"/>
          <w:highlight w:val="none"/>
        </w:rPr>
      </w:pPr>
      <w:r>
        <w:rPr>
          <w:color w:val="auto"/>
          <w:highlight w:val="none"/>
        </w:rPr>
        <w:t>1、出现影响采购公正的违法、违规行为的；</w:t>
      </w:r>
    </w:p>
    <w:p>
      <w:pPr>
        <w:pStyle w:val="21"/>
        <w:spacing w:before="0" w:beforeAutospacing="0" w:after="0" w:afterAutospacing="0" w:line="360" w:lineRule="auto"/>
        <w:ind w:firstLine="600" w:firstLineChars="250"/>
        <w:jc w:val="both"/>
        <w:rPr>
          <w:rFonts w:hint="default"/>
          <w:b/>
          <w:bCs/>
          <w:color w:val="auto"/>
          <w:highlight w:val="none"/>
        </w:rPr>
      </w:pPr>
      <w:r>
        <w:rPr>
          <w:color w:val="auto"/>
          <w:highlight w:val="none"/>
        </w:rPr>
        <w:t xml:space="preserve">2、评标委员会发现招标文件存在歧义、重大缺陷导致评标工作无法进行，或者招标文件内容违反国家有关强制性规定的； </w:t>
      </w:r>
    </w:p>
    <w:p>
      <w:pPr>
        <w:pStyle w:val="21"/>
        <w:spacing w:before="0" w:beforeAutospacing="0" w:after="0" w:afterAutospacing="0" w:line="360" w:lineRule="auto"/>
        <w:ind w:firstLine="600" w:firstLineChars="250"/>
        <w:jc w:val="both"/>
        <w:rPr>
          <w:rFonts w:hint="default"/>
          <w:color w:val="auto"/>
          <w:highlight w:val="none"/>
        </w:rPr>
      </w:pPr>
      <w:r>
        <w:rPr>
          <w:color w:val="auto"/>
          <w:highlight w:val="none"/>
        </w:rPr>
        <w:t>3、因重大变故，采购任务取消的；</w:t>
      </w:r>
    </w:p>
    <w:p>
      <w:pPr>
        <w:pStyle w:val="21"/>
        <w:spacing w:before="0" w:beforeAutospacing="0" w:after="0" w:afterAutospacing="0" w:line="360" w:lineRule="auto"/>
        <w:ind w:firstLine="600" w:firstLineChars="250"/>
        <w:jc w:val="both"/>
        <w:rPr>
          <w:rFonts w:hint="default"/>
          <w:color w:val="auto"/>
          <w:highlight w:val="none"/>
        </w:rPr>
      </w:pPr>
      <w:r>
        <w:rPr>
          <w:color w:val="auto"/>
          <w:highlight w:val="none"/>
        </w:rPr>
        <w:t>4、法律、法规和招标文件规定的其他导致评标结果无效的。</w:t>
      </w:r>
    </w:p>
    <w:p>
      <w:pPr>
        <w:pStyle w:val="21"/>
        <w:spacing w:before="0" w:beforeAutospacing="0" w:after="0" w:afterAutospacing="0" w:line="360" w:lineRule="auto"/>
        <w:ind w:firstLine="600" w:firstLineChars="250"/>
        <w:jc w:val="both"/>
        <w:rPr>
          <w:rFonts w:hint="default"/>
          <w:color w:val="auto"/>
          <w:highlight w:val="none"/>
        </w:rPr>
      </w:pPr>
      <w:r>
        <w:rPr>
          <w:color w:val="auto"/>
          <w:highlight w:val="none"/>
        </w:rPr>
        <w:t>5、因电子交易平台故障无法登录、无法正常操作等导致平台无法正常运行，或者无法保证电子交易的公平、公正和安全时，采购组织机构可中止电子交易活动。</w:t>
      </w:r>
    </w:p>
    <w:p>
      <w:pPr>
        <w:pStyle w:val="15"/>
        <w:tabs>
          <w:tab w:val="left" w:pos="630"/>
        </w:tabs>
        <w:snapToGrid w:val="0"/>
        <w:spacing w:line="360" w:lineRule="auto"/>
        <w:ind w:firstLine="472" w:firstLineChars="196"/>
        <w:rPr>
          <w:rFonts w:hAnsi="宋体"/>
          <w:b/>
          <w:color w:val="auto"/>
          <w:sz w:val="24"/>
          <w:highlight w:val="none"/>
        </w:rPr>
      </w:pPr>
      <w:r>
        <w:rPr>
          <w:rFonts w:hAnsi="宋体"/>
          <w:b/>
          <w:color w:val="auto"/>
          <w:sz w:val="24"/>
          <w:highlight w:val="none"/>
        </w:rPr>
        <w:t>（</w:t>
      </w:r>
      <w:r>
        <w:rPr>
          <w:rFonts w:hint="eastAsia" w:hAnsi="宋体"/>
          <w:b/>
          <w:color w:val="auto"/>
          <w:sz w:val="24"/>
          <w:highlight w:val="none"/>
        </w:rPr>
        <w:t>七</w:t>
      </w:r>
      <w:r>
        <w:rPr>
          <w:rFonts w:hAnsi="宋体"/>
          <w:b/>
          <w:color w:val="auto"/>
          <w:sz w:val="24"/>
          <w:highlight w:val="none"/>
        </w:rPr>
        <w:t>）评标原则和评标办法</w:t>
      </w:r>
    </w:p>
    <w:p>
      <w:pPr>
        <w:pStyle w:val="15"/>
        <w:snapToGrid w:val="0"/>
        <w:spacing w:line="360" w:lineRule="auto"/>
        <w:ind w:firstLine="600" w:firstLineChars="250"/>
        <w:rPr>
          <w:rFonts w:hAnsi="宋体"/>
          <w:color w:val="auto"/>
          <w:sz w:val="24"/>
          <w:highlight w:val="none"/>
        </w:rPr>
      </w:pPr>
      <w:r>
        <w:rPr>
          <w:rFonts w:hAnsi="宋体"/>
          <w:color w:val="auto"/>
          <w:sz w:val="24"/>
          <w:highlight w:val="none"/>
        </w:rPr>
        <w:t>1</w:t>
      </w:r>
      <w:r>
        <w:rPr>
          <w:rFonts w:hint="eastAsia" w:hAnsi="宋体"/>
          <w:color w:val="auto"/>
          <w:sz w:val="24"/>
          <w:highlight w:val="none"/>
        </w:rPr>
        <w:t>、</w:t>
      </w:r>
      <w:r>
        <w:rPr>
          <w:rFonts w:hAnsi="宋体"/>
          <w:color w:val="auto"/>
          <w:sz w:val="24"/>
          <w:highlight w:val="none"/>
        </w:rPr>
        <w:t>评标原则。评标委员会必须公平、公正、客观，不带任何倾向性和启发性；不得向外界透露任何与评标有关的内容；任何单位和个人不得干扰、影响评标的正常进行；评标委员会及有关工作人员不得私下与投标人接触。</w:t>
      </w:r>
    </w:p>
    <w:p>
      <w:pPr>
        <w:pStyle w:val="15"/>
        <w:snapToGrid w:val="0"/>
        <w:spacing w:line="360" w:lineRule="auto"/>
        <w:ind w:firstLine="600" w:firstLineChars="250"/>
        <w:rPr>
          <w:rFonts w:hAnsi="宋体"/>
          <w:color w:val="auto"/>
          <w:sz w:val="24"/>
          <w:highlight w:val="none"/>
        </w:rPr>
      </w:pPr>
      <w:r>
        <w:rPr>
          <w:rFonts w:hAnsi="宋体"/>
          <w:color w:val="auto"/>
          <w:sz w:val="24"/>
          <w:highlight w:val="none"/>
        </w:rPr>
        <w:t>2</w:t>
      </w:r>
      <w:r>
        <w:rPr>
          <w:rFonts w:hint="eastAsia" w:hAnsi="宋体"/>
          <w:color w:val="auto"/>
          <w:sz w:val="24"/>
          <w:highlight w:val="none"/>
        </w:rPr>
        <w:t>、</w:t>
      </w:r>
      <w:r>
        <w:rPr>
          <w:rFonts w:hAnsi="宋体"/>
          <w:color w:val="auto"/>
          <w:sz w:val="24"/>
          <w:highlight w:val="none"/>
        </w:rPr>
        <w:t>评标办法。具体评标内容及评分标准等详见《第</w:t>
      </w:r>
      <w:r>
        <w:rPr>
          <w:rFonts w:hint="eastAsia" w:hAnsi="宋体"/>
          <w:color w:val="auto"/>
          <w:sz w:val="24"/>
          <w:highlight w:val="none"/>
        </w:rPr>
        <w:t>三章</w:t>
      </w:r>
      <w:r>
        <w:rPr>
          <w:rFonts w:hAnsi="宋体"/>
          <w:color w:val="auto"/>
          <w:sz w:val="24"/>
          <w:highlight w:val="none"/>
        </w:rPr>
        <w:t>：评标</w:t>
      </w:r>
      <w:r>
        <w:rPr>
          <w:rFonts w:hint="eastAsia" w:hAnsi="宋体"/>
          <w:color w:val="auto"/>
          <w:sz w:val="24"/>
          <w:highlight w:val="none"/>
        </w:rPr>
        <w:t>方</w:t>
      </w:r>
      <w:r>
        <w:rPr>
          <w:rFonts w:hAnsi="宋体"/>
          <w:color w:val="auto"/>
          <w:sz w:val="24"/>
          <w:highlight w:val="none"/>
        </w:rPr>
        <w:t>法及评分标准》。</w:t>
      </w:r>
    </w:p>
    <w:p>
      <w:pPr>
        <w:pStyle w:val="15"/>
        <w:snapToGrid w:val="0"/>
        <w:spacing w:line="360" w:lineRule="auto"/>
        <w:ind w:firstLine="472" w:firstLineChars="196"/>
        <w:rPr>
          <w:rFonts w:hAnsi="宋体"/>
          <w:b/>
          <w:color w:val="auto"/>
          <w:sz w:val="24"/>
          <w:highlight w:val="none"/>
        </w:rPr>
      </w:pPr>
      <w:r>
        <w:rPr>
          <w:rFonts w:hAnsi="宋体"/>
          <w:b/>
          <w:color w:val="auto"/>
          <w:sz w:val="24"/>
          <w:highlight w:val="none"/>
        </w:rPr>
        <w:t>（</w:t>
      </w:r>
      <w:r>
        <w:rPr>
          <w:rFonts w:hint="eastAsia" w:hAnsi="宋体"/>
          <w:b/>
          <w:color w:val="auto"/>
          <w:sz w:val="24"/>
          <w:highlight w:val="none"/>
        </w:rPr>
        <w:t>八</w:t>
      </w:r>
      <w:r>
        <w:rPr>
          <w:rFonts w:hAnsi="宋体"/>
          <w:b/>
          <w:color w:val="auto"/>
          <w:sz w:val="24"/>
          <w:highlight w:val="none"/>
        </w:rPr>
        <w:t>）评标过程的监控</w:t>
      </w:r>
    </w:p>
    <w:p>
      <w:pPr>
        <w:pStyle w:val="21"/>
        <w:spacing w:before="0" w:beforeAutospacing="0" w:after="0" w:afterAutospacing="0" w:line="360" w:lineRule="auto"/>
        <w:ind w:firstLine="480" w:firstLineChars="200"/>
        <w:jc w:val="both"/>
        <w:rPr>
          <w:rFonts w:hint="default"/>
          <w:color w:val="auto"/>
          <w:highlight w:val="none"/>
        </w:rPr>
      </w:pPr>
      <w:r>
        <w:rPr>
          <w:color w:val="auto"/>
          <w:highlight w:val="none"/>
        </w:rPr>
        <w:t>本项目评标过程实行全程录音、录像监控，政府采购监管部门视情进行现场监督，投标人在评标过程中所进行的试图影响评标结果的不公正活动，可能导致其投标被拒绝。</w:t>
      </w:r>
    </w:p>
    <w:p>
      <w:pPr>
        <w:pStyle w:val="21"/>
        <w:spacing w:before="0" w:beforeAutospacing="0" w:after="0" w:afterAutospacing="0" w:line="360" w:lineRule="auto"/>
        <w:ind w:firstLine="361" w:firstLineChars="150"/>
        <w:jc w:val="both"/>
        <w:rPr>
          <w:rFonts w:hint="default"/>
          <w:b/>
          <w:color w:val="auto"/>
          <w:highlight w:val="none"/>
        </w:rPr>
      </w:pPr>
      <w:r>
        <w:rPr>
          <w:b/>
          <w:color w:val="auto"/>
          <w:highlight w:val="none"/>
        </w:rPr>
        <w:t>七、定标</w:t>
      </w:r>
    </w:p>
    <w:p>
      <w:pPr>
        <w:pStyle w:val="21"/>
        <w:spacing w:before="0" w:beforeAutospacing="0" w:after="0" w:afterAutospacing="0" w:line="360" w:lineRule="auto"/>
        <w:ind w:firstLine="480" w:firstLineChars="200"/>
        <w:jc w:val="both"/>
        <w:rPr>
          <w:rFonts w:hint="default"/>
          <w:color w:val="auto"/>
          <w:highlight w:val="none"/>
        </w:rPr>
      </w:pPr>
      <w:r>
        <w:rPr>
          <w:color w:val="auto"/>
          <w:highlight w:val="none"/>
        </w:rPr>
        <w:t>1、确定中标供应商。评标委员会根据采购单位的《授权意见确认书》，推荐中标候选人或确定中标人。其中推荐中标候选人的，采购组织机构在评审结束后2个工作日内将评标报告送采购人，采购人自收到评审报告之日起5个工作日内在评审报告推荐的中标候选人中按顺序确定中标人。</w:t>
      </w:r>
    </w:p>
    <w:p>
      <w:pPr>
        <w:spacing w:line="360" w:lineRule="auto"/>
        <w:ind w:firstLine="480" w:firstLineChars="200"/>
        <w:rPr>
          <w:rFonts w:ascii="宋体" w:hAnsi="宋体"/>
          <w:color w:val="auto"/>
          <w:kern w:val="0"/>
          <w:sz w:val="24"/>
          <w:highlight w:val="none"/>
        </w:rPr>
      </w:pPr>
      <w:r>
        <w:rPr>
          <w:rFonts w:ascii="宋体" w:hAnsi="宋体"/>
          <w:color w:val="auto"/>
          <w:sz w:val="24"/>
          <w:highlight w:val="none"/>
        </w:rPr>
        <w:t>2、</w:t>
      </w:r>
      <w:r>
        <w:rPr>
          <w:rFonts w:hint="eastAsia" w:ascii="宋体" w:hAnsi="宋体"/>
          <w:color w:val="auto"/>
          <w:kern w:val="0"/>
          <w:sz w:val="24"/>
          <w:highlight w:val="none"/>
        </w:rPr>
        <w:t>发布</w:t>
      </w:r>
      <w:r>
        <w:rPr>
          <w:color w:val="auto"/>
          <w:sz w:val="24"/>
          <w:highlight w:val="none"/>
        </w:rPr>
        <w:t>中标</w:t>
      </w:r>
      <w:r>
        <w:rPr>
          <w:rFonts w:hint="eastAsia" w:ascii="宋体" w:hAnsi="宋体"/>
          <w:color w:val="auto"/>
          <w:kern w:val="0"/>
          <w:sz w:val="24"/>
          <w:highlight w:val="none"/>
        </w:rPr>
        <w:t>结果公告。采购组织机构应当自中标人</w:t>
      </w:r>
      <w:r>
        <w:rPr>
          <w:rFonts w:ascii="宋体" w:hAnsi="宋体"/>
          <w:color w:val="auto"/>
          <w:kern w:val="0"/>
          <w:sz w:val="24"/>
          <w:highlight w:val="none"/>
        </w:rPr>
        <w:t>确定</w:t>
      </w:r>
      <w:r>
        <w:rPr>
          <w:rFonts w:hint="eastAsia" w:ascii="宋体" w:hAnsi="宋体"/>
          <w:color w:val="auto"/>
          <w:kern w:val="0"/>
          <w:sz w:val="24"/>
          <w:highlight w:val="none"/>
        </w:rPr>
        <w:t>之日起</w:t>
      </w:r>
      <w:r>
        <w:rPr>
          <w:rFonts w:ascii="宋体" w:hAnsi="宋体"/>
          <w:color w:val="auto"/>
          <w:kern w:val="0"/>
          <w:sz w:val="24"/>
          <w:highlight w:val="none"/>
        </w:rPr>
        <w:t>2个工作日内</w:t>
      </w:r>
      <w:r>
        <w:rPr>
          <w:rFonts w:hint="eastAsia" w:ascii="宋体" w:hAnsi="宋体"/>
          <w:color w:val="auto"/>
          <w:kern w:val="0"/>
          <w:sz w:val="24"/>
          <w:highlight w:val="none"/>
        </w:rPr>
        <w:t>，</w:t>
      </w:r>
      <w:r>
        <w:rPr>
          <w:rFonts w:ascii="宋体" w:hAnsi="宋体"/>
          <w:color w:val="auto"/>
          <w:kern w:val="0"/>
          <w:sz w:val="24"/>
          <w:highlight w:val="none"/>
        </w:rPr>
        <w:t>在省级以上财政部门指定的媒体及相关网站</w:t>
      </w:r>
      <w:r>
        <w:rPr>
          <w:rFonts w:hint="eastAsia" w:ascii="宋体" w:hAnsi="宋体"/>
          <w:color w:val="auto"/>
          <w:kern w:val="0"/>
          <w:sz w:val="24"/>
          <w:highlight w:val="none"/>
        </w:rPr>
        <w:t>上</w:t>
      </w:r>
      <w:r>
        <w:rPr>
          <w:rFonts w:ascii="宋体" w:hAnsi="宋体"/>
          <w:color w:val="auto"/>
          <w:kern w:val="0"/>
          <w:sz w:val="24"/>
          <w:highlight w:val="none"/>
        </w:rPr>
        <w:t>公告</w:t>
      </w:r>
      <w:r>
        <w:rPr>
          <w:rFonts w:hint="eastAsia" w:ascii="宋体" w:hAnsi="宋体"/>
          <w:color w:val="auto"/>
          <w:kern w:val="0"/>
          <w:sz w:val="24"/>
          <w:highlight w:val="none"/>
        </w:rPr>
        <w:t>中标结果，招标文件应当随中标结果同时公告。</w:t>
      </w:r>
    </w:p>
    <w:p>
      <w:pPr>
        <w:spacing w:line="360" w:lineRule="auto"/>
        <w:ind w:firstLine="480" w:firstLineChars="200"/>
        <w:rPr>
          <w:rFonts w:ascii="宋体" w:hAnsi="宋体"/>
          <w:color w:val="auto"/>
          <w:kern w:val="0"/>
          <w:sz w:val="24"/>
          <w:highlight w:val="none"/>
        </w:rPr>
      </w:pPr>
      <w:r>
        <w:rPr>
          <w:rFonts w:hint="eastAsia" w:ascii="宋体" w:hAnsi="宋体"/>
          <w:color w:val="auto"/>
          <w:kern w:val="0"/>
          <w:sz w:val="24"/>
          <w:highlight w:val="none"/>
        </w:rPr>
        <w:t>3、发出中标通知书。采购组织机构在发布中标结果的同时，向中标人发出中标通知书。</w:t>
      </w:r>
    </w:p>
    <w:p>
      <w:pPr>
        <w:spacing w:line="360" w:lineRule="auto"/>
        <w:ind w:firstLine="482" w:firstLineChars="200"/>
        <w:rPr>
          <w:rFonts w:ascii="宋体" w:hAnsi="宋体"/>
          <w:color w:val="auto"/>
          <w:kern w:val="0"/>
          <w:sz w:val="24"/>
          <w:highlight w:val="none"/>
        </w:rPr>
      </w:pPr>
      <w:r>
        <w:rPr>
          <w:rFonts w:ascii="宋体" w:hAnsi="宋体"/>
          <w:b/>
          <w:color w:val="auto"/>
          <w:sz w:val="24"/>
          <w:highlight w:val="none"/>
        </w:rPr>
        <w:t>八、</w:t>
      </w:r>
      <w:r>
        <w:rPr>
          <w:rFonts w:hint="eastAsia" w:ascii="宋体" w:hAnsi="宋体"/>
          <w:b/>
          <w:color w:val="auto"/>
          <w:kern w:val="0"/>
          <w:sz w:val="24"/>
          <w:highlight w:val="none"/>
        </w:rPr>
        <w:t>合同签订及公告</w:t>
      </w:r>
    </w:p>
    <w:p>
      <w:pPr>
        <w:spacing w:line="360" w:lineRule="auto"/>
        <w:ind w:firstLine="482" w:firstLineChars="200"/>
        <w:rPr>
          <w:rFonts w:ascii="宋体" w:hAnsi="宋体"/>
          <w:b/>
          <w:color w:val="auto"/>
          <w:kern w:val="0"/>
          <w:sz w:val="24"/>
          <w:highlight w:val="none"/>
        </w:rPr>
      </w:pPr>
      <w:r>
        <w:rPr>
          <w:rFonts w:hint="eastAsia" w:ascii="宋体" w:hAnsi="宋体"/>
          <w:b/>
          <w:color w:val="auto"/>
          <w:sz w:val="24"/>
          <w:highlight w:val="none"/>
        </w:rPr>
        <w:t>（一）签订合同</w:t>
      </w:r>
    </w:p>
    <w:p>
      <w:pPr>
        <w:pStyle w:val="21"/>
        <w:spacing w:before="0" w:beforeAutospacing="0" w:after="0" w:afterAutospacing="0" w:line="360" w:lineRule="auto"/>
        <w:ind w:firstLine="600" w:firstLineChars="250"/>
        <w:jc w:val="both"/>
        <w:rPr>
          <w:rFonts w:hint="default"/>
          <w:color w:val="auto"/>
          <w:highlight w:val="none"/>
        </w:rPr>
      </w:pPr>
      <w:r>
        <w:rPr>
          <w:color w:val="auto"/>
          <w:highlight w:val="none"/>
        </w:rPr>
        <w:t>1、采购人应当自中标通知书发出之日起</w:t>
      </w:r>
      <w:r>
        <w:rPr>
          <w:rFonts w:hint="default"/>
          <w:color w:val="auto"/>
          <w:highlight w:val="none"/>
        </w:rPr>
        <w:t>30</w:t>
      </w:r>
      <w:r>
        <w:rPr>
          <w:color w:val="auto"/>
          <w:highlight w:val="none"/>
        </w:rPr>
        <w:t>日内，按照招标文件和中标人投标文件的规定，与中标人签订书面合同。所签订的合同不得对招标文件确定的事项和中标人投标文件作实质性修改。</w:t>
      </w:r>
    </w:p>
    <w:p>
      <w:pPr>
        <w:pStyle w:val="21"/>
        <w:spacing w:before="0" w:beforeAutospacing="0" w:after="0" w:afterAutospacing="0" w:line="360" w:lineRule="auto"/>
        <w:ind w:firstLine="600" w:firstLineChars="250"/>
        <w:jc w:val="both"/>
        <w:rPr>
          <w:rFonts w:hint="default"/>
          <w:color w:val="auto"/>
          <w:highlight w:val="none"/>
        </w:rPr>
      </w:pPr>
      <w:r>
        <w:rPr>
          <w:color w:val="auto"/>
          <w:highlight w:val="none"/>
        </w:rPr>
        <w:t>2、采购人不得向中标人提出任何不合理的要求作为签订合同的条件。</w:t>
      </w:r>
    </w:p>
    <w:p>
      <w:pPr>
        <w:pStyle w:val="21"/>
        <w:spacing w:before="0" w:beforeAutospacing="0" w:after="0" w:afterAutospacing="0" w:line="360" w:lineRule="auto"/>
        <w:ind w:firstLine="600" w:firstLineChars="250"/>
        <w:jc w:val="both"/>
        <w:rPr>
          <w:rFonts w:hint="default"/>
          <w:color w:val="auto"/>
          <w:highlight w:val="none"/>
        </w:rPr>
      </w:pPr>
      <w:r>
        <w:rPr>
          <w:color w:val="auto"/>
          <w:highlight w:val="none"/>
        </w:rPr>
        <w:t>3、中标供应商拒绝与采购人签订合同的，采购人可以按照评审报告推荐的中标候选人名单排序，确定下一候选人为中标供应商，也可以重新开展政府采购活动。同时，拒绝与采购人签订合同的供应商，由同级财政部门依法作出处理。</w:t>
      </w:r>
    </w:p>
    <w:p>
      <w:pPr>
        <w:pStyle w:val="21"/>
        <w:spacing w:line="360" w:lineRule="auto"/>
        <w:ind w:firstLine="480" w:firstLineChars="200"/>
        <w:rPr>
          <w:rFonts w:hint="default" w:cs="仿宋_GB2312"/>
          <w:color w:val="auto"/>
          <w:highlight w:val="none"/>
        </w:rPr>
      </w:pPr>
      <w:r>
        <w:rPr>
          <w:rFonts w:hint="default"/>
          <w:color w:val="auto"/>
          <w:highlight w:val="none"/>
        </w:rPr>
        <w:t>4</w:t>
      </w:r>
      <w:r>
        <w:rPr>
          <w:color w:val="auto"/>
          <w:highlight w:val="none"/>
        </w:rPr>
        <w:t>、询问或者质疑事项可能影响中标结果的，采购人应当暂停签订合同，已经签订合同的，应当中止履行合同（中标结果的质疑期为中标结果公告期限届满之日起七个工作日）。</w:t>
      </w:r>
    </w:p>
    <w:p>
      <w:pPr>
        <w:pStyle w:val="21"/>
        <w:spacing w:line="360" w:lineRule="auto"/>
        <w:ind w:firstLine="424" w:firstLineChars="176"/>
        <w:rPr>
          <w:rFonts w:hint="default" w:cs="仿宋_GB2312"/>
          <w:b/>
          <w:color w:val="auto"/>
          <w:highlight w:val="none"/>
        </w:rPr>
      </w:pPr>
      <w:r>
        <w:rPr>
          <w:b/>
          <w:color w:val="auto"/>
          <w:highlight w:val="none"/>
        </w:rPr>
        <w:t>（二）合同公告及备案</w:t>
      </w:r>
    </w:p>
    <w:p>
      <w:pPr>
        <w:pStyle w:val="3"/>
        <w:spacing w:line="360" w:lineRule="auto"/>
        <w:ind w:left="0" w:leftChars="0" w:firstLine="480" w:firstLineChars="200"/>
        <w:jc w:val="left"/>
        <w:rPr>
          <w:rFonts w:ascii="宋体" w:hAnsi="宋体"/>
          <w:color w:val="auto"/>
          <w:sz w:val="24"/>
          <w:highlight w:val="none"/>
        </w:rPr>
      </w:pPr>
      <w:r>
        <w:rPr>
          <w:rFonts w:hint="eastAsia" w:ascii="宋体" w:hAnsi="宋体"/>
          <w:color w:val="auto"/>
          <w:sz w:val="24"/>
          <w:highlight w:val="none"/>
        </w:rPr>
        <w:t>1、采购人应当自政府采购合同签订之日起2个工作日内，</w:t>
      </w:r>
      <w:r>
        <w:rPr>
          <w:rFonts w:ascii="宋体" w:hAnsi="宋体"/>
          <w:color w:val="auto"/>
          <w:kern w:val="0"/>
          <w:sz w:val="24"/>
          <w:highlight w:val="none"/>
        </w:rPr>
        <w:t>在省级以上财政部门指定的</w:t>
      </w:r>
      <w:r>
        <w:rPr>
          <w:rFonts w:hint="eastAsia" w:ascii="宋体" w:hAnsi="宋体"/>
          <w:color w:val="auto"/>
          <w:kern w:val="0"/>
          <w:sz w:val="24"/>
          <w:highlight w:val="none"/>
        </w:rPr>
        <w:t>政府采购信息发布</w:t>
      </w:r>
      <w:r>
        <w:rPr>
          <w:rFonts w:ascii="宋体" w:hAnsi="宋体"/>
          <w:color w:val="auto"/>
          <w:kern w:val="0"/>
          <w:sz w:val="24"/>
          <w:highlight w:val="none"/>
        </w:rPr>
        <w:t>媒体及相关网站</w:t>
      </w:r>
      <w:r>
        <w:rPr>
          <w:rFonts w:hint="eastAsia" w:ascii="宋体" w:hAnsi="宋体"/>
          <w:color w:val="auto"/>
          <w:kern w:val="0"/>
          <w:sz w:val="24"/>
          <w:highlight w:val="none"/>
        </w:rPr>
        <w:t>上</w:t>
      </w:r>
      <w:r>
        <w:rPr>
          <w:rFonts w:ascii="宋体" w:hAnsi="宋体"/>
          <w:color w:val="auto"/>
          <w:kern w:val="0"/>
          <w:sz w:val="24"/>
          <w:highlight w:val="none"/>
        </w:rPr>
        <w:t>公告</w:t>
      </w:r>
      <w:r>
        <w:rPr>
          <w:rFonts w:hint="eastAsia" w:ascii="宋体" w:hAnsi="宋体"/>
          <w:color w:val="auto"/>
          <w:sz w:val="24"/>
          <w:highlight w:val="none"/>
        </w:rPr>
        <w:t>。</w:t>
      </w:r>
    </w:p>
    <w:p>
      <w:pPr>
        <w:pStyle w:val="3"/>
        <w:spacing w:line="360" w:lineRule="auto"/>
        <w:ind w:left="0" w:leftChars="0" w:firstLine="480" w:firstLineChars="200"/>
        <w:rPr>
          <w:rFonts w:ascii="宋体" w:hAnsi="宋体"/>
          <w:color w:val="auto"/>
          <w:sz w:val="24"/>
          <w:highlight w:val="none"/>
        </w:rPr>
      </w:pPr>
      <w:r>
        <w:rPr>
          <w:rFonts w:hint="eastAsia" w:ascii="宋体" w:hAnsi="宋体"/>
          <w:color w:val="auto"/>
          <w:sz w:val="24"/>
          <w:highlight w:val="none"/>
        </w:rPr>
        <w:t>2、采购人应当自政府采购合同签订之日起7个工作日内，将政府采购合同副本报同级人民政府财政部门备案以及采购组织机构存档。</w:t>
      </w:r>
    </w:p>
    <w:p>
      <w:pPr>
        <w:spacing w:line="360" w:lineRule="auto"/>
        <w:rPr>
          <w:rFonts w:ascii="宋体" w:hAnsi="宋体"/>
          <w:b/>
          <w:color w:val="auto"/>
          <w:sz w:val="28"/>
          <w:szCs w:val="28"/>
          <w:highlight w:val="none"/>
        </w:rPr>
        <w:sectPr>
          <w:pgSz w:w="11906" w:h="16838"/>
          <w:pgMar w:top="1440" w:right="1800" w:bottom="1440" w:left="1800" w:header="851" w:footer="992" w:gutter="0"/>
          <w:cols w:space="425" w:num="1"/>
          <w:docGrid w:type="lines" w:linePitch="312" w:charSpace="0"/>
        </w:sectPr>
      </w:pPr>
    </w:p>
    <w:p>
      <w:pPr>
        <w:numPr>
          <w:ilvl w:val="0"/>
          <w:numId w:val="3"/>
        </w:numPr>
        <w:spacing w:line="360" w:lineRule="auto"/>
        <w:jc w:val="center"/>
        <w:rPr>
          <w:rFonts w:ascii="宋体" w:hAnsi="宋体"/>
          <w:b/>
          <w:color w:val="auto"/>
          <w:sz w:val="36"/>
          <w:szCs w:val="36"/>
          <w:highlight w:val="none"/>
        </w:rPr>
      </w:pPr>
      <w:r>
        <w:rPr>
          <w:rFonts w:hint="eastAsia" w:ascii="宋体" w:hAnsi="宋体"/>
          <w:b/>
          <w:color w:val="auto"/>
          <w:sz w:val="36"/>
          <w:szCs w:val="36"/>
          <w:highlight w:val="none"/>
        </w:rPr>
        <w:t>评标办法及评分标准</w:t>
      </w:r>
    </w:p>
    <w:p>
      <w:pPr>
        <w:autoSpaceDE w:val="0"/>
        <w:autoSpaceDN w:val="0"/>
        <w:spacing w:line="360" w:lineRule="auto"/>
        <w:ind w:firstLine="480" w:firstLineChars="200"/>
        <w:rPr>
          <w:rFonts w:ascii="宋体" w:hAnsi="宋体"/>
          <w:b/>
          <w:i/>
          <w:color w:val="auto"/>
          <w:kern w:val="0"/>
          <w:sz w:val="24"/>
          <w:highlight w:val="none"/>
        </w:rPr>
      </w:pPr>
      <w:r>
        <w:rPr>
          <w:rFonts w:hint="eastAsia" w:ascii="宋体" w:hAnsi="宋体"/>
          <w:color w:val="auto"/>
          <w:kern w:val="0"/>
          <w:sz w:val="24"/>
          <w:highlight w:val="none"/>
        </w:rPr>
        <w:t>一、采购组织机构将组织评标委员会，对投标人提供的投标文件进行综合评审。</w:t>
      </w:r>
    </w:p>
    <w:p>
      <w:pPr>
        <w:autoSpaceDE w:val="0"/>
        <w:autoSpaceDN w:val="0"/>
        <w:spacing w:line="360" w:lineRule="auto"/>
        <w:ind w:firstLine="480" w:firstLineChars="200"/>
        <w:rPr>
          <w:rFonts w:ascii="宋体" w:hAnsi="宋体"/>
          <w:color w:val="auto"/>
          <w:kern w:val="0"/>
          <w:sz w:val="24"/>
          <w:highlight w:val="none"/>
        </w:rPr>
      </w:pPr>
      <w:r>
        <w:rPr>
          <w:rFonts w:hint="eastAsia" w:ascii="宋体" w:hAnsi="宋体"/>
          <w:color w:val="auto"/>
          <w:kern w:val="0"/>
          <w:sz w:val="24"/>
          <w:highlight w:val="none"/>
        </w:rPr>
        <w:t>二、本次招标项目的评标方法为综合评分法，总计</w:t>
      </w:r>
      <w:r>
        <w:rPr>
          <w:rFonts w:ascii="宋体" w:hAnsi="宋体"/>
          <w:color w:val="auto"/>
          <w:kern w:val="0"/>
          <w:sz w:val="24"/>
          <w:highlight w:val="none"/>
        </w:rPr>
        <w:t>100分。评标标准按以下内容及分值进行评审。</w:t>
      </w:r>
    </w:p>
    <w:tbl>
      <w:tblPr>
        <w:tblStyle w:val="24"/>
        <w:tblW w:w="0" w:type="auto"/>
        <w:tblInd w:w="4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32"/>
        <w:gridCol w:w="3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732" w:type="dxa"/>
            <w:tcBorders>
              <w:tl2br w:val="single" w:color="auto" w:sz="4" w:space="0"/>
            </w:tcBorders>
          </w:tcPr>
          <w:p>
            <w:pPr>
              <w:autoSpaceDE w:val="0"/>
              <w:autoSpaceDN w:val="0"/>
              <w:adjustRightInd w:val="0"/>
              <w:jc w:val="left"/>
              <w:rPr>
                <w:rFonts w:ascii="宋体" w:hAnsi="宋体" w:cs="Arial"/>
                <w:color w:val="auto"/>
                <w:sz w:val="24"/>
                <w:highlight w:val="none"/>
              </w:rPr>
            </w:pPr>
            <w:r>
              <w:rPr>
                <w:rFonts w:ascii="宋体" w:hAnsi="宋体" w:cs="Arial"/>
                <w:color w:val="auto"/>
                <w:sz w:val="24"/>
                <w:highlight w:val="none"/>
              </w:rPr>
              <w:t xml:space="preserve">          标段</w:t>
            </w:r>
          </w:p>
          <w:p>
            <w:pPr>
              <w:autoSpaceDE w:val="0"/>
              <w:autoSpaceDN w:val="0"/>
              <w:adjustRightInd w:val="0"/>
              <w:jc w:val="left"/>
              <w:rPr>
                <w:rFonts w:ascii="宋体" w:hAnsi="宋体" w:cs="Arial"/>
                <w:color w:val="auto"/>
                <w:sz w:val="24"/>
                <w:highlight w:val="none"/>
              </w:rPr>
            </w:pPr>
            <w:r>
              <w:rPr>
                <w:rFonts w:hint="eastAsia" w:ascii="宋体" w:hAnsi="宋体" w:cs="Arial"/>
                <w:color w:val="auto"/>
                <w:sz w:val="24"/>
                <w:highlight w:val="none"/>
              </w:rPr>
              <w:t>类别</w:t>
            </w:r>
          </w:p>
        </w:tc>
        <w:tc>
          <w:tcPr>
            <w:tcW w:w="3801" w:type="dxa"/>
            <w:vAlign w:val="center"/>
          </w:tcPr>
          <w:p>
            <w:pPr>
              <w:autoSpaceDE w:val="0"/>
              <w:autoSpaceDN w:val="0"/>
              <w:adjustRightInd w:val="0"/>
              <w:spacing w:line="480" w:lineRule="auto"/>
              <w:jc w:val="center"/>
              <w:rPr>
                <w:rFonts w:ascii="宋体" w:hAnsi="宋体" w:cs="Arial"/>
                <w:color w:val="auto"/>
                <w:sz w:val="24"/>
                <w:highlight w:val="none"/>
              </w:rPr>
            </w:pPr>
            <w:r>
              <w:rPr>
                <w:rFonts w:hint="eastAsia" w:ascii="宋体" w:hAnsi="宋体" w:cs="Arial"/>
                <w:color w:val="auto"/>
                <w:sz w:val="24"/>
                <w:highlight w:val="none"/>
              </w:rPr>
              <w:fldChar w:fldCharType="begin"/>
            </w:r>
            <w:r>
              <w:rPr>
                <w:rFonts w:ascii="宋体" w:hAnsi="宋体" w:cs="Arial"/>
                <w:color w:val="auto"/>
                <w:sz w:val="24"/>
                <w:highlight w:val="none"/>
              </w:rPr>
              <w:instrText xml:space="preserve">= 1 \* CHINESENUM3</w:instrText>
            </w:r>
            <w:r>
              <w:rPr>
                <w:rFonts w:hint="eastAsia" w:ascii="宋体" w:hAnsi="宋体" w:cs="Arial"/>
                <w:color w:val="auto"/>
                <w:sz w:val="24"/>
                <w:highlight w:val="none"/>
              </w:rPr>
              <w:fldChar w:fldCharType="separate"/>
            </w:r>
            <w:r>
              <w:rPr>
                <w:rFonts w:hint="eastAsia" w:ascii="宋体" w:hAnsi="宋体" w:cs="Arial"/>
                <w:color w:val="auto"/>
                <w:sz w:val="24"/>
                <w:highlight w:val="none"/>
              </w:rPr>
              <w:t>一</w:t>
            </w:r>
            <w:r>
              <w:rPr>
                <w:rFonts w:hint="eastAsia" w:ascii="宋体" w:hAnsi="宋体" w:cs="Arial"/>
                <w:color w:val="auto"/>
                <w:sz w:val="24"/>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3732" w:type="dxa"/>
            <w:vAlign w:val="center"/>
          </w:tcPr>
          <w:p>
            <w:pPr>
              <w:spacing w:line="360" w:lineRule="auto"/>
              <w:jc w:val="center"/>
              <w:rPr>
                <w:rFonts w:ascii="宋体"/>
                <w:color w:val="auto"/>
                <w:kern w:val="0"/>
                <w:sz w:val="24"/>
                <w:highlight w:val="none"/>
              </w:rPr>
            </w:pPr>
            <w:r>
              <w:rPr>
                <w:rFonts w:hint="eastAsia" w:ascii="宋体"/>
                <w:bCs/>
                <w:color w:val="auto"/>
                <w:sz w:val="24"/>
                <w:highlight w:val="none"/>
                <w:lang w:val="zh-CN"/>
              </w:rPr>
              <w:t>商务与技术文件</w:t>
            </w:r>
            <w:r>
              <w:rPr>
                <w:rFonts w:hint="eastAsia" w:ascii="宋体"/>
                <w:color w:val="auto"/>
                <w:kern w:val="0"/>
                <w:sz w:val="24"/>
                <w:highlight w:val="none"/>
                <w:lang w:val="zh-CN"/>
              </w:rPr>
              <w:t>分</w:t>
            </w:r>
          </w:p>
        </w:tc>
        <w:tc>
          <w:tcPr>
            <w:tcW w:w="3801" w:type="dxa"/>
            <w:vAlign w:val="center"/>
          </w:tcPr>
          <w:p>
            <w:pPr>
              <w:autoSpaceDE w:val="0"/>
              <w:autoSpaceDN w:val="0"/>
              <w:adjustRightInd w:val="0"/>
              <w:jc w:val="center"/>
              <w:rPr>
                <w:rFonts w:ascii="宋体"/>
                <w:color w:val="auto"/>
                <w:kern w:val="0"/>
                <w:sz w:val="24"/>
                <w:highlight w:val="none"/>
              </w:rPr>
            </w:pPr>
            <w:r>
              <w:rPr>
                <w:rFonts w:hint="eastAsia" w:ascii="宋体"/>
                <w:color w:val="auto"/>
                <w:kern w:val="0"/>
                <w:sz w:val="24"/>
                <w:highlight w:val="none"/>
              </w:rPr>
              <w:t>80</w:t>
            </w:r>
            <w:r>
              <w:rPr>
                <w:rFonts w:ascii="宋体"/>
                <w:color w:val="auto"/>
                <w:kern w:val="0"/>
                <w:sz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3732" w:type="dxa"/>
            <w:vAlign w:val="center"/>
          </w:tcPr>
          <w:p>
            <w:pPr>
              <w:autoSpaceDE w:val="0"/>
              <w:autoSpaceDN w:val="0"/>
              <w:adjustRightInd w:val="0"/>
              <w:jc w:val="center"/>
              <w:rPr>
                <w:rFonts w:ascii="宋体"/>
                <w:color w:val="auto"/>
                <w:kern w:val="0"/>
                <w:sz w:val="24"/>
                <w:highlight w:val="none"/>
              </w:rPr>
            </w:pPr>
            <w:r>
              <w:rPr>
                <w:rFonts w:hint="eastAsia" w:ascii="宋体"/>
                <w:color w:val="auto"/>
                <w:kern w:val="0"/>
                <w:sz w:val="24"/>
                <w:highlight w:val="none"/>
              </w:rPr>
              <w:t>报价分</w:t>
            </w:r>
          </w:p>
        </w:tc>
        <w:tc>
          <w:tcPr>
            <w:tcW w:w="3801" w:type="dxa"/>
            <w:vAlign w:val="center"/>
          </w:tcPr>
          <w:p>
            <w:pPr>
              <w:autoSpaceDE w:val="0"/>
              <w:autoSpaceDN w:val="0"/>
              <w:adjustRightInd w:val="0"/>
              <w:jc w:val="center"/>
              <w:rPr>
                <w:rFonts w:ascii="宋体"/>
                <w:color w:val="auto"/>
                <w:kern w:val="0"/>
                <w:sz w:val="24"/>
                <w:highlight w:val="none"/>
              </w:rPr>
            </w:pPr>
            <w:r>
              <w:rPr>
                <w:rFonts w:hint="eastAsia" w:ascii="宋体"/>
                <w:color w:val="auto"/>
                <w:kern w:val="0"/>
                <w:sz w:val="24"/>
                <w:highlight w:val="none"/>
              </w:rPr>
              <w:t>20</w:t>
            </w:r>
            <w:r>
              <w:rPr>
                <w:rFonts w:ascii="宋体"/>
                <w:color w:val="auto"/>
                <w:kern w:val="0"/>
                <w:sz w:val="24"/>
                <w:highlight w:val="none"/>
              </w:rPr>
              <w:t>分</w:t>
            </w:r>
          </w:p>
        </w:tc>
      </w:tr>
    </w:tbl>
    <w:p>
      <w:pPr>
        <w:autoSpaceDE w:val="0"/>
        <w:autoSpaceDN w:val="0"/>
        <w:adjustRightInd w:val="0"/>
        <w:spacing w:line="360" w:lineRule="auto"/>
        <w:ind w:right="84" w:firstLine="472"/>
        <w:rPr>
          <w:rFonts w:ascii="宋体"/>
          <w:bCs/>
          <w:color w:val="auto"/>
          <w:sz w:val="24"/>
          <w:highlight w:val="none"/>
          <w:lang w:val="zh-CN"/>
        </w:rPr>
      </w:pPr>
      <w:r>
        <w:rPr>
          <w:rFonts w:hint="eastAsia" w:ascii="宋体"/>
          <w:bCs/>
          <w:color w:val="auto"/>
          <w:sz w:val="24"/>
          <w:highlight w:val="none"/>
          <w:lang w:val="zh-CN"/>
        </w:rPr>
        <w:t>（一）商务技术文件中的客观分由评标委员会讨论后统一打分；其余在规定的分值内单独评定打分。</w:t>
      </w:r>
    </w:p>
    <w:p>
      <w:pPr>
        <w:autoSpaceDE w:val="0"/>
        <w:autoSpaceDN w:val="0"/>
        <w:adjustRightInd w:val="0"/>
        <w:spacing w:line="360" w:lineRule="auto"/>
        <w:ind w:right="84" w:firstLine="472"/>
        <w:rPr>
          <w:rFonts w:ascii="宋体"/>
          <w:bCs/>
          <w:color w:val="auto"/>
          <w:sz w:val="24"/>
          <w:highlight w:val="none"/>
          <w:shd w:val="clear" w:color="FFFFFF" w:fill="D9D9D9"/>
          <w:lang w:val="zh-CN"/>
        </w:rPr>
      </w:pPr>
      <w:r>
        <w:rPr>
          <w:rFonts w:hint="eastAsia" w:ascii="宋体"/>
          <w:bCs/>
          <w:color w:val="auto"/>
          <w:sz w:val="24"/>
          <w:highlight w:val="none"/>
          <w:lang w:val="zh-CN"/>
        </w:rPr>
        <w:t>（二）各投标人商务技术文件</w:t>
      </w:r>
      <w:r>
        <w:rPr>
          <w:rFonts w:hint="eastAsia" w:ascii="宋体"/>
          <w:color w:val="auto"/>
          <w:kern w:val="0"/>
          <w:sz w:val="24"/>
          <w:highlight w:val="none"/>
          <w:lang w:val="zh-CN"/>
        </w:rPr>
        <w:t>得分按照评标委员会成</w:t>
      </w:r>
      <w:r>
        <w:rPr>
          <w:rFonts w:hint="eastAsia" w:ascii="宋体"/>
          <w:bCs/>
          <w:color w:val="auto"/>
          <w:sz w:val="24"/>
          <w:highlight w:val="none"/>
          <w:lang w:val="zh-CN"/>
        </w:rPr>
        <w:t>员的独立评分结果汇总后的算术平均分计算，计算公式为：</w:t>
      </w:r>
    </w:p>
    <w:p>
      <w:pPr>
        <w:autoSpaceDE w:val="0"/>
        <w:autoSpaceDN w:val="0"/>
        <w:adjustRightInd w:val="0"/>
        <w:spacing w:line="360" w:lineRule="auto"/>
        <w:ind w:right="84" w:firstLine="472"/>
        <w:rPr>
          <w:rFonts w:ascii="宋体"/>
          <w:bCs/>
          <w:color w:val="auto"/>
          <w:sz w:val="24"/>
          <w:highlight w:val="none"/>
          <w:shd w:val="clear" w:color="FFFFFF" w:fill="D9D9D9"/>
          <w:lang w:val="zh-CN"/>
        </w:rPr>
      </w:pPr>
      <w:r>
        <w:rPr>
          <w:rFonts w:hint="eastAsia" w:ascii="宋体" w:hAnsi="宋体"/>
          <w:color w:val="auto"/>
          <w:sz w:val="24"/>
          <w:highlight w:val="none"/>
        </w:rPr>
        <w:t>商务技术文件得分</w:t>
      </w:r>
      <w:r>
        <w:rPr>
          <w:rFonts w:ascii="宋体"/>
          <w:bCs/>
          <w:color w:val="auto"/>
          <w:sz w:val="24"/>
          <w:highlight w:val="none"/>
          <w:lang w:val="zh-CN"/>
        </w:rPr>
        <w:t>=评标委员会所有成员评分合计数/评标委员会组成人员数。</w:t>
      </w:r>
    </w:p>
    <w:p>
      <w:pPr>
        <w:autoSpaceDE w:val="0"/>
        <w:autoSpaceDN w:val="0"/>
        <w:adjustRightInd w:val="0"/>
        <w:spacing w:line="360" w:lineRule="auto"/>
        <w:ind w:right="85" w:firstLine="480" w:firstLineChars="200"/>
        <w:rPr>
          <w:rFonts w:ascii="宋体"/>
          <w:color w:val="auto"/>
          <w:sz w:val="24"/>
          <w:highlight w:val="none"/>
          <w:lang w:val="zh-CN"/>
        </w:rPr>
      </w:pPr>
      <w:r>
        <w:rPr>
          <w:rFonts w:hint="eastAsia" w:ascii="宋体"/>
          <w:bCs/>
          <w:color w:val="auto"/>
          <w:sz w:val="24"/>
          <w:highlight w:val="none"/>
          <w:lang w:val="zh-CN"/>
        </w:rPr>
        <w:t>（三）</w:t>
      </w:r>
      <w:r>
        <w:rPr>
          <w:rFonts w:hint="eastAsia" w:ascii="宋体"/>
          <w:color w:val="auto"/>
          <w:sz w:val="24"/>
          <w:highlight w:val="none"/>
          <w:lang w:val="zh-CN"/>
        </w:rPr>
        <w:t>投标报价得分采用低价优先法计算，即满足招标文件要求且投标价格最低的投标报价为评标基准价，其报价得满分。其他投标人的投标报价得分按下列公式计算：</w:t>
      </w:r>
    </w:p>
    <w:p>
      <w:pPr>
        <w:autoSpaceDE w:val="0"/>
        <w:autoSpaceDN w:val="0"/>
        <w:adjustRightInd w:val="0"/>
        <w:spacing w:line="360" w:lineRule="auto"/>
        <w:ind w:right="85" w:firstLine="480" w:firstLineChars="200"/>
        <w:rPr>
          <w:rFonts w:ascii="宋体" w:hAnsi="宋体"/>
          <w:color w:val="auto"/>
          <w:sz w:val="24"/>
          <w:highlight w:val="none"/>
          <w:u w:val="single"/>
        </w:rPr>
      </w:pPr>
      <w:r>
        <w:rPr>
          <w:rFonts w:hint="eastAsia"/>
          <w:color w:val="auto"/>
          <w:sz w:val="24"/>
          <w:highlight w:val="none"/>
          <w:u w:val="single"/>
        </w:rPr>
        <w:t>投标报价得分</w:t>
      </w:r>
      <w:r>
        <w:rPr>
          <w:color w:val="auto"/>
          <w:sz w:val="24"/>
          <w:highlight w:val="none"/>
          <w:u w:val="single"/>
        </w:rPr>
        <w:t>=(</w:t>
      </w:r>
      <w:r>
        <w:rPr>
          <w:rFonts w:hint="eastAsia"/>
          <w:color w:val="auto"/>
          <w:sz w:val="24"/>
          <w:highlight w:val="none"/>
          <w:u w:val="single"/>
        </w:rPr>
        <w:t>评标基准价／投</w:t>
      </w:r>
      <w:r>
        <w:rPr>
          <w:rFonts w:hint="eastAsia" w:ascii="宋体" w:hAnsi="宋体"/>
          <w:color w:val="auto"/>
          <w:sz w:val="24"/>
          <w:highlight w:val="none"/>
          <w:u w:val="single"/>
        </w:rPr>
        <w:t>标报价</w:t>
      </w:r>
      <w:r>
        <w:rPr>
          <w:rFonts w:ascii="宋体" w:hAnsi="宋体"/>
          <w:color w:val="auto"/>
          <w:sz w:val="24"/>
          <w:highlight w:val="none"/>
          <w:u w:val="single"/>
        </w:rPr>
        <w:t>)×</w:t>
      </w:r>
      <w:r>
        <w:rPr>
          <w:rFonts w:hint="eastAsia" w:ascii="宋体" w:hAnsi="宋体"/>
          <w:color w:val="auto"/>
          <w:sz w:val="24"/>
          <w:highlight w:val="none"/>
          <w:u w:val="single"/>
        </w:rPr>
        <w:t>20</w:t>
      </w:r>
      <w:r>
        <w:rPr>
          <w:rFonts w:ascii="宋体" w:hAnsi="宋体"/>
          <w:color w:val="auto"/>
          <w:sz w:val="24"/>
          <w:highlight w:val="none"/>
          <w:u w:val="single"/>
        </w:rPr>
        <w:t xml:space="preserve">%×100 </w:t>
      </w:r>
      <w:r>
        <w:rPr>
          <w:rFonts w:hint="eastAsia" w:ascii="宋体" w:hAnsi="宋体"/>
          <w:color w:val="auto"/>
          <w:sz w:val="24"/>
          <w:highlight w:val="none"/>
          <w:u w:val="single"/>
        </w:rPr>
        <w:t>。</w:t>
      </w:r>
    </w:p>
    <w:p>
      <w:pPr>
        <w:autoSpaceDE w:val="0"/>
        <w:autoSpaceDN w:val="0"/>
        <w:adjustRightInd w:val="0"/>
        <w:spacing w:line="360" w:lineRule="auto"/>
        <w:ind w:right="85" w:firstLine="480" w:firstLineChars="200"/>
        <w:rPr>
          <w:rFonts w:ascii="宋体"/>
          <w:bCs/>
          <w:color w:val="auto"/>
          <w:sz w:val="24"/>
          <w:highlight w:val="none"/>
          <w:shd w:val="clear" w:color="FFFFFF" w:fill="D9D9D9"/>
          <w:lang w:val="zh-CN"/>
        </w:rPr>
      </w:pPr>
      <w:r>
        <w:rPr>
          <w:rFonts w:hint="eastAsia" w:ascii="宋体"/>
          <w:color w:val="auto"/>
          <w:sz w:val="24"/>
          <w:highlight w:val="none"/>
          <w:lang w:val="zh-CN"/>
        </w:rPr>
        <w:t>（四）</w:t>
      </w:r>
      <w:r>
        <w:rPr>
          <w:rFonts w:hint="eastAsia" w:ascii="宋体"/>
          <w:b/>
          <w:color w:val="auto"/>
          <w:sz w:val="24"/>
          <w:highlight w:val="none"/>
          <w:lang w:val="zh-CN"/>
        </w:rPr>
        <w:t>本项目专门面向中小企业采购，不再执行价格评审优惠的扶持政策。</w:t>
      </w:r>
    </w:p>
    <w:p>
      <w:pPr>
        <w:autoSpaceDE w:val="0"/>
        <w:autoSpaceDN w:val="0"/>
        <w:adjustRightInd w:val="0"/>
        <w:spacing w:line="360" w:lineRule="auto"/>
        <w:ind w:right="84" w:firstLine="472"/>
        <w:rPr>
          <w:rFonts w:ascii="宋体" w:hAnsi="宋体"/>
          <w:color w:val="auto"/>
          <w:sz w:val="24"/>
          <w:highlight w:val="none"/>
          <w:lang w:val="zh-CN"/>
        </w:rPr>
      </w:pPr>
      <w:r>
        <w:rPr>
          <w:rFonts w:hint="eastAsia" w:ascii="宋体" w:hAnsi="宋体"/>
          <w:color w:val="auto"/>
          <w:sz w:val="24"/>
          <w:highlight w:val="none"/>
          <w:lang w:val="zh-CN"/>
        </w:rPr>
        <w:t>注：得分保留2位小数。</w:t>
      </w:r>
    </w:p>
    <w:p>
      <w:pPr>
        <w:autoSpaceDE w:val="0"/>
        <w:autoSpaceDN w:val="0"/>
        <w:adjustRightInd w:val="0"/>
        <w:spacing w:line="360" w:lineRule="auto"/>
        <w:ind w:right="85" w:firstLine="480" w:firstLineChars="200"/>
        <w:rPr>
          <w:rFonts w:ascii="宋体"/>
          <w:color w:val="auto"/>
          <w:sz w:val="24"/>
          <w:highlight w:val="none"/>
          <w:lang w:val="zh-CN"/>
        </w:rPr>
      </w:pPr>
      <w:r>
        <w:rPr>
          <w:rFonts w:hint="eastAsia" w:ascii="宋体"/>
          <w:color w:val="auto"/>
          <w:sz w:val="24"/>
          <w:highlight w:val="none"/>
          <w:lang w:val="zh-CN"/>
        </w:rPr>
        <w:t>三、在最大限度地满足招标文件实质性要求前提下，评标委员会按照招标文件中规定的各项因素进行综合评审后，以评标总得分最高的投标人为中标候选人。</w:t>
      </w:r>
    </w:p>
    <w:p>
      <w:pPr>
        <w:autoSpaceDE w:val="0"/>
        <w:autoSpaceDN w:val="0"/>
        <w:adjustRightInd w:val="0"/>
        <w:spacing w:line="360" w:lineRule="auto"/>
        <w:ind w:right="85" w:firstLine="480" w:firstLineChars="200"/>
        <w:rPr>
          <w:rFonts w:ascii="宋体"/>
          <w:color w:val="auto"/>
          <w:sz w:val="24"/>
          <w:highlight w:val="none"/>
          <w:lang w:val="zh-CN"/>
        </w:rPr>
      </w:pPr>
      <w:r>
        <w:rPr>
          <w:rFonts w:hint="eastAsia" w:ascii="宋体"/>
          <w:color w:val="auto"/>
          <w:sz w:val="24"/>
          <w:highlight w:val="none"/>
          <w:lang w:val="zh-CN"/>
        </w:rPr>
        <w:t>四、如综合得分相同，投标报价低者为先；如综合得分且投标报价相同的，以商务与技术得分较高者为先。</w:t>
      </w:r>
    </w:p>
    <w:p>
      <w:pPr>
        <w:autoSpaceDE w:val="0"/>
        <w:autoSpaceDN w:val="0"/>
        <w:adjustRightInd w:val="0"/>
        <w:spacing w:line="360" w:lineRule="auto"/>
        <w:ind w:right="85" w:firstLine="480" w:firstLineChars="200"/>
        <w:rPr>
          <w:rFonts w:ascii="宋体"/>
          <w:color w:val="auto"/>
          <w:sz w:val="24"/>
          <w:highlight w:val="none"/>
          <w:lang w:val="zh-CN"/>
        </w:rPr>
      </w:pPr>
      <w:r>
        <w:rPr>
          <w:rFonts w:hint="eastAsia" w:ascii="宋体"/>
          <w:color w:val="auto"/>
          <w:sz w:val="24"/>
          <w:highlight w:val="none"/>
          <w:lang w:val="zh-CN"/>
        </w:rPr>
        <w:t>五、提供相同品牌产品的不同投标人参加同一合同项下投标的，按一家供应商认定：（</w:t>
      </w:r>
      <w:r>
        <w:rPr>
          <w:rFonts w:ascii="宋体"/>
          <w:color w:val="auto"/>
          <w:sz w:val="24"/>
          <w:highlight w:val="none"/>
          <w:lang w:val="zh-CN"/>
        </w:rPr>
        <w:t>1）采用最低评标价法的采购项目，以其中通过资格审查、符合性审查且报价最低的参加评标；报价相同的，由评标委员会集体确定一个投标人参加评标，其他投标无效。（2）使用综合评分法的采购项目，评审后得分最高的同品牌投标人获得中标人推荐资格；评审得分相同的，由评标委员会集体推荐一个投标人作为中标候选人，其他同品牌投标人不作为中标候选人。</w:t>
      </w:r>
    </w:p>
    <w:p>
      <w:pPr>
        <w:autoSpaceDE w:val="0"/>
        <w:autoSpaceDN w:val="0"/>
        <w:adjustRightInd w:val="0"/>
        <w:spacing w:line="360" w:lineRule="auto"/>
        <w:ind w:firstLine="360" w:firstLineChars="150"/>
        <w:jc w:val="left"/>
        <w:rPr>
          <w:rFonts w:ascii="宋体" w:hAnsi="宋体"/>
          <w:color w:val="auto"/>
          <w:kern w:val="0"/>
          <w:sz w:val="24"/>
          <w:highlight w:val="none"/>
        </w:rPr>
      </w:pPr>
      <w:r>
        <w:rPr>
          <w:rFonts w:hint="eastAsia" w:ascii="宋体" w:hAnsi="宋体"/>
          <w:color w:val="auto"/>
          <w:kern w:val="0"/>
          <w:sz w:val="24"/>
          <w:highlight w:val="none"/>
        </w:rPr>
        <w:t>六、本次评分具体分值细化条款如下表：</w:t>
      </w:r>
    </w:p>
    <w:tbl>
      <w:tblPr>
        <w:tblStyle w:val="24"/>
        <w:tblW w:w="10390"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68"/>
        <w:gridCol w:w="1275"/>
        <w:gridCol w:w="993"/>
        <w:gridCol w:w="5811"/>
        <w:gridCol w:w="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blHeader/>
        </w:trPr>
        <w:tc>
          <w:tcPr>
            <w:tcW w:w="1419" w:type="dxa"/>
            <w:gridSpan w:val="2"/>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color w:val="auto"/>
                <w:szCs w:val="21"/>
                <w:highlight w:val="none"/>
              </w:rPr>
            </w:pPr>
            <w:r>
              <w:rPr>
                <w:rFonts w:hint="eastAsia"/>
                <w:color w:val="auto"/>
                <w:szCs w:val="21"/>
                <w:highlight w:val="none"/>
              </w:rPr>
              <w:t>序号</w:t>
            </w:r>
          </w:p>
        </w:tc>
        <w:tc>
          <w:tcPr>
            <w:tcW w:w="127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color w:val="auto"/>
                <w:szCs w:val="21"/>
                <w:highlight w:val="none"/>
              </w:rPr>
            </w:pPr>
            <w:r>
              <w:rPr>
                <w:rFonts w:hint="eastAsia"/>
                <w:color w:val="auto"/>
                <w:szCs w:val="21"/>
                <w:highlight w:val="none"/>
              </w:rPr>
              <w:t>评分因素</w:t>
            </w:r>
          </w:p>
        </w:tc>
        <w:tc>
          <w:tcPr>
            <w:tcW w:w="6804" w:type="dxa"/>
            <w:gridSpan w:val="2"/>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color w:val="auto"/>
                <w:szCs w:val="21"/>
                <w:highlight w:val="none"/>
              </w:rPr>
            </w:pPr>
            <w:r>
              <w:rPr>
                <w:rFonts w:hint="eastAsia"/>
                <w:color w:val="auto"/>
                <w:szCs w:val="21"/>
                <w:highlight w:val="none"/>
              </w:rPr>
              <w:t>评分内容及细则</w:t>
            </w:r>
          </w:p>
        </w:tc>
        <w:tc>
          <w:tcPr>
            <w:tcW w:w="89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color w:val="auto"/>
                <w:szCs w:val="21"/>
                <w:highlight w:val="none"/>
              </w:rPr>
            </w:pPr>
            <w:r>
              <w:rPr>
                <w:rFonts w:hint="eastAsia"/>
                <w:color w:val="auto"/>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5" w:hRule="atLeast"/>
          <w:tblHeader/>
        </w:trPr>
        <w:tc>
          <w:tcPr>
            <w:tcW w:w="851" w:type="dxa"/>
            <w:vMerge w:val="restart"/>
            <w:tcBorders>
              <w:top w:val="single" w:color="auto" w:sz="4" w:space="0"/>
              <w:left w:val="single" w:color="auto" w:sz="4" w:space="0"/>
              <w:right w:val="single" w:color="auto" w:sz="4" w:space="0"/>
            </w:tcBorders>
            <w:vAlign w:val="center"/>
          </w:tcPr>
          <w:p>
            <w:pPr>
              <w:snapToGrid w:val="0"/>
              <w:spacing w:line="360" w:lineRule="auto"/>
              <w:jc w:val="center"/>
              <w:rPr>
                <w:color w:val="auto"/>
                <w:szCs w:val="21"/>
                <w:highlight w:val="none"/>
              </w:rPr>
            </w:pPr>
            <w:r>
              <w:rPr>
                <w:rFonts w:hint="eastAsia"/>
                <w:color w:val="auto"/>
                <w:szCs w:val="21"/>
                <w:highlight w:val="none"/>
              </w:rPr>
              <w:t>资信部分</w:t>
            </w:r>
          </w:p>
        </w:tc>
        <w:tc>
          <w:tcPr>
            <w:tcW w:w="568" w:type="dxa"/>
            <w:tcBorders>
              <w:top w:val="single" w:color="auto" w:sz="4" w:space="0"/>
              <w:left w:val="single" w:color="auto" w:sz="4" w:space="0"/>
              <w:right w:val="single" w:color="auto" w:sz="4" w:space="0"/>
            </w:tcBorders>
            <w:vAlign w:val="center"/>
          </w:tcPr>
          <w:p>
            <w:pPr>
              <w:snapToGrid w:val="0"/>
              <w:spacing w:line="360" w:lineRule="auto"/>
              <w:jc w:val="center"/>
              <w:rPr>
                <w:color w:val="auto"/>
                <w:szCs w:val="21"/>
                <w:highlight w:val="none"/>
              </w:rPr>
            </w:pPr>
            <w:r>
              <w:rPr>
                <w:rFonts w:hint="eastAsia"/>
                <w:color w:val="auto"/>
                <w:szCs w:val="21"/>
                <w:highlight w:val="none"/>
              </w:rPr>
              <w:t>1</w:t>
            </w:r>
          </w:p>
        </w:tc>
        <w:tc>
          <w:tcPr>
            <w:tcW w:w="1275" w:type="dxa"/>
            <w:tcBorders>
              <w:top w:val="single" w:color="auto" w:sz="4" w:space="0"/>
              <w:left w:val="single" w:color="auto" w:sz="4" w:space="0"/>
              <w:right w:val="single" w:color="auto" w:sz="4" w:space="0"/>
            </w:tcBorders>
            <w:vAlign w:val="center"/>
          </w:tcPr>
          <w:p>
            <w:pPr>
              <w:snapToGrid w:val="0"/>
              <w:jc w:val="center"/>
              <w:rPr>
                <w:color w:val="auto"/>
                <w:szCs w:val="21"/>
                <w:highlight w:val="none"/>
              </w:rPr>
            </w:pPr>
            <w:r>
              <w:rPr>
                <w:rFonts w:hint="eastAsia"/>
                <w:color w:val="auto"/>
                <w:szCs w:val="21"/>
                <w:highlight w:val="none"/>
              </w:rPr>
              <w:t>投标人业绩</w:t>
            </w:r>
          </w:p>
        </w:tc>
        <w:tc>
          <w:tcPr>
            <w:tcW w:w="6804" w:type="dxa"/>
            <w:gridSpan w:val="2"/>
            <w:tcBorders>
              <w:top w:val="single" w:color="auto" w:sz="4" w:space="0"/>
              <w:left w:val="single" w:color="auto" w:sz="4" w:space="0"/>
              <w:right w:val="single" w:color="auto" w:sz="4" w:space="0"/>
            </w:tcBorders>
            <w:vAlign w:val="center"/>
          </w:tcPr>
          <w:p>
            <w:pPr>
              <w:spacing w:line="320" w:lineRule="exact"/>
              <w:rPr>
                <w:rFonts w:hAnsi="宋体"/>
                <w:color w:val="auto"/>
                <w:szCs w:val="21"/>
                <w:highlight w:val="none"/>
              </w:rPr>
            </w:pPr>
            <w:r>
              <w:rPr>
                <w:rFonts w:hint="eastAsia" w:hAnsi="宋体"/>
                <w:color w:val="auto"/>
                <w:kern w:val="0"/>
                <w:szCs w:val="21"/>
                <w:highlight w:val="none"/>
              </w:rPr>
              <w:t>水生态环境</w:t>
            </w:r>
            <w:r>
              <w:rPr>
                <w:rFonts w:hAnsi="宋体"/>
                <w:color w:val="auto"/>
                <w:kern w:val="0"/>
                <w:szCs w:val="21"/>
                <w:highlight w:val="none"/>
              </w:rPr>
              <w:t>相关</w:t>
            </w:r>
            <w:r>
              <w:rPr>
                <w:rFonts w:hint="eastAsia" w:hAnsi="宋体"/>
                <w:color w:val="auto"/>
                <w:kern w:val="0"/>
                <w:szCs w:val="21"/>
                <w:highlight w:val="none"/>
              </w:rPr>
              <w:t>调查、监测等类似业绩</w:t>
            </w:r>
            <w:r>
              <w:rPr>
                <w:rFonts w:hAnsi="宋体"/>
                <w:color w:val="auto"/>
                <w:kern w:val="0"/>
                <w:szCs w:val="21"/>
                <w:highlight w:val="none"/>
              </w:rPr>
              <w:t>一个得</w:t>
            </w:r>
            <w:r>
              <w:rPr>
                <w:rFonts w:hint="eastAsia"/>
                <w:color w:val="auto"/>
                <w:kern w:val="0"/>
                <w:szCs w:val="21"/>
                <w:highlight w:val="none"/>
              </w:rPr>
              <w:t>0.5</w:t>
            </w:r>
            <w:r>
              <w:rPr>
                <w:rFonts w:hAnsi="宋体"/>
                <w:color w:val="auto"/>
                <w:kern w:val="0"/>
                <w:szCs w:val="21"/>
                <w:highlight w:val="none"/>
              </w:rPr>
              <w:t>分，最多不超过</w:t>
            </w:r>
            <w:r>
              <w:rPr>
                <w:rFonts w:hint="eastAsia"/>
                <w:color w:val="auto"/>
                <w:kern w:val="0"/>
                <w:szCs w:val="21"/>
                <w:highlight w:val="none"/>
              </w:rPr>
              <w:t>1</w:t>
            </w:r>
            <w:r>
              <w:rPr>
                <w:rFonts w:hAnsi="宋体"/>
                <w:color w:val="auto"/>
                <w:kern w:val="0"/>
                <w:szCs w:val="21"/>
                <w:highlight w:val="none"/>
              </w:rPr>
              <w:t>分</w:t>
            </w:r>
            <w:r>
              <w:rPr>
                <w:rFonts w:hint="eastAsia" w:hAnsi="宋体"/>
                <w:color w:val="auto"/>
                <w:szCs w:val="21"/>
                <w:highlight w:val="none"/>
              </w:rPr>
              <w:t>；</w:t>
            </w:r>
          </w:p>
          <w:p>
            <w:pPr>
              <w:spacing w:line="320" w:lineRule="exact"/>
              <w:rPr>
                <w:rFonts w:hAnsi="宋体"/>
                <w:color w:val="auto"/>
                <w:szCs w:val="21"/>
                <w:highlight w:val="none"/>
              </w:rPr>
            </w:pPr>
            <w:r>
              <w:rPr>
                <w:rFonts w:hint="eastAsia" w:hAnsi="宋体"/>
                <w:color w:val="auto"/>
                <w:szCs w:val="21"/>
                <w:highlight w:val="none"/>
              </w:rPr>
              <w:t>污水零直排相关调查、建设等类似业绩</w:t>
            </w:r>
            <w:r>
              <w:rPr>
                <w:rFonts w:hAnsi="宋体"/>
                <w:color w:val="auto"/>
                <w:kern w:val="0"/>
                <w:szCs w:val="21"/>
                <w:highlight w:val="none"/>
              </w:rPr>
              <w:t>一个得</w:t>
            </w:r>
            <w:r>
              <w:rPr>
                <w:rFonts w:hint="eastAsia"/>
                <w:color w:val="auto"/>
                <w:kern w:val="0"/>
                <w:szCs w:val="21"/>
                <w:highlight w:val="none"/>
              </w:rPr>
              <w:t>0.5</w:t>
            </w:r>
            <w:r>
              <w:rPr>
                <w:rFonts w:hAnsi="宋体"/>
                <w:color w:val="auto"/>
                <w:kern w:val="0"/>
                <w:szCs w:val="21"/>
                <w:highlight w:val="none"/>
              </w:rPr>
              <w:t>分，最多不超过</w:t>
            </w:r>
            <w:r>
              <w:rPr>
                <w:rFonts w:hint="eastAsia"/>
                <w:color w:val="auto"/>
                <w:kern w:val="0"/>
                <w:szCs w:val="21"/>
                <w:highlight w:val="none"/>
              </w:rPr>
              <w:t>1</w:t>
            </w:r>
            <w:r>
              <w:rPr>
                <w:rFonts w:hAnsi="宋体"/>
                <w:color w:val="auto"/>
                <w:kern w:val="0"/>
                <w:szCs w:val="21"/>
                <w:highlight w:val="none"/>
              </w:rPr>
              <w:t>分</w:t>
            </w:r>
            <w:r>
              <w:rPr>
                <w:rFonts w:hint="eastAsia" w:hAnsi="宋体"/>
                <w:color w:val="auto"/>
                <w:kern w:val="0"/>
                <w:szCs w:val="21"/>
                <w:highlight w:val="none"/>
              </w:rPr>
              <w:t>；</w:t>
            </w:r>
          </w:p>
          <w:p>
            <w:pPr>
              <w:snapToGrid w:val="0"/>
              <w:jc w:val="left"/>
              <w:rPr>
                <w:rFonts w:ascii="宋体" w:hAnsi="宋体"/>
                <w:color w:val="auto"/>
                <w:szCs w:val="21"/>
                <w:highlight w:val="none"/>
              </w:rPr>
            </w:pPr>
            <w:r>
              <w:rPr>
                <w:rFonts w:hint="eastAsia" w:hAnsi="宋体"/>
                <w:color w:val="auto"/>
                <w:szCs w:val="21"/>
                <w:highlight w:val="none"/>
              </w:rPr>
              <w:t>没有不得分。</w:t>
            </w:r>
          </w:p>
          <w:p>
            <w:pPr>
              <w:snapToGrid w:val="0"/>
              <w:jc w:val="left"/>
              <w:rPr>
                <w:rFonts w:ascii="宋体" w:hAnsi="宋体"/>
                <w:b w:val="0"/>
                <w:bCs/>
                <w:color w:val="auto"/>
                <w:szCs w:val="21"/>
                <w:highlight w:val="none"/>
              </w:rPr>
            </w:pPr>
            <w:r>
              <w:rPr>
                <w:rFonts w:hint="eastAsia" w:ascii="宋体" w:hAnsi="宋体"/>
                <w:b w:val="0"/>
                <w:bCs/>
                <w:color w:val="auto"/>
                <w:szCs w:val="21"/>
                <w:highlight w:val="none"/>
              </w:rPr>
              <w:t>注：</w:t>
            </w:r>
          </w:p>
          <w:p>
            <w:pPr>
              <w:snapToGrid w:val="0"/>
              <w:jc w:val="left"/>
              <w:rPr>
                <w:rFonts w:ascii="宋体" w:hAnsi="宋体"/>
                <w:color w:val="auto"/>
                <w:szCs w:val="21"/>
                <w:highlight w:val="none"/>
              </w:rPr>
            </w:pPr>
            <w:r>
              <w:rPr>
                <w:rFonts w:hint="eastAsia" w:ascii="宋体" w:hAnsi="宋体"/>
                <w:b w:val="0"/>
                <w:bCs/>
                <w:color w:val="auto"/>
                <w:szCs w:val="21"/>
                <w:highlight w:val="none"/>
              </w:rPr>
              <w:t>提供合同原件的扫描件及正式发票原件的扫描件（对应合同的发票提供一张即可），未按要求提供的不得分。</w:t>
            </w:r>
          </w:p>
        </w:tc>
        <w:tc>
          <w:tcPr>
            <w:tcW w:w="892" w:type="dxa"/>
            <w:tcBorders>
              <w:top w:val="single" w:color="auto" w:sz="4" w:space="0"/>
              <w:left w:val="single" w:color="auto" w:sz="4" w:space="0"/>
              <w:right w:val="single" w:color="auto" w:sz="4" w:space="0"/>
            </w:tcBorders>
            <w:vAlign w:val="center"/>
          </w:tcPr>
          <w:p>
            <w:pPr>
              <w:spacing w:line="360" w:lineRule="auto"/>
              <w:jc w:val="center"/>
              <w:rPr>
                <w:color w:val="auto"/>
                <w:szCs w:val="21"/>
                <w:highlight w:val="none"/>
              </w:rPr>
            </w:pPr>
            <w:r>
              <w:rPr>
                <w:rFonts w:hint="eastAsia"/>
                <w:color w:val="auto"/>
                <w:szCs w:val="21"/>
                <w:highlight w:val="none"/>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2" w:hRule="atLeast"/>
          <w:tblHeader/>
        </w:trPr>
        <w:tc>
          <w:tcPr>
            <w:tcW w:w="851" w:type="dxa"/>
            <w:vMerge w:val="continue"/>
            <w:tcBorders>
              <w:left w:val="single" w:color="auto" w:sz="4" w:space="0"/>
              <w:right w:val="single" w:color="auto" w:sz="4" w:space="0"/>
            </w:tcBorders>
            <w:vAlign w:val="center"/>
          </w:tcPr>
          <w:p>
            <w:pPr>
              <w:widowControl/>
              <w:jc w:val="left"/>
              <w:rPr>
                <w:color w:val="auto"/>
                <w:szCs w:val="21"/>
                <w:highlight w:val="none"/>
              </w:rPr>
            </w:pPr>
          </w:p>
        </w:tc>
        <w:tc>
          <w:tcPr>
            <w:tcW w:w="568" w:type="dxa"/>
            <w:tcBorders>
              <w:top w:val="single" w:color="auto" w:sz="4" w:space="0"/>
              <w:left w:val="single" w:color="auto" w:sz="4" w:space="0"/>
              <w:right w:val="single" w:color="auto" w:sz="4" w:space="0"/>
            </w:tcBorders>
            <w:vAlign w:val="center"/>
          </w:tcPr>
          <w:p>
            <w:pPr>
              <w:snapToGrid w:val="0"/>
              <w:spacing w:line="360" w:lineRule="auto"/>
              <w:jc w:val="center"/>
              <w:rPr>
                <w:color w:val="auto"/>
                <w:szCs w:val="21"/>
                <w:highlight w:val="none"/>
              </w:rPr>
            </w:pPr>
            <w:r>
              <w:rPr>
                <w:rFonts w:hint="eastAsia"/>
                <w:color w:val="auto"/>
                <w:szCs w:val="21"/>
                <w:highlight w:val="none"/>
              </w:rPr>
              <w:t>2</w:t>
            </w:r>
          </w:p>
        </w:tc>
        <w:tc>
          <w:tcPr>
            <w:tcW w:w="1275" w:type="dxa"/>
            <w:tcBorders>
              <w:top w:val="single" w:color="auto" w:sz="4" w:space="0"/>
              <w:left w:val="single" w:color="auto" w:sz="4" w:space="0"/>
              <w:right w:val="single" w:color="auto" w:sz="4" w:space="0"/>
            </w:tcBorders>
            <w:vAlign w:val="center"/>
          </w:tcPr>
          <w:p>
            <w:pPr>
              <w:snapToGrid w:val="0"/>
              <w:jc w:val="center"/>
              <w:rPr>
                <w:bCs/>
                <w:color w:val="auto"/>
                <w:szCs w:val="21"/>
                <w:highlight w:val="none"/>
              </w:rPr>
            </w:pPr>
            <w:r>
              <w:rPr>
                <w:rFonts w:hint="eastAsia"/>
                <w:color w:val="auto"/>
                <w:szCs w:val="21"/>
                <w:highlight w:val="none"/>
              </w:rPr>
              <w:t>项目组成员</w:t>
            </w:r>
          </w:p>
        </w:tc>
        <w:tc>
          <w:tcPr>
            <w:tcW w:w="6804" w:type="dxa"/>
            <w:gridSpan w:val="2"/>
            <w:tcBorders>
              <w:top w:val="single" w:color="auto" w:sz="4" w:space="0"/>
              <w:left w:val="single" w:color="auto" w:sz="4" w:space="0"/>
              <w:right w:val="single" w:color="auto" w:sz="4" w:space="0"/>
            </w:tcBorders>
            <w:vAlign w:val="center"/>
          </w:tcPr>
          <w:p>
            <w:pPr>
              <w:numPr>
                <w:ilvl w:val="0"/>
                <w:numId w:val="5"/>
              </w:numPr>
              <w:spacing w:line="320" w:lineRule="exact"/>
              <w:rPr>
                <w:color w:val="auto"/>
                <w:highlight w:val="none"/>
              </w:rPr>
            </w:pPr>
            <w:r>
              <w:rPr>
                <w:rFonts w:hint="eastAsia"/>
                <w:color w:val="auto"/>
                <w:highlight w:val="none"/>
              </w:rPr>
              <w:t>项目负责人具备环境监测与评价高级职称的，得4分；中级及以上技术职称，得2分，没有证书的不得分。</w:t>
            </w:r>
          </w:p>
          <w:p>
            <w:pPr>
              <w:numPr>
                <w:ilvl w:val="0"/>
                <w:numId w:val="5"/>
              </w:numPr>
              <w:spacing w:line="320" w:lineRule="exact"/>
              <w:rPr>
                <w:color w:val="auto"/>
                <w:highlight w:val="none"/>
              </w:rPr>
            </w:pPr>
            <w:r>
              <w:rPr>
                <w:rFonts w:hint="eastAsia"/>
                <w:color w:val="auto"/>
                <w:highlight w:val="none"/>
              </w:rPr>
              <w:t>项目组主要人员应具备水环境、环保、环境工程、环境监测、给排水相关中级及以上职称，每提供一个专业证书得2分，最多8分。</w:t>
            </w:r>
          </w:p>
          <w:p>
            <w:pPr>
              <w:spacing w:line="320" w:lineRule="exact"/>
              <w:rPr>
                <w:color w:val="auto"/>
                <w:highlight w:val="none"/>
              </w:rPr>
            </w:pPr>
            <w:r>
              <w:rPr>
                <w:rFonts w:hint="eastAsia"/>
                <w:color w:val="auto"/>
                <w:highlight w:val="none"/>
              </w:rPr>
              <w:t>注：</w:t>
            </w:r>
          </w:p>
          <w:p>
            <w:pPr>
              <w:spacing w:line="320" w:lineRule="exact"/>
              <w:rPr>
                <w:color w:val="auto"/>
                <w:highlight w:val="none"/>
              </w:rPr>
            </w:pPr>
            <w:r>
              <w:rPr>
                <w:rFonts w:hint="eastAsia"/>
                <w:color w:val="auto"/>
                <w:highlight w:val="none"/>
              </w:rPr>
              <w:t>1、以上人员须提供社保部门出具的在投标截止时间前6个月以上（含6个月）投标人单位或分公司为其缴纳社保的证明；</w:t>
            </w:r>
          </w:p>
          <w:p>
            <w:pPr>
              <w:spacing w:line="320" w:lineRule="exact"/>
              <w:rPr>
                <w:color w:val="auto"/>
                <w:highlight w:val="none"/>
              </w:rPr>
            </w:pPr>
            <w:r>
              <w:rPr>
                <w:rFonts w:hint="eastAsia"/>
                <w:color w:val="auto"/>
                <w:highlight w:val="none"/>
              </w:rPr>
              <w:t>2、以上人员的相关证书</w:t>
            </w:r>
            <w:r>
              <w:rPr>
                <w:rFonts w:hint="eastAsia"/>
                <w:color w:val="auto"/>
                <w:highlight w:val="none"/>
                <w:lang w:val="en-US" w:eastAsia="zh-CN"/>
              </w:rPr>
              <w:t>扫描件</w:t>
            </w:r>
            <w:r>
              <w:rPr>
                <w:rFonts w:hint="eastAsia"/>
                <w:color w:val="auto"/>
                <w:highlight w:val="none"/>
              </w:rPr>
              <w:t>。</w:t>
            </w:r>
          </w:p>
        </w:tc>
        <w:tc>
          <w:tcPr>
            <w:tcW w:w="892" w:type="dxa"/>
            <w:tcBorders>
              <w:top w:val="single" w:color="auto" w:sz="4" w:space="0"/>
              <w:left w:val="single" w:color="auto" w:sz="4" w:space="0"/>
              <w:right w:val="single" w:color="auto" w:sz="4" w:space="0"/>
            </w:tcBorders>
            <w:vAlign w:val="center"/>
          </w:tcPr>
          <w:p>
            <w:pPr>
              <w:snapToGrid w:val="0"/>
              <w:jc w:val="center"/>
              <w:rPr>
                <w:color w:val="auto"/>
                <w:szCs w:val="21"/>
                <w:highlight w:val="none"/>
              </w:rPr>
            </w:pPr>
            <w:r>
              <w:rPr>
                <w:rFonts w:hint="eastAsia"/>
                <w:color w:val="auto"/>
                <w:highlight w:val="none"/>
              </w:rPr>
              <w:t>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2" w:hRule="atLeast"/>
          <w:tblHeader/>
        </w:trPr>
        <w:tc>
          <w:tcPr>
            <w:tcW w:w="851" w:type="dxa"/>
            <w:vMerge w:val="continue"/>
            <w:tcBorders>
              <w:left w:val="single" w:color="auto" w:sz="4" w:space="0"/>
              <w:bottom w:val="single" w:color="auto" w:sz="4" w:space="0"/>
              <w:right w:val="single" w:color="auto" w:sz="4" w:space="0"/>
            </w:tcBorders>
            <w:vAlign w:val="center"/>
          </w:tcPr>
          <w:p>
            <w:pPr>
              <w:widowControl/>
              <w:jc w:val="left"/>
              <w:rPr>
                <w:color w:val="auto"/>
                <w:szCs w:val="21"/>
                <w:highlight w:val="none"/>
              </w:rPr>
            </w:pPr>
          </w:p>
        </w:tc>
        <w:tc>
          <w:tcPr>
            <w:tcW w:w="568" w:type="dxa"/>
            <w:tcBorders>
              <w:top w:val="single" w:color="auto" w:sz="4" w:space="0"/>
              <w:left w:val="single" w:color="auto" w:sz="4" w:space="0"/>
              <w:right w:val="single" w:color="auto" w:sz="4" w:space="0"/>
            </w:tcBorders>
            <w:vAlign w:val="center"/>
          </w:tcPr>
          <w:p>
            <w:pPr>
              <w:snapToGrid w:val="0"/>
              <w:spacing w:line="360" w:lineRule="auto"/>
              <w:jc w:val="center"/>
              <w:rPr>
                <w:color w:val="auto"/>
                <w:szCs w:val="21"/>
                <w:highlight w:val="none"/>
              </w:rPr>
            </w:pPr>
            <w:r>
              <w:rPr>
                <w:rFonts w:hint="eastAsia"/>
                <w:color w:val="auto"/>
                <w:szCs w:val="21"/>
                <w:highlight w:val="none"/>
              </w:rPr>
              <w:t>3</w:t>
            </w:r>
          </w:p>
        </w:tc>
        <w:tc>
          <w:tcPr>
            <w:tcW w:w="1275" w:type="dxa"/>
            <w:tcBorders>
              <w:top w:val="single" w:color="auto" w:sz="4" w:space="0"/>
              <w:left w:val="single" w:color="auto" w:sz="4" w:space="0"/>
              <w:right w:val="single" w:color="auto" w:sz="4" w:space="0"/>
            </w:tcBorders>
            <w:vAlign w:val="center"/>
          </w:tcPr>
          <w:p>
            <w:pPr>
              <w:snapToGrid w:val="0"/>
              <w:jc w:val="center"/>
              <w:rPr>
                <w:color w:val="auto"/>
                <w:szCs w:val="21"/>
                <w:highlight w:val="none"/>
              </w:rPr>
            </w:pPr>
            <w:r>
              <w:rPr>
                <w:rFonts w:hint="eastAsia"/>
                <w:color w:val="auto"/>
                <w:szCs w:val="21"/>
                <w:highlight w:val="none"/>
              </w:rPr>
              <w:t>技术实力</w:t>
            </w:r>
          </w:p>
        </w:tc>
        <w:tc>
          <w:tcPr>
            <w:tcW w:w="6804" w:type="dxa"/>
            <w:gridSpan w:val="2"/>
            <w:tcBorders>
              <w:top w:val="single" w:color="auto" w:sz="4" w:space="0"/>
              <w:left w:val="single" w:color="auto" w:sz="4" w:space="0"/>
              <w:right w:val="single" w:color="auto" w:sz="4" w:space="0"/>
            </w:tcBorders>
            <w:vAlign w:val="center"/>
          </w:tcPr>
          <w:p>
            <w:pPr>
              <w:numPr>
                <w:ilvl w:val="0"/>
                <w:numId w:val="6"/>
              </w:numPr>
              <w:spacing w:line="320" w:lineRule="exact"/>
              <w:rPr>
                <w:rFonts w:hAnsi="宋体"/>
                <w:color w:val="auto"/>
                <w:szCs w:val="21"/>
                <w:highlight w:val="none"/>
              </w:rPr>
            </w:pPr>
            <w:r>
              <w:rPr>
                <w:rFonts w:hAnsi="宋体"/>
                <w:bCs/>
                <w:color w:val="auto"/>
                <w:kern w:val="0"/>
                <w:szCs w:val="21"/>
                <w:highlight w:val="none"/>
              </w:rPr>
              <w:t>具有</w:t>
            </w:r>
            <w:r>
              <w:rPr>
                <w:rFonts w:hint="eastAsia" w:hAnsi="宋体"/>
                <w:bCs/>
                <w:color w:val="auto"/>
                <w:kern w:val="0"/>
                <w:szCs w:val="21"/>
                <w:highlight w:val="none"/>
              </w:rPr>
              <w:t>水生态环境相关的</w:t>
            </w:r>
            <w:r>
              <w:rPr>
                <w:rFonts w:hAnsi="宋体"/>
                <w:bCs/>
                <w:color w:val="auto"/>
                <w:kern w:val="0"/>
                <w:szCs w:val="21"/>
                <w:highlight w:val="none"/>
              </w:rPr>
              <w:t>院士团队或</w:t>
            </w:r>
            <w:r>
              <w:rPr>
                <w:rFonts w:hint="eastAsia" w:hAnsi="宋体"/>
                <w:bCs/>
                <w:color w:val="auto"/>
                <w:kern w:val="0"/>
                <w:szCs w:val="21"/>
                <w:highlight w:val="none"/>
              </w:rPr>
              <w:t>设有</w:t>
            </w:r>
            <w:r>
              <w:rPr>
                <w:rFonts w:hAnsi="宋体"/>
                <w:bCs/>
                <w:color w:val="auto"/>
                <w:kern w:val="0"/>
                <w:szCs w:val="21"/>
                <w:highlight w:val="none"/>
              </w:rPr>
              <w:t>院士工作站</w:t>
            </w:r>
            <w:r>
              <w:rPr>
                <w:rFonts w:hint="eastAsia" w:hAnsi="宋体"/>
                <w:bCs/>
                <w:color w:val="auto"/>
                <w:kern w:val="0"/>
                <w:szCs w:val="21"/>
                <w:highlight w:val="none"/>
              </w:rPr>
              <w:t>，</w:t>
            </w:r>
            <w:r>
              <w:rPr>
                <w:rFonts w:hAnsi="宋体"/>
                <w:bCs/>
                <w:color w:val="auto"/>
                <w:kern w:val="0"/>
                <w:szCs w:val="21"/>
                <w:highlight w:val="none"/>
              </w:rPr>
              <w:t>得</w:t>
            </w:r>
            <w:r>
              <w:rPr>
                <w:rFonts w:hint="eastAsia" w:hAnsi="宋体"/>
                <w:bCs/>
                <w:color w:val="auto"/>
                <w:kern w:val="0"/>
                <w:szCs w:val="21"/>
                <w:highlight w:val="none"/>
              </w:rPr>
              <w:t>2分；</w:t>
            </w:r>
            <w:r>
              <w:rPr>
                <w:rFonts w:hint="eastAsia" w:hAnsi="宋体"/>
                <w:color w:val="auto"/>
                <w:szCs w:val="21"/>
                <w:highlight w:val="none"/>
              </w:rPr>
              <w:t>否则不得分</w:t>
            </w:r>
            <w:r>
              <w:rPr>
                <w:rFonts w:hint="eastAsia" w:hAnsi="宋体"/>
                <w:bCs/>
                <w:color w:val="auto"/>
                <w:kern w:val="0"/>
                <w:szCs w:val="21"/>
                <w:highlight w:val="none"/>
              </w:rPr>
              <w:t>。</w:t>
            </w:r>
          </w:p>
          <w:p>
            <w:pPr>
              <w:numPr>
                <w:ilvl w:val="0"/>
                <w:numId w:val="6"/>
              </w:numPr>
              <w:spacing w:line="320" w:lineRule="exact"/>
              <w:rPr>
                <w:rFonts w:hAnsi="宋体"/>
                <w:color w:val="auto"/>
                <w:szCs w:val="21"/>
                <w:highlight w:val="none"/>
              </w:rPr>
            </w:pPr>
            <w:r>
              <w:rPr>
                <w:rFonts w:hint="eastAsia" w:hAnsi="宋体"/>
                <w:bCs/>
                <w:color w:val="auto"/>
                <w:kern w:val="0"/>
                <w:szCs w:val="21"/>
                <w:highlight w:val="none"/>
              </w:rPr>
              <w:t>具有水生态环境相关省级及以上重点实验室作为技术支撑，得2分；否则不得分。</w:t>
            </w:r>
          </w:p>
          <w:p>
            <w:pPr>
              <w:spacing w:line="320" w:lineRule="exact"/>
              <w:rPr>
                <w:rFonts w:hAnsi="宋体"/>
                <w:color w:val="auto"/>
                <w:szCs w:val="21"/>
                <w:highlight w:val="none"/>
              </w:rPr>
            </w:pPr>
            <w:r>
              <w:rPr>
                <w:rFonts w:hint="eastAsia" w:hAnsi="宋体"/>
                <w:b w:val="0"/>
                <w:bCs/>
                <w:color w:val="auto"/>
                <w:kern w:val="0"/>
                <w:szCs w:val="21"/>
                <w:highlight w:val="none"/>
              </w:rPr>
              <w:t>须提供相关有效证明</w:t>
            </w:r>
            <w:r>
              <w:rPr>
                <w:rFonts w:hint="eastAsia" w:ascii="Times New Roman" w:eastAsia="宋体"/>
                <w:b w:val="0"/>
                <w:bCs/>
                <w:color w:val="auto"/>
                <w:highlight w:val="none"/>
                <w:lang w:val="en-US" w:eastAsia="zh-CN"/>
              </w:rPr>
              <w:t>扫描件</w:t>
            </w:r>
            <w:r>
              <w:rPr>
                <w:rFonts w:hint="eastAsia" w:hAnsi="宋体"/>
                <w:b w:val="0"/>
                <w:bCs/>
                <w:color w:val="auto"/>
                <w:kern w:val="0"/>
                <w:szCs w:val="21"/>
                <w:highlight w:val="none"/>
              </w:rPr>
              <w:t>。</w:t>
            </w:r>
          </w:p>
        </w:tc>
        <w:tc>
          <w:tcPr>
            <w:tcW w:w="892" w:type="dxa"/>
            <w:tcBorders>
              <w:top w:val="single" w:color="auto" w:sz="4" w:space="0"/>
              <w:left w:val="single" w:color="auto" w:sz="4" w:space="0"/>
              <w:right w:val="single" w:color="auto" w:sz="4" w:space="0"/>
            </w:tcBorders>
            <w:vAlign w:val="center"/>
          </w:tcPr>
          <w:p>
            <w:pPr>
              <w:snapToGrid w:val="0"/>
              <w:jc w:val="center"/>
              <w:rPr>
                <w:color w:val="auto"/>
                <w:highlight w:val="none"/>
              </w:rPr>
            </w:pPr>
            <w:r>
              <w:rPr>
                <w:rFonts w:hint="eastAsia"/>
                <w:color w:val="auto"/>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851" w:type="dxa"/>
            <w:vMerge w:val="restart"/>
            <w:tcBorders>
              <w:top w:val="single" w:color="auto" w:sz="4" w:space="0"/>
              <w:left w:val="single" w:color="auto" w:sz="4" w:space="0"/>
              <w:bottom w:val="single" w:color="auto" w:sz="4" w:space="0"/>
              <w:right w:val="single" w:color="auto" w:sz="4" w:space="0"/>
            </w:tcBorders>
            <w:vAlign w:val="center"/>
          </w:tcPr>
          <w:p>
            <w:pPr>
              <w:jc w:val="left"/>
              <w:rPr>
                <w:color w:val="auto"/>
                <w:szCs w:val="21"/>
                <w:highlight w:val="none"/>
              </w:rPr>
            </w:pPr>
            <w:r>
              <w:rPr>
                <w:rFonts w:hint="eastAsia"/>
                <w:color w:val="auto"/>
                <w:szCs w:val="21"/>
                <w:highlight w:val="none"/>
              </w:rPr>
              <w:t>技术部分</w:t>
            </w:r>
          </w:p>
        </w:tc>
        <w:tc>
          <w:tcPr>
            <w:tcW w:w="568"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highlight w:val="none"/>
              </w:rPr>
            </w:pPr>
            <w:r>
              <w:rPr>
                <w:rFonts w:hint="eastAsia"/>
                <w:color w:val="auto"/>
                <w:szCs w:val="21"/>
                <w:highlight w:val="none"/>
              </w:rPr>
              <w:t>4</w:t>
            </w:r>
          </w:p>
        </w:tc>
        <w:tc>
          <w:tcPr>
            <w:tcW w:w="1275" w:type="dxa"/>
            <w:vMerge w:val="restart"/>
            <w:tcBorders>
              <w:top w:val="single" w:color="auto" w:sz="4" w:space="0"/>
              <w:left w:val="single" w:color="auto" w:sz="4" w:space="0"/>
              <w:bottom w:val="single" w:color="auto" w:sz="4" w:space="0"/>
              <w:right w:val="single" w:color="auto" w:sz="4" w:space="0"/>
            </w:tcBorders>
            <w:vAlign w:val="center"/>
          </w:tcPr>
          <w:p>
            <w:pPr>
              <w:snapToGrid w:val="0"/>
              <w:jc w:val="left"/>
              <w:rPr>
                <w:color w:val="auto"/>
                <w:szCs w:val="21"/>
                <w:highlight w:val="none"/>
              </w:rPr>
            </w:pPr>
            <w:r>
              <w:rPr>
                <w:rFonts w:hint="eastAsia"/>
                <w:color w:val="auto"/>
                <w:szCs w:val="21"/>
                <w:highlight w:val="none"/>
              </w:rPr>
              <w:t>实施方案</w:t>
            </w:r>
          </w:p>
        </w:tc>
        <w:tc>
          <w:tcPr>
            <w:tcW w:w="993"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项目需求分析</w:t>
            </w:r>
          </w:p>
        </w:tc>
        <w:tc>
          <w:tcPr>
            <w:tcW w:w="5811"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对项目需求理解、分析的准确性和完整性，分析的准确、完整的的得12.0-9.0分，分析的准确性欠缺的、完整性一般的得8.9-6.0分，分析的不准确、不完整的得5.9-1.0分，缺项得0分。</w:t>
            </w:r>
          </w:p>
        </w:tc>
        <w:tc>
          <w:tcPr>
            <w:tcW w:w="8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blHeader/>
        </w:trPr>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Cs w:val="21"/>
                <w:highlight w:val="none"/>
              </w:rPr>
            </w:pPr>
          </w:p>
        </w:tc>
        <w:tc>
          <w:tcPr>
            <w:tcW w:w="56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Cs w:val="21"/>
                <w:highlight w:val="none"/>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Cs w:val="21"/>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highlight w:val="none"/>
              </w:rPr>
              <w:t>重点、难点分析</w:t>
            </w:r>
          </w:p>
        </w:tc>
        <w:tc>
          <w:tcPr>
            <w:tcW w:w="5811"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Theme="minorEastAsia" w:hAnsiTheme="minorEastAsia" w:eastAsiaTheme="minorEastAsia" w:cstheme="minorEastAsia"/>
                <w:color w:val="auto"/>
                <w:sz w:val="16"/>
                <w:szCs w:val="21"/>
                <w:highlight w:val="none"/>
              </w:rPr>
            </w:pPr>
            <w:r>
              <w:rPr>
                <w:rFonts w:hint="eastAsia" w:asciiTheme="minorEastAsia" w:hAnsiTheme="minorEastAsia" w:eastAsiaTheme="minorEastAsia" w:cstheme="minorEastAsia"/>
                <w:color w:val="auto"/>
                <w:highlight w:val="none"/>
              </w:rPr>
              <w:t>本项目重点、难点分析准确、到位的得16.0-12.0分，分析的基本准确到位的得11.9-8.0分，分析的一般的得7.9-1.0分，缺项不得分。</w:t>
            </w:r>
          </w:p>
        </w:tc>
        <w:tc>
          <w:tcPr>
            <w:tcW w:w="8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blHeader/>
        </w:trPr>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Cs w:val="21"/>
                <w:highlight w:val="none"/>
              </w:rPr>
            </w:pPr>
          </w:p>
        </w:tc>
        <w:tc>
          <w:tcPr>
            <w:tcW w:w="56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Cs w:val="21"/>
                <w:highlight w:val="none"/>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Cs w:val="21"/>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质量控制</w:t>
            </w:r>
          </w:p>
        </w:tc>
        <w:tc>
          <w:tcPr>
            <w:tcW w:w="5811"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根据投标人提供的针对本项目的质量保证措施，质量保证措施完善，具有很强的保证性的得8.0-6.0分，保证性一般的得5.9-4.0分，保证性差的得3.9-1.0分，缺项0分。</w:t>
            </w:r>
          </w:p>
        </w:tc>
        <w:tc>
          <w:tcPr>
            <w:tcW w:w="8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blHeader/>
        </w:trPr>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Cs w:val="21"/>
                <w:highlight w:val="none"/>
              </w:rPr>
            </w:pPr>
          </w:p>
        </w:tc>
        <w:tc>
          <w:tcPr>
            <w:tcW w:w="56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Cs w:val="21"/>
                <w:highlight w:val="none"/>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Cs w:val="21"/>
                <w:highlight w:val="none"/>
              </w:rPr>
            </w:pPr>
          </w:p>
        </w:tc>
        <w:tc>
          <w:tcPr>
            <w:tcW w:w="993" w:type="dxa"/>
            <w:tcBorders>
              <w:top w:val="single" w:color="auto" w:sz="4" w:space="0"/>
              <w:left w:val="single" w:color="auto" w:sz="4" w:space="0"/>
              <w:right w:val="single" w:color="auto" w:sz="4" w:space="0"/>
            </w:tcBorders>
            <w:vAlign w:val="center"/>
          </w:tcPr>
          <w:p>
            <w:pPr>
              <w:snapToGrid w:val="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安全管理</w:t>
            </w:r>
          </w:p>
        </w:tc>
        <w:tc>
          <w:tcPr>
            <w:tcW w:w="5811" w:type="dxa"/>
            <w:tcBorders>
              <w:top w:val="single" w:color="auto" w:sz="4" w:space="0"/>
              <w:left w:val="single" w:color="auto" w:sz="4" w:space="0"/>
              <w:right w:val="single" w:color="auto" w:sz="4" w:space="0"/>
            </w:tcBorders>
            <w:vAlign w:val="center"/>
          </w:tcPr>
          <w:p>
            <w:pPr>
              <w:snapToGrid w:val="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根据投标人提供的针对本项目的安全保证，安全保证措施情况具有很强的保证性的得8.0-6.0分，保证性一般的得5.9-4.0分，保证性差的得3.9-1.0分，缺项0分。</w:t>
            </w:r>
          </w:p>
        </w:tc>
        <w:tc>
          <w:tcPr>
            <w:tcW w:w="892" w:type="dxa"/>
            <w:tcBorders>
              <w:top w:val="single" w:color="auto" w:sz="4" w:space="0"/>
              <w:left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blHeader/>
        </w:trPr>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Cs w:val="21"/>
                <w:highlight w:val="none"/>
              </w:rPr>
            </w:pPr>
          </w:p>
        </w:tc>
        <w:tc>
          <w:tcPr>
            <w:tcW w:w="56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Cs w:val="21"/>
                <w:highlight w:val="none"/>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Cs w:val="21"/>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施工设备</w:t>
            </w:r>
          </w:p>
        </w:tc>
        <w:tc>
          <w:tcPr>
            <w:tcW w:w="5811"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highlight w:val="none"/>
              </w:rPr>
              <w:t>施工设备和检验仪器的投入情况，完全满足项目需求的得4.0-3.0分，基本满足项目需求的得2.9-2.0分，不完全满足的得1.9-1.0分，缺项0分。</w:t>
            </w:r>
          </w:p>
        </w:tc>
        <w:tc>
          <w:tcPr>
            <w:tcW w:w="8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blHeader/>
        </w:trPr>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Cs w:val="21"/>
                <w:highlight w:val="none"/>
              </w:rPr>
            </w:pPr>
          </w:p>
        </w:tc>
        <w:tc>
          <w:tcPr>
            <w:tcW w:w="56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Cs w:val="21"/>
                <w:highlight w:val="none"/>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Cs w:val="21"/>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应急预案</w:t>
            </w:r>
          </w:p>
        </w:tc>
        <w:tc>
          <w:tcPr>
            <w:tcW w:w="5811"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项目在实施过程中就突发事件的应急处置机制与预案描述，方案实施性强的得6.0-5.0分，方案实施性一般的4.9-4.0分，方案实施性差的3.9-1.0分，缺项0分。</w:t>
            </w:r>
          </w:p>
        </w:tc>
        <w:tc>
          <w:tcPr>
            <w:tcW w:w="8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blHeader/>
        </w:trPr>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Cs w:val="21"/>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highlight w:val="none"/>
              </w:rPr>
            </w:pPr>
            <w:r>
              <w:rPr>
                <w:rFonts w:hint="eastAsia"/>
                <w:color w:val="auto"/>
                <w:szCs w:val="21"/>
                <w:highlight w:val="none"/>
              </w:rPr>
              <w:t>5</w:t>
            </w:r>
          </w:p>
        </w:tc>
        <w:tc>
          <w:tcPr>
            <w:tcW w:w="1275" w:type="dxa"/>
            <w:tcBorders>
              <w:top w:val="single" w:color="auto" w:sz="4" w:space="0"/>
              <w:left w:val="single" w:color="auto" w:sz="4" w:space="0"/>
              <w:bottom w:val="single" w:color="auto" w:sz="4" w:space="0"/>
              <w:right w:val="single" w:color="auto" w:sz="4" w:space="0"/>
            </w:tcBorders>
            <w:vAlign w:val="center"/>
          </w:tcPr>
          <w:p>
            <w:pPr>
              <w:snapToGrid w:val="0"/>
              <w:jc w:val="left"/>
              <w:rPr>
                <w:color w:val="auto"/>
                <w:szCs w:val="21"/>
                <w:highlight w:val="none"/>
              </w:rPr>
            </w:pPr>
            <w:r>
              <w:rPr>
                <w:rFonts w:hint="eastAsia"/>
                <w:color w:val="auto"/>
                <w:szCs w:val="21"/>
                <w:highlight w:val="none"/>
              </w:rPr>
              <w:t>成果的合理性、实用性、完整性</w:t>
            </w:r>
          </w:p>
        </w:tc>
        <w:tc>
          <w:tcPr>
            <w:tcW w:w="6804" w:type="dxa"/>
            <w:gridSpan w:val="2"/>
            <w:tcBorders>
              <w:top w:val="single" w:color="auto" w:sz="4" w:space="0"/>
              <w:left w:val="single" w:color="auto" w:sz="4" w:space="0"/>
              <w:bottom w:val="single" w:color="auto" w:sz="4" w:space="0"/>
              <w:right w:val="single" w:color="auto" w:sz="4" w:space="0"/>
            </w:tcBorders>
            <w:vAlign w:val="center"/>
          </w:tcPr>
          <w:p>
            <w:pPr>
              <w:snapToGrid w:val="0"/>
              <w:jc w:val="left"/>
              <w:rPr>
                <w:rFonts w:ascii="宋体" w:hAnsi="宋体"/>
                <w:color w:val="auto"/>
                <w:szCs w:val="21"/>
                <w:highlight w:val="none"/>
              </w:rPr>
            </w:pPr>
            <w:r>
              <w:rPr>
                <w:rFonts w:hint="eastAsia" w:ascii="宋体" w:hAnsi="宋体"/>
                <w:color w:val="auto"/>
                <w:szCs w:val="21"/>
                <w:highlight w:val="none"/>
              </w:rPr>
              <w:t>投标人拟提交</w:t>
            </w:r>
            <w:r>
              <w:rPr>
                <w:rFonts w:hint="eastAsia"/>
                <w:color w:val="auto"/>
                <w:szCs w:val="21"/>
                <w:highlight w:val="none"/>
              </w:rPr>
              <w:t>成果的合理性、实用性、完整性综合评价，</w:t>
            </w:r>
            <w:r>
              <w:rPr>
                <w:rFonts w:hint="eastAsia" w:ascii="宋体" w:hAnsi="宋体"/>
                <w:color w:val="auto"/>
                <w:szCs w:val="21"/>
                <w:highlight w:val="none"/>
              </w:rPr>
              <w:t>好的得8.0-6.0分，一般的5.9-4.0分，差的3.9-1.0分，缺项0分。</w:t>
            </w:r>
          </w:p>
        </w:tc>
        <w:tc>
          <w:tcPr>
            <w:tcW w:w="8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auto"/>
                <w:szCs w:val="21"/>
                <w:highlight w:val="none"/>
              </w:rPr>
            </w:pPr>
            <w:r>
              <w:rPr>
                <w:rFonts w:hint="eastAsia"/>
                <w:color w:val="auto"/>
                <w:szCs w:val="21"/>
                <w:highlight w:val="none"/>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tblHeader/>
        </w:trPr>
        <w:tc>
          <w:tcPr>
            <w:tcW w:w="851"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highlight w:val="none"/>
              </w:rPr>
            </w:pPr>
            <w:r>
              <w:rPr>
                <w:rFonts w:hint="eastAsia"/>
                <w:color w:val="auto"/>
                <w:szCs w:val="21"/>
                <w:highlight w:val="none"/>
              </w:rPr>
              <w:t>服务价格</w:t>
            </w:r>
          </w:p>
        </w:tc>
        <w:tc>
          <w:tcPr>
            <w:tcW w:w="568"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highlight w:val="none"/>
              </w:rPr>
            </w:pPr>
            <w:r>
              <w:rPr>
                <w:rFonts w:hint="eastAsia"/>
                <w:color w:val="auto"/>
                <w:szCs w:val="21"/>
                <w:highlight w:val="none"/>
              </w:rPr>
              <w:t>6</w:t>
            </w:r>
          </w:p>
        </w:tc>
        <w:tc>
          <w:tcPr>
            <w:tcW w:w="8079" w:type="dxa"/>
            <w:gridSpan w:val="3"/>
            <w:tcBorders>
              <w:top w:val="single" w:color="auto" w:sz="4" w:space="0"/>
              <w:left w:val="single" w:color="auto" w:sz="4" w:space="0"/>
              <w:bottom w:val="single" w:color="auto" w:sz="4" w:space="0"/>
              <w:right w:val="single" w:color="auto" w:sz="4" w:space="0"/>
            </w:tcBorders>
            <w:vAlign w:val="center"/>
          </w:tcPr>
          <w:p>
            <w:pPr>
              <w:snapToGrid w:val="0"/>
              <w:jc w:val="left"/>
              <w:rPr>
                <w:color w:val="auto"/>
                <w:szCs w:val="21"/>
                <w:highlight w:val="none"/>
              </w:rPr>
            </w:pPr>
            <w:r>
              <w:rPr>
                <w:rFonts w:hint="eastAsia" w:ascii="宋体" w:hAnsi="宋体" w:cs="宋体"/>
                <w:color w:val="auto"/>
                <w:szCs w:val="21"/>
                <w:highlight w:val="none"/>
              </w:rPr>
              <w:t>取投标合格供应商的投标报价最低价为基准价。基准价为20分。投标报价得分＝（评标基准价/投标报价）×20%×100（小数点后保留2位小数）。</w:t>
            </w:r>
          </w:p>
        </w:tc>
        <w:tc>
          <w:tcPr>
            <w:tcW w:w="892" w:type="dxa"/>
            <w:tcBorders>
              <w:top w:val="single" w:color="auto" w:sz="4" w:space="0"/>
              <w:left w:val="single" w:color="auto" w:sz="4" w:space="0"/>
              <w:bottom w:val="single" w:color="auto" w:sz="4" w:space="0"/>
              <w:right w:val="single" w:color="auto" w:sz="4" w:space="0"/>
            </w:tcBorders>
            <w:vAlign w:val="center"/>
          </w:tcPr>
          <w:p>
            <w:pPr>
              <w:snapToGrid w:val="0"/>
              <w:jc w:val="center"/>
              <w:rPr>
                <w:color w:val="auto"/>
                <w:szCs w:val="21"/>
                <w:highlight w:val="none"/>
              </w:rPr>
            </w:pPr>
            <w:r>
              <w:rPr>
                <w:rFonts w:hint="eastAsia"/>
                <w:color w:val="auto"/>
                <w:szCs w:val="21"/>
                <w:highlight w:val="none"/>
              </w:rPr>
              <w:t>20分</w:t>
            </w:r>
          </w:p>
        </w:tc>
      </w:tr>
    </w:tbl>
    <w:p>
      <w:pPr>
        <w:spacing w:line="360" w:lineRule="auto"/>
        <w:rPr>
          <w:rFonts w:ascii="宋体" w:hAnsi="宋体"/>
          <w:b/>
          <w:color w:val="auto"/>
          <w:sz w:val="28"/>
          <w:szCs w:val="28"/>
          <w:highlight w:val="none"/>
        </w:rPr>
      </w:pPr>
    </w:p>
    <w:p>
      <w:pPr>
        <w:spacing w:line="360" w:lineRule="auto"/>
        <w:rPr>
          <w:rFonts w:ascii="宋体" w:hAnsi="宋体"/>
          <w:b/>
          <w:color w:val="auto"/>
          <w:sz w:val="28"/>
          <w:szCs w:val="28"/>
          <w:highlight w:val="none"/>
        </w:rPr>
      </w:pPr>
    </w:p>
    <w:p>
      <w:pPr>
        <w:spacing w:line="360" w:lineRule="auto"/>
        <w:rPr>
          <w:rFonts w:ascii="宋体" w:hAnsi="宋体"/>
          <w:b/>
          <w:color w:val="auto"/>
          <w:sz w:val="28"/>
          <w:szCs w:val="28"/>
          <w:highlight w:val="none"/>
        </w:rPr>
      </w:pPr>
    </w:p>
    <w:p>
      <w:pPr>
        <w:spacing w:line="360" w:lineRule="auto"/>
        <w:rPr>
          <w:rFonts w:ascii="宋体" w:hAnsi="宋体"/>
          <w:b/>
          <w:color w:val="auto"/>
          <w:sz w:val="28"/>
          <w:szCs w:val="28"/>
          <w:highlight w:val="none"/>
        </w:rPr>
      </w:pPr>
    </w:p>
    <w:p>
      <w:pPr>
        <w:spacing w:line="360" w:lineRule="auto"/>
        <w:rPr>
          <w:rFonts w:ascii="宋体" w:hAnsi="宋体"/>
          <w:b/>
          <w:color w:val="auto"/>
          <w:sz w:val="28"/>
          <w:szCs w:val="28"/>
          <w:highlight w:val="none"/>
        </w:rPr>
      </w:pPr>
    </w:p>
    <w:p>
      <w:pPr>
        <w:spacing w:line="360" w:lineRule="auto"/>
        <w:rPr>
          <w:rFonts w:ascii="宋体" w:hAnsi="宋体"/>
          <w:b/>
          <w:color w:val="auto"/>
          <w:sz w:val="28"/>
          <w:szCs w:val="28"/>
          <w:highlight w:val="none"/>
        </w:rPr>
      </w:pPr>
    </w:p>
    <w:p>
      <w:pPr>
        <w:numPr>
          <w:ilvl w:val="0"/>
          <w:numId w:val="3"/>
        </w:numPr>
        <w:spacing w:line="360" w:lineRule="auto"/>
        <w:jc w:val="center"/>
        <w:rPr>
          <w:rFonts w:ascii="宋体" w:hAnsi="宋体"/>
          <w:b/>
          <w:color w:val="auto"/>
          <w:sz w:val="36"/>
          <w:szCs w:val="36"/>
          <w:highlight w:val="none"/>
        </w:rPr>
        <w:sectPr>
          <w:pgSz w:w="11906" w:h="16838"/>
          <w:pgMar w:top="1440" w:right="1800" w:bottom="1440" w:left="1800" w:header="851" w:footer="992" w:gutter="0"/>
          <w:cols w:space="425" w:num="1"/>
          <w:docGrid w:type="lines" w:linePitch="312" w:charSpace="0"/>
        </w:sectPr>
      </w:pPr>
    </w:p>
    <w:p>
      <w:pPr>
        <w:numPr>
          <w:ilvl w:val="0"/>
          <w:numId w:val="3"/>
        </w:numPr>
        <w:spacing w:line="360" w:lineRule="auto"/>
        <w:jc w:val="center"/>
        <w:rPr>
          <w:rFonts w:ascii="宋体" w:hAnsi="宋体"/>
          <w:b/>
          <w:color w:val="auto"/>
          <w:sz w:val="36"/>
          <w:szCs w:val="36"/>
          <w:highlight w:val="none"/>
        </w:rPr>
      </w:pPr>
      <w:r>
        <w:rPr>
          <w:rFonts w:hint="eastAsia" w:ascii="宋体" w:hAnsi="宋体"/>
          <w:b/>
          <w:color w:val="auto"/>
          <w:sz w:val="36"/>
          <w:szCs w:val="36"/>
          <w:highlight w:val="none"/>
        </w:rPr>
        <w:t>招标需求</w:t>
      </w:r>
    </w:p>
    <w:p>
      <w:pPr>
        <w:spacing w:line="360" w:lineRule="auto"/>
        <w:ind w:firstLine="480" w:firstLineChars="2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一、拟派人员、设备要求</w:t>
      </w:r>
    </w:p>
    <w:p>
      <w:pPr>
        <w:spacing w:line="360" w:lineRule="auto"/>
        <w:ind w:firstLine="240" w:firstLineChars="1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项目技术人员服务人员10人，具备编制检测报告、项目报告等的专业能力，具备项目落地操作能力，项目组成人员要求服务期间不得随意更换，特殊情况必须更换的，更换人员满足工作及工作组组成要求的，经单位书面同意后，方可进行，否则视同中标人违约；投标人须做出项目组组成人员结构及同等人员更换承诺；其中需常驻业主单位办公4人，配合业主完成服务内容相关工作，其中2人需具备两年及以上五水共治（河长制）相关项目工作经验，能够负责日常项目统筹对接且具备C1及以上车辆驾驶证，如常驻项目人员不符合业主要求的视同中标人违约（</w:t>
      </w:r>
      <w:r>
        <w:rPr>
          <w:rFonts w:hint="eastAsia" w:asciiTheme="minorEastAsia" w:hAnsiTheme="minorEastAsia" w:eastAsiaTheme="minorEastAsia" w:cstheme="minorEastAsia"/>
          <w:color w:val="auto"/>
          <w:sz w:val="24"/>
          <w:highlight w:val="none"/>
        </w:rPr>
        <w:t>上述常驻2人，应具备环保、环境工程、环境监测、水环境、给排水等专业中之一中级及以上职称</w:t>
      </w:r>
      <w:r>
        <w:rPr>
          <w:rFonts w:hint="eastAsia" w:asciiTheme="minorEastAsia" w:hAnsiTheme="minorEastAsia" w:eastAsiaTheme="minorEastAsia" w:cstheme="minorEastAsia"/>
          <w:color w:val="auto"/>
          <w:sz w:val="24"/>
          <w:highlight w:val="none"/>
        </w:rPr>
        <w:t>）。</w:t>
      </w:r>
    </w:p>
    <w:p>
      <w:pPr>
        <w:spacing w:line="360" w:lineRule="auto"/>
        <w:ind w:firstLine="240" w:firstLineChars="1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（2）现状调研、方案汇报等重要关键性工作必须由项目负责人（项目经理）带队负责，投标人须做出承诺；</w:t>
      </w:r>
    </w:p>
    <w:p>
      <w:pPr>
        <w:spacing w:line="360" w:lineRule="auto"/>
        <w:ind w:firstLine="240" w:firstLineChars="1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（3）投标人须安排相关人员配合好采购人对本项目进行中相关联的工作，如方案汇报、成果报批等，列入实施方案中；</w:t>
      </w:r>
    </w:p>
    <w:p>
      <w:pPr>
        <w:spacing w:line="360" w:lineRule="auto"/>
        <w:ind w:firstLine="240" w:firstLineChars="1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（4）投标人须简明扼要的列出实施方案与质量保证梗概，并在要求递交的文件中进行详细论述；投标人未递交招标文件要求的文件与内容，是投标人的投标风险。</w:t>
      </w:r>
    </w:p>
    <w:p>
      <w:pPr>
        <w:spacing w:line="360" w:lineRule="auto"/>
        <w:ind w:firstLine="240" w:firstLineChars="1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投标人必须提供为保障履行技术服务期间的交通工具和办公设备，配备一辆（含）以上汽车用以河岸及岸上巡查，必须配备一只（含）以上有动力的船只用以河道巡逻，并配备相应的汽车和船只驾驶人员，安全责任由投标人负责，同时配备5台以上办公电脑用于项目报告编制、资料存储、方案汇报等，以上全部费用已经在投标总价内，如未配备的视同中标人违约。</w:t>
      </w:r>
    </w:p>
    <w:p>
      <w:pPr>
        <w:spacing w:line="360" w:lineRule="auto"/>
        <w:ind w:firstLine="240" w:firstLineChars="1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（6）需由采购人提供的相关配合工作，投标人须在投标文件中明确列出，且所发生的一切费用均须包含在投标总价中，投标人须做出承诺。</w:t>
      </w:r>
    </w:p>
    <w:p>
      <w:pPr>
        <w:spacing w:line="360" w:lineRule="auto"/>
        <w:ind w:firstLine="480" w:firstLineChars="200"/>
        <w:rPr>
          <w:rFonts w:asciiTheme="minorEastAsia" w:hAnsiTheme="minorEastAsia" w:eastAsiaTheme="minorEastAsia" w:cstheme="minorEastAsia"/>
          <w:color w:val="auto"/>
          <w:kern w:val="0"/>
          <w:sz w:val="24"/>
          <w:highlight w:val="none"/>
        </w:rPr>
      </w:pPr>
      <w:bookmarkStart w:id="1" w:name="_Toc426464266"/>
      <w:bookmarkStart w:id="2" w:name="_Toc328649743"/>
      <w:bookmarkStart w:id="3" w:name="_Toc195098609"/>
      <w:bookmarkStart w:id="4" w:name="_Toc48290967"/>
      <w:bookmarkStart w:id="5" w:name="_Toc255806349"/>
      <w:r>
        <w:rPr>
          <w:rFonts w:hint="eastAsia" w:asciiTheme="minorEastAsia" w:hAnsiTheme="minorEastAsia" w:eastAsiaTheme="minorEastAsia" w:cstheme="minorEastAsia"/>
          <w:color w:val="auto"/>
          <w:kern w:val="0"/>
          <w:sz w:val="24"/>
          <w:highlight w:val="none"/>
        </w:rPr>
        <w:t>二、项目服务期限</w:t>
      </w:r>
      <w:bookmarkEnd w:id="1"/>
      <w:bookmarkEnd w:id="2"/>
      <w:bookmarkEnd w:id="3"/>
      <w:bookmarkEnd w:id="4"/>
      <w:bookmarkEnd w:id="5"/>
    </w:p>
    <w:p>
      <w:pPr>
        <w:spacing w:line="360" w:lineRule="auto"/>
        <w:ind w:firstLine="480" w:firstLineChars="200"/>
        <w:rPr>
          <w:rFonts w:asciiTheme="minorEastAsia" w:hAnsiTheme="minorEastAsia" w:eastAsiaTheme="minorEastAsia" w:cstheme="minorEastAsia"/>
          <w:color w:val="auto"/>
          <w:sz w:val="24"/>
          <w:highlight w:val="none"/>
        </w:rPr>
      </w:pPr>
      <w:bookmarkStart w:id="6" w:name="_Toc426464267"/>
      <w:bookmarkStart w:id="7" w:name="_Toc328649744"/>
      <w:bookmarkStart w:id="8" w:name="_Toc195098611"/>
      <w:r>
        <w:rPr>
          <w:rFonts w:hint="eastAsia" w:asciiTheme="minorEastAsia" w:hAnsiTheme="minorEastAsia" w:eastAsiaTheme="minorEastAsia" w:cstheme="minorEastAsia"/>
          <w:color w:val="auto"/>
          <w:sz w:val="24"/>
          <w:highlight w:val="none"/>
        </w:rPr>
        <w:t>本项目服务期限为2年。</w:t>
      </w:r>
    </w:p>
    <w:p>
      <w:pPr>
        <w:spacing w:line="360" w:lineRule="auto"/>
        <w:ind w:firstLine="480" w:firstLineChars="200"/>
        <w:rPr>
          <w:rFonts w:asciiTheme="minorEastAsia" w:hAnsiTheme="minorEastAsia" w:eastAsiaTheme="minorEastAsia" w:cstheme="minorEastAsia"/>
          <w:color w:val="auto"/>
          <w:kern w:val="0"/>
          <w:sz w:val="24"/>
          <w:highlight w:val="none"/>
        </w:rPr>
      </w:pPr>
      <w:bookmarkStart w:id="9" w:name="_Toc48290968"/>
      <w:r>
        <w:rPr>
          <w:rFonts w:hint="eastAsia" w:asciiTheme="minorEastAsia" w:hAnsiTheme="minorEastAsia" w:eastAsiaTheme="minorEastAsia" w:cstheme="minorEastAsia"/>
          <w:color w:val="auto"/>
          <w:kern w:val="0"/>
          <w:sz w:val="24"/>
          <w:highlight w:val="none"/>
        </w:rPr>
        <w:t>三、成果验收</w:t>
      </w:r>
      <w:bookmarkEnd w:id="6"/>
      <w:bookmarkEnd w:id="7"/>
      <w:bookmarkEnd w:id="9"/>
    </w:p>
    <w:p>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本项目成果验收采用业主组织评审委员会（小组）会审方式（费用包括在投标总价内），通过评审验收。</w:t>
      </w:r>
    </w:p>
    <w:bookmarkEnd w:id="8"/>
    <w:p>
      <w:pPr>
        <w:spacing w:line="360" w:lineRule="auto"/>
        <w:ind w:firstLine="480" w:firstLineChars="200"/>
        <w:rPr>
          <w:rFonts w:asciiTheme="minorEastAsia" w:hAnsiTheme="minorEastAsia" w:eastAsiaTheme="minorEastAsia" w:cstheme="minorEastAsia"/>
          <w:color w:val="auto"/>
          <w:kern w:val="0"/>
          <w:sz w:val="24"/>
          <w:highlight w:val="none"/>
        </w:rPr>
      </w:pPr>
      <w:bookmarkStart w:id="10" w:name="_Toc328649746"/>
      <w:bookmarkStart w:id="11" w:name="_Toc195098612"/>
      <w:bookmarkStart w:id="12" w:name="_Toc426464269"/>
      <w:bookmarkStart w:id="13" w:name="_Toc48290969"/>
      <w:r>
        <w:rPr>
          <w:rFonts w:hint="eastAsia" w:asciiTheme="minorEastAsia" w:hAnsiTheme="minorEastAsia" w:eastAsiaTheme="minorEastAsia" w:cstheme="minorEastAsia"/>
          <w:color w:val="auto"/>
          <w:kern w:val="0"/>
          <w:sz w:val="24"/>
          <w:highlight w:val="none"/>
        </w:rPr>
        <w:t>四、其他要求</w:t>
      </w:r>
      <w:bookmarkEnd w:id="10"/>
      <w:bookmarkEnd w:id="11"/>
      <w:bookmarkEnd w:id="12"/>
      <w:bookmarkEnd w:id="13"/>
    </w:p>
    <w:p>
      <w:pPr>
        <w:spacing w:line="360" w:lineRule="auto"/>
        <w:ind w:firstLine="240" w:firstLineChars="1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 w:val="24"/>
          <w:highlight w:val="none"/>
        </w:rPr>
        <w:t>（1）投标人应保证招标人在本合同范围内使用方案成果不受第三方提出的关于专利权、版权、设计、其他知识产权或使用许可的法律纠纷，倘若发生有关的诉讼，完全由投标人应诉并承担法律责任，投标人须做出书面承诺。</w:t>
      </w:r>
    </w:p>
    <w:p>
      <w:pPr>
        <w:spacing w:line="360" w:lineRule="auto"/>
        <w:ind w:firstLine="240" w:firstLineChars="1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（2）投标人应保证本次投标的所有技术方案无论中标与否，其所形成的成果、资料归招标人所有，招标人可以在今后的方案设计中采纳有关成果、资料，投标人须做出书面承诺。</w:t>
      </w:r>
    </w:p>
    <w:p>
      <w:pPr>
        <w:spacing w:line="360" w:lineRule="auto"/>
        <w:ind w:firstLine="240" w:firstLineChars="1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（3）投标人递交认为有必要说明、证明有能力、有资格承担本合同的其他文件。</w:t>
      </w:r>
      <w:bookmarkStart w:id="14" w:name="_Toc328649747"/>
      <w:bookmarkStart w:id="15" w:name="_Toc48290970"/>
      <w:bookmarkStart w:id="16" w:name="_Toc426464270"/>
    </w:p>
    <w:p>
      <w:pPr>
        <w:spacing w:line="360" w:lineRule="auto"/>
        <w:ind w:firstLine="480" w:firstLineChars="2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五、项目说明</w:t>
      </w:r>
      <w:bookmarkEnd w:id="14"/>
      <w:bookmarkEnd w:id="15"/>
      <w:bookmarkEnd w:id="16"/>
    </w:p>
    <w:p>
      <w:pPr>
        <w:spacing w:line="360" w:lineRule="auto"/>
        <w:rPr>
          <w:rFonts w:asciiTheme="minorEastAsia" w:hAnsiTheme="minorEastAsia" w:eastAsiaTheme="minorEastAsia" w:cstheme="minorEastAsia"/>
          <w:color w:val="auto"/>
          <w:kern w:val="0"/>
          <w:sz w:val="24"/>
          <w:highlight w:val="none"/>
        </w:rPr>
      </w:pPr>
      <w:bookmarkStart w:id="17" w:name="_Toc48290971"/>
      <w:bookmarkStart w:id="18" w:name="_Toc328649748"/>
      <w:r>
        <w:rPr>
          <w:rFonts w:hint="eastAsia" w:asciiTheme="minorEastAsia" w:hAnsiTheme="minorEastAsia" w:eastAsiaTheme="minorEastAsia" w:cstheme="minorEastAsia"/>
          <w:color w:val="auto"/>
          <w:kern w:val="0"/>
          <w:sz w:val="24"/>
          <w:highlight w:val="none"/>
        </w:rPr>
        <w:t xml:space="preserve">    1、项目背景</w:t>
      </w:r>
      <w:bookmarkEnd w:id="17"/>
      <w:bookmarkEnd w:id="18"/>
    </w:p>
    <w:p>
      <w:pPr>
        <w:spacing w:line="360" w:lineRule="auto"/>
        <w:ind w:firstLine="480" w:firstLineChars="200"/>
        <w:rPr>
          <w:rFonts w:asciiTheme="minorEastAsia" w:hAnsiTheme="minorEastAsia" w:eastAsiaTheme="minorEastAsia" w:cstheme="minorEastAsia"/>
          <w:color w:val="auto"/>
          <w:sz w:val="24"/>
          <w:highlight w:val="none"/>
        </w:rPr>
      </w:pPr>
      <w:bookmarkStart w:id="19" w:name="_Toc328649749"/>
      <w:r>
        <w:rPr>
          <w:rFonts w:hint="eastAsia" w:asciiTheme="minorEastAsia" w:hAnsiTheme="minorEastAsia" w:eastAsiaTheme="minorEastAsia" w:cstheme="minorEastAsia"/>
          <w:color w:val="auto"/>
          <w:sz w:val="24"/>
          <w:highlight w:val="none"/>
        </w:rPr>
        <w:t>近年来，台州市委、市政府高度重视水环境治理工作，站在建设美丽台州的战略高度，以广大群众期盼为出发点，强势推进市区水环境整治工作，全市上下积极践行“两山”理念，铁腕治水，通过一系列水环境治理措施的实施，城市内河治理工作取得了显著的成效。为扎实推进全市地表水环境质量“消 V 增Ⅲ”行动，全市水环境质量实现“一转变、两消除、三力争”，即全市水质状况综合评价实现从良好向优秀转变；县控以上断面年均水质消除 V 类，月均水质消除劣 V 类；县控以上断面水质达标率和优良率力争实现新突破，国、省控断面水质优良率力争实现争先进位，当前仍需进一步筑牢水质基础，补齐基础设施短板，尤其是核心城区水环境质量提升更是迫在眉睫。</w:t>
      </w:r>
    </w:p>
    <w:p>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为提升台州湾新区的河网水质，修复水域生态，改善区域的人居环境，提升城市品质和发展动能，台州湾新区管委会组织开展本项目，系统性地开展该区域的水环境综合监测、预警及治理工作，实现台州湾新区河道“水清流畅、有鱼有草”的生态愿景。</w:t>
      </w:r>
    </w:p>
    <w:p>
      <w:pPr>
        <w:spacing w:line="360" w:lineRule="auto"/>
        <w:ind w:firstLine="480" w:firstLineChars="200"/>
        <w:rPr>
          <w:rFonts w:asciiTheme="minorEastAsia" w:hAnsiTheme="minorEastAsia" w:eastAsiaTheme="minorEastAsia" w:cstheme="minorEastAsia"/>
          <w:color w:val="auto"/>
          <w:kern w:val="0"/>
          <w:sz w:val="28"/>
          <w:szCs w:val="28"/>
          <w:highlight w:val="none"/>
        </w:rPr>
      </w:pPr>
      <w:r>
        <w:rPr>
          <w:rFonts w:hint="eastAsia" w:asciiTheme="minorEastAsia" w:hAnsiTheme="minorEastAsia" w:eastAsiaTheme="minorEastAsia" w:cstheme="minorEastAsia"/>
          <w:color w:val="auto"/>
          <w:kern w:val="0"/>
          <w:sz w:val="24"/>
          <w:highlight w:val="none"/>
        </w:rPr>
        <w:t>2、项目范围</w:t>
      </w:r>
    </w:p>
    <w:p>
      <w:pPr>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本次台州湾新区科技治水服务项目的实施范围为台州湾新区，区域面积约138km</w:t>
      </w:r>
      <w:r>
        <w:rPr>
          <w:rFonts w:hint="eastAsia" w:asciiTheme="minorEastAsia" w:hAnsiTheme="minorEastAsia" w:eastAsiaTheme="minorEastAsia" w:cstheme="minorEastAsia"/>
          <w:color w:val="auto"/>
          <w:sz w:val="24"/>
          <w:highlight w:val="none"/>
          <w:vertAlign w:val="superscript"/>
        </w:rPr>
        <w:t>2</w:t>
      </w:r>
      <w:r>
        <w:rPr>
          <w:rFonts w:hint="eastAsia" w:asciiTheme="minorEastAsia" w:hAnsiTheme="minorEastAsia" w:eastAsiaTheme="minorEastAsia" w:cstheme="minorEastAsia"/>
          <w:color w:val="auto"/>
          <w:sz w:val="24"/>
          <w:highlight w:val="none"/>
        </w:rPr>
        <w:t>，如图1所示。</w:t>
      </w:r>
      <w:r>
        <w:rPr>
          <w:rFonts w:hint="eastAsia" w:asciiTheme="minorEastAsia" w:hAnsiTheme="minorEastAsia" w:eastAsiaTheme="minorEastAsia" w:cstheme="minorEastAsia"/>
          <w:color w:val="auto"/>
          <w:sz w:val="24"/>
          <w:highlight w:val="none"/>
        </w:rPr>
        <w:drawing>
          <wp:inline distT="0" distB="0" distL="0" distR="0">
            <wp:extent cx="5274310" cy="3715385"/>
            <wp:effectExtent l="0" t="0" r="2540"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3715385"/>
                    </a:xfrm>
                    <a:prstGeom prst="rect">
                      <a:avLst/>
                    </a:prstGeom>
                    <a:noFill/>
                    <a:ln>
                      <a:noFill/>
                    </a:ln>
                  </pic:spPr>
                </pic:pic>
              </a:graphicData>
            </a:graphic>
          </wp:inline>
        </w:drawing>
      </w:r>
    </w:p>
    <w:p>
      <w:pPr>
        <w:spacing w:line="360" w:lineRule="auto"/>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图1</w:t>
      </w:r>
      <w:r>
        <w:rPr>
          <w:rFonts w:hint="eastAsia" w:asciiTheme="minorEastAsia" w:hAnsiTheme="minorEastAsia" w:eastAsiaTheme="minorEastAsia" w:cstheme="minorEastAsia"/>
          <w:color w:val="auto"/>
          <w:sz w:val="24"/>
          <w:highlight w:val="none"/>
        </w:rPr>
        <w:t>台州湾新区</w:t>
      </w:r>
      <w:r>
        <w:rPr>
          <w:rFonts w:hint="eastAsia" w:asciiTheme="minorEastAsia" w:hAnsiTheme="minorEastAsia" w:eastAsiaTheme="minorEastAsia" w:cstheme="minorEastAsia"/>
          <w:color w:val="auto"/>
          <w:kern w:val="0"/>
          <w:sz w:val="24"/>
          <w:highlight w:val="none"/>
        </w:rPr>
        <w:t>河道水质监测服务项目范围及水系图</w:t>
      </w:r>
    </w:p>
    <w:p>
      <w:pPr>
        <w:spacing w:line="360" w:lineRule="auto"/>
        <w:ind w:firstLine="480" w:firstLineChars="200"/>
        <w:rPr>
          <w:rFonts w:asciiTheme="minorEastAsia" w:hAnsiTheme="minorEastAsia" w:eastAsiaTheme="minorEastAsia" w:cstheme="minorEastAsia"/>
          <w:color w:val="auto"/>
          <w:sz w:val="24"/>
          <w:highlight w:val="none"/>
        </w:rPr>
      </w:pPr>
      <w:bookmarkStart w:id="20" w:name="_Toc48290972"/>
      <w:r>
        <w:rPr>
          <w:rFonts w:hint="eastAsia" w:asciiTheme="minorEastAsia" w:hAnsiTheme="minorEastAsia" w:eastAsiaTheme="minorEastAsia" w:cstheme="minorEastAsia"/>
          <w:color w:val="auto"/>
          <w:sz w:val="24"/>
          <w:highlight w:val="none"/>
        </w:rPr>
        <w:t>3、实施期限</w:t>
      </w:r>
      <w:bookmarkEnd w:id="19"/>
    </w:p>
    <w:bookmarkEnd w:id="20"/>
    <w:p>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本项目实施期限为2年。</w:t>
      </w:r>
    </w:p>
    <w:p>
      <w:pPr>
        <w:spacing w:line="360" w:lineRule="auto"/>
        <w:ind w:firstLine="480" w:firstLineChars="200"/>
        <w:rPr>
          <w:rFonts w:asciiTheme="minorEastAsia" w:hAnsiTheme="minorEastAsia" w:eastAsiaTheme="minorEastAsia" w:cstheme="minorEastAsia"/>
          <w:color w:val="auto"/>
          <w:sz w:val="24"/>
          <w:highlight w:val="none"/>
        </w:rPr>
      </w:pPr>
      <w:bookmarkStart w:id="21" w:name="_Toc328649750"/>
      <w:bookmarkStart w:id="22" w:name="_Toc48290973"/>
      <w:r>
        <w:rPr>
          <w:rFonts w:hint="eastAsia" w:asciiTheme="minorEastAsia" w:hAnsiTheme="minorEastAsia" w:eastAsiaTheme="minorEastAsia" w:cstheme="minorEastAsia"/>
          <w:color w:val="auto"/>
          <w:sz w:val="24"/>
          <w:highlight w:val="none"/>
        </w:rPr>
        <w:t>4、项目目标及主要内容</w:t>
      </w:r>
      <w:bookmarkEnd w:id="21"/>
      <w:bookmarkEnd w:id="22"/>
    </w:p>
    <w:p>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4.1项目目标</w:t>
      </w:r>
    </w:p>
    <w:p>
      <w:pPr>
        <w:spacing w:line="360" w:lineRule="auto"/>
        <w:ind w:firstLine="240" w:firstLineChars="1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（1）及时掌握台州湾新区流域内水环境现状及变化，及时预警水质恶化、水华等水环境问题，为台州湾新区河道水生态环境的管控和治理提供科学依据与指导；</w:t>
      </w:r>
    </w:p>
    <w:p>
      <w:pPr>
        <w:spacing w:line="360" w:lineRule="auto"/>
        <w:ind w:firstLine="240" w:firstLineChars="1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（2）完成台州湾新区区域污染源及排水口调查，并根据污染特征因子分类进行巡查监管，为流域内污染源防治提供科学依据与指导；</w:t>
      </w:r>
    </w:p>
    <w:p>
      <w:pPr>
        <w:spacing w:line="360" w:lineRule="auto"/>
        <w:ind w:firstLine="240" w:firstLineChars="1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（3）为台州湾新区的污水零直排区创建提供技术支持。</w:t>
      </w:r>
    </w:p>
    <w:p>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4.2方案主要内容</w:t>
      </w:r>
    </w:p>
    <w:p>
      <w:pPr>
        <w:spacing w:line="360" w:lineRule="auto"/>
        <w:ind w:firstLine="480" w:firstLineChars="2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根据项目目的及服务内容特点，本项目分为3个部分构成，依次为台州湾新区河道水生态环境跟踪监测及预警服务、台州湾新区河道涉水污染源调查评估及巡查监管服务和台州湾新区污水零直排区创建技术支持。</w:t>
      </w:r>
    </w:p>
    <w:p>
      <w:pPr>
        <w:spacing w:line="360" w:lineRule="auto"/>
        <w:ind w:firstLine="480" w:firstLineChars="2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台州湾新区河道水生态环境跟踪监测及预警服务。在台州湾新区河道内重点水域（如市级或重点河道）、敏感水域（潜在污染输入途径水域）等关键节点布设监测点位，根据监测点位特点及台州湾新区河道水环境变化规律，有计划的进行定期监测，结合历史数据和气象、水文、污染源分布等资料，对水质现状进行分析评价及趋势预测，对现状问题及时进行预警、预报。</w:t>
      </w:r>
    </w:p>
    <w:p>
      <w:pPr>
        <w:spacing w:line="360" w:lineRule="auto"/>
        <w:ind w:firstLine="480" w:firstLineChars="2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台州湾新区河道涉水污染源及排水口调查及巡查监管服务。以台州湾新区作为调查范围，以流域内点源性污染、面源性污染等外源污染为主要调查对象，摸清台州湾新区河道流域内污染源数量、位置分布、污染特征因子等，结合入河排水口的调查和流域内污染源巡查、监管，实现流域内污染源的综合监管，为台州湾新区内污染防治提供科学依据和指导。</w:t>
      </w:r>
    </w:p>
    <w:p>
      <w:pPr>
        <w:spacing w:line="360" w:lineRule="auto"/>
        <w:ind w:firstLine="480" w:firstLineChars="2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3、台州湾新区污水零直排区创建技术支持。为台州产业台州湾新区污水零直排区创建提供技术指导，对污水零直排区创建材料进行评估，协助业主进行污水零直排区创建资料的整理及更新等。</w:t>
      </w:r>
    </w:p>
    <w:p>
      <w:pPr>
        <w:spacing w:line="360" w:lineRule="auto"/>
        <w:ind w:firstLine="480" w:firstLineChars="2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4、相关技术报告等其他服务。</w:t>
      </w:r>
    </w:p>
    <w:p>
      <w:pPr>
        <w:spacing w:line="360" w:lineRule="auto"/>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4.3项目服务方案</w:t>
      </w:r>
    </w:p>
    <w:p>
      <w:pPr>
        <w:spacing w:line="360" w:lineRule="auto"/>
        <w:ind w:firstLine="240" w:firstLineChars="1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 xml:space="preserve">  1、水生态环境跟踪监测及预警</w:t>
      </w:r>
    </w:p>
    <w:p>
      <w:pPr>
        <w:spacing w:line="360" w:lineRule="auto"/>
        <w:ind w:firstLine="480" w:firstLineChars="2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（1）监测点位</w:t>
      </w:r>
    </w:p>
    <w:p>
      <w:pPr>
        <w:spacing w:line="360" w:lineRule="auto"/>
        <w:ind w:firstLine="480" w:firstLineChars="2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本监测内容涉及河道19条（洪家场浦、高闸浦、鲍浦、长浦、青龙浦、一条河、二条河、三条河、五条河、六条河、七条河、八条河、九条河、十条河、聚海河、三才泾、南野份浦、桥头塘浦、白洋河），湖泊（月湖）1个，共计监测点位（重点关注、一般关注）暂定为20个，其中：重点关注点位14个（洪家场浦、高闸浦、鲍浦、长浦河、一条河、二条河、三条河、五条河、六条河、七条河、九条河、三才泾、白洋河、月湖）；</w:t>
      </w:r>
    </w:p>
    <w:p>
      <w:pPr>
        <w:spacing w:line="360" w:lineRule="auto"/>
        <w:ind w:firstLine="480" w:firstLineChars="2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一般关注点位6个（青龙浦、八条河、十条河、聚海河、南野份浦、桥头塘浦等）；同时根据实际情况依据业主需求增加不固定点位，监测河道及湖泊见下表（监测河道及点位可在征询业主同意后，根据实际情况进行适当调整）。</w:t>
      </w:r>
    </w:p>
    <w:tbl>
      <w:tblPr>
        <w:tblStyle w:val="24"/>
        <w:tblW w:w="8237" w:type="dxa"/>
        <w:tblInd w:w="93" w:type="dxa"/>
        <w:tblLayout w:type="fixed"/>
        <w:tblCellMar>
          <w:top w:w="0" w:type="dxa"/>
          <w:left w:w="108" w:type="dxa"/>
          <w:bottom w:w="0" w:type="dxa"/>
          <w:right w:w="108" w:type="dxa"/>
        </w:tblCellMar>
      </w:tblPr>
      <w:tblGrid>
        <w:gridCol w:w="500"/>
        <w:gridCol w:w="1360"/>
        <w:gridCol w:w="1416"/>
        <w:gridCol w:w="1417"/>
        <w:gridCol w:w="1447"/>
        <w:gridCol w:w="2097"/>
      </w:tblGrid>
      <w:tr>
        <w:tblPrEx>
          <w:tblCellMar>
            <w:top w:w="0" w:type="dxa"/>
            <w:left w:w="108" w:type="dxa"/>
            <w:bottom w:w="0" w:type="dxa"/>
            <w:right w:w="108" w:type="dxa"/>
          </w:tblCellMar>
        </w:tblPrEx>
        <w:trPr>
          <w:trHeight w:val="825" w:hRule="atLeast"/>
        </w:trPr>
        <w:tc>
          <w:tcPr>
            <w:tcW w:w="8237" w:type="dxa"/>
            <w:gridSpan w:val="6"/>
            <w:tcBorders>
              <w:top w:val="nil"/>
              <w:left w:val="nil"/>
              <w:bottom w:val="nil"/>
              <w:right w:val="nil"/>
            </w:tcBorders>
            <w:noWrap/>
            <w:vAlign w:val="center"/>
          </w:tcPr>
          <w:p>
            <w:pPr>
              <w:spacing w:line="360" w:lineRule="auto"/>
              <w:jc w:val="center"/>
              <w:rPr>
                <w:rFonts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sz w:val="24"/>
                <w:highlight w:val="none"/>
              </w:rPr>
              <w:t>台州湾新区主要河道（湖泊）情况表</w:t>
            </w:r>
          </w:p>
        </w:tc>
      </w:tr>
      <w:tr>
        <w:tblPrEx>
          <w:tblCellMar>
            <w:top w:w="0" w:type="dxa"/>
            <w:left w:w="108" w:type="dxa"/>
            <w:bottom w:w="0" w:type="dxa"/>
            <w:right w:w="108" w:type="dxa"/>
          </w:tblCellMar>
        </w:tblPrEx>
        <w:trPr>
          <w:trHeight w:val="1005" w:hRule="atLeast"/>
        </w:trPr>
        <w:tc>
          <w:tcPr>
            <w:tcW w:w="500" w:type="dxa"/>
            <w:tcBorders>
              <w:top w:val="single" w:color="auto" w:sz="4" w:space="0"/>
              <w:left w:val="single" w:color="auto" w:sz="4" w:space="0"/>
              <w:bottom w:val="nil"/>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序号</w:t>
            </w:r>
          </w:p>
        </w:tc>
        <w:tc>
          <w:tcPr>
            <w:tcW w:w="1360" w:type="dxa"/>
            <w:tcBorders>
              <w:top w:val="single" w:color="auto" w:sz="4" w:space="0"/>
              <w:left w:val="nil"/>
              <w:bottom w:val="nil"/>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河（湖）名称</w:t>
            </w:r>
          </w:p>
        </w:tc>
        <w:tc>
          <w:tcPr>
            <w:tcW w:w="1416" w:type="dxa"/>
            <w:tcBorders>
              <w:top w:val="single" w:color="auto" w:sz="4" w:space="0"/>
              <w:left w:val="nil"/>
              <w:bottom w:val="nil"/>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河（湖）等级</w:t>
            </w:r>
          </w:p>
        </w:tc>
        <w:tc>
          <w:tcPr>
            <w:tcW w:w="1417" w:type="dxa"/>
            <w:tcBorders>
              <w:top w:val="single" w:color="auto" w:sz="4" w:space="0"/>
              <w:left w:val="nil"/>
              <w:bottom w:val="nil"/>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河道起点</w:t>
            </w:r>
          </w:p>
        </w:tc>
        <w:tc>
          <w:tcPr>
            <w:tcW w:w="1447" w:type="dxa"/>
            <w:tcBorders>
              <w:top w:val="single" w:color="auto" w:sz="4" w:space="0"/>
              <w:left w:val="nil"/>
              <w:bottom w:val="nil"/>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河道终点</w:t>
            </w:r>
          </w:p>
        </w:tc>
        <w:tc>
          <w:tcPr>
            <w:tcW w:w="2097" w:type="dxa"/>
            <w:tcBorders>
              <w:top w:val="single" w:color="auto" w:sz="4" w:space="0"/>
              <w:left w:val="nil"/>
              <w:bottom w:val="nil"/>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河（湖）长度（米）\面积（平方千米）</w:t>
            </w:r>
          </w:p>
        </w:tc>
      </w:tr>
      <w:tr>
        <w:tblPrEx>
          <w:tblCellMar>
            <w:top w:w="0" w:type="dxa"/>
            <w:left w:w="108" w:type="dxa"/>
            <w:bottom w:w="0" w:type="dxa"/>
            <w:right w:w="108" w:type="dxa"/>
          </w:tblCellMar>
        </w:tblPrEx>
        <w:trPr>
          <w:trHeight w:val="499" w:hRule="atLeast"/>
        </w:trPr>
        <w:tc>
          <w:tcPr>
            <w:tcW w:w="5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1</w:t>
            </w:r>
          </w:p>
        </w:tc>
        <w:tc>
          <w:tcPr>
            <w:tcW w:w="1360" w:type="dxa"/>
            <w:tcBorders>
              <w:top w:val="single" w:color="auto" w:sz="4" w:space="0"/>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洪家场浦</w:t>
            </w:r>
          </w:p>
        </w:tc>
        <w:tc>
          <w:tcPr>
            <w:tcW w:w="1416" w:type="dxa"/>
            <w:tcBorders>
              <w:top w:val="single" w:color="auto" w:sz="4" w:space="0"/>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市级</w:t>
            </w:r>
          </w:p>
        </w:tc>
        <w:tc>
          <w:tcPr>
            <w:tcW w:w="1417" w:type="dxa"/>
            <w:tcBorders>
              <w:top w:val="single" w:color="auto" w:sz="4" w:space="0"/>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三才泾</w:t>
            </w:r>
          </w:p>
        </w:tc>
        <w:tc>
          <w:tcPr>
            <w:tcW w:w="1447" w:type="dxa"/>
            <w:tcBorders>
              <w:top w:val="single" w:color="auto" w:sz="4" w:space="0"/>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聚洋大道</w:t>
            </w:r>
          </w:p>
        </w:tc>
        <w:tc>
          <w:tcPr>
            <w:tcW w:w="2097" w:type="dxa"/>
            <w:tcBorders>
              <w:top w:val="single" w:color="auto" w:sz="4" w:space="0"/>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11070</w:t>
            </w:r>
          </w:p>
        </w:tc>
      </w:tr>
      <w:tr>
        <w:tblPrEx>
          <w:tblCellMar>
            <w:top w:w="0" w:type="dxa"/>
            <w:left w:w="108" w:type="dxa"/>
            <w:bottom w:w="0" w:type="dxa"/>
            <w:right w:w="108" w:type="dxa"/>
          </w:tblCellMar>
        </w:tblPrEx>
        <w:trPr>
          <w:trHeight w:val="499" w:hRule="atLeast"/>
        </w:trPr>
        <w:tc>
          <w:tcPr>
            <w:tcW w:w="5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2</w:t>
            </w:r>
          </w:p>
        </w:tc>
        <w:tc>
          <w:tcPr>
            <w:tcW w:w="13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长浦</w:t>
            </w:r>
          </w:p>
        </w:tc>
        <w:tc>
          <w:tcPr>
            <w:tcW w:w="14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市级</w:t>
            </w: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一条河</w:t>
            </w:r>
          </w:p>
        </w:tc>
        <w:tc>
          <w:tcPr>
            <w:tcW w:w="144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聚洋大道</w:t>
            </w:r>
          </w:p>
        </w:tc>
        <w:tc>
          <w:tcPr>
            <w:tcW w:w="209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9030</w:t>
            </w:r>
          </w:p>
        </w:tc>
      </w:tr>
      <w:tr>
        <w:tblPrEx>
          <w:tblCellMar>
            <w:top w:w="0" w:type="dxa"/>
            <w:left w:w="108" w:type="dxa"/>
            <w:bottom w:w="0" w:type="dxa"/>
            <w:right w:w="108" w:type="dxa"/>
          </w:tblCellMar>
        </w:tblPrEx>
        <w:trPr>
          <w:trHeight w:val="499" w:hRule="atLeast"/>
        </w:trPr>
        <w:tc>
          <w:tcPr>
            <w:tcW w:w="500" w:type="dxa"/>
            <w:tcBorders>
              <w:top w:val="nil"/>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3</w:t>
            </w:r>
          </w:p>
        </w:tc>
        <w:tc>
          <w:tcPr>
            <w:tcW w:w="1360"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七条河</w:t>
            </w:r>
          </w:p>
        </w:tc>
        <w:tc>
          <w:tcPr>
            <w:tcW w:w="1416"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市级</w:t>
            </w:r>
          </w:p>
        </w:tc>
        <w:tc>
          <w:tcPr>
            <w:tcW w:w="1417"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亿鸿鞋业</w:t>
            </w:r>
          </w:p>
        </w:tc>
        <w:tc>
          <w:tcPr>
            <w:tcW w:w="1447"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长浦</w:t>
            </w:r>
          </w:p>
        </w:tc>
        <w:tc>
          <w:tcPr>
            <w:tcW w:w="2097"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8250</w:t>
            </w:r>
          </w:p>
        </w:tc>
      </w:tr>
      <w:tr>
        <w:tblPrEx>
          <w:tblCellMar>
            <w:top w:w="0" w:type="dxa"/>
            <w:left w:w="108" w:type="dxa"/>
            <w:bottom w:w="0" w:type="dxa"/>
            <w:right w:w="108" w:type="dxa"/>
          </w:tblCellMar>
        </w:tblPrEx>
        <w:trPr>
          <w:trHeight w:val="795" w:hRule="atLeast"/>
        </w:trPr>
        <w:tc>
          <w:tcPr>
            <w:tcW w:w="500" w:type="dxa"/>
            <w:tcBorders>
              <w:top w:val="nil"/>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4</w:t>
            </w:r>
          </w:p>
        </w:tc>
        <w:tc>
          <w:tcPr>
            <w:tcW w:w="1360"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五条河</w:t>
            </w:r>
          </w:p>
        </w:tc>
        <w:tc>
          <w:tcPr>
            <w:tcW w:w="1416"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区级</w:t>
            </w:r>
          </w:p>
        </w:tc>
        <w:tc>
          <w:tcPr>
            <w:tcW w:w="1417"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三甲飞龙村王家村界</w:t>
            </w:r>
          </w:p>
        </w:tc>
        <w:tc>
          <w:tcPr>
            <w:tcW w:w="1447"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长浦</w:t>
            </w:r>
          </w:p>
        </w:tc>
        <w:tc>
          <w:tcPr>
            <w:tcW w:w="2097"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8220</w:t>
            </w:r>
          </w:p>
        </w:tc>
      </w:tr>
      <w:tr>
        <w:tblPrEx>
          <w:tblCellMar>
            <w:top w:w="0" w:type="dxa"/>
            <w:left w:w="108" w:type="dxa"/>
            <w:bottom w:w="0" w:type="dxa"/>
            <w:right w:w="108" w:type="dxa"/>
          </w:tblCellMar>
        </w:tblPrEx>
        <w:trPr>
          <w:trHeight w:val="675" w:hRule="atLeast"/>
        </w:trPr>
        <w:tc>
          <w:tcPr>
            <w:tcW w:w="500" w:type="dxa"/>
            <w:tcBorders>
              <w:top w:val="nil"/>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5</w:t>
            </w:r>
          </w:p>
        </w:tc>
        <w:tc>
          <w:tcPr>
            <w:tcW w:w="1360"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一条河</w:t>
            </w:r>
          </w:p>
        </w:tc>
        <w:tc>
          <w:tcPr>
            <w:tcW w:w="1416"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区级</w:t>
            </w:r>
          </w:p>
        </w:tc>
        <w:tc>
          <w:tcPr>
            <w:tcW w:w="1417"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三甲飞龙村沙田村界</w:t>
            </w:r>
          </w:p>
        </w:tc>
        <w:tc>
          <w:tcPr>
            <w:tcW w:w="1447"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长浦</w:t>
            </w:r>
          </w:p>
        </w:tc>
        <w:tc>
          <w:tcPr>
            <w:tcW w:w="2097"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8040</w:t>
            </w:r>
          </w:p>
        </w:tc>
      </w:tr>
      <w:tr>
        <w:tblPrEx>
          <w:tblCellMar>
            <w:top w:w="0" w:type="dxa"/>
            <w:left w:w="108" w:type="dxa"/>
            <w:bottom w:w="0" w:type="dxa"/>
            <w:right w:w="108" w:type="dxa"/>
          </w:tblCellMar>
        </w:tblPrEx>
        <w:trPr>
          <w:trHeight w:val="660" w:hRule="atLeast"/>
        </w:trPr>
        <w:tc>
          <w:tcPr>
            <w:tcW w:w="500" w:type="dxa"/>
            <w:tcBorders>
              <w:top w:val="nil"/>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6</w:t>
            </w:r>
          </w:p>
        </w:tc>
        <w:tc>
          <w:tcPr>
            <w:tcW w:w="1360"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三条河</w:t>
            </w:r>
          </w:p>
        </w:tc>
        <w:tc>
          <w:tcPr>
            <w:tcW w:w="1416"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市级</w:t>
            </w:r>
          </w:p>
        </w:tc>
        <w:tc>
          <w:tcPr>
            <w:tcW w:w="1417"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王家飞龙浦三甲界</w:t>
            </w:r>
          </w:p>
        </w:tc>
        <w:tc>
          <w:tcPr>
            <w:tcW w:w="1447"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长浦</w:t>
            </w:r>
          </w:p>
        </w:tc>
        <w:tc>
          <w:tcPr>
            <w:tcW w:w="2097"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7590</w:t>
            </w:r>
          </w:p>
        </w:tc>
      </w:tr>
      <w:tr>
        <w:tblPrEx>
          <w:tblCellMar>
            <w:top w:w="0" w:type="dxa"/>
            <w:left w:w="108" w:type="dxa"/>
            <w:bottom w:w="0" w:type="dxa"/>
            <w:right w:w="108" w:type="dxa"/>
          </w:tblCellMar>
        </w:tblPrEx>
        <w:trPr>
          <w:trHeight w:val="660" w:hRule="atLeast"/>
        </w:trPr>
        <w:tc>
          <w:tcPr>
            <w:tcW w:w="500" w:type="dxa"/>
            <w:tcBorders>
              <w:top w:val="nil"/>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7</w:t>
            </w:r>
          </w:p>
        </w:tc>
        <w:tc>
          <w:tcPr>
            <w:tcW w:w="1360"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六条河</w:t>
            </w:r>
          </w:p>
        </w:tc>
        <w:tc>
          <w:tcPr>
            <w:tcW w:w="1416"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镇级</w:t>
            </w:r>
          </w:p>
        </w:tc>
        <w:tc>
          <w:tcPr>
            <w:tcW w:w="1417"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高闸浦</w:t>
            </w:r>
          </w:p>
        </w:tc>
        <w:tc>
          <w:tcPr>
            <w:tcW w:w="1447"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甲南大道</w:t>
            </w:r>
          </w:p>
        </w:tc>
        <w:tc>
          <w:tcPr>
            <w:tcW w:w="2097"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6559</w:t>
            </w:r>
          </w:p>
        </w:tc>
      </w:tr>
      <w:tr>
        <w:tblPrEx>
          <w:tblCellMar>
            <w:top w:w="0" w:type="dxa"/>
            <w:left w:w="108" w:type="dxa"/>
            <w:bottom w:w="0" w:type="dxa"/>
            <w:right w:w="108" w:type="dxa"/>
          </w:tblCellMar>
        </w:tblPrEx>
        <w:trPr>
          <w:trHeight w:val="630" w:hRule="atLeast"/>
        </w:trPr>
        <w:tc>
          <w:tcPr>
            <w:tcW w:w="500" w:type="dxa"/>
            <w:tcBorders>
              <w:top w:val="nil"/>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8</w:t>
            </w:r>
          </w:p>
        </w:tc>
        <w:tc>
          <w:tcPr>
            <w:tcW w:w="1360"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九条河</w:t>
            </w:r>
          </w:p>
        </w:tc>
        <w:tc>
          <w:tcPr>
            <w:tcW w:w="1416"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区级</w:t>
            </w:r>
          </w:p>
        </w:tc>
        <w:tc>
          <w:tcPr>
            <w:tcW w:w="1417"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九塘坝纪念碑</w:t>
            </w:r>
          </w:p>
        </w:tc>
        <w:tc>
          <w:tcPr>
            <w:tcW w:w="1447"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长浦</w:t>
            </w:r>
          </w:p>
        </w:tc>
        <w:tc>
          <w:tcPr>
            <w:tcW w:w="2097"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8310</w:t>
            </w:r>
          </w:p>
        </w:tc>
      </w:tr>
      <w:tr>
        <w:tblPrEx>
          <w:tblCellMar>
            <w:top w:w="0" w:type="dxa"/>
            <w:left w:w="108" w:type="dxa"/>
            <w:bottom w:w="0" w:type="dxa"/>
            <w:right w:w="108" w:type="dxa"/>
          </w:tblCellMar>
        </w:tblPrEx>
        <w:trPr>
          <w:trHeight w:val="630" w:hRule="atLeast"/>
        </w:trPr>
        <w:tc>
          <w:tcPr>
            <w:tcW w:w="500" w:type="dxa"/>
            <w:tcBorders>
              <w:top w:val="nil"/>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9</w:t>
            </w:r>
          </w:p>
        </w:tc>
        <w:tc>
          <w:tcPr>
            <w:tcW w:w="1360"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三才泾</w:t>
            </w:r>
          </w:p>
        </w:tc>
        <w:tc>
          <w:tcPr>
            <w:tcW w:w="1416"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市级</w:t>
            </w:r>
          </w:p>
        </w:tc>
        <w:tc>
          <w:tcPr>
            <w:tcW w:w="1417"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市府大道丰收桥</w:t>
            </w:r>
          </w:p>
        </w:tc>
        <w:tc>
          <w:tcPr>
            <w:tcW w:w="1447"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现代大道南侧</w:t>
            </w:r>
          </w:p>
        </w:tc>
        <w:tc>
          <w:tcPr>
            <w:tcW w:w="2097"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3665</w:t>
            </w:r>
          </w:p>
        </w:tc>
      </w:tr>
      <w:tr>
        <w:tblPrEx>
          <w:tblCellMar>
            <w:top w:w="0" w:type="dxa"/>
            <w:left w:w="108" w:type="dxa"/>
            <w:bottom w:w="0" w:type="dxa"/>
            <w:right w:w="108" w:type="dxa"/>
          </w:tblCellMar>
        </w:tblPrEx>
        <w:trPr>
          <w:trHeight w:val="615" w:hRule="atLeast"/>
        </w:trPr>
        <w:tc>
          <w:tcPr>
            <w:tcW w:w="500" w:type="dxa"/>
            <w:tcBorders>
              <w:top w:val="nil"/>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10</w:t>
            </w:r>
          </w:p>
        </w:tc>
        <w:tc>
          <w:tcPr>
            <w:tcW w:w="1360"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高闸浦</w:t>
            </w:r>
          </w:p>
        </w:tc>
        <w:tc>
          <w:tcPr>
            <w:tcW w:w="1416"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市级</w:t>
            </w:r>
          </w:p>
        </w:tc>
        <w:tc>
          <w:tcPr>
            <w:tcW w:w="1417" w:type="dxa"/>
            <w:tcBorders>
              <w:top w:val="nil"/>
              <w:left w:val="nil"/>
              <w:bottom w:val="single" w:color="auto" w:sz="4" w:space="0"/>
              <w:right w:val="single" w:color="auto" w:sz="4" w:space="0"/>
            </w:tcBorders>
            <w:noWrap/>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东环大道</w:t>
            </w:r>
          </w:p>
        </w:tc>
        <w:tc>
          <w:tcPr>
            <w:tcW w:w="1447" w:type="dxa"/>
            <w:tcBorders>
              <w:top w:val="nil"/>
              <w:left w:val="nil"/>
              <w:bottom w:val="single" w:color="auto" w:sz="4" w:space="0"/>
              <w:right w:val="single" w:color="auto" w:sz="4" w:space="0"/>
            </w:tcBorders>
            <w:noWrap/>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九条河</w:t>
            </w:r>
          </w:p>
        </w:tc>
        <w:tc>
          <w:tcPr>
            <w:tcW w:w="2097"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9377</w:t>
            </w:r>
          </w:p>
        </w:tc>
      </w:tr>
      <w:tr>
        <w:tblPrEx>
          <w:tblCellMar>
            <w:top w:w="0" w:type="dxa"/>
            <w:left w:w="108" w:type="dxa"/>
            <w:bottom w:w="0" w:type="dxa"/>
            <w:right w:w="108" w:type="dxa"/>
          </w:tblCellMar>
        </w:tblPrEx>
        <w:trPr>
          <w:trHeight w:val="499" w:hRule="atLeast"/>
        </w:trPr>
        <w:tc>
          <w:tcPr>
            <w:tcW w:w="500" w:type="dxa"/>
            <w:tcBorders>
              <w:top w:val="nil"/>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11</w:t>
            </w:r>
          </w:p>
        </w:tc>
        <w:tc>
          <w:tcPr>
            <w:tcW w:w="1360"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八条河</w:t>
            </w:r>
          </w:p>
        </w:tc>
        <w:tc>
          <w:tcPr>
            <w:tcW w:w="1416"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区级</w:t>
            </w:r>
          </w:p>
        </w:tc>
        <w:tc>
          <w:tcPr>
            <w:tcW w:w="1417"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王家变电站</w:t>
            </w:r>
          </w:p>
        </w:tc>
        <w:tc>
          <w:tcPr>
            <w:tcW w:w="1447"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长浦</w:t>
            </w:r>
          </w:p>
        </w:tc>
        <w:tc>
          <w:tcPr>
            <w:tcW w:w="2097"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8200</w:t>
            </w:r>
          </w:p>
        </w:tc>
      </w:tr>
      <w:tr>
        <w:tblPrEx>
          <w:tblCellMar>
            <w:top w:w="0" w:type="dxa"/>
            <w:left w:w="108" w:type="dxa"/>
            <w:bottom w:w="0" w:type="dxa"/>
            <w:right w:w="108" w:type="dxa"/>
          </w:tblCellMar>
        </w:tblPrEx>
        <w:trPr>
          <w:trHeight w:val="499" w:hRule="atLeast"/>
        </w:trPr>
        <w:tc>
          <w:tcPr>
            <w:tcW w:w="500" w:type="dxa"/>
            <w:tcBorders>
              <w:top w:val="nil"/>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12</w:t>
            </w:r>
          </w:p>
        </w:tc>
        <w:tc>
          <w:tcPr>
            <w:tcW w:w="1360"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鲍浦</w:t>
            </w:r>
          </w:p>
        </w:tc>
        <w:tc>
          <w:tcPr>
            <w:tcW w:w="1416"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市级</w:t>
            </w:r>
          </w:p>
        </w:tc>
        <w:tc>
          <w:tcPr>
            <w:tcW w:w="1417"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一条河</w:t>
            </w:r>
          </w:p>
        </w:tc>
        <w:tc>
          <w:tcPr>
            <w:tcW w:w="1447"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聚洋大道</w:t>
            </w:r>
          </w:p>
        </w:tc>
        <w:tc>
          <w:tcPr>
            <w:tcW w:w="2097"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8930</w:t>
            </w:r>
          </w:p>
        </w:tc>
      </w:tr>
      <w:tr>
        <w:tblPrEx>
          <w:tblCellMar>
            <w:top w:w="0" w:type="dxa"/>
            <w:left w:w="108" w:type="dxa"/>
            <w:bottom w:w="0" w:type="dxa"/>
            <w:right w:w="108" w:type="dxa"/>
          </w:tblCellMar>
        </w:tblPrEx>
        <w:trPr>
          <w:trHeight w:val="840" w:hRule="atLeast"/>
        </w:trPr>
        <w:tc>
          <w:tcPr>
            <w:tcW w:w="500" w:type="dxa"/>
            <w:tcBorders>
              <w:top w:val="nil"/>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13</w:t>
            </w:r>
          </w:p>
        </w:tc>
        <w:tc>
          <w:tcPr>
            <w:tcW w:w="1360"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二条河</w:t>
            </w:r>
          </w:p>
        </w:tc>
        <w:tc>
          <w:tcPr>
            <w:tcW w:w="1416"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区级</w:t>
            </w:r>
          </w:p>
        </w:tc>
        <w:tc>
          <w:tcPr>
            <w:tcW w:w="1417"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王家飞龙浦三甲界</w:t>
            </w:r>
          </w:p>
        </w:tc>
        <w:tc>
          <w:tcPr>
            <w:tcW w:w="1447"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长浦</w:t>
            </w:r>
          </w:p>
        </w:tc>
        <w:tc>
          <w:tcPr>
            <w:tcW w:w="2097"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8020</w:t>
            </w:r>
          </w:p>
        </w:tc>
      </w:tr>
      <w:tr>
        <w:tblPrEx>
          <w:tblCellMar>
            <w:top w:w="0" w:type="dxa"/>
            <w:left w:w="108" w:type="dxa"/>
            <w:bottom w:w="0" w:type="dxa"/>
            <w:right w:w="108" w:type="dxa"/>
          </w:tblCellMar>
        </w:tblPrEx>
        <w:trPr>
          <w:trHeight w:val="499" w:hRule="atLeast"/>
        </w:trPr>
        <w:tc>
          <w:tcPr>
            <w:tcW w:w="500" w:type="dxa"/>
            <w:tcBorders>
              <w:top w:val="nil"/>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14</w:t>
            </w:r>
          </w:p>
        </w:tc>
        <w:tc>
          <w:tcPr>
            <w:tcW w:w="1360"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青龙浦</w:t>
            </w:r>
          </w:p>
        </w:tc>
        <w:tc>
          <w:tcPr>
            <w:tcW w:w="1416"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市级（在建）</w:t>
            </w:r>
          </w:p>
        </w:tc>
        <w:tc>
          <w:tcPr>
            <w:tcW w:w="1417"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十塘坝</w:t>
            </w:r>
          </w:p>
        </w:tc>
        <w:tc>
          <w:tcPr>
            <w:tcW w:w="1447"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聚洋大道</w:t>
            </w:r>
          </w:p>
        </w:tc>
        <w:tc>
          <w:tcPr>
            <w:tcW w:w="2097"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2355</w:t>
            </w:r>
          </w:p>
        </w:tc>
      </w:tr>
      <w:tr>
        <w:tblPrEx>
          <w:tblCellMar>
            <w:top w:w="0" w:type="dxa"/>
            <w:left w:w="108" w:type="dxa"/>
            <w:bottom w:w="0" w:type="dxa"/>
            <w:right w:w="108" w:type="dxa"/>
          </w:tblCellMar>
        </w:tblPrEx>
        <w:trPr>
          <w:trHeight w:val="499" w:hRule="atLeast"/>
        </w:trPr>
        <w:tc>
          <w:tcPr>
            <w:tcW w:w="500" w:type="dxa"/>
            <w:tcBorders>
              <w:top w:val="nil"/>
              <w:left w:val="single" w:color="auto" w:sz="4" w:space="0"/>
              <w:bottom w:val="single" w:color="auto" w:sz="4" w:space="0"/>
              <w:right w:val="single" w:color="auto" w:sz="4" w:space="0"/>
            </w:tcBorders>
            <w:noWrap/>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15</w:t>
            </w:r>
          </w:p>
        </w:tc>
        <w:tc>
          <w:tcPr>
            <w:tcW w:w="1360" w:type="dxa"/>
            <w:tcBorders>
              <w:top w:val="nil"/>
              <w:left w:val="nil"/>
              <w:bottom w:val="single" w:color="auto" w:sz="4" w:space="0"/>
              <w:right w:val="single" w:color="auto" w:sz="4" w:space="0"/>
            </w:tcBorders>
            <w:noWrap/>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十条河</w:t>
            </w:r>
          </w:p>
        </w:tc>
        <w:tc>
          <w:tcPr>
            <w:tcW w:w="1416" w:type="dxa"/>
            <w:tcBorders>
              <w:top w:val="nil"/>
              <w:left w:val="nil"/>
              <w:bottom w:val="single" w:color="auto" w:sz="4" w:space="0"/>
              <w:right w:val="single" w:color="auto" w:sz="4" w:space="0"/>
            </w:tcBorders>
            <w:noWrap/>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镇级</w:t>
            </w:r>
          </w:p>
        </w:tc>
        <w:tc>
          <w:tcPr>
            <w:tcW w:w="1417" w:type="dxa"/>
            <w:tcBorders>
              <w:top w:val="nil"/>
              <w:left w:val="nil"/>
              <w:bottom w:val="nil"/>
              <w:right w:val="nil"/>
            </w:tcBorders>
            <w:noWrap/>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甲南大道</w:t>
            </w:r>
          </w:p>
        </w:tc>
        <w:tc>
          <w:tcPr>
            <w:tcW w:w="1447" w:type="dxa"/>
            <w:tcBorders>
              <w:top w:val="nil"/>
              <w:left w:val="single" w:color="auto" w:sz="4" w:space="0"/>
              <w:bottom w:val="single" w:color="auto" w:sz="4" w:space="0"/>
              <w:right w:val="single" w:color="auto" w:sz="4" w:space="0"/>
            </w:tcBorders>
            <w:noWrap/>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开发大道</w:t>
            </w:r>
          </w:p>
        </w:tc>
        <w:tc>
          <w:tcPr>
            <w:tcW w:w="2097" w:type="dxa"/>
            <w:tcBorders>
              <w:top w:val="nil"/>
              <w:left w:val="nil"/>
              <w:bottom w:val="single" w:color="auto" w:sz="4" w:space="0"/>
              <w:right w:val="single" w:color="auto" w:sz="4" w:space="0"/>
            </w:tcBorders>
            <w:noWrap/>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5870</w:t>
            </w:r>
          </w:p>
        </w:tc>
      </w:tr>
      <w:tr>
        <w:tblPrEx>
          <w:tblCellMar>
            <w:top w:w="0" w:type="dxa"/>
            <w:left w:w="108" w:type="dxa"/>
            <w:bottom w:w="0" w:type="dxa"/>
            <w:right w:w="108" w:type="dxa"/>
          </w:tblCellMar>
        </w:tblPrEx>
        <w:trPr>
          <w:trHeight w:val="499" w:hRule="atLeast"/>
        </w:trPr>
        <w:tc>
          <w:tcPr>
            <w:tcW w:w="500" w:type="dxa"/>
            <w:tcBorders>
              <w:top w:val="nil"/>
              <w:left w:val="single" w:color="auto" w:sz="4" w:space="0"/>
              <w:bottom w:val="single" w:color="auto" w:sz="4" w:space="0"/>
              <w:right w:val="single" w:color="auto" w:sz="4" w:space="0"/>
            </w:tcBorders>
            <w:noWrap/>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16</w:t>
            </w:r>
          </w:p>
        </w:tc>
        <w:tc>
          <w:tcPr>
            <w:tcW w:w="1360" w:type="dxa"/>
            <w:tcBorders>
              <w:top w:val="nil"/>
              <w:left w:val="nil"/>
              <w:bottom w:val="single" w:color="auto" w:sz="4" w:space="0"/>
              <w:right w:val="single" w:color="auto" w:sz="4" w:space="0"/>
            </w:tcBorders>
            <w:noWrap/>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聚海河</w:t>
            </w:r>
          </w:p>
        </w:tc>
        <w:tc>
          <w:tcPr>
            <w:tcW w:w="1416" w:type="dxa"/>
            <w:tcBorders>
              <w:top w:val="nil"/>
              <w:left w:val="nil"/>
              <w:bottom w:val="single" w:color="auto" w:sz="4" w:space="0"/>
              <w:right w:val="single" w:color="auto" w:sz="4" w:space="0"/>
            </w:tcBorders>
            <w:noWrap/>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镇级</w:t>
            </w:r>
          </w:p>
        </w:tc>
        <w:tc>
          <w:tcPr>
            <w:tcW w:w="1417" w:type="dxa"/>
            <w:tcBorders>
              <w:top w:val="single" w:color="auto" w:sz="4" w:space="0"/>
              <w:left w:val="nil"/>
              <w:bottom w:val="single" w:color="auto" w:sz="4" w:space="0"/>
              <w:right w:val="single" w:color="auto" w:sz="4" w:space="0"/>
            </w:tcBorders>
            <w:noWrap/>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蓬北大道</w:t>
            </w:r>
          </w:p>
        </w:tc>
        <w:tc>
          <w:tcPr>
            <w:tcW w:w="1447" w:type="dxa"/>
            <w:tcBorders>
              <w:top w:val="nil"/>
              <w:left w:val="nil"/>
              <w:bottom w:val="single" w:color="auto" w:sz="4" w:space="0"/>
              <w:right w:val="single" w:color="auto" w:sz="4" w:space="0"/>
            </w:tcBorders>
            <w:noWrap/>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开发大道</w:t>
            </w:r>
          </w:p>
        </w:tc>
        <w:tc>
          <w:tcPr>
            <w:tcW w:w="2097" w:type="dxa"/>
            <w:tcBorders>
              <w:top w:val="nil"/>
              <w:left w:val="nil"/>
              <w:bottom w:val="single" w:color="auto" w:sz="4" w:space="0"/>
              <w:right w:val="single" w:color="auto" w:sz="4" w:space="0"/>
            </w:tcBorders>
            <w:noWrap/>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7270</w:t>
            </w:r>
          </w:p>
        </w:tc>
      </w:tr>
      <w:tr>
        <w:tblPrEx>
          <w:tblCellMar>
            <w:top w:w="0" w:type="dxa"/>
            <w:left w:w="108" w:type="dxa"/>
            <w:bottom w:w="0" w:type="dxa"/>
            <w:right w:w="108" w:type="dxa"/>
          </w:tblCellMar>
        </w:tblPrEx>
        <w:trPr>
          <w:trHeight w:val="735" w:hRule="atLeast"/>
        </w:trPr>
        <w:tc>
          <w:tcPr>
            <w:tcW w:w="500" w:type="dxa"/>
            <w:tcBorders>
              <w:top w:val="nil"/>
              <w:left w:val="single" w:color="auto" w:sz="4" w:space="0"/>
              <w:bottom w:val="single" w:color="auto" w:sz="4" w:space="0"/>
              <w:right w:val="single" w:color="auto" w:sz="4" w:space="0"/>
            </w:tcBorders>
            <w:noWrap/>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17</w:t>
            </w:r>
          </w:p>
        </w:tc>
        <w:tc>
          <w:tcPr>
            <w:tcW w:w="1360" w:type="dxa"/>
            <w:tcBorders>
              <w:top w:val="nil"/>
              <w:left w:val="nil"/>
              <w:bottom w:val="single" w:color="auto" w:sz="4" w:space="0"/>
              <w:right w:val="single" w:color="auto" w:sz="4" w:space="0"/>
            </w:tcBorders>
            <w:noWrap/>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南野份浦</w:t>
            </w:r>
          </w:p>
        </w:tc>
        <w:tc>
          <w:tcPr>
            <w:tcW w:w="1416" w:type="dxa"/>
            <w:tcBorders>
              <w:top w:val="nil"/>
              <w:left w:val="nil"/>
              <w:bottom w:val="single" w:color="auto" w:sz="4" w:space="0"/>
              <w:right w:val="single" w:color="auto" w:sz="4" w:space="0"/>
            </w:tcBorders>
            <w:noWrap/>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镇级</w:t>
            </w:r>
          </w:p>
        </w:tc>
        <w:tc>
          <w:tcPr>
            <w:tcW w:w="1417" w:type="dxa"/>
            <w:tcBorders>
              <w:top w:val="nil"/>
              <w:left w:val="nil"/>
              <w:bottom w:val="single" w:color="auto" w:sz="4" w:space="0"/>
              <w:right w:val="single" w:color="auto" w:sz="4" w:space="0"/>
            </w:tcBorders>
            <w:noWrap/>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三才泾</w:t>
            </w:r>
          </w:p>
        </w:tc>
        <w:tc>
          <w:tcPr>
            <w:tcW w:w="1447" w:type="dxa"/>
            <w:tcBorders>
              <w:top w:val="nil"/>
              <w:left w:val="nil"/>
              <w:bottom w:val="single" w:color="auto" w:sz="4" w:space="0"/>
              <w:right w:val="single" w:color="auto" w:sz="4" w:space="0"/>
            </w:tcBorders>
            <w:noWrap/>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一条河</w:t>
            </w:r>
          </w:p>
        </w:tc>
        <w:tc>
          <w:tcPr>
            <w:tcW w:w="2097" w:type="dxa"/>
            <w:tcBorders>
              <w:top w:val="nil"/>
              <w:left w:val="nil"/>
              <w:bottom w:val="single" w:color="auto" w:sz="4" w:space="0"/>
              <w:right w:val="single" w:color="auto" w:sz="4" w:space="0"/>
            </w:tcBorders>
            <w:noWrap/>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2600</w:t>
            </w:r>
          </w:p>
        </w:tc>
      </w:tr>
      <w:tr>
        <w:tblPrEx>
          <w:tblCellMar>
            <w:top w:w="0" w:type="dxa"/>
            <w:left w:w="108" w:type="dxa"/>
            <w:bottom w:w="0" w:type="dxa"/>
            <w:right w:w="108" w:type="dxa"/>
          </w:tblCellMar>
        </w:tblPrEx>
        <w:trPr>
          <w:trHeight w:val="690" w:hRule="atLeast"/>
        </w:trPr>
        <w:tc>
          <w:tcPr>
            <w:tcW w:w="500" w:type="dxa"/>
            <w:tcBorders>
              <w:top w:val="nil"/>
              <w:left w:val="single" w:color="auto" w:sz="4" w:space="0"/>
              <w:bottom w:val="single" w:color="auto" w:sz="4" w:space="0"/>
              <w:right w:val="single" w:color="auto" w:sz="4" w:space="0"/>
            </w:tcBorders>
            <w:noWrap/>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18</w:t>
            </w:r>
          </w:p>
        </w:tc>
        <w:tc>
          <w:tcPr>
            <w:tcW w:w="1360" w:type="dxa"/>
            <w:tcBorders>
              <w:top w:val="nil"/>
              <w:left w:val="nil"/>
              <w:bottom w:val="single" w:color="auto" w:sz="4" w:space="0"/>
              <w:right w:val="single" w:color="auto" w:sz="4" w:space="0"/>
            </w:tcBorders>
            <w:noWrap/>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桥头塘浦</w:t>
            </w:r>
          </w:p>
        </w:tc>
        <w:tc>
          <w:tcPr>
            <w:tcW w:w="1416" w:type="dxa"/>
            <w:tcBorders>
              <w:top w:val="nil"/>
              <w:left w:val="nil"/>
              <w:bottom w:val="single" w:color="auto" w:sz="4" w:space="0"/>
              <w:right w:val="single" w:color="auto" w:sz="4" w:space="0"/>
            </w:tcBorders>
            <w:noWrap/>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镇级</w:t>
            </w:r>
          </w:p>
        </w:tc>
        <w:tc>
          <w:tcPr>
            <w:tcW w:w="1417" w:type="dxa"/>
            <w:tcBorders>
              <w:top w:val="nil"/>
              <w:left w:val="nil"/>
              <w:bottom w:val="nil"/>
              <w:right w:val="nil"/>
            </w:tcBorders>
            <w:noWrap/>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三才泾</w:t>
            </w:r>
          </w:p>
        </w:tc>
        <w:tc>
          <w:tcPr>
            <w:tcW w:w="1447" w:type="dxa"/>
            <w:tcBorders>
              <w:top w:val="nil"/>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机场北路桥头东侧</w:t>
            </w:r>
          </w:p>
        </w:tc>
        <w:tc>
          <w:tcPr>
            <w:tcW w:w="2097" w:type="dxa"/>
            <w:tcBorders>
              <w:top w:val="nil"/>
              <w:left w:val="nil"/>
              <w:bottom w:val="single" w:color="auto" w:sz="4" w:space="0"/>
              <w:right w:val="single" w:color="auto" w:sz="4" w:space="0"/>
            </w:tcBorders>
            <w:noWrap/>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1440</w:t>
            </w:r>
          </w:p>
        </w:tc>
      </w:tr>
      <w:tr>
        <w:tblPrEx>
          <w:tblCellMar>
            <w:top w:w="0" w:type="dxa"/>
            <w:left w:w="108" w:type="dxa"/>
            <w:bottom w:w="0" w:type="dxa"/>
            <w:right w:w="108" w:type="dxa"/>
          </w:tblCellMar>
        </w:tblPrEx>
        <w:trPr>
          <w:trHeight w:val="585" w:hRule="atLeast"/>
        </w:trPr>
        <w:tc>
          <w:tcPr>
            <w:tcW w:w="500" w:type="dxa"/>
            <w:tcBorders>
              <w:top w:val="nil"/>
              <w:left w:val="single" w:color="auto" w:sz="4" w:space="0"/>
              <w:bottom w:val="single" w:color="auto" w:sz="4" w:space="0"/>
              <w:right w:val="single" w:color="auto" w:sz="4" w:space="0"/>
            </w:tcBorders>
            <w:noWrap/>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19</w:t>
            </w:r>
          </w:p>
        </w:tc>
        <w:tc>
          <w:tcPr>
            <w:tcW w:w="1360" w:type="dxa"/>
            <w:tcBorders>
              <w:top w:val="nil"/>
              <w:left w:val="nil"/>
              <w:bottom w:val="single" w:color="auto" w:sz="4" w:space="0"/>
              <w:right w:val="single" w:color="auto" w:sz="4" w:space="0"/>
            </w:tcBorders>
            <w:noWrap/>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白洋河</w:t>
            </w:r>
          </w:p>
        </w:tc>
        <w:tc>
          <w:tcPr>
            <w:tcW w:w="1416" w:type="dxa"/>
            <w:tcBorders>
              <w:top w:val="nil"/>
              <w:left w:val="nil"/>
              <w:bottom w:val="single" w:color="auto" w:sz="4" w:space="0"/>
              <w:right w:val="single" w:color="auto" w:sz="4" w:space="0"/>
            </w:tcBorders>
            <w:noWrap/>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镇级</w:t>
            </w:r>
          </w:p>
        </w:tc>
        <w:tc>
          <w:tcPr>
            <w:tcW w:w="1417" w:type="dxa"/>
            <w:tcBorders>
              <w:top w:val="single" w:color="auto" w:sz="4" w:space="0"/>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都市绿园小区</w:t>
            </w:r>
          </w:p>
        </w:tc>
        <w:tc>
          <w:tcPr>
            <w:tcW w:w="1447"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机场北路桥头西侧</w:t>
            </w:r>
          </w:p>
        </w:tc>
        <w:tc>
          <w:tcPr>
            <w:tcW w:w="2097" w:type="dxa"/>
            <w:tcBorders>
              <w:top w:val="nil"/>
              <w:left w:val="nil"/>
              <w:bottom w:val="single" w:color="auto" w:sz="4" w:space="0"/>
              <w:right w:val="single" w:color="auto" w:sz="4" w:space="0"/>
            </w:tcBorders>
            <w:noWrap/>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990</w:t>
            </w:r>
          </w:p>
        </w:tc>
      </w:tr>
      <w:tr>
        <w:tblPrEx>
          <w:tblCellMar>
            <w:top w:w="0" w:type="dxa"/>
            <w:left w:w="108" w:type="dxa"/>
            <w:bottom w:w="0" w:type="dxa"/>
            <w:right w:w="108" w:type="dxa"/>
          </w:tblCellMar>
        </w:tblPrEx>
        <w:trPr>
          <w:trHeight w:val="765" w:hRule="atLeast"/>
        </w:trPr>
        <w:tc>
          <w:tcPr>
            <w:tcW w:w="500" w:type="dxa"/>
            <w:tcBorders>
              <w:top w:val="nil"/>
              <w:left w:val="single" w:color="auto" w:sz="4" w:space="0"/>
              <w:bottom w:val="single" w:color="auto" w:sz="4" w:space="0"/>
              <w:right w:val="single" w:color="auto" w:sz="4" w:space="0"/>
            </w:tcBorders>
            <w:noWrap/>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20</w:t>
            </w:r>
          </w:p>
        </w:tc>
        <w:tc>
          <w:tcPr>
            <w:tcW w:w="1360" w:type="dxa"/>
            <w:tcBorders>
              <w:top w:val="nil"/>
              <w:left w:val="nil"/>
              <w:bottom w:val="single" w:color="auto" w:sz="4" w:space="0"/>
              <w:right w:val="single" w:color="auto" w:sz="4" w:space="0"/>
            </w:tcBorders>
            <w:noWrap/>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月湖（湖泊）</w:t>
            </w:r>
          </w:p>
        </w:tc>
        <w:tc>
          <w:tcPr>
            <w:tcW w:w="1416" w:type="dxa"/>
            <w:tcBorders>
              <w:top w:val="nil"/>
              <w:left w:val="nil"/>
              <w:bottom w:val="single" w:color="auto" w:sz="4" w:space="0"/>
              <w:right w:val="single" w:color="auto" w:sz="4" w:space="0"/>
            </w:tcBorders>
            <w:noWrap/>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镇级（在建）</w:t>
            </w:r>
          </w:p>
        </w:tc>
        <w:tc>
          <w:tcPr>
            <w:tcW w:w="1417"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甲南大道桥南侧</w:t>
            </w:r>
          </w:p>
        </w:tc>
        <w:tc>
          <w:tcPr>
            <w:tcW w:w="1447" w:type="dxa"/>
            <w:tcBorders>
              <w:top w:val="nil"/>
              <w:left w:val="nil"/>
              <w:bottom w:val="single" w:color="auto" w:sz="4" w:space="0"/>
              <w:right w:val="single" w:color="auto" w:sz="4" w:space="0"/>
            </w:tcBorders>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鲍浦大道桥北侧</w:t>
            </w:r>
          </w:p>
        </w:tc>
        <w:tc>
          <w:tcPr>
            <w:tcW w:w="2097" w:type="dxa"/>
            <w:tcBorders>
              <w:top w:val="nil"/>
              <w:left w:val="nil"/>
              <w:bottom w:val="single" w:color="auto" w:sz="4" w:space="0"/>
              <w:right w:val="single" w:color="auto" w:sz="4" w:space="0"/>
            </w:tcBorders>
            <w:noWrap/>
            <w:vAlign w:val="center"/>
          </w:tcPr>
          <w:p>
            <w:pPr>
              <w:spacing w:line="360" w:lineRule="auto"/>
              <w:jc w:val="center"/>
              <w:rPr>
                <w:rFonts w:asciiTheme="minorEastAsia" w:hAnsiTheme="minorEastAsia" w:eastAsiaTheme="minorEastAsia" w:cstheme="minorEastAsia"/>
                <w:color w:val="auto"/>
                <w:kern w:val="0"/>
                <w:sz w:val="20"/>
                <w:szCs w:val="20"/>
                <w:highlight w:val="none"/>
              </w:rPr>
            </w:pPr>
            <w:r>
              <w:rPr>
                <w:rFonts w:hint="eastAsia" w:asciiTheme="minorEastAsia" w:hAnsiTheme="minorEastAsia" w:eastAsiaTheme="minorEastAsia" w:cstheme="minorEastAsia"/>
                <w:color w:val="auto"/>
                <w:kern w:val="0"/>
                <w:sz w:val="20"/>
                <w:szCs w:val="20"/>
                <w:highlight w:val="none"/>
              </w:rPr>
              <w:t>1.5（平方公里）</w:t>
            </w:r>
          </w:p>
        </w:tc>
      </w:tr>
    </w:tbl>
    <w:p>
      <w:pPr>
        <w:spacing w:line="360" w:lineRule="auto"/>
        <w:rPr>
          <w:rFonts w:asciiTheme="minorEastAsia" w:hAnsiTheme="minorEastAsia" w:eastAsiaTheme="minorEastAsia" w:cstheme="minorEastAsia"/>
          <w:color w:val="auto"/>
          <w:kern w:val="0"/>
          <w:highlight w:val="none"/>
        </w:rPr>
      </w:pPr>
      <w:r>
        <w:rPr>
          <w:rFonts w:asciiTheme="minorEastAsia" w:hAnsiTheme="minorEastAsia" w:eastAsiaTheme="minorEastAsia" w:cstheme="minorEastAsia"/>
          <w:color w:val="auto"/>
          <w:kern w:val="0"/>
          <w:highlight w:val="none"/>
        </w:rPr>
        <w:pict>
          <v:shape id="_x0000_s1026" o:spid="_x0000_s1026" o:spt="202" type="#_x0000_t202" style="position:absolute;left:0pt;margin-left:55pt;margin-top:1.9pt;height:251.85pt;width:305.6pt;mso-wrap-style:none;z-index:251660288;mso-width-relative:page;mso-height-relative:page;" coordsize="21600,21600" o:gfxdata="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U2eW+NkAAAAJAQAADwAAAAAAAAABACAA&#10;AAAiAAAAZHJzL2Rvd25yZXYueG1sUEsBAhQAFAAAAAgAh07iQEk8iGpFAgAAlAQAAA4AAAAAAAAA&#10;AQAgAAAAKAEAAGRycy9lMm9Eb2MueG1sUEsFBgAAAAAGAAYAWQEAAN8FAAAAAA==&#10;">
            <v:path/>
            <v:fill focussize="0,0"/>
            <v:stroke joinstyle="miter"/>
            <v:imagedata o:title=""/>
            <o:lock v:ext="edit"/>
            <v:textbox style="mso-fit-shape-to-text:t;">
              <w:txbxContent>
                <w:p>
                  <w:r>
                    <w:drawing>
                      <wp:inline distT="0" distB="0" distL="0" distR="0">
                        <wp:extent cx="3688080" cy="3093720"/>
                        <wp:effectExtent l="0" t="0" r="7620" b="11430"/>
                        <wp:docPr id="2" name="图片 2" descr="集聚区河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集聚区河道"/>
                                <pic:cNvPicPr>
                                  <a:picLocks noChangeAspect="1" noChangeArrowheads="1"/>
                                </pic:cNvPicPr>
                              </pic:nvPicPr>
                              <pic:blipFill>
                                <a:blip r:embed="rId7">
                                  <a:extLst>
                                    <a:ext uri="{28A0092B-C50C-407E-A947-70E740481C1C}">
                                      <a14:useLocalDpi xmlns:a14="http://schemas.microsoft.com/office/drawing/2010/main" val="0"/>
                                    </a:ext>
                                  </a:extLst>
                                </a:blip>
                                <a:srcRect l="5998" r="14677" b="7310"/>
                                <a:stretch>
                                  <a:fillRect/>
                                </a:stretch>
                              </pic:blipFill>
                              <pic:spPr>
                                <a:xfrm>
                                  <a:off x="0" y="0"/>
                                  <a:ext cx="3688080" cy="3093720"/>
                                </a:xfrm>
                                <a:prstGeom prst="rect">
                                  <a:avLst/>
                                </a:prstGeom>
                                <a:noFill/>
                                <a:ln>
                                  <a:noFill/>
                                </a:ln>
                              </pic:spPr>
                            </pic:pic>
                          </a:graphicData>
                        </a:graphic>
                      </wp:inline>
                    </w:drawing>
                  </w:r>
                </w:p>
              </w:txbxContent>
            </v:textbox>
          </v:shape>
        </w:pict>
      </w:r>
    </w:p>
    <w:p>
      <w:pPr>
        <w:spacing w:line="360" w:lineRule="auto"/>
        <w:rPr>
          <w:rFonts w:asciiTheme="minorEastAsia" w:hAnsiTheme="minorEastAsia" w:eastAsiaTheme="minorEastAsia" w:cstheme="minorEastAsia"/>
          <w:color w:val="auto"/>
          <w:kern w:val="0"/>
          <w:highlight w:val="none"/>
        </w:rPr>
      </w:pPr>
    </w:p>
    <w:p>
      <w:pPr>
        <w:spacing w:line="360" w:lineRule="auto"/>
        <w:rPr>
          <w:rFonts w:asciiTheme="minorEastAsia" w:hAnsiTheme="minorEastAsia" w:eastAsiaTheme="minorEastAsia" w:cstheme="minorEastAsia"/>
          <w:color w:val="auto"/>
          <w:kern w:val="0"/>
          <w:highlight w:val="none"/>
        </w:rPr>
      </w:pPr>
    </w:p>
    <w:p>
      <w:pPr>
        <w:spacing w:line="360" w:lineRule="auto"/>
        <w:rPr>
          <w:rFonts w:asciiTheme="minorEastAsia" w:hAnsiTheme="minorEastAsia" w:eastAsiaTheme="minorEastAsia" w:cstheme="minorEastAsia"/>
          <w:color w:val="auto"/>
          <w:kern w:val="0"/>
          <w:highlight w:val="none"/>
        </w:rPr>
      </w:pPr>
    </w:p>
    <w:p>
      <w:pPr>
        <w:spacing w:line="360" w:lineRule="auto"/>
        <w:rPr>
          <w:rFonts w:asciiTheme="minorEastAsia" w:hAnsiTheme="minorEastAsia" w:eastAsiaTheme="minorEastAsia" w:cstheme="minorEastAsia"/>
          <w:color w:val="auto"/>
          <w:kern w:val="0"/>
          <w:highlight w:val="none"/>
        </w:rPr>
      </w:pPr>
    </w:p>
    <w:p>
      <w:pPr>
        <w:spacing w:line="360" w:lineRule="auto"/>
        <w:rPr>
          <w:rFonts w:asciiTheme="minorEastAsia" w:hAnsiTheme="minorEastAsia" w:eastAsiaTheme="minorEastAsia" w:cstheme="minorEastAsia"/>
          <w:color w:val="auto"/>
          <w:kern w:val="0"/>
          <w:highlight w:val="none"/>
        </w:rPr>
      </w:pPr>
    </w:p>
    <w:p>
      <w:pPr>
        <w:spacing w:line="360" w:lineRule="auto"/>
        <w:rPr>
          <w:rFonts w:asciiTheme="minorEastAsia" w:hAnsiTheme="minorEastAsia" w:eastAsiaTheme="minorEastAsia" w:cstheme="minorEastAsia"/>
          <w:color w:val="auto"/>
          <w:kern w:val="0"/>
          <w:highlight w:val="none"/>
        </w:rPr>
      </w:pPr>
    </w:p>
    <w:p>
      <w:pPr>
        <w:spacing w:line="360" w:lineRule="auto"/>
        <w:rPr>
          <w:rFonts w:asciiTheme="minorEastAsia" w:hAnsiTheme="minorEastAsia" w:eastAsiaTheme="minorEastAsia" w:cstheme="minorEastAsia"/>
          <w:color w:val="auto"/>
          <w:kern w:val="0"/>
          <w:highlight w:val="none"/>
        </w:rPr>
      </w:pPr>
    </w:p>
    <w:p>
      <w:pPr>
        <w:spacing w:line="360" w:lineRule="auto"/>
        <w:rPr>
          <w:rFonts w:asciiTheme="minorEastAsia" w:hAnsiTheme="minorEastAsia" w:eastAsiaTheme="minorEastAsia" w:cstheme="minorEastAsia"/>
          <w:color w:val="auto"/>
          <w:kern w:val="0"/>
          <w:highlight w:val="none"/>
        </w:rPr>
      </w:pPr>
    </w:p>
    <w:p>
      <w:pPr>
        <w:spacing w:line="360" w:lineRule="auto"/>
        <w:rPr>
          <w:rFonts w:asciiTheme="minorEastAsia" w:hAnsiTheme="minorEastAsia" w:eastAsiaTheme="minorEastAsia" w:cstheme="minorEastAsia"/>
          <w:color w:val="auto"/>
          <w:kern w:val="0"/>
          <w:highlight w:val="none"/>
        </w:rPr>
      </w:pPr>
    </w:p>
    <w:p>
      <w:pPr>
        <w:spacing w:line="360" w:lineRule="auto"/>
        <w:rPr>
          <w:rFonts w:asciiTheme="minorEastAsia" w:hAnsiTheme="minorEastAsia" w:eastAsiaTheme="minorEastAsia" w:cstheme="minorEastAsia"/>
          <w:color w:val="auto"/>
          <w:kern w:val="0"/>
          <w:highlight w:val="none"/>
        </w:rPr>
      </w:pPr>
    </w:p>
    <w:p>
      <w:pPr>
        <w:spacing w:line="360" w:lineRule="auto"/>
        <w:jc w:val="center"/>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图2 台州湾新区监测河道分布图</w:t>
      </w:r>
    </w:p>
    <w:p>
      <w:pPr>
        <w:spacing w:line="360" w:lineRule="auto"/>
        <w:ind w:firstLine="240" w:firstLineChars="1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（2）监测时间与频次</w:t>
      </w:r>
    </w:p>
    <w:p>
      <w:pPr>
        <w:spacing w:line="360" w:lineRule="auto"/>
        <w:ind w:firstLine="240" w:firstLineChars="1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监测时间：以2周年作为服务周期，共计24个月。</w:t>
      </w:r>
    </w:p>
    <w:p>
      <w:pPr>
        <w:spacing w:line="360" w:lineRule="auto"/>
        <w:ind w:firstLine="240" w:firstLineChars="1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监测频次：重点关注点位每周1次，其他点位每月1次，6~9月水质敏感时期每月增加1次，即每月2次。</w:t>
      </w:r>
    </w:p>
    <w:p>
      <w:pPr>
        <w:spacing w:line="360" w:lineRule="auto"/>
        <w:ind w:firstLine="240" w:firstLineChars="1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（3）检测指标</w:t>
      </w:r>
    </w:p>
    <w:p>
      <w:pPr>
        <w:spacing w:line="360" w:lineRule="auto"/>
        <w:ind w:firstLine="480" w:firstLineChars="2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河道检测主要检测指标为温度、溶解氧、pH值、电导率、氨氮、总磷、高锰酸盐指数（COD</w:t>
      </w:r>
      <w:r>
        <w:rPr>
          <w:rFonts w:hint="eastAsia" w:asciiTheme="minorEastAsia" w:hAnsiTheme="minorEastAsia" w:eastAsiaTheme="minorEastAsia" w:cstheme="minorEastAsia"/>
          <w:color w:val="auto"/>
          <w:kern w:val="0"/>
          <w:sz w:val="24"/>
          <w:highlight w:val="none"/>
          <w:vertAlign w:val="subscript"/>
        </w:rPr>
        <w:t>Mn</w:t>
      </w:r>
      <w:r>
        <w:rPr>
          <w:rFonts w:hint="eastAsia" w:asciiTheme="minorEastAsia" w:hAnsiTheme="minorEastAsia" w:eastAsiaTheme="minorEastAsia" w:cstheme="minorEastAsia"/>
          <w:color w:val="auto"/>
          <w:kern w:val="0"/>
          <w:sz w:val="24"/>
          <w:highlight w:val="none"/>
        </w:rPr>
        <w:t>），月湖需加测叶绿素a、藻类（密度、生物量）；</w:t>
      </w:r>
    </w:p>
    <w:p>
      <w:pPr>
        <w:spacing w:line="360" w:lineRule="auto"/>
        <w:ind w:firstLine="240" w:firstLineChars="1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（4）分析预警</w:t>
      </w:r>
    </w:p>
    <w:p>
      <w:pPr>
        <w:spacing w:line="360" w:lineRule="auto"/>
        <w:ind w:firstLine="480" w:firstLineChars="2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根据各点位监测结果，结合历史数据和气象数据，对台州湾新区内主要河流水环境现状进行简要分析与评价，对监测结果中反映出的水环境、水污染问题、成因及变化趋势进行分析、预测和预警。</w:t>
      </w:r>
    </w:p>
    <w:p>
      <w:pPr>
        <w:spacing w:line="360" w:lineRule="auto"/>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2、涉水污染源及排水口调查及巡查监管</w:t>
      </w:r>
    </w:p>
    <w:p>
      <w:pPr>
        <w:spacing w:line="360" w:lineRule="auto"/>
        <w:ind w:firstLine="240" w:firstLineChars="1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（1）污染特征因子调查</w:t>
      </w:r>
    </w:p>
    <w:p>
      <w:pPr>
        <w:spacing w:line="360" w:lineRule="auto"/>
        <w:ind w:firstLine="480" w:firstLineChars="2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以河流为界将台州湾新区核心区域划分为诸多调查单元，主要单元内生活污染调查、三产类污染调查、工业企业污染调查、农业面源污染源、其他类污染等各类污染源调查和数据采集，摸清各流域单元内污染源的位置、类型、规模（或数量）、特征污染因子等信息，建立流域污染源数据库和空间分布图，并编制一份系统性的调查报告。污染源调查以乡镇街道统计数据为准，结合实地调查走访、核查。</w:t>
      </w:r>
    </w:p>
    <w:p>
      <w:pPr>
        <w:spacing w:line="360" w:lineRule="auto"/>
        <w:ind w:firstLine="480" w:firstLineChars="2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fldChar w:fldCharType="begin"/>
      </w:r>
      <w:r>
        <w:rPr>
          <w:rFonts w:hint="eastAsia" w:asciiTheme="minorEastAsia" w:hAnsiTheme="minorEastAsia" w:eastAsiaTheme="minorEastAsia" w:cstheme="minorEastAsia"/>
          <w:color w:val="auto"/>
          <w:kern w:val="0"/>
          <w:sz w:val="24"/>
          <w:highlight w:val="none"/>
        </w:rPr>
        <w:instrText xml:space="preserve"> = 1 \* GB3 \* MERGEFORMAT </w:instrText>
      </w:r>
      <w:r>
        <w:rPr>
          <w:rFonts w:hint="eastAsia" w:asciiTheme="minorEastAsia" w:hAnsiTheme="minorEastAsia" w:eastAsiaTheme="minorEastAsia" w:cstheme="minorEastAsia"/>
          <w:color w:val="auto"/>
          <w:kern w:val="0"/>
          <w:sz w:val="24"/>
          <w:highlight w:val="none"/>
        </w:rPr>
        <w:fldChar w:fldCharType="separate"/>
      </w:r>
      <w:r>
        <w:rPr>
          <w:rFonts w:hint="eastAsia" w:asciiTheme="minorEastAsia" w:hAnsiTheme="minorEastAsia" w:eastAsiaTheme="minorEastAsia" w:cstheme="minorEastAsia"/>
          <w:color w:val="auto"/>
          <w:highlight w:val="none"/>
        </w:rPr>
        <w:t>①</w:t>
      </w:r>
      <w:r>
        <w:rPr>
          <w:rFonts w:hint="eastAsia" w:asciiTheme="minorEastAsia" w:hAnsiTheme="minorEastAsia" w:eastAsiaTheme="minorEastAsia" w:cstheme="minorEastAsia"/>
          <w:color w:val="auto"/>
          <w:kern w:val="0"/>
          <w:sz w:val="24"/>
          <w:highlight w:val="none"/>
        </w:rPr>
        <w:fldChar w:fldCharType="end"/>
      </w:r>
      <w:r>
        <w:rPr>
          <w:rFonts w:hint="eastAsia" w:asciiTheme="minorEastAsia" w:hAnsiTheme="minorEastAsia" w:eastAsiaTheme="minorEastAsia" w:cstheme="minorEastAsia"/>
          <w:color w:val="auto"/>
          <w:kern w:val="0"/>
          <w:sz w:val="24"/>
          <w:highlight w:val="none"/>
        </w:rPr>
        <w:t>生活污染源调查</w:t>
      </w:r>
    </w:p>
    <w:p>
      <w:pPr>
        <w:spacing w:line="360" w:lineRule="auto"/>
        <w:ind w:firstLine="480" w:firstLineChars="2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流域所在区域村镇、街道等，内容包括村庄（小区）范围、土地面积、常住人口、人均用水量、排水口、畜禽养殖、污染特征因子、存在问题等，记录在奥维数字软件相关表格中。</w:t>
      </w:r>
    </w:p>
    <w:p>
      <w:pPr>
        <w:spacing w:line="360" w:lineRule="auto"/>
        <w:ind w:firstLine="480" w:firstLineChars="2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fldChar w:fldCharType="begin"/>
      </w:r>
      <w:r>
        <w:rPr>
          <w:rFonts w:hint="eastAsia" w:asciiTheme="minorEastAsia" w:hAnsiTheme="minorEastAsia" w:eastAsiaTheme="minorEastAsia" w:cstheme="minorEastAsia"/>
          <w:color w:val="auto"/>
          <w:kern w:val="0"/>
          <w:sz w:val="24"/>
          <w:highlight w:val="none"/>
        </w:rPr>
        <w:instrText xml:space="preserve"> = 2 \* GB3 \* MERGEFORMAT </w:instrText>
      </w:r>
      <w:r>
        <w:rPr>
          <w:rFonts w:hint="eastAsia" w:asciiTheme="minorEastAsia" w:hAnsiTheme="minorEastAsia" w:eastAsiaTheme="minorEastAsia" w:cstheme="minorEastAsia"/>
          <w:color w:val="auto"/>
          <w:kern w:val="0"/>
          <w:sz w:val="24"/>
          <w:highlight w:val="none"/>
        </w:rPr>
        <w:fldChar w:fldCharType="separate"/>
      </w:r>
      <w:r>
        <w:rPr>
          <w:rFonts w:hint="eastAsia" w:asciiTheme="minorEastAsia" w:hAnsiTheme="minorEastAsia" w:eastAsiaTheme="minorEastAsia" w:cstheme="minorEastAsia"/>
          <w:color w:val="auto"/>
          <w:highlight w:val="none"/>
        </w:rPr>
        <w:t>②</w:t>
      </w:r>
      <w:r>
        <w:rPr>
          <w:rFonts w:hint="eastAsia" w:asciiTheme="minorEastAsia" w:hAnsiTheme="minorEastAsia" w:eastAsiaTheme="minorEastAsia" w:cstheme="minorEastAsia"/>
          <w:color w:val="auto"/>
          <w:kern w:val="0"/>
          <w:sz w:val="24"/>
          <w:highlight w:val="none"/>
        </w:rPr>
        <w:fldChar w:fldCharType="end"/>
      </w:r>
      <w:r>
        <w:rPr>
          <w:rFonts w:hint="eastAsia" w:asciiTheme="minorEastAsia" w:hAnsiTheme="minorEastAsia" w:eastAsiaTheme="minorEastAsia" w:cstheme="minorEastAsia"/>
          <w:color w:val="auto"/>
          <w:kern w:val="0"/>
          <w:sz w:val="24"/>
          <w:highlight w:val="none"/>
        </w:rPr>
        <w:t>工业企业污染源调查</w:t>
      </w:r>
    </w:p>
    <w:p>
      <w:pPr>
        <w:spacing w:line="360" w:lineRule="auto"/>
        <w:ind w:firstLine="480" w:firstLineChars="2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台州湾新区内工业企业众多，主要调查该企业的的地理位置、面积、日常用水量、污染特征因子（如氮磷、COD类）、存在问题等。</w:t>
      </w:r>
    </w:p>
    <w:p>
      <w:pPr>
        <w:spacing w:line="360" w:lineRule="auto"/>
        <w:ind w:firstLine="480" w:firstLineChars="2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fldChar w:fldCharType="begin"/>
      </w:r>
      <w:r>
        <w:rPr>
          <w:rFonts w:hint="eastAsia" w:asciiTheme="minorEastAsia" w:hAnsiTheme="minorEastAsia" w:eastAsiaTheme="minorEastAsia" w:cstheme="minorEastAsia"/>
          <w:color w:val="auto"/>
          <w:kern w:val="0"/>
          <w:sz w:val="24"/>
          <w:highlight w:val="none"/>
        </w:rPr>
        <w:instrText xml:space="preserve"> = 3 \* GB3 \* MERGEFORMAT </w:instrText>
      </w:r>
      <w:r>
        <w:rPr>
          <w:rFonts w:hint="eastAsia" w:asciiTheme="minorEastAsia" w:hAnsiTheme="minorEastAsia" w:eastAsiaTheme="minorEastAsia" w:cstheme="minorEastAsia"/>
          <w:color w:val="auto"/>
          <w:kern w:val="0"/>
          <w:sz w:val="24"/>
          <w:highlight w:val="none"/>
        </w:rPr>
        <w:fldChar w:fldCharType="separate"/>
      </w:r>
      <w:r>
        <w:rPr>
          <w:rFonts w:hint="eastAsia" w:asciiTheme="minorEastAsia" w:hAnsiTheme="minorEastAsia" w:eastAsiaTheme="minorEastAsia" w:cstheme="minorEastAsia"/>
          <w:color w:val="auto"/>
          <w:highlight w:val="none"/>
        </w:rPr>
        <w:t>③</w:t>
      </w:r>
      <w:r>
        <w:rPr>
          <w:rFonts w:hint="eastAsia" w:asciiTheme="minorEastAsia" w:hAnsiTheme="minorEastAsia" w:eastAsiaTheme="minorEastAsia" w:cstheme="minorEastAsia"/>
          <w:color w:val="auto"/>
          <w:kern w:val="0"/>
          <w:sz w:val="24"/>
          <w:highlight w:val="none"/>
        </w:rPr>
        <w:fldChar w:fldCharType="end"/>
      </w:r>
      <w:r>
        <w:rPr>
          <w:rFonts w:hint="eastAsia" w:asciiTheme="minorEastAsia" w:hAnsiTheme="minorEastAsia" w:eastAsiaTheme="minorEastAsia" w:cstheme="minorEastAsia"/>
          <w:color w:val="auto"/>
          <w:kern w:val="0"/>
          <w:sz w:val="24"/>
          <w:highlight w:val="none"/>
        </w:rPr>
        <w:t>三产类污染源调查</w:t>
      </w:r>
    </w:p>
    <w:p>
      <w:pPr>
        <w:spacing w:line="360" w:lineRule="auto"/>
        <w:ind w:firstLine="480" w:firstLineChars="2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台州湾新区内三产类污染源包括农家乐、餐饮店、住宿等，调查它们的范围、位置、面积、污染特征因子（如石油类、COD类）、存在的问题，其中在调查范围当中的绿地要采集其面积，登记到表格中。</w:t>
      </w:r>
    </w:p>
    <w:p>
      <w:pPr>
        <w:spacing w:line="360" w:lineRule="auto"/>
        <w:ind w:firstLine="480" w:firstLineChars="2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fldChar w:fldCharType="begin"/>
      </w:r>
      <w:r>
        <w:rPr>
          <w:rFonts w:hint="eastAsia" w:asciiTheme="minorEastAsia" w:hAnsiTheme="minorEastAsia" w:eastAsiaTheme="minorEastAsia" w:cstheme="minorEastAsia"/>
          <w:color w:val="auto"/>
          <w:kern w:val="0"/>
          <w:sz w:val="24"/>
          <w:highlight w:val="none"/>
        </w:rPr>
        <w:instrText xml:space="preserve"> = 4 \* GB3 \* MERGEFORMAT </w:instrText>
      </w:r>
      <w:r>
        <w:rPr>
          <w:rFonts w:hint="eastAsia" w:asciiTheme="minorEastAsia" w:hAnsiTheme="minorEastAsia" w:eastAsiaTheme="minorEastAsia" w:cstheme="minorEastAsia"/>
          <w:color w:val="auto"/>
          <w:kern w:val="0"/>
          <w:sz w:val="24"/>
          <w:highlight w:val="none"/>
        </w:rPr>
        <w:fldChar w:fldCharType="separate"/>
      </w:r>
      <w:r>
        <w:rPr>
          <w:rFonts w:hint="eastAsia" w:asciiTheme="minorEastAsia" w:hAnsiTheme="minorEastAsia" w:eastAsiaTheme="minorEastAsia" w:cstheme="minorEastAsia"/>
          <w:color w:val="auto"/>
          <w:highlight w:val="none"/>
        </w:rPr>
        <w:t>④</w:t>
      </w:r>
      <w:r>
        <w:rPr>
          <w:rFonts w:hint="eastAsia" w:asciiTheme="minorEastAsia" w:hAnsiTheme="minorEastAsia" w:eastAsiaTheme="minorEastAsia" w:cstheme="minorEastAsia"/>
          <w:color w:val="auto"/>
          <w:kern w:val="0"/>
          <w:sz w:val="24"/>
          <w:highlight w:val="none"/>
        </w:rPr>
        <w:fldChar w:fldCharType="end"/>
      </w:r>
      <w:r>
        <w:rPr>
          <w:rFonts w:hint="eastAsia" w:asciiTheme="minorEastAsia" w:hAnsiTheme="minorEastAsia" w:eastAsiaTheme="minorEastAsia" w:cstheme="minorEastAsia"/>
          <w:color w:val="auto"/>
          <w:kern w:val="0"/>
          <w:sz w:val="24"/>
          <w:highlight w:val="none"/>
        </w:rPr>
        <w:t xml:space="preserve"> 农田面源污染源调查 </w:t>
      </w:r>
    </w:p>
    <w:p>
      <w:pPr>
        <w:spacing w:line="360" w:lineRule="auto"/>
        <w:ind w:firstLine="480" w:firstLineChars="2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对农田的面源污染调查内容包括土壤土质类型、坡度、面积、化肥施用量、农药施用量、农田用水量、污染特征因子、存在问题等。</w:t>
      </w:r>
    </w:p>
    <w:p>
      <w:pPr>
        <w:spacing w:line="360" w:lineRule="auto"/>
        <w:ind w:firstLine="240" w:firstLineChars="1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 xml:space="preserve">（2）流域单元巡查管控 </w:t>
      </w:r>
    </w:p>
    <w:p>
      <w:pPr>
        <w:spacing w:line="360" w:lineRule="auto"/>
        <w:ind w:firstLine="480" w:firstLineChars="2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fldChar w:fldCharType="begin"/>
      </w:r>
      <w:r>
        <w:rPr>
          <w:rFonts w:hint="eastAsia" w:asciiTheme="minorEastAsia" w:hAnsiTheme="minorEastAsia" w:eastAsiaTheme="minorEastAsia" w:cstheme="minorEastAsia"/>
          <w:color w:val="auto"/>
          <w:kern w:val="0"/>
          <w:sz w:val="24"/>
          <w:highlight w:val="none"/>
        </w:rPr>
        <w:instrText xml:space="preserve"> = 1 \* GB3 \* MERGEFORMAT </w:instrText>
      </w:r>
      <w:r>
        <w:rPr>
          <w:rFonts w:hint="eastAsia" w:asciiTheme="minorEastAsia" w:hAnsiTheme="minorEastAsia" w:eastAsiaTheme="minorEastAsia" w:cstheme="minorEastAsia"/>
          <w:color w:val="auto"/>
          <w:kern w:val="0"/>
          <w:sz w:val="24"/>
          <w:highlight w:val="none"/>
        </w:rPr>
        <w:fldChar w:fldCharType="separate"/>
      </w:r>
      <w:r>
        <w:rPr>
          <w:rFonts w:hint="eastAsia" w:asciiTheme="minorEastAsia" w:hAnsiTheme="minorEastAsia" w:eastAsiaTheme="minorEastAsia" w:cstheme="minorEastAsia"/>
          <w:color w:val="auto"/>
          <w:highlight w:val="none"/>
        </w:rPr>
        <w:t>①</w:t>
      </w:r>
      <w:r>
        <w:rPr>
          <w:rFonts w:hint="eastAsia" w:asciiTheme="minorEastAsia" w:hAnsiTheme="minorEastAsia" w:eastAsiaTheme="minorEastAsia" w:cstheme="minorEastAsia"/>
          <w:color w:val="auto"/>
          <w:kern w:val="0"/>
          <w:sz w:val="24"/>
          <w:highlight w:val="none"/>
        </w:rPr>
        <w:fldChar w:fldCharType="end"/>
      </w:r>
      <w:r>
        <w:rPr>
          <w:rFonts w:hint="eastAsia" w:asciiTheme="minorEastAsia" w:hAnsiTheme="minorEastAsia" w:eastAsiaTheme="minorEastAsia" w:cstheme="minorEastAsia"/>
          <w:color w:val="auto"/>
          <w:kern w:val="0"/>
          <w:sz w:val="24"/>
          <w:highlight w:val="none"/>
        </w:rPr>
        <w:t xml:space="preserve"> 污染源巡查及管控</w:t>
      </w:r>
    </w:p>
    <w:p>
      <w:pPr>
        <w:spacing w:line="360" w:lineRule="auto"/>
        <w:ind w:firstLine="480" w:firstLineChars="2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以小流域单元网格划分范围为依据，通过无人机和人工巡查，结合各小流域单元网格的汇入水体关键节点水质监测，对流域内污染源、入港河道水质进行定期巡查、监督和管理，并结合流域监测预警监测分析结果，对水质异常点位上游污染源进行重点排查、溯源，对发现的问题或潜在问题及时上报相关部门。</w:t>
      </w:r>
    </w:p>
    <w:p>
      <w:pPr>
        <w:spacing w:line="360" w:lineRule="auto"/>
        <w:ind w:firstLine="480" w:firstLineChars="2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fldChar w:fldCharType="begin"/>
      </w:r>
      <w:r>
        <w:rPr>
          <w:rFonts w:hint="eastAsia" w:asciiTheme="minorEastAsia" w:hAnsiTheme="minorEastAsia" w:eastAsiaTheme="minorEastAsia" w:cstheme="minorEastAsia"/>
          <w:color w:val="auto"/>
          <w:kern w:val="0"/>
          <w:sz w:val="24"/>
          <w:highlight w:val="none"/>
        </w:rPr>
        <w:instrText xml:space="preserve"> = 2 \* GB3 \* MERGEFORMAT </w:instrText>
      </w:r>
      <w:r>
        <w:rPr>
          <w:rFonts w:hint="eastAsia" w:asciiTheme="minorEastAsia" w:hAnsiTheme="minorEastAsia" w:eastAsiaTheme="minorEastAsia" w:cstheme="minorEastAsia"/>
          <w:color w:val="auto"/>
          <w:kern w:val="0"/>
          <w:sz w:val="24"/>
          <w:highlight w:val="none"/>
        </w:rPr>
        <w:fldChar w:fldCharType="separate"/>
      </w:r>
      <w:r>
        <w:rPr>
          <w:rFonts w:hint="eastAsia" w:asciiTheme="minorEastAsia" w:hAnsiTheme="minorEastAsia" w:eastAsiaTheme="minorEastAsia" w:cstheme="minorEastAsia"/>
          <w:color w:val="auto"/>
          <w:highlight w:val="none"/>
        </w:rPr>
        <w:t>②</w:t>
      </w:r>
      <w:r>
        <w:rPr>
          <w:rFonts w:hint="eastAsia" w:asciiTheme="minorEastAsia" w:hAnsiTheme="minorEastAsia" w:eastAsiaTheme="minorEastAsia" w:cstheme="minorEastAsia"/>
          <w:color w:val="auto"/>
          <w:kern w:val="0"/>
          <w:sz w:val="24"/>
          <w:highlight w:val="none"/>
        </w:rPr>
        <w:fldChar w:fldCharType="end"/>
      </w:r>
      <w:r>
        <w:rPr>
          <w:rFonts w:hint="eastAsia" w:asciiTheme="minorEastAsia" w:hAnsiTheme="minorEastAsia" w:eastAsiaTheme="minorEastAsia" w:cstheme="minorEastAsia"/>
          <w:color w:val="auto"/>
          <w:kern w:val="0"/>
          <w:sz w:val="24"/>
          <w:highlight w:val="none"/>
        </w:rPr>
        <w:t xml:space="preserve"> 排水口巡查及管控</w:t>
      </w:r>
    </w:p>
    <w:p>
      <w:pPr>
        <w:spacing w:line="360" w:lineRule="auto"/>
        <w:ind w:firstLine="480" w:firstLineChars="2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对区域内入河排口进行定期巡查，明确排水口性质、现状、是否排水等情况，若发现个晴天排水或雨天排污现象，需进行排口污染源溯源调查，并将结果及时联系相关部门，出具事件报告，配合有关部门进行行政执法。鉴于</w:t>
      </w:r>
      <w:r>
        <w:rPr>
          <w:rFonts w:hint="eastAsia" w:asciiTheme="minorEastAsia" w:hAnsiTheme="minorEastAsia" w:eastAsiaTheme="minorEastAsia" w:cstheme="minorEastAsia"/>
          <w:color w:val="auto"/>
          <w:sz w:val="24"/>
          <w:szCs w:val="28"/>
          <w:highlight w:val="none"/>
        </w:rPr>
        <w:t>排水口排水时间不定，仅靠人工巡查难以进行实时监管，可利用在建自动监测设备及监控，在排口处出现水质异常时及时通报，结合地理信息技术，快速确定有问题的排水口，及时处置。</w:t>
      </w:r>
    </w:p>
    <w:p>
      <w:pPr>
        <w:spacing w:line="360" w:lineRule="auto"/>
        <w:ind w:firstLine="480" w:firstLineChars="2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③县域交接断面及附近水域巡查及管控</w:t>
      </w:r>
    </w:p>
    <w:p>
      <w:pPr>
        <w:spacing w:line="360" w:lineRule="auto"/>
        <w:ind w:firstLine="480" w:firstLineChars="200"/>
        <w:rPr>
          <w:rFonts w:asciiTheme="minorEastAsia" w:hAnsiTheme="minorEastAsia" w:eastAsiaTheme="minorEastAsia" w:cstheme="minorEastAsia"/>
          <w:color w:val="auto"/>
          <w:sz w:val="24"/>
          <w:szCs w:val="28"/>
          <w:highlight w:val="none"/>
        </w:rPr>
      </w:pPr>
      <w:r>
        <w:rPr>
          <w:rFonts w:hint="eastAsia" w:asciiTheme="minorEastAsia" w:hAnsiTheme="minorEastAsia" w:eastAsiaTheme="minorEastAsia" w:cstheme="minorEastAsia"/>
          <w:color w:val="auto"/>
          <w:sz w:val="24"/>
          <w:szCs w:val="28"/>
          <w:highlight w:val="none"/>
        </w:rPr>
        <w:t>利用人工巡查和无线监控设备等，对县域交接断面（台州湾新区与椒江区、台州湾新区与路桥区）及附近水域进行定期巡查，对微型水质自动监测站和乡镇街道交接断面出入境水质情况进行定期巡查，进行常态化的监督、管理与整治，禁止县域交接断面及附近水域开展渔业捕捞、旅游活动、违规通航等人为干扰行为，对发现的违规、违法行为及时劝阻、制止，对区域内发现的违规、违法渔业等作业工具进行清理整治，避免人为因素干扰影响断面水质稳定与达标。</w:t>
      </w:r>
    </w:p>
    <w:p>
      <w:pPr>
        <w:spacing w:line="360" w:lineRule="auto"/>
        <w:ind w:firstLine="480" w:firstLineChars="200"/>
        <w:rPr>
          <w:rFonts w:asciiTheme="minorEastAsia" w:hAnsiTheme="minorEastAsia" w:eastAsiaTheme="minorEastAsia" w:cstheme="minorEastAsia"/>
          <w:color w:val="auto"/>
          <w:sz w:val="24"/>
          <w:szCs w:val="28"/>
          <w:highlight w:val="none"/>
        </w:rPr>
      </w:pPr>
      <w:r>
        <w:rPr>
          <w:rFonts w:hint="eastAsia" w:asciiTheme="minorEastAsia" w:hAnsiTheme="minorEastAsia" w:eastAsiaTheme="minorEastAsia" w:cstheme="minorEastAsia"/>
          <w:color w:val="auto"/>
          <w:sz w:val="24"/>
          <w:szCs w:val="28"/>
          <w:highlight w:val="none"/>
        </w:rPr>
        <w:t>3、</w:t>
      </w:r>
      <w:r>
        <w:rPr>
          <w:rFonts w:hint="eastAsia" w:asciiTheme="minorEastAsia" w:hAnsiTheme="minorEastAsia" w:eastAsiaTheme="minorEastAsia" w:cstheme="minorEastAsia"/>
          <w:color w:val="auto"/>
          <w:kern w:val="0"/>
          <w:sz w:val="24"/>
          <w:highlight w:val="none"/>
        </w:rPr>
        <w:t>台州湾新区“污水零直排区”创建技术支持</w:t>
      </w:r>
    </w:p>
    <w:p>
      <w:pPr>
        <w:spacing w:line="360" w:lineRule="auto"/>
        <w:ind w:firstLine="480" w:firstLineChars="2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为台州产业台州湾新区“污水零直排区”创建提供技术指导，对“污水零直排区”创建材料进行评估，协助业主进行“污水零直排区”创建资料的整理及更新等。主要包括：</w:t>
      </w:r>
    </w:p>
    <w:p>
      <w:pPr>
        <w:spacing w:line="360" w:lineRule="auto"/>
        <w:ind w:firstLine="480" w:firstLineChars="2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台州湾新区海虹街道“污水零直排区”创建，包括生活小区（半坦小区、荟萃苑、海城佳苑、五丰新村、南野上居、光辉村、郭家村等）；工业企业；“六小行业”（洗车、美容美发、小餐饮等）；市政管道等排水设施；学校、菜场、医院等其他设施。</w:t>
      </w:r>
    </w:p>
    <w:p>
      <w:pPr>
        <w:spacing w:line="360" w:lineRule="auto"/>
        <w:ind w:firstLine="480" w:firstLineChars="2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台州湾新区三甲街道“污水零直排区”创建，包括生活小区（沿海村、青龙村、保家村等）；工业企业；“六小行业”（洗车、美容美发、小餐饮等）；市政管道等排水设施；学校、菜场、医院等其他设施。</w:t>
      </w:r>
    </w:p>
    <w:p>
      <w:pPr>
        <w:spacing w:line="360" w:lineRule="auto"/>
        <w:ind w:firstLine="480" w:firstLineChars="2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台州湾新区（东部新区）“污水零直排区”创建，包括生活小区（月湖雅苑小区、滨城家园、人才公寓等）；工业企业；“六小行业”（洗车、美容美发、小餐饮等）；市政管道等排水设施；学校、菜场、医院等其他设施。</w:t>
      </w:r>
    </w:p>
    <w:p>
      <w:pPr>
        <w:spacing w:line="360" w:lineRule="auto"/>
        <w:ind w:firstLine="480" w:firstLineChars="200"/>
        <w:rPr>
          <w:rFonts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（4）其他区块“污水零直排区”创建。中德产业园区、相关村居、重点区块等。</w:t>
      </w:r>
    </w:p>
    <w:p>
      <w:pPr>
        <w:spacing w:line="360" w:lineRule="auto"/>
        <w:ind w:firstLine="480" w:firstLineChars="200"/>
        <w:rPr>
          <w:rFonts w:asciiTheme="minorEastAsia" w:hAnsiTheme="minorEastAsia" w:eastAsiaTheme="minorEastAsia" w:cstheme="minorEastAsia"/>
          <w:color w:val="auto"/>
          <w:sz w:val="24"/>
          <w:szCs w:val="28"/>
          <w:highlight w:val="none"/>
        </w:rPr>
      </w:pPr>
      <w:r>
        <w:rPr>
          <w:rFonts w:hint="eastAsia" w:asciiTheme="minorEastAsia" w:hAnsiTheme="minorEastAsia" w:eastAsiaTheme="minorEastAsia" w:cstheme="minorEastAsia"/>
          <w:color w:val="auto"/>
          <w:sz w:val="24"/>
          <w:szCs w:val="28"/>
          <w:highlight w:val="none"/>
        </w:rPr>
        <w:t>4、其他服务</w:t>
      </w:r>
    </w:p>
    <w:p>
      <w:pPr>
        <w:spacing w:line="360" w:lineRule="auto"/>
        <w:ind w:firstLine="480" w:firstLineChars="200"/>
        <w:rPr>
          <w:rFonts w:hint="eastAsia" w:asciiTheme="minorEastAsia" w:hAnsiTheme="minorEastAsia" w:eastAsiaTheme="minorEastAsia" w:cstheme="minorEastAsia"/>
          <w:color w:val="auto"/>
          <w:sz w:val="24"/>
          <w:szCs w:val="28"/>
          <w:highlight w:val="none"/>
        </w:rPr>
      </w:pPr>
      <w:r>
        <w:rPr>
          <w:rFonts w:hint="eastAsia" w:asciiTheme="minorEastAsia" w:hAnsiTheme="minorEastAsia" w:eastAsiaTheme="minorEastAsia" w:cstheme="minorEastAsia"/>
          <w:color w:val="auto"/>
          <w:sz w:val="24"/>
          <w:szCs w:val="28"/>
          <w:highlight w:val="none"/>
        </w:rPr>
        <w:t>配合完成河长制、宣传及相关技术报告等其他服务。</w:t>
      </w:r>
    </w:p>
    <w:p>
      <w:pPr>
        <w:spacing w:line="360" w:lineRule="auto"/>
        <w:ind w:left="959" w:leftChars="228"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注：科技治水综合技术服务包含但不限于以上服务内容，可根据采购人工作实际相应增加。</w:t>
      </w:r>
    </w:p>
    <w:p>
      <w:pPr>
        <w:spacing w:line="360" w:lineRule="auto"/>
        <w:ind w:firstLine="480" w:firstLineChars="200"/>
        <w:rPr>
          <w:rFonts w:asciiTheme="minorEastAsia" w:hAnsiTheme="minorEastAsia" w:eastAsiaTheme="minorEastAsia" w:cstheme="minorEastAsia"/>
          <w:color w:val="auto"/>
          <w:kern w:val="0"/>
          <w:sz w:val="24"/>
          <w:highlight w:val="none"/>
        </w:rPr>
        <w:sectPr>
          <w:pgSz w:w="11906" w:h="16838"/>
          <w:pgMar w:top="1440" w:right="1800" w:bottom="1440" w:left="1800" w:header="851" w:footer="992" w:gutter="0"/>
          <w:cols w:space="720" w:num="1"/>
          <w:docGrid w:type="lines" w:linePitch="312" w:charSpace="0"/>
        </w:sectPr>
      </w:pPr>
    </w:p>
    <w:p>
      <w:pPr>
        <w:pStyle w:val="2"/>
        <w:rPr>
          <w:color w:val="auto"/>
          <w:highlight w:val="none"/>
        </w:rPr>
      </w:pPr>
    </w:p>
    <w:p>
      <w:pPr>
        <w:numPr>
          <w:ilvl w:val="0"/>
          <w:numId w:val="3"/>
        </w:numPr>
        <w:spacing w:line="360" w:lineRule="auto"/>
        <w:jc w:val="center"/>
        <w:rPr>
          <w:rFonts w:ascii="宋体" w:hAnsi="宋体"/>
          <w:b/>
          <w:color w:val="auto"/>
          <w:sz w:val="36"/>
          <w:szCs w:val="36"/>
          <w:highlight w:val="none"/>
        </w:rPr>
      </w:pPr>
      <w:r>
        <w:rPr>
          <w:rFonts w:hint="eastAsia" w:ascii="宋体" w:hAnsi="宋体"/>
          <w:b/>
          <w:color w:val="auto"/>
          <w:sz w:val="36"/>
          <w:szCs w:val="36"/>
          <w:highlight w:val="none"/>
        </w:rPr>
        <w:t>政府采购合同主要条款</w:t>
      </w:r>
    </w:p>
    <w:p>
      <w:pPr>
        <w:spacing w:line="360" w:lineRule="auto"/>
        <w:jc w:val="center"/>
        <w:rPr>
          <w:b/>
          <w:color w:val="auto"/>
          <w:szCs w:val="21"/>
          <w:highlight w:val="none"/>
        </w:rPr>
      </w:pPr>
      <w:r>
        <w:rPr>
          <w:rFonts w:hint="eastAsia"/>
          <w:b/>
          <w:color w:val="auto"/>
          <w:szCs w:val="21"/>
          <w:highlight w:val="none"/>
        </w:rPr>
        <w:t>（本合同书为合同样稿，最终稿由甲乙双方根据合同主要条款精神指引并协商后确定）</w:t>
      </w:r>
    </w:p>
    <w:p>
      <w:pPr>
        <w:spacing w:line="520" w:lineRule="exact"/>
        <w:jc w:val="center"/>
        <w:rPr>
          <w:rFonts w:ascii="宋体" w:hAnsi="宋体"/>
          <w:b/>
          <w:snapToGrid w:val="0"/>
          <w:color w:val="auto"/>
          <w:kern w:val="0"/>
          <w:sz w:val="44"/>
          <w:szCs w:val="44"/>
          <w:highlight w:val="none"/>
        </w:rPr>
      </w:pPr>
      <w:r>
        <w:rPr>
          <w:rFonts w:hint="eastAsia" w:ascii="宋体" w:hAnsi="宋体"/>
          <w:b/>
          <w:snapToGrid w:val="0"/>
          <w:color w:val="auto"/>
          <w:kern w:val="0"/>
          <w:sz w:val="44"/>
          <w:szCs w:val="44"/>
          <w:highlight w:val="none"/>
        </w:rPr>
        <w:t>服务协议书</w:t>
      </w:r>
    </w:p>
    <w:p>
      <w:pPr>
        <w:spacing w:line="520" w:lineRule="exact"/>
        <w:jc w:val="center"/>
        <w:rPr>
          <w:rFonts w:ascii="宋体" w:hAnsi="宋体"/>
          <w:b/>
          <w:snapToGrid w:val="0"/>
          <w:color w:val="auto"/>
          <w:kern w:val="0"/>
          <w:sz w:val="44"/>
          <w:szCs w:val="44"/>
          <w:highlight w:val="none"/>
        </w:rPr>
      </w:pPr>
    </w:p>
    <w:p>
      <w:pPr>
        <w:widowControl/>
        <w:shd w:val="clear" w:color="auto" w:fill="FFFFFF"/>
        <w:spacing w:line="360" w:lineRule="auto"/>
        <w:ind w:firstLine="48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项目编号：</w:t>
      </w:r>
    </w:p>
    <w:p>
      <w:pPr>
        <w:widowControl/>
        <w:shd w:val="clear" w:color="auto" w:fill="FFFFFF"/>
        <w:spacing w:line="360" w:lineRule="auto"/>
        <w:ind w:firstLine="48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r>
        <w:rPr>
          <w:rFonts w:hint="eastAsia" w:asciiTheme="minorEastAsia" w:hAnsiTheme="minorEastAsia" w:eastAsiaTheme="minorEastAsia" w:cstheme="minorEastAsia"/>
          <w:color w:val="auto"/>
          <w:sz w:val="24"/>
          <w:highlight w:val="none"/>
        </w:rPr>
        <w:t>台州湾新区科技治水服务项目</w:t>
      </w:r>
    </w:p>
    <w:p>
      <w:pPr>
        <w:widowControl/>
        <w:shd w:val="clear" w:color="auto" w:fill="FFFFFF"/>
        <w:spacing w:line="360" w:lineRule="auto"/>
        <w:ind w:firstLine="48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甲方（买方）：台州湾新区管理委员会</w:t>
      </w:r>
    </w:p>
    <w:p>
      <w:pPr>
        <w:widowControl/>
        <w:shd w:val="clear" w:color="auto" w:fill="FFFFFF"/>
        <w:spacing w:line="360" w:lineRule="auto"/>
        <w:ind w:firstLine="48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乙方（卖方）：</w:t>
      </w:r>
    </w:p>
    <w:p>
      <w:pPr>
        <w:widowControl/>
        <w:shd w:val="clear" w:color="auto" w:fill="FFFFFF"/>
        <w:spacing w:line="360" w:lineRule="auto"/>
        <w:ind w:firstLine="48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甲、乙双方根据项目公开采购的结果，签署本合同。</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一、服务内容：台州湾新区科技治水“管家式”服务：</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1、台州湾新区水生态环境跟踪监测及预警服务；2、台州湾新区涉水污染源及排水口调查巡查监管服务；3、台州湾新区污水零直排区建设技术支持服务；4、相关技术报告等其他服务（详见招标需求）。</w:t>
      </w:r>
      <w:r>
        <w:rPr>
          <w:rFonts w:hint="eastAsia" w:asciiTheme="minorEastAsia" w:hAnsiTheme="minorEastAsia" w:eastAsiaTheme="minorEastAsia" w:cstheme="minorEastAsia"/>
          <w:color w:val="auto"/>
          <w:kern w:val="0"/>
          <w:sz w:val="24"/>
          <w:highlight w:val="none"/>
        </w:rPr>
        <w:t>科技治水综合技术服务包含但不限于以上服务内容，可根据甲方工作实际相应增加。</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二、合同金额</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本合同金额为（大写）：</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sz w:val="24"/>
          <w:highlight w:val="none"/>
        </w:rPr>
        <w:t>元（￥</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sz w:val="24"/>
          <w:highlight w:val="none"/>
        </w:rPr>
        <w:t>元）人民币。</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三、技术资料</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3.1乙方应按招标文件规定的时间向甲方提供有关技术资料。</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四、知识产权</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乙方应保证提供服务过程中不会侵犯任何第三方的知识产权。</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五、转包或分包</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5.1本合同范围的货物，应由供方直接供应，不得转让他人供应；</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5.2除非得到需方的书面同意，供方不得部分分包给他人供应。需方有绝对权力阻止分包。</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5.3如有转让和未经需方同意的分包行为，需方有权给予终止合同。</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六、服务质量保证期和服务质量保证金</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6.1服务质量保证期</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sz w:val="24"/>
          <w:highlight w:val="none"/>
        </w:rPr>
        <w:t>年。（自验收合格之日起计）</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6.2服务质量保证金</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sz w:val="24"/>
          <w:highlight w:val="none"/>
        </w:rPr>
        <w:t>元。</w:t>
      </w:r>
      <w:r>
        <w:rPr>
          <w:rFonts w:hint="eastAsia" w:asciiTheme="minorEastAsia" w:hAnsiTheme="minorEastAsia" w:eastAsiaTheme="minorEastAsia" w:cstheme="minorEastAsia"/>
          <w:color w:val="auto"/>
          <w:sz w:val="24"/>
          <w:highlight w:val="none"/>
        </w:rPr>
        <w:t>（乙方在项目验收合格后汇至甲方账户，质保期满后退还）</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七、合同履行时间、履行方式及履行地点</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7.1履行时间：</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7.2履行方式：</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7.3履行地点：</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八、款项支付</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付款方式：合同签订后预付总合同金额的20%，第一年度每半年一支付，支付比例15%；第二年度半年支付20%，经甲方验收合格后支付剩余的30%。</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九、考核方式</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9.1考核方式采取按效付费，累计扣除，年底结算。</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9.2年度考核中，13个微型自动监测站年度水质均值V类及以上和月湖县控断面年度水质均值达到Ⅳ类及以上，每超标一个断面扣除3万，在每年最后一次付费中扣除。</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9.3针对超标考核断面若乙方提出针对整治措施或技术方案，甲方未予以实施造成断面年度考核数据超标的，经甲方签字认可后不予扣费。</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9.4数据来源：台州市治水办及生态环境局监测数据作为考核数据来源，即以微型自动站及人工监测月度均值数据为准。</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十、税费</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本合同执行中相关的一切税费均由供方负担。</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十一、质量保证及后续服务</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11.1乙方应按招标文件规定向甲方提供服务。</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11.2乙方提供的服务成果在服务质量保证期内发生故障，乙方应负责免费提供后续服务。对达不到要求者，根据实际情况，经双方协商，可按以下办法处理：</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（1）重做：由乙方承担所发生的全部费用。</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（2）贬值处理：由甲乙双方合议定价。</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（3）解除合同。</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11.3如在使用过程中发生问题，乙方在接到甲方通知后在</w:t>
      </w:r>
      <w:r>
        <w:rPr>
          <w:rFonts w:hint="eastAsia" w:asciiTheme="minorEastAsia" w:hAnsiTheme="minorEastAsia" w:eastAsiaTheme="minorEastAsia" w:cstheme="minorEastAsia"/>
          <w:color w:val="auto"/>
          <w:sz w:val="24"/>
          <w:highlight w:val="none"/>
        </w:rPr>
        <w:t>3</w:t>
      </w:r>
      <w:r>
        <w:rPr>
          <w:rFonts w:hint="eastAsia" w:asciiTheme="minorEastAsia" w:hAnsiTheme="minorEastAsia" w:eastAsiaTheme="minorEastAsia" w:cstheme="minorEastAsia"/>
          <w:color w:val="auto"/>
          <w:sz w:val="24"/>
          <w:highlight w:val="none"/>
        </w:rPr>
        <w:t>小时内</w:t>
      </w:r>
      <w:r>
        <w:rPr>
          <w:rFonts w:hint="eastAsia" w:asciiTheme="minorEastAsia" w:hAnsiTheme="minorEastAsia" w:eastAsiaTheme="minorEastAsia" w:cstheme="minorEastAsia"/>
          <w:color w:val="auto"/>
          <w:sz w:val="24"/>
          <w:highlight w:val="none"/>
        </w:rPr>
        <w:t>（若投标时乙方承诺小于3小时的，按投标承诺）</w:t>
      </w:r>
      <w:r>
        <w:rPr>
          <w:rFonts w:hint="eastAsia" w:asciiTheme="minorEastAsia" w:hAnsiTheme="minorEastAsia" w:eastAsiaTheme="minorEastAsia" w:cstheme="minorEastAsia"/>
          <w:color w:val="auto"/>
          <w:sz w:val="24"/>
          <w:highlight w:val="none"/>
        </w:rPr>
        <w:t>到达甲方现场。</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11.4在服务质量保证期内，乙方应对出现的质量及安全问题负责处理解决并承担一切费用。</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十二、调试和验收</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12.1甲方对乙方提交的货物依据招标文件上的技术规格要求和国家有关质量标准进行现场初步验收，外观、说明书符合招标文件技术要求的，给予签收，初步验收不合格的不予签收。货到后，甲方需在五个工作日内验收。</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12.2乙方交货前应对产品作出全面检查和对验收文件进行整理，并列出清单，作为甲方收货验收和使用的技术条件依据，检验的结果应随货物交甲方。</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12.3甲方对乙方提供的货物在使用前进行调试时，乙方需负责安装并培训甲方的使用操作人员，并协助甲方一起调试，直到符合技术要求，甲方才做最终验收。</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12.4对技术复杂的货物，甲方应请国家认可的专业检测机构参与初步验收及最终验收，并由其出具质量检测报告。</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12.5验收时乙方必须在现场，验收完毕后作出验收结果报告；验收费用由乙方负责。</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十三、违约责任</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13.1甲方无正当理由拒收接受服务的，甲方向乙方偿付合同款项百分之五作为违约金。</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13.2甲方无故逾期验收和办理款项支付手续的,甲方应按逾期付款总额每日万分之五向乙方支付违约金。</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13.3乙方逾期提供服务的，每日向甲方支付千分之六违约金。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 </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十四、不可抗力事件处理</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14.1在合同有效期内，任何一方因不可抗力事件导致不能履行合同，则合同履行期可延长，其延长期与不可抗力影响期相同。</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14.2不可抗力事件发生后，应立即通知对方，并寄送有关权威机构出具的证明。</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14.3不可抗力事件延续120天以上，双方应通过友好协商，确定是否继续履行合同。</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十五、诉讼</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双方在执行合同中所发生的一切争议，应通过协商解决。如协商不成，可向甲方所在地法院起诉。</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十六、合同生效及其它</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16.1合同经双方法定代表人或授权委托代理人签字并加盖单位公章后生效。</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16.2合同执行中涉及采购资金和采购内容修改或补充的，须经市财政部门审批，并签书面补充协议报政府采购监督管理部门备案，方可作为主合同不可分割的一部分。</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16.3本合同未尽事宜，遵照</w:t>
      </w:r>
      <w:r>
        <w:rPr>
          <w:rFonts w:hint="eastAsia" w:asciiTheme="minorEastAsia" w:hAnsiTheme="minorEastAsia" w:eastAsiaTheme="minorEastAsia" w:cstheme="minorEastAsia"/>
          <w:color w:val="auto"/>
          <w:sz w:val="24"/>
          <w:highlight w:val="none"/>
        </w:rPr>
        <w:t>《民法典》</w:t>
      </w:r>
      <w:r>
        <w:rPr>
          <w:rFonts w:hint="eastAsia" w:asciiTheme="minorEastAsia" w:hAnsiTheme="minorEastAsia" w:eastAsiaTheme="minorEastAsia" w:cstheme="minorEastAsia"/>
          <w:color w:val="auto"/>
          <w:sz w:val="24"/>
          <w:highlight w:val="none"/>
        </w:rPr>
        <w:t>有关条文执行。</w:t>
      </w:r>
    </w:p>
    <w:p>
      <w:pPr>
        <w:widowControl/>
        <w:shd w:val="clear" w:color="auto" w:fill="FFFFFF"/>
        <w:spacing w:line="360" w:lineRule="auto"/>
        <w:ind w:firstLine="480" w:firstLineChars="20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16.4本合同一式捌份，具有同等法律效力，甲乙双方各执肆份。</w:t>
      </w:r>
    </w:p>
    <w:p>
      <w:pPr>
        <w:tabs>
          <w:tab w:val="left" w:pos="5103"/>
        </w:tabs>
        <w:snapToGrid w:val="0"/>
        <w:spacing w:line="360" w:lineRule="auto"/>
        <w:ind w:left="567"/>
        <w:jc w:val="left"/>
        <w:rPr>
          <w:rFonts w:asciiTheme="minorEastAsia" w:hAnsiTheme="minorEastAsia" w:eastAsiaTheme="minorEastAsia" w:cstheme="minorEastAsia"/>
          <w:color w:val="auto"/>
          <w:w w:val="80"/>
          <w:sz w:val="24"/>
          <w:highlight w:val="none"/>
        </w:rPr>
      </w:pPr>
    </w:p>
    <w:p>
      <w:pPr>
        <w:widowControl/>
        <w:shd w:val="clear" w:color="auto" w:fill="FFFFFF"/>
        <w:spacing w:line="360" w:lineRule="auto"/>
        <w:jc w:val="left"/>
        <w:rPr>
          <w:rFonts w:asciiTheme="minorEastAsia" w:hAnsiTheme="minorEastAsia" w:eastAsiaTheme="minorEastAsia" w:cstheme="minorEastAsia"/>
          <w:color w:val="auto"/>
          <w:sz w:val="24"/>
          <w:highlight w:val="none"/>
        </w:rPr>
      </w:pPr>
    </w:p>
    <w:p>
      <w:pPr>
        <w:widowControl/>
        <w:shd w:val="clear" w:color="auto" w:fill="FFFFFF"/>
        <w:spacing w:line="360" w:lineRule="auto"/>
        <w:jc w:val="left"/>
        <w:rPr>
          <w:rFonts w:asciiTheme="minorEastAsia" w:hAnsiTheme="minorEastAsia" w:eastAsiaTheme="minorEastAsia" w:cstheme="minorEastAsia"/>
          <w:color w:val="auto"/>
          <w:sz w:val="24"/>
          <w:highlight w:val="none"/>
        </w:rPr>
      </w:pPr>
    </w:p>
    <w:p>
      <w:pPr>
        <w:widowControl/>
        <w:shd w:val="clear" w:color="auto" w:fill="FFFFFF"/>
        <w:spacing w:line="360" w:lineRule="auto"/>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甲方：</w:t>
      </w:r>
      <w:r>
        <w:rPr>
          <w:rFonts w:hint="eastAsia" w:asciiTheme="minorEastAsia" w:hAnsiTheme="minorEastAsia" w:eastAsiaTheme="minorEastAsia" w:cstheme="minorEastAsia"/>
          <w:color w:val="auto"/>
          <w:sz w:val="24"/>
          <w:highlight w:val="none"/>
        </w:rPr>
        <w:tab/>
      </w:r>
      <w:r>
        <w:rPr>
          <w:rFonts w:hint="eastAsia" w:asciiTheme="minorEastAsia" w:hAnsiTheme="minorEastAsia" w:eastAsiaTheme="minorEastAsia" w:cstheme="minorEastAsia"/>
          <w:color w:val="auto"/>
          <w:sz w:val="24"/>
          <w:highlight w:val="none"/>
        </w:rPr>
        <w:t xml:space="preserve">                       乙方：</w:t>
      </w:r>
    </w:p>
    <w:p>
      <w:pPr>
        <w:widowControl/>
        <w:shd w:val="clear" w:color="auto" w:fill="FFFFFF"/>
        <w:spacing w:line="360" w:lineRule="auto"/>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地址：</w:t>
      </w:r>
      <w:r>
        <w:rPr>
          <w:rFonts w:hint="eastAsia" w:asciiTheme="minorEastAsia" w:hAnsiTheme="minorEastAsia" w:eastAsiaTheme="minorEastAsia" w:cstheme="minorEastAsia"/>
          <w:color w:val="auto"/>
          <w:sz w:val="24"/>
          <w:highlight w:val="none"/>
        </w:rPr>
        <w:tab/>
      </w:r>
      <w:r>
        <w:rPr>
          <w:rFonts w:hint="eastAsia" w:asciiTheme="minorEastAsia" w:hAnsiTheme="minorEastAsia" w:eastAsiaTheme="minorEastAsia" w:cstheme="minorEastAsia"/>
          <w:color w:val="auto"/>
          <w:sz w:val="24"/>
          <w:highlight w:val="none"/>
        </w:rPr>
        <w:t xml:space="preserve">                       地址：</w:t>
      </w:r>
    </w:p>
    <w:p>
      <w:pPr>
        <w:widowControl/>
        <w:shd w:val="clear" w:color="auto" w:fill="FFFFFF"/>
        <w:spacing w:line="360" w:lineRule="auto"/>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法定（授权）代表人：</w:t>
      </w:r>
      <w:r>
        <w:rPr>
          <w:rFonts w:hint="eastAsia" w:asciiTheme="minorEastAsia" w:hAnsiTheme="minorEastAsia" w:eastAsiaTheme="minorEastAsia" w:cstheme="minorEastAsia"/>
          <w:color w:val="auto"/>
          <w:sz w:val="24"/>
          <w:highlight w:val="none"/>
        </w:rPr>
        <w:tab/>
      </w:r>
      <w:r>
        <w:rPr>
          <w:rFonts w:hint="eastAsia" w:asciiTheme="minorEastAsia" w:hAnsiTheme="minorEastAsia" w:eastAsiaTheme="minorEastAsia" w:cstheme="minorEastAsia"/>
          <w:color w:val="auto"/>
          <w:sz w:val="24"/>
          <w:highlight w:val="none"/>
        </w:rPr>
        <w:t xml:space="preserve">         法定（授权）代表人：</w:t>
      </w:r>
    </w:p>
    <w:p>
      <w:pPr>
        <w:widowControl/>
        <w:shd w:val="clear" w:color="auto" w:fill="FFFFFF"/>
        <w:spacing w:line="360" w:lineRule="auto"/>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签订地点：</w:t>
      </w:r>
      <w:r>
        <w:rPr>
          <w:rFonts w:hint="eastAsia" w:asciiTheme="minorEastAsia" w:hAnsiTheme="minorEastAsia" w:eastAsiaTheme="minorEastAsia" w:cstheme="minorEastAsia"/>
          <w:color w:val="auto"/>
          <w:sz w:val="24"/>
          <w:highlight w:val="none"/>
        </w:rPr>
        <w:tab/>
      </w:r>
      <w:r>
        <w:rPr>
          <w:rFonts w:hint="eastAsia" w:asciiTheme="minorEastAsia" w:hAnsiTheme="minorEastAsia" w:eastAsiaTheme="minorEastAsia" w:cstheme="minorEastAsia"/>
          <w:color w:val="auto"/>
          <w:sz w:val="24"/>
          <w:highlight w:val="none"/>
        </w:rPr>
        <w:t xml:space="preserve">                    签订日期：年  月  日</w:t>
      </w:r>
    </w:p>
    <w:p>
      <w:pPr>
        <w:spacing w:line="360" w:lineRule="auto"/>
        <w:rPr>
          <w:rFonts w:eastAsia="仿宋"/>
          <w:color w:val="auto"/>
          <w:sz w:val="28"/>
          <w:szCs w:val="28"/>
          <w:highlight w:val="none"/>
        </w:rPr>
      </w:pPr>
    </w:p>
    <w:p>
      <w:pPr>
        <w:spacing w:line="360" w:lineRule="auto"/>
        <w:rPr>
          <w:rFonts w:eastAsia="仿宋"/>
          <w:color w:val="auto"/>
          <w:sz w:val="28"/>
          <w:szCs w:val="28"/>
          <w:highlight w:val="none"/>
        </w:rPr>
        <w:sectPr>
          <w:pgSz w:w="11906" w:h="16838"/>
          <w:pgMar w:top="1440" w:right="1800" w:bottom="1440" w:left="1800" w:header="851" w:footer="992" w:gutter="0"/>
          <w:cols w:space="425" w:num="1"/>
          <w:docGrid w:type="lines" w:linePitch="312" w:charSpace="0"/>
        </w:sectPr>
      </w:pPr>
    </w:p>
    <w:p>
      <w:pPr>
        <w:pStyle w:val="2"/>
        <w:rPr>
          <w:color w:val="auto"/>
          <w:highlight w:val="none"/>
        </w:rPr>
      </w:pPr>
    </w:p>
    <w:p>
      <w:pPr>
        <w:numPr>
          <w:ilvl w:val="0"/>
          <w:numId w:val="3"/>
        </w:numPr>
        <w:spacing w:line="360" w:lineRule="auto"/>
        <w:jc w:val="center"/>
        <w:rPr>
          <w:rFonts w:ascii="宋体" w:hAnsi="宋体"/>
          <w:b/>
          <w:color w:val="auto"/>
          <w:sz w:val="36"/>
          <w:szCs w:val="36"/>
          <w:highlight w:val="none"/>
        </w:rPr>
      </w:pPr>
      <w:r>
        <w:rPr>
          <w:rFonts w:hint="eastAsia" w:ascii="宋体" w:hAnsi="宋体"/>
          <w:b/>
          <w:color w:val="auto"/>
          <w:sz w:val="36"/>
          <w:szCs w:val="36"/>
          <w:highlight w:val="none"/>
        </w:rPr>
        <w:t>投标文件格式附件</w:t>
      </w:r>
      <w:r>
        <w:rPr>
          <w:rFonts w:hint="eastAsia" w:ascii="宋体" w:hAnsi="宋体"/>
          <w:color w:val="auto"/>
          <w:sz w:val="30"/>
          <w:szCs w:val="30"/>
          <w:highlight w:val="none"/>
        </w:rPr>
        <w:t xml:space="preserve">　　                                    </w:t>
      </w:r>
    </w:p>
    <w:p>
      <w:pPr>
        <w:snapToGrid w:val="0"/>
        <w:spacing w:before="50" w:after="50" w:line="360" w:lineRule="auto"/>
        <w:rPr>
          <w:rFonts w:ascii="仿宋_GB2312" w:hAnsi="宋体" w:eastAsia="仿宋_GB2312"/>
          <w:b/>
          <w:color w:val="auto"/>
          <w:sz w:val="36"/>
          <w:szCs w:val="36"/>
          <w:highlight w:val="none"/>
        </w:rPr>
      </w:pPr>
    </w:p>
    <w:p>
      <w:pPr>
        <w:rPr>
          <w:rFonts w:ascii="宋体" w:hAnsi="宋体"/>
          <w:b/>
          <w:color w:val="auto"/>
          <w:sz w:val="28"/>
          <w:highlight w:val="none"/>
        </w:rPr>
      </w:pPr>
      <w:r>
        <w:rPr>
          <w:rFonts w:hint="eastAsia" w:ascii="宋体" w:hAnsi="宋体"/>
          <w:b/>
          <w:color w:val="auto"/>
          <w:kern w:val="0"/>
          <w:sz w:val="28"/>
          <w:szCs w:val="28"/>
          <w:highlight w:val="none"/>
        </w:rPr>
        <w:t>附件</w:t>
      </w:r>
      <w:r>
        <w:rPr>
          <w:rFonts w:ascii="宋体" w:hAnsi="宋体"/>
          <w:b/>
          <w:color w:val="auto"/>
          <w:kern w:val="0"/>
          <w:sz w:val="28"/>
          <w:szCs w:val="28"/>
          <w:highlight w:val="none"/>
        </w:rPr>
        <w:t>1</w:t>
      </w:r>
      <w:r>
        <w:rPr>
          <w:rFonts w:ascii="宋体" w:hAnsi="宋体"/>
          <w:color w:val="auto"/>
          <w:sz w:val="30"/>
          <w:szCs w:val="30"/>
          <w:highlight w:val="none"/>
        </w:rPr>
        <w:t xml:space="preserve"> 　　　</w:t>
      </w:r>
    </w:p>
    <w:p>
      <w:pPr>
        <w:spacing w:line="360" w:lineRule="auto"/>
        <w:rPr>
          <w:rFonts w:ascii="宋体" w:hAnsi="宋体"/>
          <w:b/>
          <w:color w:val="auto"/>
          <w:sz w:val="30"/>
          <w:szCs w:val="30"/>
          <w:highlight w:val="none"/>
        </w:rPr>
      </w:pPr>
    </w:p>
    <w:p>
      <w:pPr>
        <w:spacing w:line="360" w:lineRule="auto"/>
        <w:ind w:firstLine="900" w:firstLineChars="300"/>
        <w:jc w:val="left"/>
        <w:rPr>
          <w:rFonts w:ascii="宋体" w:hAnsi="宋体"/>
          <w:snapToGrid w:val="0"/>
          <w:color w:val="auto"/>
          <w:kern w:val="0"/>
          <w:sz w:val="30"/>
          <w:szCs w:val="30"/>
          <w:highlight w:val="none"/>
        </w:rPr>
      </w:pPr>
      <w:r>
        <w:rPr>
          <w:rFonts w:hint="eastAsia" w:ascii="宋体" w:hAnsi="宋体"/>
          <w:snapToGrid w:val="0"/>
          <w:color w:val="auto"/>
          <w:kern w:val="0"/>
          <w:sz w:val="30"/>
          <w:szCs w:val="30"/>
          <w:highlight w:val="none"/>
        </w:rPr>
        <w:t>项目名称：</w:t>
      </w:r>
      <w:r>
        <w:rPr>
          <w:rFonts w:hint="eastAsia" w:ascii="宋体" w:hAnsi="宋体"/>
          <w:snapToGrid w:val="0"/>
          <w:color w:val="auto"/>
          <w:kern w:val="0"/>
          <w:sz w:val="30"/>
          <w:szCs w:val="30"/>
          <w:highlight w:val="none"/>
        </w:rPr>
        <w:t>台州湾新区科技治水服务项目</w:t>
      </w:r>
    </w:p>
    <w:p>
      <w:pPr>
        <w:spacing w:beforeLines="100" w:line="360" w:lineRule="auto"/>
        <w:ind w:firstLine="1800" w:firstLineChars="600"/>
        <w:rPr>
          <w:rFonts w:ascii="宋体" w:hAnsi="宋体"/>
          <w:snapToGrid w:val="0"/>
          <w:color w:val="auto"/>
          <w:kern w:val="0"/>
          <w:sz w:val="30"/>
          <w:szCs w:val="30"/>
          <w:highlight w:val="none"/>
        </w:rPr>
      </w:pPr>
      <w:r>
        <w:rPr>
          <w:rFonts w:hint="eastAsia" w:ascii="宋体" w:hAnsi="宋体"/>
          <w:color w:val="auto"/>
          <w:sz w:val="30"/>
          <w:szCs w:val="30"/>
          <w:highlight w:val="none"/>
        </w:rPr>
        <w:t>项目编号：</w:t>
      </w:r>
    </w:p>
    <w:p>
      <w:pPr>
        <w:autoSpaceDE w:val="0"/>
        <w:autoSpaceDN w:val="0"/>
        <w:adjustRightInd w:val="0"/>
        <w:spacing w:line="360" w:lineRule="auto"/>
        <w:jc w:val="center"/>
        <w:rPr>
          <w:rFonts w:ascii="宋体" w:hAnsi="宋体" w:cs="宋体"/>
          <w:color w:val="auto"/>
          <w:sz w:val="84"/>
          <w:szCs w:val="84"/>
          <w:highlight w:val="none"/>
          <w:lang w:val="zh-CN"/>
        </w:rPr>
      </w:pPr>
      <w:r>
        <w:rPr>
          <w:rFonts w:hint="eastAsia" w:ascii="宋体" w:hAnsi="宋体" w:cs="宋体"/>
          <w:color w:val="auto"/>
          <w:sz w:val="84"/>
          <w:szCs w:val="84"/>
          <w:highlight w:val="none"/>
          <w:lang w:val="zh-CN"/>
        </w:rPr>
        <w:t>投</w:t>
      </w:r>
    </w:p>
    <w:p>
      <w:pPr>
        <w:autoSpaceDE w:val="0"/>
        <w:autoSpaceDN w:val="0"/>
        <w:adjustRightInd w:val="0"/>
        <w:spacing w:line="360" w:lineRule="auto"/>
        <w:jc w:val="center"/>
        <w:rPr>
          <w:rFonts w:ascii="宋体" w:hAnsi="宋体" w:cs="宋体"/>
          <w:color w:val="auto"/>
          <w:sz w:val="84"/>
          <w:szCs w:val="84"/>
          <w:highlight w:val="none"/>
          <w:lang w:val="zh-CN"/>
        </w:rPr>
      </w:pPr>
      <w:r>
        <w:rPr>
          <w:rFonts w:hint="eastAsia" w:ascii="宋体" w:hAnsi="宋体" w:cs="宋体"/>
          <w:color w:val="auto"/>
          <w:sz w:val="84"/>
          <w:szCs w:val="84"/>
          <w:highlight w:val="none"/>
          <w:lang w:val="zh-CN"/>
        </w:rPr>
        <w:t>标</w:t>
      </w:r>
    </w:p>
    <w:p>
      <w:pPr>
        <w:autoSpaceDE w:val="0"/>
        <w:autoSpaceDN w:val="0"/>
        <w:adjustRightInd w:val="0"/>
        <w:spacing w:line="360" w:lineRule="auto"/>
        <w:jc w:val="center"/>
        <w:rPr>
          <w:rFonts w:ascii="宋体" w:hAnsi="宋体"/>
          <w:color w:val="auto"/>
          <w:sz w:val="84"/>
          <w:szCs w:val="84"/>
          <w:highlight w:val="none"/>
        </w:rPr>
      </w:pPr>
      <w:r>
        <w:rPr>
          <w:rFonts w:hint="eastAsia" w:ascii="宋体" w:hAnsi="宋体" w:cs="宋体"/>
          <w:color w:val="auto"/>
          <w:sz w:val="84"/>
          <w:szCs w:val="84"/>
          <w:highlight w:val="none"/>
          <w:lang w:val="zh-CN"/>
        </w:rPr>
        <w:t>文</w:t>
      </w:r>
    </w:p>
    <w:p>
      <w:pPr>
        <w:spacing w:after="100" w:afterAutospacing="1" w:line="360" w:lineRule="auto"/>
        <w:ind w:right="-108"/>
        <w:jc w:val="center"/>
        <w:rPr>
          <w:rFonts w:ascii="宋体" w:hAnsi="宋体" w:cs="宋体"/>
          <w:color w:val="auto"/>
          <w:sz w:val="84"/>
          <w:szCs w:val="84"/>
          <w:highlight w:val="none"/>
          <w:lang w:val="zh-CN"/>
        </w:rPr>
      </w:pPr>
      <w:r>
        <w:rPr>
          <w:rFonts w:hint="eastAsia" w:ascii="宋体" w:hAnsi="宋体" w:cs="宋体"/>
          <w:color w:val="auto"/>
          <w:sz w:val="84"/>
          <w:szCs w:val="84"/>
          <w:highlight w:val="none"/>
          <w:lang w:val="zh-CN"/>
        </w:rPr>
        <w:t>件</w:t>
      </w:r>
    </w:p>
    <w:p>
      <w:pPr>
        <w:spacing w:after="100" w:afterAutospacing="1" w:line="360" w:lineRule="auto"/>
        <w:ind w:right="-108"/>
        <w:jc w:val="center"/>
        <w:rPr>
          <w:rFonts w:ascii="宋体" w:hAnsi="宋体"/>
          <w:b/>
          <w:color w:val="auto"/>
          <w:spacing w:val="40"/>
          <w:sz w:val="28"/>
          <w:szCs w:val="28"/>
          <w:highlight w:val="none"/>
        </w:rPr>
      </w:pPr>
      <w:r>
        <w:rPr>
          <w:rFonts w:hint="eastAsia" w:ascii="宋体" w:hAnsi="宋体" w:cs="宋体"/>
          <w:color w:val="auto"/>
          <w:sz w:val="28"/>
          <w:szCs w:val="28"/>
          <w:highlight w:val="none"/>
          <w:lang w:val="zh-CN"/>
        </w:rPr>
        <w:t>（</w:t>
      </w:r>
      <w:r>
        <w:rPr>
          <w:rFonts w:hint="eastAsia" w:ascii="宋体" w:hAnsi="宋体"/>
          <w:b/>
          <w:color w:val="auto"/>
          <w:spacing w:val="40"/>
          <w:sz w:val="28"/>
          <w:szCs w:val="28"/>
          <w:highlight w:val="none"/>
        </w:rPr>
        <w:t>资格证明文件）</w:t>
      </w:r>
    </w:p>
    <w:p>
      <w:pPr>
        <w:spacing w:line="360" w:lineRule="auto"/>
        <w:ind w:right="532" w:firstLine="600" w:firstLineChars="200"/>
        <w:rPr>
          <w:rFonts w:ascii="宋体" w:hAnsi="宋体"/>
          <w:color w:val="auto"/>
          <w:sz w:val="30"/>
          <w:szCs w:val="30"/>
          <w:highlight w:val="none"/>
        </w:rPr>
      </w:pPr>
      <w:r>
        <w:rPr>
          <w:rFonts w:hint="eastAsia" w:ascii="宋体" w:hAnsi="宋体"/>
          <w:color w:val="auto"/>
          <w:sz w:val="30"/>
          <w:szCs w:val="30"/>
          <w:highlight w:val="none"/>
        </w:rPr>
        <w:t>投标人全称（签电子公章）：</w:t>
      </w:r>
    </w:p>
    <w:p>
      <w:pPr>
        <w:spacing w:line="360" w:lineRule="auto"/>
        <w:ind w:right="532" w:firstLine="600" w:firstLineChars="200"/>
        <w:rPr>
          <w:rFonts w:ascii="宋体" w:hAnsi="宋体"/>
          <w:color w:val="auto"/>
          <w:sz w:val="30"/>
          <w:szCs w:val="30"/>
          <w:highlight w:val="none"/>
        </w:rPr>
      </w:pPr>
      <w:r>
        <w:rPr>
          <w:rFonts w:hint="eastAsia" w:ascii="宋体" w:hAnsi="宋体"/>
          <w:color w:val="auto"/>
          <w:sz w:val="30"/>
          <w:szCs w:val="30"/>
          <w:highlight w:val="none"/>
        </w:rPr>
        <w:t>地址：</w:t>
      </w:r>
    </w:p>
    <w:p>
      <w:pPr>
        <w:spacing w:line="360" w:lineRule="auto"/>
        <w:ind w:right="532" w:firstLine="600" w:firstLineChars="200"/>
        <w:jc w:val="center"/>
        <w:rPr>
          <w:rFonts w:ascii="宋体" w:hAnsi="宋体"/>
          <w:b/>
          <w:bCs/>
          <w:color w:val="auto"/>
          <w:sz w:val="36"/>
          <w:szCs w:val="36"/>
          <w:highlight w:val="none"/>
        </w:rPr>
      </w:pPr>
      <w:r>
        <w:rPr>
          <w:rFonts w:hint="eastAsia" w:ascii="宋体" w:hAnsi="宋体"/>
          <w:color w:val="auto"/>
          <w:sz w:val="30"/>
          <w:szCs w:val="30"/>
          <w:highlight w:val="none"/>
        </w:rPr>
        <w:t>时间：</w:t>
      </w:r>
      <w:r>
        <w:rPr>
          <w:rFonts w:ascii="宋体" w:hAnsi="宋体"/>
          <w:b/>
          <w:bCs/>
          <w:color w:val="auto"/>
          <w:sz w:val="36"/>
          <w:szCs w:val="36"/>
          <w:highlight w:val="none"/>
        </w:rPr>
        <w:br w:type="page"/>
      </w:r>
      <w:r>
        <w:rPr>
          <w:rFonts w:hint="eastAsia" w:ascii="宋体" w:hAnsi="宋体"/>
          <w:b/>
          <w:bCs/>
          <w:color w:val="auto"/>
          <w:sz w:val="36"/>
          <w:szCs w:val="36"/>
          <w:highlight w:val="none"/>
        </w:rPr>
        <w:t>资格证明文件目录</w:t>
      </w:r>
    </w:p>
    <w:p>
      <w:pPr>
        <w:snapToGrid w:val="0"/>
        <w:spacing w:before="50" w:after="50" w:line="360" w:lineRule="auto"/>
        <w:jc w:val="center"/>
        <w:rPr>
          <w:rFonts w:ascii="仿宋_GB2312" w:hAnsi="宋体" w:eastAsia="仿宋_GB2312"/>
          <w:b/>
          <w:bCs/>
          <w:color w:val="auto"/>
          <w:sz w:val="36"/>
          <w:szCs w:val="36"/>
          <w:highlight w:val="none"/>
        </w:rPr>
      </w:pPr>
    </w:p>
    <w:p>
      <w:pPr>
        <w:snapToGrid w:val="0"/>
        <w:spacing w:line="360" w:lineRule="auto"/>
        <w:ind w:firstLine="480" w:firstLineChars="200"/>
        <w:rPr>
          <w:rFonts w:hint="eastAsia" w:ascii="宋体" w:hAnsi="宋体"/>
          <w:color w:val="auto"/>
          <w:sz w:val="24"/>
          <w:highlight w:val="none"/>
        </w:rPr>
      </w:pP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1）投标声明书</w:t>
      </w:r>
      <w:r>
        <w:rPr>
          <w:rFonts w:hint="eastAsia" w:ascii="宋体" w:hAnsi="宋体"/>
          <w:color w:val="auto"/>
          <w:sz w:val="24"/>
          <w:highlight w:val="none"/>
        </w:rPr>
        <w:t>（附件</w:t>
      </w:r>
      <w:r>
        <w:rPr>
          <w:rFonts w:ascii="宋体" w:hAnsi="宋体"/>
          <w:color w:val="auto"/>
          <w:sz w:val="24"/>
          <w:highlight w:val="none"/>
        </w:rPr>
        <w:t>2）；</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2）授权委托书（法定代表人亲自办理投标事宜的，则无需提交)</w:t>
      </w:r>
      <w:r>
        <w:rPr>
          <w:rFonts w:hint="eastAsia" w:ascii="宋体" w:hAnsi="宋体"/>
          <w:bCs/>
          <w:color w:val="auto"/>
          <w:sz w:val="24"/>
          <w:highlight w:val="none"/>
        </w:rPr>
        <w:t>（附件</w:t>
      </w:r>
      <w:r>
        <w:rPr>
          <w:rFonts w:ascii="宋体" w:hAnsi="宋体"/>
          <w:bCs/>
          <w:color w:val="auto"/>
          <w:sz w:val="24"/>
          <w:highlight w:val="none"/>
        </w:rPr>
        <w:t>3）</w:t>
      </w:r>
      <w:r>
        <w:rPr>
          <w:rFonts w:ascii="宋体" w:hAnsi="宋体"/>
          <w:color w:val="auto"/>
          <w:sz w:val="24"/>
          <w:highlight w:val="none"/>
        </w:rPr>
        <w:t>；</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3）</w:t>
      </w:r>
      <w:r>
        <w:rPr>
          <w:rFonts w:hint="eastAsia" w:ascii="宋体" w:hAnsi="宋体"/>
          <w:color w:val="auto"/>
          <w:sz w:val="24"/>
          <w:highlight w:val="none"/>
        </w:rPr>
        <w:t>中小企业声明函</w:t>
      </w:r>
      <w:r>
        <w:rPr>
          <w:rFonts w:hint="eastAsia" w:ascii="宋体" w:hAnsi="宋体"/>
          <w:bCs/>
          <w:color w:val="auto"/>
          <w:kern w:val="0"/>
          <w:sz w:val="24"/>
          <w:highlight w:val="none"/>
        </w:rPr>
        <w:t>（格式详见附件）</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lang w:eastAsia="zh-CN"/>
        </w:rPr>
        <w:t>（</w:t>
      </w:r>
      <w:r>
        <w:rPr>
          <w:rFonts w:hint="eastAsia" w:ascii="宋体" w:hAnsi="宋体"/>
          <w:color w:val="auto"/>
          <w:sz w:val="24"/>
          <w:highlight w:val="none"/>
          <w:lang w:val="en-US" w:eastAsia="zh-CN"/>
        </w:rPr>
        <w:t>4</w:t>
      </w:r>
      <w:r>
        <w:rPr>
          <w:rFonts w:hint="eastAsia" w:ascii="宋体" w:hAnsi="宋体"/>
          <w:color w:val="auto"/>
          <w:sz w:val="24"/>
          <w:highlight w:val="none"/>
          <w:lang w:eastAsia="zh-CN"/>
        </w:rPr>
        <w:t>）</w:t>
      </w:r>
      <w:r>
        <w:rPr>
          <w:rFonts w:ascii="宋体" w:hAnsi="宋体"/>
          <w:color w:val="auto"/>
          <w:sz w:val="24"/>
          <w:highlight w:val="none"/>
        </w:rPr>
        <w:t>法人或者其他组织的营业执照等证明文件，自然人的身份证明；</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5</w:t>
      </w:r>
      <w:r>
        <w:rPr>
          <w:rFonts w:ascii="宋体" w:hAnsi="宋体"/>
          <w:color w:val="auto"/>
          <w:sz w:val="24"/>
          <w:highlight w:val="none"/>
        </w:rPr>
        <w:t>）财务状况报告，依法缴纳税收和社会保障资金的相关材料；</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6</w:t>
      </w:r>
      <w:r>
        <w:rPr>
          <w:rFonts w:ascii="宋体" w:hAnsi="宋体"/>
          <w:color w:val="auto"/>
          <w:sz w:val="24"/>
          <w:highlight w:val="none"/>
        </w:rPr>
        <w:t>）具备履行合同所必需的设备和专业技术能力的证明材料(根据项目性质提供)；</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7</w:t>
      </w:r>
      <w:r>
        <w:rPr>
          <w:rFonts w:ascii="宋体" w:hAnsi="宋体"/>
          <w:color w:val="auto"/>
          <w:sz w:val="24"/>
          <w:highlight w:val="none"/>
        </w:rPr>
        <w:t>）</w:t>
      </w:r>
      <w:r>
        <w:rPr>
          <w:rFonts w:hint="eastAsia" w:ascii="宋体" w:hAnsi="宋体"/>
          <w:color w:val="auto"/>
          <w:sz w:val="24"/>
          <w:highlight w:val="none"/>
        </w:rPr>
        <w:t>其他</w:t>
      </w:r>
      <w:r>
        <w:rPr>
          <w:rFonts w:ascii="宋体" w:hAnsi="宋体"/>
          <w:color w:val="auto"/>
          <w:sz w:val="24"/>
          <w:highlight w:val="none"/>
        </w:rPr>
        <w:t>需要说明的其他资料</w:t>
      </w:r>
      <w:r>
        <w:rPr>
          <w:rFonts w:hint="eastAsia" w:ascii="宋体" w:hAnsi="宋体"/>
          <w:color w:val="auto"/>
          <w:sz w:val="24"/>
          <w:highlight w:val="none"/>
        </w:rPr>
        <w:t>（如有）</w:t>
      </w:r>
      <w:r>
        <w:rPr>
          <w:rFonts w:ascii="宋体" w:hAnsi="宋体"/>
          <w:color w:val="auto"/>
          <w:sz w:val="24"/>
          <w:highlight w:val="none"/>
        </w:rPr>
        <w:t>；</w:t>
      </w:r>
    </w:p>
    <w:p>
      <w:pPr>
        <w:spacing w:line="360" w:lineRule="auto"/>
        <w:rPr>
          <w:rFonts w:ascii="宋体" w:hAnsi="宋体"/>
          <w:b/>
          <w:color w:val="auto"/>
          <w:sz w:val="28"/>
          <w:highlight w:val="none"/>
        </w:rPr>
      </w:pPr>
    </w:p>
    <w:p>
      <w:pPr>
        <w:spacing w:line="360" w:lineRule="auto"/>
        <w:ind w:left="420"/>
        <w:rPr>
          <w:rFonts w:ascii="宋体" w:hAnsi="宋体"/>
          <w:b/>
          <w:color w:val="auto"/>
          <w:sz w:val="28"/>
          <w:highlight w:val="none"/>
        </w:rPr>
      </w:pPr>
    </w:p>
    <w:p>
      <w:pPr>
        <w:spacing w:line="360" w:lineRule="auto"/>
        <w:ind w:left="420"/>
        <w:rPr>
          <w:rFonts w:ascii="宋体" w:hAnsi="宋体"/>
          <w:b/>
          <w:color w:val="auto"/>
          <w:sz w:val="28"/>
          <w:highlight w:val="none"/>
        </w:rPr>
      </w:pPr>
    </w:p>
    <w:p>
      <w:pPr>
        <w:spacing w:line="360" w:lineRule="auto"/>
        <w:ind w:left="420"/>
        <w:rPr>
          <w:rFonts w:ascii="宋体" w:hAnsi="宋体"/>
          <w:b/>
          <w:color w:val="auto"/>
          <w:sz w:val="28"/>
          <w:highlight w:val="none"/>
        </w:rPr>
      </w:pPr>
    </w:p>
    <w:p>
      <w:pPr>
        <w:spacing w:line="360" w:lineRule="auto"/>
        <w:ind w:left="420"/>
        <w:rPr>
          <w:rFonts w:ascii="宋体" w:hAnsi="宋体"/>
          <w:b/>
          <w:color w:val="auto"/>
          <w:sz w:val="28"/>
          <w:highlight w:val="none"/>
        </w:rPr>
      </w:pPr>
    </w:p>
    <w:p>
      <w:pPr>
        <w:spacing w:line="360" w:lineRule="auto"/>
        <w:ind w:left="420"/>
        <w:rPr>
          <w:rFonts w:ascii="宋体" w:hAnsi="宋体"/>
          <w:b/>
          <w:color w:val="auto"/>
          <w:sz w:val="28"/>
          <w:highlight w:val="none"/>
        </w:rPr>
      </w:pPr>
    </w:p>
    <w:p>
      <w:pPr>
        <w:spacing w:line="360" w:lineRule="auto"/>
        <w:ind w:left="420"/>
        <w:rPr>
          <w:rFonts w:ascii="宋体" w:hAnsi="宋体"/>
          <w:b/>
          <w:color w:val="auto"/>
          <w:sz w:val="28"/>
          <w:highlight w:val="none"/>
        </w:rPr>
      </w:pPr>
    </w:p>
    <w:p>
      <w:pPr>
        <w:spacing w:line="360" w:lineRule="auto"/>
        <w:ind w:left="420"/>
        <w:rPr>
          <w:rFonts w:ascii="宋体" w:hAnsi="宋体"/>
          <w:b/>
          <w:color w:val="auto"/>
          <w:sz w:val="28"/>
          <w:highlight w:val="none"/>
        </w:rPr>
      </w:pPr>
    </w:p>
    <w:p>
      <w:pPr>
        <w:spacing w:line="360" w:lineRule="auto"/>
        <w:ind w:left="420"/>
        <w:rPr>
          <w:rFonts w:ascii="宋体" w:hAnsi="宋体"/>
          <w:b/>
          <w:color w:val="auto"/>
          <w:sz w:val="28"/>
          <w:highlight w:val="none"/>
        </w:rPr>
      </w:pPr>
    </w:p>
    <w:p>
      <w:pPr>
        <w:spacing w:line="360" w:lineRule="auto"/>
        <w:ind w:left="420"/>
        <w:rPr>
          <w:rFonts w:ascii="宋体" w:hAnsi="宋体"/>
          <w:b/>
          <w:color w:val="auto"/>
          <w:sz w:val="28"/>
          <w:highlight w:val="none"/>
        </w:rPr>
      </w:pPr>
    </w:p>
    <w:p>
      <w:pPr>
        <w:spacing w:line="360" w:lineRule="auto"/>
        <w:rPr>
          <w:rFonts w:ascii="宋体" w:hAnsi="宋体"/>
          <w:b/>
          <w:color w:val="auto"/>
          <w:sz w:val="28"/>
          <w:highlight w:val="none"/>
        </w:rPr>
      </w:pPr>
    </w:p>
    <w:p>
      <w:pPr>
        <w:spacing w:line="360" w:lineRule="auto"/>
        <w:ind w:left="420"/>
        <w:rPr>
          <w:rFonts w:ascii="宋体" w:hAnsi="宋体"/>
          <w:b/>
          <w:color w:val="auto"/>
          <w:sz w:val="28"/>
          <w:highlight w:val="none"/>
        </w:rPr>
      </w:pPr>
      <w:r>
        <w:rPr>
          <w:rFonts w:ascii="宋体" w:hAnsi="宋体"/>
          <w:b/>
          <w:color w:val="auto"/>
          <w:sz w:val="28"/>
          <w:highlight w:val="none"/>
        </w:rPr>
        <w:br w:type="page"/>
      </w:r>
    </w:p>
    <w:p>
      <w:pPr>
        <w:spacing w:line="360" w:lineRule="auto"/>
        <w:ind w:left="420"/>
        <w:rPr>
          <w:rFonts w:ascii="宋体" w:hAnsi="宋体"/>
          <w:b/>
          <w:color w:val="auto"/>
          <w:sz w:val="28"/>
          <w:highlight w:val="none"/>
        </w:rPr>
      </w:pPr>
      <w:r>
        <w:rPr>
          <w:rFonts w:hint="eastAsia" w:ascii="宋体" w:hAnsi="宋体"/>
          <w:b/>
          <w:color w:val="auto"/>
          <w:sz w:val="28"/>
          <w:highlight w:val="none"/>
        </w:rPr>
        <w:t>附件</w:t>
      </w:r>
      <w:r>
        <w:rPr>
          <w:rFonts w:ascii="宋体" w:hAnsi="宋体"/>
          <w:b/>
          <w:color w:val="auto"/>
          <w:sz w:val="28"/>
          <w:highlight w:val="none"/>
        </w:rPr>
        <w:t>2</w:t>
      </w:r>
    </w:p>
    <w:p>
      <w:pPr>
        <w:adjustRightInd w:val="0"/>
        <w:snapToGrid w:val="0"/>
        <w:spacing w:line="360" w:lineRule="auto"/>
        <w:ind w:right="480"/>
        <w:jc w:val="center"/>
        <w:rPr>
          <w:rFonts w:ascii="宋体" w:hAnsi="宋体"/>
          <w:b/>
          <w:color w:val="auto"/>
          <w:kern w:val="0"/>
          <w:sz w:val="32"/>
          <w:szCs w:val="32"/>
          <w:highlight w:val="none"/>
          <w:lang w:val="zh-CN"/>
        </w:rPr>
      </w:pPr>
      <w:r>
        <w:rPr>
          <w:rFonts w:hint="eastAsia" w:ascii="宋体" w:hAnsi="宋体"/>
          <w:b/>
          <w:color w:val="auto"/>
          <w:kern w:val="0"/>
          <w:sz w:val="32"/>
          <w:szCs w:val="32"/>
          <w:highlight w:val="none"/>
          <w:lang w:val="zh-CN"/>
        </w:rPr>
        <w:t>投标声明书</w:t>
      </w:r>
    </w:p>
    <w:p>
      <w:pPr>
        <w:pStyle w:val="15"/>
        <w:snapToGrid w:val="0"/>
        <w:spacing w:before="120" w:after="120" w:line="360" w:lineRule="auto"/>
        <w:ind w:firstLine="420" w:firstLineChars="200"/>
        <w:rPr>
          <w:rFonts w:hAnsi="宋体" w:cs="宋体"/>
          <w:color w:val="auto"/>
          <w:kern w:val="0"/>
          <w:szCs w:val="21"/>
          <w:highlight w:val="none"/>
        </w:rPr>
      </w:pPr>
      <w:r>
        <w:rPr>
          <w:rFonts w:hint="eastAsia" w:hAnsi="宋体" w:cs="宋体"/>
          <w:color w:val="auto"/>
          <w:kern w:val="0"/>
          <w:szCs w:val="21"/>
          <w:highlight w:val="none"/>
        </w:rPr>
        <w:t>建经投资咨询有限公司（采购代理机构名称）：</w:t>
      </w:r>
    </w:p>
    <w:p>
      <w:pPr>
        <w:pStyle w:val="15"/>
        <w:snapToGrid w:val="0"/>
        <w:spacing w:before="120" w:after="120" w:line="360" w:lineRule="auto"/>
        <w:ind w:firstLine="420" w:firstLineChars="200"/>
        <w:rPr>
          <w:rFonts w:hAnsi="宋体" w:cs="宋体"/>
          <w:color w:val="auto"/>
          <w:kern w:val="0"/>
          <w:szCs w:val="21"/>
          <w:highlight w:val="none"/>
        </w:rPr>
      </w:pPr>
      <w:r>
        <w:rPr>
          <w:rFonts w:hint="eastAsia" w:hAnsi="宋体" w:cs="宋体"/>
          <w:color w:val="auto"/>
          <w:kern w:val="0"/>
          <w:szCs w:val="21"/>
          <w:highlight w:val="none"/>
        </w:rPr>
        <w:t>（投标人名称）系中华人民共和国合法企业，经营地址。</w:t>
      </w:r>
    </w:p>
    <w:p>
      <w:pPr>
        <w:snapToGrid w:val="0"/>
        <w:spacing w:beforeLines="50" w:after="50" w:line="360" w:lineRule="auto"/>
        <w:ind w:firstLine="480" w:firstLineChars="200"/>
        <w:rPr>
          <w:rFonts w:ascii="宋体" w:hAnsi="宋体" w:cs="宋体"/>
          <w:color w:val="auto"/>
          <w:kern w:val="0"/>
          <w:szCs w:val="21"/>
          <w:highlight w:val="none"/>
        </w:rPr>
      </w:pPr>
      <w:r>
        <w:rPr>
          <w:rFonts w:hint="eastAsia" w:ascii="宋体" w:hAnsi="宋体" w:cs="宋体"/>
          <w:color w:val="auto"/>
          <w:kern w:val="0"/>
          <w:sz w:val="24"/>
          <w:szCs w:val="21"/>
          <w:highlight w:val="none"/>
          <w:u w:val="single"/>
        </w:rPr>
        <w:t>我（</w:t>
      </w:r>
      <w:r>
        <w:rPr>
          <w:rFonts w:ascii="宋体" w:hAnsi="宋体" w:cs="宋体"/>
          <w:color w:val="auto"/>
          <w:kern w:val="0"/>
          <w:sz w:val="24"/>
          <w:szCs w:val="21"/>
          <w:highlight w:val="none"/>
          <w:u w:val="single"/>
        </w:rPr>
        <w:t xml:space="preserve"> 姓名 </w:t>
      </w:r>
      <w:r>
        <w:rPr>
          <w:rFonts w:hint="eastAsia" w:ascii="宋体" w:hAnsi="宋体" w:cs="宋体"/>
          <w:color w:val="auto"/>
          <w:kern w:val="0"/>
          <w:sz w:val="24"/>
          <w:szCs w:val="21"/>
          <w:highlight w:val="none"/>
          <w:u w:val="single"/>
        </w:rPr>
        <w:t>）系（</w:t>
      </w:r>
      <w:r>
        <w:rPr>
          <w:rFonts w:ascii="宋体" w:hAnsi="宋体" w:cs="宋体"/>
          <w:color w:val="auto"/>
          <w:kern w:val="0"/>
          <w:sz w:val="24"/>
          <w:szCs w:val="21"/>
          <w:highlight w:val="none"/>
          <w:u w:val="single"/>
        </w:rPr>
        <w:t xml:space="preserve"> 投标人名称 </w:t>
      </w:r>
      <w:r>
        <w:rPr>
          <w:rFonts w:hint="eastAsia" w:ascii="宋体" w:hAnsi="宋体" w:cs="宋体"/>
          <w:color w:val="auto"/>
          <w:kern w:val="0"/>
          <w:sz w:val="24"/>
          <w:szCs w:val="21"/>
          <w:highlight w:val="none"/>
          <w:u w:val="single"/>
        </w:rPr>
        <w:t>）的法定代表人，我公司自愿参加贵方组织的（招标项目名称）（编号为）的投标，为此，我公司就本次投标有关事项郑重声明如下：</w:t>
      </w:r>
    </w:p>
    <w:p>
      <w:pPr>
        <w:snapToGrid w:val="0"/>
        <w:spacing w:beforeLines="50" w:after="50" w:line="360" w:lineRule="auto"/>
        <w:ind w:firstLine="420" w:firstLineChars="200"/>
        <w:rPr>
          <w:rFonts w:ascii="宋体" w:hAnsi="宋体" w:cs="宋体"/>
          <w:b/>
          <w:color w:val="auto"/>
          <w:kern w:val="0"/>
          <w:szCs w:val="21"/>
          <w:highlight w:val="none"/>
        </w:rPr>
      </w:pPr>
      <w:r>
        <w:rPr>
          <w:rFonts w:ascii="宋体" w:hAnsi="宋体" w:cs="宋体"/>
          <w:color w:val="auto"/>
          <w:kern w:val="0"/>
          <w:szCs w:val="21"/>
          <w:highlight w:val="none"/>
        </w:rPr>
        <w:t>1、</w:t>
      </w:r>
      <w:r>
        <w:rPr>
          <w:rFonts w:hint="eastAsia" w:ascii="Arial" w:hAnsi="Arial" w:cs="Arial"/>
          <w:color w:val="auto"/>
          <w:szCs w:val="21"/>
          <w:highlight w:val="none"/>
        </w:rPr>
        <w:t>我公司声明截止投标时间近三年以来：在政府采购领域中的项目招标、投标和合同履约期间无任何不良行为记录；无重大违法记录（重大违法记录是指供应商因违法经营受到刑事处罚或者责令停产停业、吊销许可证或者执照、较大数额罚款等行政处罚）。</w:t>
      </w:r>
    </w:p>
    <w:p>
      <w:pPr>
        <w:snapToGrid w:val="0"/>
        <w:spacing w:beforeLines="50" w:after="50" w:line="360" w:lineRule="auto"/>
        <w:ind w:firstLine="420" w:firstLineChars="200"/>
        <w:rPr>
          <w:rFonts w:ascii="宋体" w:hAnsi="宋体" w:cs="宋体"/>
          <w:color w:val="auto"/>
          <w:kern w:val="0"/>
          <w:szCs w:val="21"/>
          <w:highlight w:val="none"/>
        </w:rPr>
      </w:pPr>
      <w:r>
        <w:rPr>
          <w:rFonts w:ascii="宋体" w:hAnsi="宋体" w:cs="宋体"/>
          <w:color w:val="auto"/>
          <w:kern w:val="0"/>
          <w:szCs w:val="21"/>
          <w:highlight w:val="none"/>
        </w:rPr>
        <w:t>2、我公司在参与投标前已</w:t>
      </w:r>
      <w:r>
        <w:rPr>
          <w:rFonts w:hint="eastAsia" w:ascii="宋体" w:hAnsi="宋体" w:cs="宋体"/>
          <w:color w:val="auto"/>
          <w:kern w:val="0"/>
          <w:szCs w:val="21"/>
          <w:highlight w:val="none"/>
        </w:rPr>
        <w:t>详细审查</w:t>
      </w:r>
      <w:r>
        <w:rPr>
          <w:rFonts w:ascii="宋体" w:hAnsi="宋体" w:cs="宋体"/>
          <w:color w:val="auto"/>
          <w:kern w:val="0"/>
          <w:szCs w:val="21"/>
          <w:highlight w:val="none"/>
        </w:rPr>
        <w:t>了招标文件和所有相关资料，我方完全明白并认为此招标文件没有倾向性，也没有存在排斥潜在投标人的内容，我方同意招标文件的相关条款，放弃对招标文件提出误解和质疑的一切权</w:t>
      </w:r>
      <w:r>
        <w:rPr>
          <w:rFonts w:hint="eastAsia" w:ascii="宋体" w:hAnsi="宋体" w:cs="宋体"/>
          <w:color w:val="auto"/>
          <w:kern w:val="0"/>
          <w:szCs w:val="21"/>
          <w:highlight w:val="none"/>
        </w:rPr>
        <w:t>利。</w:t>
      </w:r>
    </w:p>
    <w:p>
      <w:pPr>
        <w:snapToGrid w:val="0"/>
        <w:spacing w:beforeLines="50" w:after="50" w:line="360" w:lineRule="auto"/>
        <w:ind w:firstLine="420" w:firstLineChars="200"/>
        <w:rPr>
          <w:rFonts w:ascii="宋体" w:hAnsi="宋体"/>
          <w:color w:val="auto"/>
          <w:szCs w:val="21"/>
          <w:highlight w:val="none"/>
        </w:rPr>
      </w:pPr>
      <w:r>
        <w:rPr>
          <w:rFonts w:ascii="宋体" w:hAnsi="宋体"/>
          <w:color w:val="auto"/>
          <w:szCs w:val="21"/>
          <w:highlight w:val="none"/>
        </w:rPr>
        <w:t>3、我</w:t>
      </w:r>
      <w:r>
        <w:rPr>
          <w:rFonts w:hint="eastAsia" w:ascii="宋体" w:hAnsi="宋体" w:cs="仿宋_GB2312"/>
          <w:color w:val="auto"/>
          <w:kern w:val="0"/>
          <w:szCs w:val="21"/>
          <w:highlight w:val="none"/>
          <w:lang w:val="zh-CN"/>
        </w:rPr>
        <w:t>公司</w:t>
      </w:r>
      <w:r>
        <w:rPr>
          <w:rFonts w:hint="eastAsia" w:ascii="宋体" w:hAnsi="宋体"/>
          <w:color w:val="auto"/>
          <w:szCs w:val="21"/>
          <w:highlight w:val="none"/>
        </w:rPr>
        <w:t>不是采购人的附属机构；在获知本项目采购信息后，与采购人聘请的为此项目提供咨询服务的公司及其附属机构没有任何联系。</w:t>
      </w:r>
    </w:p>
    <w:p>
      <w:pPr>
        <w:snapToGrid w:val="0"/>
        <w:spacing w:beforeLines="50" w:after="50" w:line="360" w:lineRule="auto"/>
        <w:ind w:firstLine="420" w:firstLineChars="200"/>
        <w:rPr>
          <w:rFonts w:ascii="宋体" w:hAnsi="宋体"/>
          <w:color w:val="auto"/>
          <w:kern w:val="0"/>
          <w:szCs w:val="21"/>
          <w:highlight w:val="none"/>
          <w:lang w:val="af-ZA"/>
        </w:rPr>
      </w:pPr>
      <w:r>
        <w:rPr>
          <w:rFonts w:ascii="宋体" w:hAnsi="宋体"/>
          <w:color w:val="auto"/>
          <w:szCs w:val="21"/>
          <w:highlight w:val="none"/>
        </w:rPr>
        <w:t>4、</w:t>
      </w:r>
      <w:r>
        <w:rPr>
          <w:rFonts w:hint="eastAsia" w:ascii="宋体" w:hAnsi="宋体" w:cs="宋体"/>
          <w:color w:val="auto"/>
          <w:kern w:val="0"/>
          <w:szCs w:val="21"/>
          <w:highlight w:val="none"/>
        </w:rPr>
        <w:t>我</w:t>
      </w:r>
      <w:r>
        <w:rPr>
          <w:rFonts w:hint="eastAsia" w:ascii="宋体" w:hAnsi="宋体" w:cs="仿宋_GB2312"/>
          <w:color w:val="auto"/>
          <w:kern w:val="0"/>
          <w:szCs w:val="21"/>
          <w:highlight w:val="none"/>
          <w:lang w:val="zh-CN"/>
        </w:rPr>
        <w:t>公司</w:t>
      </w:r>
      <w:r>
        <w:rPr>
          <w:rFonts w:hint="eastAsia" w:ascii="宋体" w:hAnsi="宋体" w:cs="宋体"/>
          <w:color w:val="auto"/>
          <w:kern w:val="0"/>
          <w:szCs w:val="21"/>
          <w:highlight w:val="none"/>
        </w:rPr>
        <w:t>保证，</w:t>
      </w:r>
      <w:r>
        <w:rPr>
          <w:rFonts w:hint="eastAsia" w:ascii="宋体" w:hAnsi="宋体"/>
          <w:color w:val="auto"/>
          <w:kern w:val="0"/>
          <w:szCs w:val="21"/>
          <w:highlight w:val="none"/>
          <w:lang w:val="af-ZA"/>
        </w:rPr>
        <w:t>采购人在中华人民共和国境内使用</w:t>
      </w:r>
      <w:r>
        <w:rPr>
          <w:rFonts w:hint="eastAsia" w:ascii="宋体" w:hAnsi="宋体" w:cs="宋体"/>
          <w:color w:val="auto"/>
          <w:kern w:val="0"/>
          <w:szCs w:val="21"/>
          <w:highlight w:val="none"/>
        </w:rPr>
        <w:t>我</w:t>
      </w:r>
      <w:r>
        <w:rPr>
          <w:rFonts w:hint="eastAsia" w:ascii="宋体" w:hAnsi="宋体" w:cs="仿宋_GB2312"/>
          <w:color w:val="auto"/>
          <w:kern w:val="0"/>
          <w:szCs w:val="21"/>
          <w:highlight w:val="none"/>
          <w:lang w:val="zh-CN"/>
        </w:rPr>
        <w:t>公司</w:t>
      </w:r>
      <w:r>
        <w:rPr>
          <w:rFonts w:hint="eastAsia" w:ascii="宋体" w:hAnsi="宋体"/>
          <w:color w:val="auto"/>
          <w:kern w:val="0"/>
          <w:szCs w:val="21"/>
          <w:highlight w:val="none"/>
          <w:lang w:val="af-ZA"/>
        </w:rPr>
        <w:t>投标货物、资料、技术、服务或其任何一部分时，享有不受限制的无偿使用权，如有第三方向采购人提出侵犯其专利权、商标权或其它知识产权的主张，该责任由</w:t>
      </w:r>
      <w:r>
        <w:rPr>
          <w:rFonts w:hint="eastAsia" w:ascii="宋体" w:hAnsi="宋体" w:cs="宋体"/>
          <w:color w:val="auto"/>
          <w:kern w:val="0"/>
          <w:szCs w:val="21"/>
          <w:highlight w:val="none"/>
          <w:lang w:val="af-ZA"/>
        </w:rPr>
        <w:t>我方</w:t>
      </w:r>
      <w:r>
        <w:rPr>
          <w:rFonts w:hint="eastAsia" w:ascii="宋体" w:hAnsi="宋体"/>
          <w:color w:val="auto"/>
          <w:kern w:val="0"/>
          <w:szCs w:val="21"/>
          <w:highlight w:val="none"/>
          <w:lang w:val="af-ZA"/>
        </w:rPr>
        <w:t>承担。</w:t>
      </w:r>
      <w:r>
        <w:rPr>
          <w:rFonts w:hint="eastAsia" w:ascii="宋体" w:hAnsi="宋体" w:cs="宋体"/>
          <w:color w:val="auto"/>
          <w:kern w:val="0"/>
          <w:szCs w:val="21"/>
          <w:highlight w:val="none"/>
          <w:lang w:val="af-ZA"/>
        </w:rPr>
        <w:t>我方的</w:t>
      </w:r>
      <w:r>
        <w:rPr>
          <w:rFonts w:hint="eastAsia" w:ascii="宋体" w:hAnsi="宋体"/>
          <w:color w:val="auto"/>
          <w:kern w:val="0"/>
          <w:szCs w:val="21"/>
          <w:highlight w:val="none"/>
          <w:lang w:val="af-ZA"/>
        </w:rPr>
        <w:t>投标报价</w:t>
      </w:r>
      <w:r>
        <w:rPr>
          <w:rFonts w:hint="eastAsia" w:ascii="宋体" w:hAnsi="宋体" w:cs="宋体"/>
          <w:color w:val="auto"/>
          <w:kern w:val="0"/>
          <w:szCs w:val="21"/>
          <w:highlight w:val="none"/>
          <w:lang w:val="af-ZA"/>
        </w:rPr>
        <w:t>已</w:t>
      </w:r>
      <w:r>
        <w:rPr>
          <w:rFonts w:hint="eastAsia" w:ascii="宋体" w:hAnsi="宋体"/>
          <w:color w:val="auto"/>
          <w:kern w:val="0"/>
          <w:szCs w:val="21"/>
          <w:highlight w:val="none"/>
          <w:lang w:val="af-ZA"/>
        </w:rPr>
        <w:t>包含所有应向所有权人支付的专利权、商标权或其它知识产权的一切相关费用。</w:t>
      </w:r>
    </w:p>
    <w:p>
      <w:pPr>
        <w:snapToGrid w:val="0"/>
        <w:spacing w:beforeLines="50" w:after="50" w:line="360" w:lineRule="auto"/>
        <w:ind w:firstLine="420" w:firstLineChars="200"/>
        <w:rPr>
          <w:rFonts w:ascii="仿宋_GB2312" w:hAnsi="仿宋_GB2312" w:eastAsia="仿宋_GB2312" w:cs="仿宋_GB2312"/>
          <w:color w:val="auto"/>
          <w:szCs w:val="21"/>
          <w:highlight w:val="none"/>
        </w:rPr>
      </w:pPr>
      <w:r>
        <w:rPr>
          <w:rFonts w:ascii="宋体" w:hAnsi="宋体" w:cs="宋体"/>
          <w:color w:val="auto"/>
          <w:kern w:val="0"/>
          <w:szCs w:val="21"/>
          <w:highlight w:val="none"/>
          <w:lang w:val="af-ZA"/>
        </w:rPr>
        <w:t>5、我</w:t>
      </w:r>
      <w:r>
        <w:rPr>
          <w:rFonts w:hint="eastAsia" w:ascii="宋体" w:hAnsi="宋体" w:cs="宋体"/>
          <w:color w:val="auto"/>
          <w:kern w:val="0"/>
          <w:szCs w:val="21"/>
          <w:highlight w:val="none"/>
          <w:lang w:val="zh-CN"/>
        </w:rPr>
        <w:t>公司</w:t>
      </w:r>
      <w:r>
        <w:rPr>
          <w:rFonts w:hint="eastAsia" w:ascii="宋体" w:hAnsi="宋体" w:cs="宋体"/>
          <w:color w:val="auto"/>
          <w:kern w:val="0"/>
          <w:szCs w:val="21"/>
          <w:highlight w:val="none"/>
          <w:lang w:val="af-ZA"/>
        </w:rPr>
        <w:t>严格履行政府采购合同，不降低合同约定的产品质量和服务，不擅自变更、中止、终止合同，或拒绝履行合同义务；</w:t>
      </w:r>
    </w:p>
    <w:p>
      <w:pPr>
        <w:snapToGrid w:val="0"/>
        <w:spacing w:beforeLines="50" w:after="50" w:line="360" w:lineRule="auto"/>
        <w:ind w:firstLine="420" w:firstLineChars="200"/>
        <w:rPr>
          <w:rFonts w:ascii="宋体" w:hAnsi="宋体"/>
          <w:color w:val="auto"/>
          <w:szCs w:val="21"/>
          <w:highlight w:val="none"/>
        </w:rPr>
      </w:pPr>
      <w:r>
        <w:rPr>
          <w:rFonts w:ascii="宋体" w:hAnsi="宋体"/>
          <w:color w:val="auto"/>
          <w:szCs w:val="21"/>
          <w:highlight w:val="none"/>
        </w:rPr>
        <w:t>6、以上事项如有虚假或隐瞒，我</w:t>
      </w:r>
      <w:r>
        <w:rPr>
          <w:rFonts w:hint="eastAsia" w:ascii="宋体" w:hAnsi="宋体" w:cs="仿宋_GB2312"/>
          <w:color w:val="auto"/>
          <w:kern w:val="0"/>
          <w:szCs w:val="21"/>
          <w:highlight w:val="none"/>
          <w:lang w:val="zh-CN"/>
        </w:rPr>
        <w:t>公司</w:t>
      </w:r>
      <w:r>
        <w:rPr>
          <w:rFonts w:hint="eastAsia" w:ascii="宋体" w:hAnsi="宋体"/>
          <w:color w:val="auto"/>
          <w:szCs w:val="21"/>
          <w:highlight w:val="none"/>
        </w:rPr>
        <w:t>愿意承担一切后果，并不再寻求任何旨在减轻或免除法律责任的辩解。</w:t>
      </w:r>
    </w:p>
    <w:p>
      <w:pPr>
        <w:adjustRightInd w:val="0"/>
        <w:snapToGrid w:val="0"/>
        <w:spacing w:line="360" w:lineRule="auto"/>
        <w:ind w:firstLine="480"/>
        <w:rPr>
          <w:rFonts w:ascii="宋体" w:hAnsi="宋体" w:cs="仿宋_GB2312"/>
          <w:color w:val="auto"/>
          <w:kern w:val="0"/>
          <w:szCs w:val="21"/>
          <w:highlight w:val="none"/>
        </w:rPr>
      </w:pPr>
    </w:p>
    <w:p>
      <w:pPr>
        <w:adjustRightInd w:val="0"/>
        <w:snapToGrid w:val="0"/>
        <w:spacing w:line="360" w:lineRule="auto"/>
        <w:ind w:firstLine="4095" w:firstLineChars="1950"/>
        <w:rPr>
          <w:rFonts w:ascii="宋体" w:hAnsi="宋体" w:cs="仿宋_GB2312"/>
          <w:color w:val="auto"/>
          <w:kern w:val="0"/>
          <w:szCs w:val="21"/>
          <w:highlight w:val="none"/>
          <w:lang w:val="zh-CN"/>
        </w:rPr>
      </w:pPr>
      <w:r>
        <w:rPr>
          <w:rFonts w:ascii="宋体" w:hAnsi="宋体" w:cs="仿宋_GB2312"/>
          <w:color w:val="auto"/>
          <w:kern w:val="0"/>
          <w:szCs w:val="21"/>
          <w:highlight w:val="none"/>
          <w:lang w:val="zh-CN"/>
        </w:rPr>
        <w:t xml:space="preserve">    投标人名称(</w:t>
      </w:r>
      <w:r>
        <w:rPr>
          <w:rFonts w:hint="eastAsia" w:ascii="宋体" w:hAnsi="宋体" w:cs="仿宋_GB2312"/>
          <w:color w:val="auto"/>
          <w:kern w:val="0"/>
          <w:szCs w:val="21"/>
          <w:highlight w:val="none"/>
          <w:lang w:val="zh-CN"/>
        </w:rPr>
        <w:t>签电子</w:t>
      </w:r>
      <w:r>
        <w:rPr>
          <w:rFonts w:ascii="宋体" w:hAnsi="宋体" w:cs="仿宋_GB2312"/>
          <w:color w:val="auto"/>
          <w:kern w:val="0"/>
          <w:szCs w:val="21"/>
          <w:highlight w:val="none"/>
          <w:lang w:val="zh-CN"/>
        </w:rPr>
        <w:t>公章)：</w:t>
      </w:r>
    </w:p>
    <w:p>
      <w:pPr>
        <w:adjustRightInd w:val="0"/>
        <w:snapToGrid w:val="0"/>
        <w:spacing w:line="360" w:lineRule="auto"/>
        <w:rPr>
          <w:rFonts w:ascii="宋体" w:hAnsi="宋体" w:cs="仿宋_GB2312"/>
          <w:color w:val="auto"/>
          <w:kern w:val="0"/>
          <w:szCs w:val="21"/>
          <w:highlight w:val="none"/>
          <w:lang w:val="zh-CN"/>
        </w:rPr>
      </w:pPr>
      <w:r>
        <w:rPr>
          <w:rFonts w:ascii="宋体" w:hAnsi="宋体" w:cs="仿宋_GB2312"/>
          <w:color w:val="auto"/>
          <w:kern w:val="0"/>
          <w:szCs w:val="21"/>
          <w:highlight w:val="none"/>
          <w:lang w:val="zh-CN"/>
        </w:rPr>
        <w:t xml:space="preserve">                                       法定代表人或授权委托人(</w:t>
      </w:r>
      <w:r>
        <w:rPr>
          <w:rFonts w:hint="eastAsia" w:ascii="宋体" w:hAnsi="宋体" w:cs="仿宋_GB2312"/>
          <w:color w:val="auto"/>
          <w:kern w:val="0"/>
          <w:szCs w:val="21"/>
          <w:highlight w:val="none"/>
          <w:lang w:val="zh-CN"/>
        </w:rPr>
        <w:t>签章或</w:t>
      </w:r>
      <w:r>
        <w:rPr>
          <w:rFonts w:ascii="宋体" w:hAnsi="宋体" w:cs="仿宋_GB2312"/>
          <w:color w:val="auto"/>
          <w:kern w:val="0"/>
          <w:szCs w:val="21"/>
          <w:highlight w:val="none"/>
          <w:lang w:val="zh-CN"/>
        </w:rPr>
        <w:t>签字)：</w:t>
      </w:r>
    </w:p>
    <w:p>
      <w:pPr>
        <w:adjustRightInd w:val="0"/>
        <w:snapToGrid w:val="0"/>
        <w:spacing w:line="360" w:lineRule="auto"/>
        <w:ind w:right="480"/>
        <w:jc w:val="center"/>
        <w:rPr>
          <w:rFonts w:ascii="宋体" w:hAnsi="宋体"/>
          <w:b/>
          <w:color w:val="auto"/>
          <w:sz w:val="28"/>
          <w:highlight w:val="none"/>
        </w:rPr>
      </w:pPr>
      <w:r>
        <w:rPr>
          <w:rFonts w:ascii="宋体" w:hAnsi="宋体" w:cs="仿宋_GB2312"/>
          <w:color w:val="auto"/>
          <w:kern w:val="0"/>
          <w:szCs w:val="21"/>
          <w:highlight w:val="none"/>
          <w:lang w:val="zh-CN"/>
        </w:rPr>
        <w:t xml:space="preserve">                                  日期：年 月日</w:t>
      </w:r>
    </w:p>
    <w:p>
      <w:pPr>
        <w:adjustRightInd w:val="0"/>
        <w:snapToGrid w:val="0"/>
        <w:spacing w:line="360" w:lineRule="auto"/>
        <w:ind w:right="480"/>
        <w:rPr>
          <w:rFonts w:ascii="宋体" w:hAnsi="宋体"/>
          <w:b/>
          <w:color w:val="auto"/>
          <w:sz w:val="28"/>
          <w:highlight w:val="none"/>
        </w:rPr>
      </w:pPr>
    </w:p>
    <w:p>
      <w:pPr>
        <w:widowControl/>
        <w:jc w:val="left"/>
        <w:rPr>
          <w:rFonts w:ascii="宋体" w:hAnsi="宋体"/>
          <w:b/>
          <w:color w:val="auto"/>
          <w:sz w:val="28"/>
          <w:highlight w:val="none"/>
        </w:rPr>
      </w:pPr>
      <w:r>
        <w:rPr>
          <w:rFonts w:ascii="宋体" w:hAnsi="宋体"/>
          <w:b/>
          <w:color w:val="auto"/>
          <w:sz w:val="28"/>
          <w:highlight w:val="none"/>
        </w:rPr>
        <w:br w:type="page"/>
      </w:r>
    </w:p>
    <w:p>
      <w:pPr>
        <w:adjustRightInd w:val="0"/>
        <w:snapToGrid w:val="0"/>
        <w:spacing w:line="360" w:lineRule="auto"/>
        <w:ind w:right="480"/>
        <w:rPr>
          <w:rFonts w:ascii="宋体"/>
          <w:b/>
          <w:color w:val="auto"/>
          <w:sz w:val="30"/>
          <w:szCs w:val="30"/>
          <w:highlight w:val="none"/>
        </w:rPr>
      </w:pPr>
      <w:r>
        <w:rPr>
          <w:rFonts w:hint="eastAsia" w:ascii="宋体" w:hAnsi="宋体"/>
          <w:b/>
          <w:color w:val="auto"/>
          <w:sz w:val="28"/>
          <w:highlight w:val="none"/>
        </w:rPr>
        <w:t>附件</w:t>
      </w:r>
      <w:r>
        <w:rPr>
          <w:rFonts w:ascii="宋体" w:hAnsi="宋体"/>
          <w:b/>
          <w:color w:val="auto"/>
          <w:sz w:val="28"/>
          <w:highlight w:val="none"/>
        </w:rPr>
        <w:t>3</w:t>
      </w:r>
    </w:p>
    <w:p>
      <w:pPr>
        <w:spacing w:line="360" w:lineRule="auto"/>
        <w:ind w:firstLine="321" w:firstLineChars="100"/>
        <w:jc w:val="center"/>
        <w:rPr>
          <w:rFonts w:hAnsi="宋体"/>
          <w:b/>
          <w:color w:val="auto"/>
          <w:sz w:val="32"/>
          <w:szCs w:val="32"/>
          <w:highlight w:val="none"/>
          <w:u w:val="single"/>
        </w:rPr>
      </w:pPr>
      <w:r>
        <w:rPr>
          <w:rFonts w:hint="eastAsia"/>
          <w:b/>
          <w:color w:val="auto"/>
          <w:sz w:val="32"/>
          <w:szCs w:val="32"/>
          <w:highlight w:val="none"/>
        </w:rPr>
        <w:t>授权委托书</w:t>
      </w:r>
    </w:p>
    <w:p>
      <w:pPr>
        <w:snapToGrid w:val="0"/>
        <w:spacing w:beforeLines="50" w:after="50" w:line="360" w:lineRule="auto"/>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建经投资咨询有限公司（采购代理机构名称）：</w:t>
      </w:r>
    </w:p>
    <w:p>
      <w:pPr>
        <w:snapToGrid w:val="0"/>
        <w:spacing w:beforeLines="50" w:after="50" w:line="360" w:lineRule="auto"/>
        <w:ind w:firstLine="210" w:firstLineChars="100"/>
        <w:rPr>
          <w:rFonts w:hAnsi="宋体"/>
          <w:color w:val="auto"/>
          <w:szCs w:val="21"/>
          <w:highlight w:val="none"/>
        </w:rPr>
      </w:pPr>
      <w:r>
        <w:rPr>
          <w:rFonts w:hAnsi="宋体"/>
          <w:color w:val="auto"/>
          <w:szCs w:val="21"/>
          <w:highlight w:val="none"/>
          <w:u w:val="single"/>
        </w:rPr>
        <w:t xml:space="preserve">（投标人全称）  </w:t>
      </w:r>
      <w:r>
        <w:rPr>
          <w:rFonts w:hAnsi="宋体"/>
          <w:color w:val="auto"/>
          <w:szCs w:val="21"/>
          <w:highlight w:val="none"/>
        </w:rPr>
        <w:t>法定代表人</w:t>
      </w:r>
      <w:r>
        <w:rPr>
          <w:rFonts w:hint="eastAsia" w:ascii="Arial" w:hAnsi="Arial" w:cs="Arial"/>
          <w:color w:val="auto"/>
          <w:szCs w:val="21"/>
          <w:highlight w:val="none"/>
        </w:rPr>
        <w:t>（或营业执照中单位负责人）</w:t>
      </w:r>
      <w:r>
        <w:rPr>
          <w:rFonts w:hAnsi="宋体"/>
          <w:color w:val="auto"/>
          <w:szCs w:val="21"/>
          <w:highlight w:val="none"/>
          <w:u w:val="single"/>
        </w:rPr>
        <w:tab/>
      </w:r>
      <w:r>
        <w:rPr>
          <w:rFonts w:hAnsi="宋体"/>
          <w:color w:val="auto"/>
          <w:szCs w:val="21"/>
          <w:highlight w:val="none"/>
          <w:u w:val="single"/>
        </w:rPr>
        <w:t>（法定代表</w:t>
      </w:r>
      <w:r>
        <w:rPr>
          <w:rFonts w:hint="eastAsia" w:hAnsi="宋体"/>
          <w:color w:val="auto"/>
          <w:szCs w:val="21"/>
          <w:highlight w:val="none"/>
          <w:u w:val="single"/>
        </w:rPr>
        <w:t>人</w:t>
      </w:r>
      <w:r>
        <w:rPr>
          <w:rFonts w:hint="eastAsia" w:ascii="Arial" w:hAnsi="Arial" w:cs="Arial"/>
          <w:color w:val="auto"/>
          <w:szCs w:val="21"/>
          <w:highlight w:val="none"/>
          <w:u w:val="single"/>
        </w:rPr>
        <w:t>或营业执照中单位负责人</w:t>
      </w:r>
      <w:r>
        <w:rPr>
          <w:rFonts w:hAnsi="宋体"/>
          <w:color w:val="auto"/>
          <w:szCs w:val="21"/>
          <w:highlight w:val="none"/>
          <w:u w:val="single"/>
        </w:rPr>
        <w:t xml:space="preserve">姓名） </w:t>
      </w:r>
      <w:r>
        <w:rPr>
          <w:rFonts w:hAnsi="宋体"/>
          <w:color w:val="auto"/>
          <w:szCs w:val="21"/>
          <w:highlight w:val="none"/>
        </w:rPr>
        <w:t>授权</w:t>
      </w:r>
      <w:r>
        <w:rPr>
          <w:rFonts w:hAnsi="宋体"/>
          <w:color w:val="auto"/>
          <w:szCs w:val="21"/>
          <w:highlight w:val="none"/>
          <w:u w:val="single"/>
        </w:rPr>
        <w:t xml:space="preserve">   （全权代表姓名</w:t>
      </w:r>
      <w:r>
        <w:rPr>
          <w:rFonts w:hint="eastAsia" w:hAnsi="宋体"/>
          <w:color w:val="auto"/>
          <w:szCs w:val="21"/>
          <w:highlight w:val="none"/>
          <w:u w:val="single"/>
        </w:rPr>
        <w:t>）</w:t>
      </w:r>
      <w:r>
        <w:rPr>
          <w:rFonts w:hAnsi="宋体"/>
          <w:color w:val="auto"/>
          <w:szCs w:val="21"/>
          <w:highlight w:val="none"/>
        </w:rPr>
        <w:t>为</w:t>
      </w:r>
      <w:r>
        <w:rPr>
          <w:rFonts w:hint="eastAsia" w:hAnsi="宋体"/>
          <w:color w:val="auto"/>
          <w:szCs w:val="21"/>
          <w:highlight w:val="none"/>
        </w:rPr>
        <w:t>全权代表</w:t>
      </w:r>
      <w:r>
        <w:rPr>
          <w:rFonts w:hAnsi="宋体"/>
          <w:color w:val="auto"/>
          <w:szCs w:val="21"/>
          <w:highlight w:val="none"/>
        </w:rPr>
        <w:t>，参加贵单位组织的</w:t>
      </w:r>
      <w:r>
        <w:rPr>
          <w:rFonts w:hAnsi="宋体"/>
          <w:color w:val="auto"/>
          <w:szCs w:val="21"/>
          <w:highlight w:val="none"/>
          <w:u w:val="single"/>
        </w:rPr>
        <w:tab/>
      </w:r>
      <w:r>
        <w:rPr>
          <w:rFonts w:hAnsi="宋体"/>
          <w:color w:val="auto"/>
          <w:szCs w:val="21"/>
          <w:highlight w:val="none"/>
        </w:rPr>
        <w:t>项目的采购活动，并代表我方全权办理针对上述项目的投标、开标、评标、签约等具体事务和签署相关文件。</w:t>
      </w:r>
      <w:r>
        <w:rPr>
          <w:rFonts w:hint="eastAsia" w:hAnsi="宋体"/>
          <w:color w:val="auto"/>
          <w:szCs w:val="21"/>
          <w:highlight w:val="none"/>
        </w:rPr>
        <w:t>我方对全权代表的签字事项负全部责任。</w:t>
      </w:r>
    </w:p>
    <w:p>
      <w:pPr>
        <w:pStyle w:val="15"/>
        <w:spacing w:line="500" w:lineRule="exact"/>
        <w:ind w:left="139" w:leftChars="66" w:firstLine="420" w:firstLineChars="200"/>
        <w:rPr>
          <w:rFonts w:hAnsi="宋体"/>
          <w:color w:val="auto"/>
          <w:szCs w:val="21"/>
          <w:highlight w:val="none"/>
        </w:rPr>
      </w:pPr>
      <w:r>
        <w:rPr>
          <w:rFonts w:hint="eastAsia" w:hAnsi="宋体"/>
          <w:color w:val="auto"/>
          <w:szCs w:val="21"/>
          <w:highlight w:val="none"/>
        </w:rPr>
        <w:t>在撤销授权的书面通知以前，本授权书一直有效。全权代表在授权委托书有效期内签署的所有文件不因授权的撤销而失效。</w:t>
      </w:r>
    </w:p>
    <w:p>
      <w:pPr>
        <w:pStyle w:val="15"/>
        <w:spacing w:line="500" w:lineRule="exact"/>
        <w:ind w:left="139" w:leftChars="66" w:firstLine="420" w:firstLineChars="200"/>
        <w:rPr>
          <w:rFonts w:hAnsi="宋体"/>
          <w:color w:val="auto"/>
          <w:szCs w:val="21"/>
          <w:highlight w:val="none"/>
        </w:rPr>
      </w:pPr>
      <w:r>
        <w:rPr>
          <w:rFonts w:hint="eastAsia" w:hAnsi="宋体"/>
          <w:color w:val="auto"/>
          <w:szCs w:val="21"/>
          <w:highlight w:val="none"/>
        </w:rPr>
        <w:t>全权代表无转委托权，特此委托。</w:t>
      </w:r>
    </w:p>
    <w:p>
      <w:pPr>
        <w:spacing w:line="360" w:lineRule="auto"/>
        <w:rPr>
          <w:color w:val="auto"/>
          <w:szCs w:val="21"/>
          <w:highlight w:val="none"/>
        </w:rPr>
      </w:pPr>
    </w:p>
    <w:p>
      <w:pPr>
        <w:spacing w:line="360" w:lineRule="auto"/>
        <w:rPr>
          <w:color w:val="auto"/>
          <w:szCs w:val="21"/>
          <w:highlight w:val="none"/>
        </w:rPr>
      </w:pPr>
      <w:r>
        <w:rPr>
          <w:rFonts w:hint="eastAsia" w:ascii="宋体"/>
          <w:color w:val="auto"/>
          <w:szCs w:val="21"/>
          <w:highlight w:val="none"/>
        </w:rPr>
        <w:t>法定代表人（签章）：</w:t>
      </w:r>
    </w:p>
    <w:p>
      <w:pPr>
        <w:spacing w:line="360" w:lineRule="auto"/>
        <w:rPr>
          <w:color w:val="auto"/>
          <w:szCs w:val="21"/>
          <w:highlight w:val="none"/>
        </w:rPr>
      </w:pPr>
    </w:p>
    <w:p>
      <w:pPr>
        <w:spacing w:line="360" w:lineRule="auto"/>
        <w:rPr>
          <w:rFonts w:hint="eastAsia" w:ascii="宋体"/>
          <w:color w:val="auto"/>
          <w:szCs w:val="21"/>
          <w:highlight w:val="none"/>
        </w:rPr>
      </w:pPr>
      <w:r>
        <w:rPr>
          <w:rFonts w:hint="eastAsia" w:ascii="宋体"/>
          <w:color w:val="auto"/>
          <w:szCs w:val="21"/>
          <w:highlight w:val="none"/>
        </w:rPr>
        <w:t>投标人全称（盖电子公章）：</w:t>
      </w:r>
    </w:p>
    <w:p>
      <w:pPr>
        <w:spacing w:line="360" w:lineRule="auto"/>
        <w:rPr>
          <w:color w:val="auto"/>
          <w:szCs w:val="21"/>
          <w:highlight w:val="none"/>
        </w:rPr>
      </w:pPr>
      <w:r>
        <w:rPr>
          <w:rFonts w:hint="eastAsia" w:ascii="宋体"/>
          <w:color w:val="auto"/>
          <w:szCs w:val="21"/>
          <w:highlight w:val="none"/>
        </w:rPr>
        <w:t>日期：</w:t>
      </w:r>
    </w:p>
    <w:p>
      <w:pPr>
        <w:spacing w:line="360" w:lineRule="auto"/>
        <w:rPr>
          <w:b/>
          <w:color w:val="auto"/>
          <w:szCs w:val="21"/>
          <w:highlight w:val="none"/>
        </w:rPr>
      </w:pPr>
      <w:r>
        <w:rPr>
          <w:rFonts w:hint="eastAsia" w:ascii="宋体"/>
          <w:b/>
          <w:color w:val="auto"/>
          <w:szCs w:val="21"/>
          <w:highlight w:val="none"/>
        </w:rPr>
        <w:t>附：</w:t>
      </w:r>
    </w:p>
    <w:tbl>
      <w:tblPr>
        <w:tblStyle w:val="24"/>
        <w:tblpPr w:leftFromText="180" w:rightFromText="180" w:vertAnchor="text" w:tblpX="4209" w:tblpY="3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pPr>
              <w:spacing w:line="360" w:lineRule="auto"/>
              <w:rPr>
                <w:rFonts w:ascii="宋体"/>
                <w:b/>
                <w:color w:val="auto"/>
                <w:szCs w:val="21"/>
                <w:highlight w:val="none"/>
              </w:rPr>
            </w:pPr>
          </w:p>
          <w:p>
            <w:pPr>
              <w:spacing w:line="360" w:lineRule="auto"/>
              <w:ind w:firstLine="316" w:firstLineChars="150"/>
              <w:rPr>
                <w:rFonts w:ascii="宋体"/>
                <w:b/>
                <w:color w:val="auto"/>
                <w:szCs w:val="21"/>
                <w:highlight w:val="none"/>
              </w:rPr>
            </w:pPr>
            <w:r>
              <w:rPr>
                <w:rFonts w:hint="eastAsia" w:ascii="宋体"/>
                <w:b/>
                <w:color w:val="auto"/>
                <w:szCs w:val="21"/>
                <w:highlight w:val="none"/>
              </w:rPr>
              <w:t>法定代表身份证复制件粘帖处</w:t>
            </w:r>
          </w:p>
        </w:tc>
      </w:tr>
    </w:tbl>
    <w:p>
      <w:pPr>
        <w:spacing w:line="360" w:lineRule="auto"/>
        <w:rPr>
          <w:color w:val="auto"/>
          <w:szCs w:val="21"/>
          <w:highlight w:val="none"/>
        </w:rPr>
      </w:pPr>
      <w:r>
        <w:rPr>
          <w:rFonts w:hint="eastAsia" w:ascii="宋体"/>
          <w:color w:val="auto"/>
          <w:szCs w:val="21"/>
          <w:highlight w:val="none"/>
        </w:rPr>
        <w:t xml:space="preserve">法定代表人姓名：                                 </w:t>
      </w:r>
    </w:p>
    <w:p>
      <w:pPr>
        <w:spacing w:line="360" w:lineRule="auto"/>
        <w:rPr>
          <w:color w:val="auto"/>
          <w:szCs w:val="21"/>
          <w:highlight w:val="none"/>
        </w:rPr>
      </w:pPr>
      <w:r>
        <w:rPr>
          <w:rFonts w:hint="eastAsia" w:ascii="宋体"/>
          <w:color w:val="auto"/>
          <w:szCs w:val="21"/>
          <w:highlight w:val="none"/>
        </w:rPr>
        <w:t>传真：</w:t>
      </w:r>
    </w:p>
    <w:p>
      <w:pPr>
        <w:spacing w:line="360" w:lineRule="auto"/>
        <w:rPr>
          <w:rFonts w:ascii="宋体"/>
          <w:color w:val="auto"/>
          <w:szCs w:val="21"/>
          <w:highlight w:val="none"/>
        </w:rPr>
      </w:pPr>
      <w:r>
        <w:rPr>
          <w:rFonts w:hint="eastAsia" w:ascii="宋体"/>
          <w:color w:val="auto"/>
          <w:szCs w:val="21"/>
          <w:highlight w:val="none"/>
        </w:rPr>
        <w:t>电话：</w:t>
      </w:r>
    </w:p>
    <w:p>
      <w:pPr>
        <w:spacing w:line="360" w:lineRule="auto"/>
        <w:rPr>
          <w:color w:val="auto"/>
          <w:szCs w:val="21"/>
          <w:highlight w:val="none"/>
        </w:rPr>
      </w:pPr>
      <w:r>
        <w:rPr>
          <w:rFonts w:hint="eastAsia" w:ascii="宋体"/>
          <w:color w:val="auto"/>
          <w:szCs w:val="21"/>
          <w:highlight w:val="none"/>
        </w:rPr>
        <w:t>详细通讯地址：</w:t>
      </w:r>
    </w:p>
    <w:p>
      <w:pPr>
        <w:spacing w:line="360" w:lineRule="auto"/>
        <w:rPr>
          <w:rFonts w:ascii="宋体"/>
          <w:color w:val="auto"/>
          <w:szCs w:val="21"/>
          <w:highlight w:val="none"/>
        </w:rPr>
      </w:pPr>
      <w:r>
        <w:rPr>
          <w:rFonts w:hint="eastAsia" w:ascii="宋体"/>
          <w:color w:val="auto"/>
          <w:szCs w:val="21"/>
          <w:highlight w:val="none"/>
        </w:rPr>
        <w:t>邮政编码：</w:t>
      </w:r>
    </w:p>
    <w:p>
      <w:pPr>
        <w:spacing w:line="360" w:lineRule="auto"/>
        <w:rPr>
          <w:b/>
          <w:color w:val="auto"/>
          <w:szCs w:val="21"/>
          <w:highlight w:val="none"/>
        </w:rPr>
      </w:pPr>
    </w:p>
    <w:tbl>
      <w:tblPr>
        <w:tblStyle w:val="24"/>
        <w:tblpPr w:leftFromText="180" w:rightFromText="180" w:vertAnchor="text" w:tblpX="4209" w:tblpY="3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pPr>
              <w:spacing w:line="360" w:lineRule="auto"/>
              <w:rPr>
                <w:rFonts w:ascii="宋体"/>
                <w:b/>
                <w:color w:val="auto"/>
                <w:szCs w:val="21"/>
                <w:highlight w:val="none"/>
              </w:rPr>
            </w:pPr>
          </w:p>
          <w:p>
            <w:pPr>
              <w:spacing w:line="360" w:lineRule="auto"/>
              <w:ind w:firstLine="316" w:firstLineChars="150"/>
              <w:rPr>
                <w:rFonts w:ascii="宋体"/>
                <w:b/>
                <w:color w:val="auto"/>
                <w:szCs w:val="21"/>
                <w:highlight w:val="none"/>
              </w:rPr>
            </w:pPr>
            <w:r>
              <w:rPr>
                <w:rFonts w:hint="eastAsia" w:ascii="宋体"/>
                <w:b/>
                <w:color w:val="auto"/>
                <w:szCs w:val="21"/>
                <w:highlight w:val="none"/>
              </w:rPr>
              <w:t>全权代表身份证复制件粘帖处</w:t>
            </w:r>
          </w:p>
        </w:tc>
      </w:tr>
    </w:tbl>
    <w:p>
      <w:pPr>
        <w:spacing w:line="360" w:lineRule="auto"/>
        <w:rPr>
          <w:rFonts w:ascii="宋体"/>
          <w:color w:val="auto"/>
          <w:szCs w:val="21"/>
          <w:highlight w:val="none"/>
        </w:rPr>
      </w:pPr>
      <w:r>
        <w:rPr>
          <w:rFonts w:hint="eastAsia" w:ascii="宋体"/>
          <w:color w:val="auto"/>
          <w:szCs w:val="21"/>
          <w:highlight w:val="none"/>
        </w:rPr>
        <w:t xml:space="preserve">全权代表姓名：       </w:t>
      </w:r>
    </w:p>
    <w:p>
      <w:pPr>
        <w:spacing w:line="360" w:lineRule="auto"/>
        <w:rPr>
          <w:color w:val="auto"/>
          <w:szCs w:val="21"/>
          <w:highlight w:val="none"/>
        </w:rPr>
      </w:pPr>
      <w:r>
        <w:rPr>
          <w:rFonts w:hint="eastAsia" w:ascii="宋体"/>
          <w:color w:val="auto"/>
          <w:szCs w:val="21"/>
          <w:highlight w:val="none"/>
        </w:rPr>
        <w:t xml:space="preserve">职务：                           </w:t>
      </w:r>
    </w:p>
    <w:p>
      <w:pPr>
        <w:spacing w:line="360" w:lineRule="auto"/>
        <w:rPr>
          <w:color w:val="auto"/>
          <w:szCs w:val="21"/>
          <w:highlight w:val="none"/>
        </w:rPr>
      </w:pPr>
      <w:r>
        <w:rPr>
          <w:rFonts w:hint="eastAsia" w:ascii="宋体"/>
          <w:color w:val="auto"/>
          <w:szCs w:val="21"/>
          <w:highlight w:val="none"/>
        </w:rPr>
        <w:t>传真：</w:t>
      </w:r>
    </w:p>
    <w:p>
      <w:pPr>
        <w:spacing w:line="360" w:lineRule="auto"/>
        <w:rPr>
          <w:rFonts w:ascii="宋体"/>
          <w:color w:val="auto"/>
          <w:szCs w:val="21"/>
          <w:highlight w:val="none"/>
        </w:rPr>
      </w:pPr>
      <w:r>
        <w:rPr>
          <w:rFonts w:hint="eastAsia" w:ascii="宋体"/>
          <w:color w:val="auto"/>
          <w:szCs w:val="21"/>
          <w:highlight w:val="none"/>
        </w:rPr>
        <w:t>电话：</w:t>
      </w:r>
    </w:p>
    <w:p>
      <w:pPr>
        <w:spacing w:line="360" w:lineRule="auto"/>
        <w:rPr>
          <w:color w:val="auto"/>
          <w:szCs w:val="21"/>
          <w:highlight w:val="none"/>
        </w:rPr>
      </w:pPr>
      <w:r>
        <w:rPr>
          <w:rFonts w:hint="eastAsia" w:ascii="宋体"/>
          <w:color w:val="auto"/>
          <w:szCs w:val="21"/>
          <w:highlight w:val="none"/>
        </w:rPr>
        <w:t>详细通讯地址：</w:t>
      </w:r>
    </w:p>
    <w:p>
      <w:pPr>
        <w:spacing w:line="360" w:lineRule="auto"/>
        <w:rPr>
          <w:rFonts w:ascii="宋体"/>
          <w:color w:val="auto"/>
          <w:szCs w:val="21"/>
          <w:highlight w:val="none"/>
        </w:rPr>
      </w:pPr>
      <w:r>
        <w:rPr>
          <w:rFonts w:hint="eastAsia" w:ascii="宋体"/>
          <w:color w:val="auto"/>
          <w:szCs w:val="21"/>
          <w:highlight w:val="none"/>
        </w:rPr>
        <w:t>邮政编码：</w:t>
      </w:r>
    </w:p>
    <w:p>
      <w:pPr>
        <w:widowControl/>
        <w:jc w:val="left"/>
        <w:rPr>
          <w:rFonts w:ascii="宋体" w:hAnsi="宋体"/>
          <w:b/>
          <w:color w:val="auto"/>
          <w:sz w:val="28"/>
          <w:highlight w:val="none"/>
        </w:rPr>
      </w:pPr>
      <w:r>
        <w:rPr>
          <w:rFonts w:ascii="宋体" w:hAnsi="宋体"/>
          <w:b/>
          <w:color w:val="auto"/>
          <w:sz w:val="28"/>
          <w:highlight w:val="none"/>
        </w:rPr>
        <w:br w:type="page"/>
      </w:r>
    </w:p>
    <w:p>
      <w:pPr>
        <w:snapToGrid w:val="0"/>
        <w:spacing w:beforeLines="50" w:after="50" w:line="360" w:lineRule="auto"/>
        <w:rPr>
          <w:rFonts w:hint="eastAsia" w:ascii="宋体" w:hAnsi="宋体"/>
          <w:b/>
          <w:color w:val="auto"/>
          <w:sz w:val="28"/>
          <w:highlight w:val="none"/>
        </w:rPr>
        <w:sectPr>
          <w:pgSz w:w="11906" w:h="16838"/>
          <w:pgMar w:top="1440" w:right="1800" w:bottom="1440" w:left="1800" w:header="851" w:footer="992" w:gutter="0"/>
          <w:cols w:space="425" w:num="1"/>
          <w:docGrid w:type="lines" w:linePitch="312" w:charSpace="0"/>
        </w:sectPr>
      </w:pPr>
    </w:p>
    <w:p>
      <w:pPr>
        <w:snapToGrid w:val="0"/>
        <w:spacing w:beforeLines="50" w:after="50" w:line="360" w:lineRule="auto"/>
        <w:rPr>
          <w:rFonts w:ascii="仿宋_GB2312" w:hAnsi="宋体" w:eastAsia="仿宋_GB2312"/>
          <w:b/>
          <w:color w:val="auto"/>
          <w:sz w:val="30"/>
          <w:szCs w:val="30"/>
          <w:highlight w:val="none"/>
        </w:rPr>
      </w:pPr>
      <w:r>
        <w:rPr>
          <w:rFonts w:hint="eastAsia" w:ascii="宋体" w:hAnsi="宋体"/>
          <w:b/>
          <w:color w:val="auto"/>
          <w:sz w:val="28"/>
          <w:highlight w:val="none"/>
        </w:rPr>
        <w:t>附件</w:t>
      </w:r>
      <w:r>
        <w:rPr>
          <w:rFonts w:ascii="宋体" w:hAnsi="宋体"/>
          <w:b/>
          <w:color w:val="auto"/>
          <w:sz w:val="28"/>
          <w:highlight w:val="none"/>
        </w:rPr>
        <w:t>4：</w:t>
      </w:r>
    </w:p>
    <w:p>
      <w:pPr>
        <w:spacing w:line="360" w:lineRule="auto"/>
        <w:ind w:left="480"/>
        <w:jc w:val="center"/>
        <w:rPr>
          <w:rFonts w:ascii="宋体" w:hAnsi="宋体"/>
          <w:b/>
          <w:color w:val="auto"/>
          <w:sz w:val="32"/>
          <w:szCs w:val="32"/>
          <w:highlight w:val="none"/>
        </w:rPr>
      </w:pPr>
      <w:r>
        <w:rPr>
          <w:rFonts w:hint="eastAsia" w:ascii="宋体" w:hAnsi="宋体"/>
          <w:b/>
          <w:color w:val="auto"/>
          <w:sz w:val="32"/>
          <w:szCs w:val="32"/>
          <w:highlight w:val="none"/>
        </w:rPr>
        <w:t>中小企业声明函</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kern w:val="0"/>
          <w:sz w:val="24"/>
          <w:highlight w:val="none"/>
        </w:rPr>
        <w:t>本公司郑重声明，根据《政府采购促进中小企业发展管理办法》（财库﹝2020﹞46 号）的规定，本公司参加参加</w:t>
      </w:r>
      <w:r>
        <w:rPr>
          <w:rFonts w:hint="eastAsia" w:ascii="宋体" w:hAnsi="宋体" w:cs="宋体"/>
          <w:i/>
          <w:color w:val="auto"/>
          <w:kern w:val="0"/>
          <w:sz w:val="24"/>
          <w:highlight w:val="none"/>
          <w:u w:val="single"/>
        </w:rPr>
        <w:t>（单位名称）</w:t>
      </w:r>
      <w:r>
        <w:rPr>
          <w:rFonts w:hint="eastAsia" w:ascii="宋体" w:hAnsi="宋体" w:cs="宋体"/>
          <w:color w:val="auto"/>
          <w:kern w:val="0"/>
          <w:sz w:val="24"/>
          <w:highlight w:val="none"/>
        </w:rPr>
        <w:t>的</w:t>
      </w:r>
      <w:r>
        <w:rPr>
          <w:rFonts w:hint="eastAsia" w:ascii="宋体" w:hAnsi="宋体" w:cs="宋体"/>
          <w:i/>
          <w:color w:val="auto"/>
          <w:kern w:val="0"/>
          <w:sz w:val="24"/>
          <w:highlight w:val="none"/>
          <w:u w:val="single"/>
        </w:rPr>
        <w:t>（项目名称）</w:t>
      </w:r>
      <w:r>
        <w:rPr>
          <w:rFonts w:hint="eastAsia" w:ascii="宋体" w:hAnsi="宋体" w:cs="宋体"/>
          <w:color w:val="auto"/>
          <w:kern w:val="0"/>
          <w:sz w:val="24"/>
          <w:highlight w:val="none"/>
        </w:rPr>
        <w:t>采购活动，全部为符合政策要求的中小企业（或者：服务全部由符合政策要求的中小企业承接）。相关企业（含联合体中的中小企业、签订分包意向协议的中小企业）的具体情 况如下：</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1. </w:t>
      </w:r>
      <w:r>
        <w:rPr>
          <w:rFonts w:hint="eastAsia" w:ascii="宋体" w:hAnsi="宋体" w:cs="宋体"/>
          <w:i/>
          <w:color w:val="auto"/>
          <w:kern w:val="0"/>
          <w:sz w:val="24"/>
          <w:highlight w:val="none"/>
          <w:u w:val="single"/>
        </w:rPr>
        <w:t xml:space="preserve">（标的名称） </w:t>
      </w:r>
      <w:r>
        <w:rPr>
          <w:rFonts w:hint="eastAsia" w:ascii="宋体" w:hAnsi="宋体" w:cs="宋体"/>
          <w:color w:val="auto"/>
          <w:kern w:val="0"/>
          <w:sz w:val="24"/>
          <w:highlight w:val="none"/>
        </w:rPr>
        <w:t>，属于</w:t>
      </w:r>
      <w:r>
        <w:rPr>
          <w:rFonts w:hint="eastAsia" w:ascii="宋体" w:hAnsi="宋体" w:cs="宋体"/>
          <w:i/>
          <w:color w:val="auto"/>
          <w:kern w:val="0"/>
          <w:sz w:val="24"/>
          <w:highlight w:val="none"/>
          <w:u w:val="single"/>
        </w:rPr>
        <w:t>（采购文件中明确的所属行业）</w:t>
      </w:r>
      <w:r>
        <w:rPr>
          <w:rFonts w:hint="eastAsia" w:ascii="宋体" w:hAnsi="宋体" w:cs="宋体"/>
          <w:color w:val="auto"/>
          <w:kern w:val="0"/>
          <w:sz w:val="24"/>
          <w:highlight w:val="none"/>
        </w:rPr>
        <w:t>；承建（承接）企业为</w:t>
      </w:r>
      <w:r>
        <w:rPr>
          <w:rFonts w:hint="eastAsia" w:ascii="宋体" w:hAnsi="宋体" w:cs="宋体"/>
          <w:i/>
          <w:color w:val="auto"/>
          <w:kern w:val="0"/>
          <w:sz w:val="24"/>
          <w:highlight w:val="none"/>
          <w:u w:val="single"/>
        </w:rPr>
        <w:t>（企业名称）</w:t>
      </w:r>
      <w:r>
        <w:rPr>
          <w:rFonts w:hint="eastAsia" w:ascii="宋体" w:hAnsi="宋体" w:cs="宋体"/>
          <w:color w:val="auto"/>
          <w:kern w:val="0"/>
          <w:sz w:val="24"/>
          <w:highlight w:val="none"/>
        </w:rPr>
        <w:t>，从业人员人，营业收入为万元，资产总额为万元，属于</w:t>
      </w:r>
      <w:r>
        <w:rPr>
          <w:rFonts w:hint="eastAsia" w:ascii="宋体" w:hAnsi="宋体" w:cs="宋体"/>
          <w:i/>
          <w:color w:val="auto"/>
          <w:kern w:val="0"/>
          <w:sz w:val="24"/>
          <w:highlight w:val="none"/>
          <w:u w:val="single"/>
        </w:rPr>
        <w:t>（中型企业、 小型企业、微型企业）</w:t>
      </w:r>
      <w:r>
        <w:rPr>
          <w:rFonts w:hint="eastAsia" w:ascii="宋体" w:hAnsi="宋体" w:cs="宋体"/>
          <w:color w:val="auto"/>
          <w:kern w:val="0"/>
          <w:sz w:val="24"/>
          <w:highlight w:val="none"/>
        </w:rPr>
        <w:t>；</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kern w:val="0"/>
          <w:sz w:val="24"/>
          <w:highlight w:val="none"/>
        </w:rPr>
        <w:t>……</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以上企业，不属于大企业的分支机构，不存在控股股东为大企业的情形，也不存在与大企业的负责人为同一人的情形。本企业对上述声明内容的真实性负责。如有虚假，将依法承担相应责任。 </w:t>
      </w:r>
    </w:p>
    <w:p>
      <w:pPr>
        <w:pStyle w:val="11"/>
        <w:rPr>
          <w:rFonts w:ascii="宋体" w:hAnsi="宋体" w:cs="宋体"/>
          <w:color w:val="auto"/>
          <w:kern w:val="0"/>
          <w:szCs w:val="21"/>
          <w:highlight w:val="none"/>
        </w:rPr>
      </w:pPr>
      <w:r>
        <w:rPr>
          <w:rFonts w:hint="eastAsia" w:ascii="宋体" w:hAnsi="宋体" w:cs="宋体"/>
          <w:color w:val="auto"/>
          <w:kern w:val="0"/>
          <w:szCs w:val="21"/>
          <w:highlight w:val="none"/>
        </w:rPr>
        <w:t>注：从业人员、营业收入、资产总额填报上一年度数据，无上一年度数据的新成立企业可不填报。</w:t>
      </w:r>
    </w:p>
    <w:p>
      <w:pPr>
        <w:pStyle w:val="11"/>
        <w:rPr>
          <w:color w:val="auto"/>
          <w:highlight w:val="none"/>
        </w:rPr>
      </w:pPr>
    </w:p>
    <w:p>
      <w:pPr>
        <w:widowControl/>
        <w:spacing w:line="360" w:lineRule="auto"/>
        <w:jc w:val="center"/>
        <w:rPr>
          <w:rFonts w:ascii="宋体" w:hAnsi="宋体" w:cs="宋体"/>
          <w:color w:val="auto"/>
          <w:kern w:val="0"/>
          <w:sz w:val="24"/>
          <w:highlight w:val="none"/>
        </w:rPr>
      </w:pPr>
    </w:p>
    <w:p>
      <w:pPr>
        <w:widowControl/>
        <w:spacing w:line="360" w:lineRule="auto"/>
        <w:jc w:val="center"/>
        <w:rPr>
          <w:rFonts w:ascii="宋体" w:hAnsi="宋体" w:cs="宋体"/>
          <w:color w:val="auto"/>
          <w:sz w:val="24"/>
          <w:highlight w:val="none"/>
        </w:rPr>
      </w:pPr>
      <w:r>
        <w:rPr>
          <w:rFonts w:hint="eastAsia" w:ascii="宋体" w:hAnsi="宋体" w:cs="宋体"/>
          <w:color w:val="auto"/>
          <w:kern w:val="0"/>
          <w:sz w:val="24"/>
          <w:highlight w:val="none"/>
        </w:rPr>
        <w:t xml:space="preserve">                                企业名称（盖章）： </w:t>
      </w:r>
    </w:p>
    <w:p>
      <w:pPr>
        <w:widowControl/>
        <w:spacing w:line="360" w:lineRule="auto"/>
        <w:jc w:val="center"/>
        <w:rPr>
          <w:rFonts w:ascii="宋体" w:hAnsi="宋体" w:cs="宋体"/>
          <w:color w:val="auto"/>
          <w:sz w:val="24"/>
          <w:highlight w:val="none"/>
        </w:rPr>
      </w:pPr>
      <w:r>
        <w:rPr>
          <w:rFonts w:hint="eastAsia" w:ascii="宋体" w:hAnsi="宋体" w:cs="宋体"/>
          <w:color w:val="auto"/>
          <w:kern w:val="0"/>
          <w:sz w:val="24"/>
          <w:highlight w:val="none"/>
        </w:rPr>
        <w:t xml:space="preserve">                     日 期：</w:t>
      </w:r>
    </w:p>
    <w:p>
      <w:pPr>
        <w:spacing w:line="588" w:lineRule="exact"/>
        <w:ind w:firstLine="643" w:firstLineChars="200"/>
        <w:jc w:val="center"/>
        <w:rPr>
          <w:rFonts w:hAnsi="宋体"/>
          <w:b/>
          <w:color w:val="auto"/>
          <w:sz w:val="32"/>
          <w:szCs w:val="32"/>
          <w:highlight w:val="none"/>
          <w:lang w:val="en-GB"/>
        </w:rPr>
      </w:pPr>
    </w:p>
    <w:p>
      <w:pPr>
        <w:pStyle w:val="3"/>
        <w:rPr>
          <w:color w:val="auto"/>
          <w:highlight w:val="none"/>
          <w:lang w:val="en-GB"/>
        </w:rPr>
        <w:sectPr>
          <w:pgSz w:w="11906" w:h="16838"/>
          <w:pgMar w:top="1440" w:right="1800" w:bottom="1440" w:left="1800" w:header="851" w:footer="992" w:gutter="0"/>
          <w:cols w:space="425" w:num="1"/>
          <w:docGrid w:type="lines" w:linePitch="312" w:charSpace="0"/>
        </w:sectPr>
      </w:pPr>
    </w:p>
    <w:p>
      <w:pPr>
        <w:pStyle w:val="15"/>
        <w:spacing w:beforeLines="0" w:afterLines="0" w:line="360" w:lineRule="auto"/>
        <w:jc w:val="center"/>
        <w:outlineLvl w:val="1"/>
        <w:rPr>
          <w:rFonts w:hAnsi="宋体"/>
          <w:color w:val="auto"/>
          <w:sz w:val="32"/>
          <w:szCs w:val="32"/>
          <w:highlight w:val="none"/>
          <w:lang w:val="en-GB"/>
        </w:rPr>
      </w:pPr>
      <w:r>
        <w:rPr>
          <w:rFonts w:hAnsi="宋体"/>
          <w:color w:val="auto"/>
          <w:sz w:val="32"/>
          <w:szCs w:val="32"/>
          <w:highlight w:val="none"/>
          <w:lang w:val="en-GB"/>
        </w:rPr>
        <w:t>残疾人福利性单位声明函</w:t>
      </w:r>
    </w:p>
    <w:p>
      <w:pPr>
        <w:spacing w:line="360" w:lineRule="auto"/>
        <w:ind w:firstLine="504" w:firstLineChars="200"/>
        <w:rPr>
          <w:rFonts w:ascii="宋体"/>
          <w:color w:val="auto"/>
          <w:spacing w:val="6"/>
          <w:sz w:val="24"/>
          <w:highlight w:val="none"/>
        </w:rPr>
      </w:pPr>
      <w:r>
        <w:rPr>
          <w:rFonts w:hint="eastAsia" w:ascii="宋体" w:hAnsi="宋体"/>
          <w:color w:val="auto"/>
          <w:spacing w:val="6"/>
          <w:sz w:val="24"/>
          <w:highlight w:val="none"/>
        </w:rPr>
        <w:t>本单位郑重声明，根据《财政部</w:t>
      </w:r>
      <w:r>
        <w:rPr>
          <w:rFonts w:ascii="宋体" w:hAnsi="宋体"/>
          <w:color w:val="auto"/>
          <w:spacing w:val="6"/>
          <w:sz w:val="24"/>
          <w:highlight w:val="none"/>
        </w:rPr>
        <w:t xml:space="preserve"> </w:t>
      </w:r>
      <w:r>
        <w:rPr>
          <w:rFonts w:hint="eastAsia" w:ascii="宋体" w:hAnsi="宋体"/>
          <w:color w:val="auto"/>
          <w:spacing w:val="6"/>
          <w:sz w:val="24"/>
          <w:highlight w:val="none"/>
        </w:rPr>
        <w:t>民政部</w:t>
      </w:r>
      <w:r>
        <w:rPr>
          <w:rFonts w:ascii="宋体" w:hAnsi="宋体"/>
          <w:color w:val="auto"/>
          <w:spacing w:val="6"/>
          <w:sz w:val="24"/>
          <w:highlight w:val="none"/>
        </w:rPr>
        <w:t xml:space="preserve"> </w:t>
      </w:r>
      <w:r>
        <w:rPr>
          <w:rFonts w:hint="eastAsia" w:ascii="宋体" w:hAnsi="宋体"/>
          <w:color w:val="auto"/>
          <w:spacing w:val="6"/>
          <w:sz w:val="24"/>
          <w:highlight w:val="none"/>
        </w:rPr>
        <w:t>中国残疾人联合会关于促进残疾人就业政府采购政策的通知》（财库〔</w:t>
      </w:r>
      <w:r>
        <w:rPr>
          <w:rFonts w:ascii="宋体" w:hAnsi="宋体"/>
          <w:color w:val="auto"/>
          <w:spacing w:val="6"/>
          <w:sz w:val="24"/>
          <w:highlight w:val="none"/>
        </w:rPr>
        <w:t>2017</w:t>
      </w:r>
      <w:r>
        <w:rPr>
          <w:rFonts w:hint="eastAsia" w:ascii="宋体" w:hAnsi="宋体"/>
          <w:color w:val="auto"/>
          <w:spacing w:val="6"/>
          <w:sz w:val="24"/>
          <w:highlight w:val="none"/>
        </w:rPr>
        <w:t>〕</w:t>
      </w:r>
      <w:r>
        <w:rPr>
          <w:rFonts w:ascii="宋体" w:hAnsi="宋体"/>
          <w:color w:val="auto"/>
          <w:spacing w:val="6"/>
          <w:sz w:val="24"/>
          <w:highlight w:val="none"/>
        </w:rPr>
        <w:t xml:space="preserve"> 141</w:t>
      </w:r>
      <w:r>
        <w:rPr>
          <w:rFonts w:hint="eastAsia" w:ascii="宋体" w:hAnsi="宋体"/>
          <w:color w:val="auto"/>
          <w:spacing w:val="6"/>
          <w:sz w:val="24"/>
          <w:highlight w:val="none"/>
        </w:rPr>
        <w:t>号）的规定，本单位为符合条件的残疾人福利性单位，且本单位参加单位的项目采购活动提供本单位制造的货物（由本单位承担工程</w:t>
      </w:r>
      <w:r>
        <w:rPr>
          <w:rFonts w:ascii="宋体" w:hAnsi="宋体"/>
          <w:color w:val="auto"/>
          <w:spacing w:val="6"/>
          <w:sz w:val="24"/>
          <w:highlight w:val="none"/>
        </w:rPr>
        <w:t>/</w:t>
      </w:r>
      <w:r>
        <w:rPr>
          <w:rFonts w:hint="eastAsia" w:ascii="宋体" w:hAnsi="宋体"/>
          <w:color w:val="auto"/>
          <w:spacing w:val="6"/>
          <w:sz w:val="24"/>
          <w:highlight w:val="none"/>
        </w:rPr>
        <w:t>提供服务），或者提供其他残疾人福利性单位制造的货物（不包括使用非残疾人福利性单位注册商标的货物）。</w:t>
      </w:r>
    </w:p>
    <w:p>
      <w:pPr>
        <w:spacing w:line="360" w:lineRule="auto"/>
        <w:ind w:firstLine="504" w:firstLineChars="200"/>
        <w:rPr>
          <w:rFonts w:ascii="宋体"/>
          <w:color w:val="auto"/>
          <w:spacing w:val="6"/>
          <w:sz w:val="24"/>
          <w:highlight w:val="none"/>
        </w:rPr>
      </w:pPr>
      <w:r>
        <w:rPr>
          <w:rFonts w:hint="eastAsia" w:ascii="宋体" w:hAnsi="宋体"/>
          <w:color w:val="auto"/>
          <w:spacing w:val="6"/>
          <w:sz w:val="24"/>
          <w:highlight w:val="none"/>
        </w:rPr>
        <w:t>本单位对上述声明的真实性负责。如有虚假，将依法承担相应责任。</w:t>
      </w:r>
    </w:p>
    <w:p>
      <w:pPr>
        <w:tabs>
          <w:tab w:val="left" w:pos="4860"/>
        </w:tabs>
        <w:spacing w:line="360" w:lineRule="auto"/>
        <w:ind w:right="1560" w:firstLine="504" w:firstLineChars="200"/>
        <w:jc w:val="center"/>
        <w:rPr>
          <w:rFonts w:ascii="宋体"/>
          <w:color w:val="auto"/>
          <w:spacing w:val="6"/>
          <w:sz w:val="24"/>
          <w:highlight w:val="none"/>
        </w:rPr>
      </w:pPr>
    </w:p>
    <w:p>
      <w:pPr>
        <w:tabs>
          <w:tab w:val="left" w:pos="4860"/>
        </w:tabs>
        <w:spacing w:line="360" w:lineRule="auto"/>
        <w:ind w:right="1560" w:firstLine="504" w:firstLineChars="200"/>
        <w:jc w:val="center"/>
        <w:rPr>
          <w:rFonts w:ascii="宋体"/>
          <w:color w:val="auto"/>
          <w:spacing w:val="6"/>
          <w:sz w:val="24"/>
          <w:highlight w:val="none"/>
        </w:rPr>
      </w:pPr>
      <w:r>
        <w:rPr>
          <w:rFonts w:ascii="宋体" w:hAnsi="宋体"/>
          <w:color w:val="auto"/>
          <w:spacing w:val="6"/>
          <w:sz w:val="24"/>
          <w:highlight w:val="none"/>
        </w:rPr>
        <w:t xml:space="preserve">             </w:t>
      </w:r>
      <w:r>
        <w:rPr>
          <w:rFonts w:hint="eastAsia" w:ascii="宋体" w:hAnsi="宋体"/>
          <w:color w:val="auto"/>
          <w:spacing w:val="6"/>
          <w:sz w:val="24"/>
          <w:highlight w:val="none"/>
        </w:rPr>
        <w:t>单位名称（盖章）：</w:t>
      </w:r>
    </w:p>
    <w:p>
      <w:pPr>
        <w:spacing w:line="360" w:lineRule="auto"/>
        <w:jc w:val="center"/>
        <w:rPr>
          <w:color w:val="auto"/>
          <w:sz w:val="24"/>
          <w:highlight w:val="none"/>
        </w:rPr>
      </w:pPr>
      <w:r>
        <w:rPr>
          <w:color w:val="auto"/>
          <w:sz w:val="24"/>
          <w:highlight w:val="none"/>
        </w:rPr>
        <w:t xml:space="preserve">            </w:t>
      </w:r>
      <w:r>
        <w:rPr>
          <w:rFonts w:hint="eastAsia"/>
          <w:color w:val="auto"/>
          <w:sz w:val="24"/>
          <w:highlight w:val="none"/>
        </w:rPr>
        <w:t>日期：</w:t>
      </w:r>
      <w:r>
        <w:rPr>
          <w:color w:val="auto"/>
          <w:sz w:val="24"/>
          <w:highlight w:val="none"/>
          <w:u w:val="single"/>
        </w:rPr>
        <w:t xml:space="preserve">      </w:t>
      </w:r>
      <w:r>
        <w:rPr>
          <w:rFonts w:hint="eastAsia"/>
          <w:color w:val="auto"/>
          <w:sz w:val="24"/>
          <w:highlight w:val="none"/>
        </w:rPr>
        <w:t>年</w:t>
      </w:r>
      <w:r>
        <w:rPr>
          <w:color w:val="auto"/>
          <w:sz w:val="24"/>
          <w:highlight w:val="none"/>
          <w:u w:val="single"/>
        </w:rPr>
        <w:t xml:space="preserve">    </w:t>
      </w:r>
      <w:r>
        <w:rPr>
          <w:rFonts w:hint="eastAsia"/>
          <w:color w:val="auto"/>
          <w:sz w:val="24"/>
          <w:highlight w:val="none"/>
        </w:rPr>
        <w:t>月</w:t>
      </w:r>
      <w:r>
        <w:rPr>
          <w:color w:val="auto"/>
          <w:sz w:val="24"/>
          <w:highlight w:val="none"/>
          <w:u w:val="single"/>
        </w:rPr>
        <w:t xml:space="preserve">    </w:t>
      </w:r>
      <w:r>
        <w:rPr>
          <w:rFonts w:hint="eastAsia"/>
          <w:color w:val="auto"/>
          <w:sz w:val="24"/>
          <w:highlight w:val="none"/>
        </w:rPr>
        <w:t>日</w:t>
      </w:r>
    </w:p>
    <w:p>
      <w:pPr>
        <w:spacing w:line="360" w:lineRule="auto"/>
        <w:ind w:firstLine="900" w:firstLineChars="300"/>
        <w:jc w:val="left"/>
        <w:rPr>
          <w:rFonts w:hint="eastAsia" w:ascii="宋体" w:hAnsi="宋体"/>
          <w:snapToGrid w:val="0"/>
          <w:color w:val="auto"/>
          <w:kern w:val="0"/>
          <w:sz w:val="30"/>
          <w:szCs w:val="30"/>
          <w:highlight w:val="none"/>
        </w:rPr>
        <w:sectPr>
          <w:pgSz w:w="11906" w:h="16838"/>
          <w:pgMar w:top="1440" w:right="1800" w:bottom="1440" w:left="1800" w:header="851" w:footer="992" w:gutter="0"/>
          <w:cols w:space="425" w:num="1"/>
          <w:docGrid w:type="lines" w:linePitch="312" w:charSpace="0"/>
        </w:sectPr>
      </w:pPr>
    </w:p>
    <w:p>
      <w:pPr>
        <w:snapToGrid w:val="0"/>
        <w:spacing w:beforeLines="50" w:after="50" w:line="360" w:lineRule="auto"/>
        <w:rPr>
          <w:rFonts w:ascii="仿宋_GB2312" w:hAnsi="宋体" w:eastAsia="仿宋_GB2312"/>
          <w:b/>
          <w:color w:val="auto"/>
          <w:sz w:val="30"/>
          <w:szCs w:val="30"/>
          <w:highlight w:val="none"/>
        </w:rPr>
      </w:pPr>
      <w:r>
        <w:rPr>
          <w:rFonts w:hint="eastAsia" w:ascii="宋体" w:hAnsi="宋体"/>
          <w:b/>
          <w:color w:val="auto"/>
          <w:sz w:val="28"/>
          <w:highlight w:val="none"/>
        </w:rPr>
        <w:t>附件</w:t>
      </w:r>
      <w:r>
        <w:rPr>
          <w:rFonts w:hint="eastAsia" w:ascii="宋体" w:hAnsi="宋体"/>
          <w:b/>
          <w:color w:val="auto"/>
          <w:sz w:val="28"/>
          <w:highlight w:val="none"/>
          <w:lang w:val="en-US" w:eastAsia="zh-CN"/>
        </w:rPr>
        <w:t>5</w:t>
      </w:r>
      <w:r>
        <w:rPr>
          <w:rFonts w:ascii="宋体" w:hAnsi="宋体"/>
          <w:b/>
          <w:color w:val="auto"/>
          <w:sz w:val="28"/>
          <w:highlight w:val="none"/>
        </w:rPr>
        <w:t>：</w:t>
      </w:r>
    </w:p>
    <w:p>
      <w:pPr>
        <w:spacing w:line="360" w:lineRule="auto"/>
        <w:ind w:firstLine="900" w:firstLineChars="300"/>
        <w:jc w:val="left"/>
        <w:rPr>
          <w:rFonts w:ascii="宋体" w:hAnsi="宋体"/>
          <w:snapToGrid w:val="0"/>
          <w:color w:val="auto"/>
          <w:kern w:val="0"/>
          <w:sz w:val="30"/>
          <w:szCs w:val="30"/>
          <w:highlight w:val="none"/>
        </w:rPr>
      </w:pPr>
      <w:r>
        <w:rPr>
          <w:rFonts w:hint="eastAsia" w:ascii="宋体" w:hAnsi="宋体"/>
          <w:snapToGrid w:val="0"/>
          <w:color w:val="auto"/>
          <w:kern w:val="0"/>
          <w:sz w:val="30"/>
          <w:szCs w:val="30"/>
          <w:highlight w:val="none"/>
        </w:rPr>
        <w:t>项目名称：</w:t>
      </w:r>
      <w:r>
        <w:rPr>
          <w:rFonts w:hint="eastAsia" w:ascii="宋体" w:hAnsi="宋体"/>
          <w:snapToGrid w:val="0"/>
          <w:color w:val="auto"/>
          <w:kern w:val="0"/>
          <w:sz w:val="30"/>
          <w:szCs w:val="30"/>
          <w:highlight w:val="none"/>
        </w:rPr>
        <w:t>台州湾新区科技治水服务项目</w:t>
      </w:r>
    </w:p>
    <w:p>
      <w:pPr>
        <w:spacing w:beforeLines="100" w:line="360" w:lineRule="auto"/>
        <w:ind w:firstLine="900" w:firstLineChars="300"/>
        <w:rPr>
          <w:rFonts w:ascii="宋体" w:hAnsi="宋体"/>
          <w:snapToGrid w:val="0"/>
          <w:color w:val="auto"/>
          <w:kern w:val="0"/>
          <w:sz w:val="30"/>
          <w:szCs w:val="30"/>
          <w:highlight w:val="none"/>
        </w:rPr>
      </w:pPr>
      <w:r>
        <w:rPr>
          <w:rFonts w:hint="eastAsia" w:ascii="宋体" w:hAnsi="宋体"/>
          <w:color w:val="auto"/>
          <w:sz w:val="30"/>
          <w:szCs w:val="30"/>
          <w:highlight w:val="none"/>
        </w:rPr>
        <w:t>项目编号：</w:t>
      </w:r>
    </w:p>
    <w:p>
      <w:pPr>
        <w:autoSpaceDE w:val="0"/>
        <w:autoSpaceDN w:val="0"/>
        <w:adjustRightInd w:val="0"/>
        <w:spacing w:line="360" w:lineRule="auto"/>
        <w:jc w:val="center"/>
        <w:rPr>
          <w:rFonts w:ascii="宋体" w:hAnsi="宋体" w:cs="宋体"/>
          <w:color w:val="auto"/>
          <w:sz w:val="84"/>
          <w:szCs w:val="84"/>
          <w:highlight w:val="none"/>
        </w:rPr>
      </w:pPr>
    </w:p>
    <w:p>
      <w:pPr>
        <w:autoSpaceDE w:val="0"/>
        <w:autoSpaceDN w:val="0"/>
        <w:adjustRightInd w:val="0"/>
        <w:spacing w:line="360" w:lineRule="auto"/>
        <w:jc w:val="center"/>
        <w:rPr>
          <w:rFonts w:ascii="宋体" w:hAnsi="宋体" w:cs="宋体"/>
          <w:color w:val="auto"/>
          <w:sz w:val="84"/>
          <w:szCs w:val="84"/>
          <w:highlight w:val="none"/>
          <w:lang w:val="zh-CN"/>
        </w:rPr>
      </w:pPr>
      <w:r>
        <w:rPr>
          <w:rFonts w:hint="eastAsia" w:ascii="宋体" w:hAnsi="宋体" w:cs="宋体"/>
          <w:color w:val="auto"/>
          <w:sz w:val="84"/>
          <w:szCs w:val="84"/>
          <w:highlight w:val="none"/>
          <w:lang w:val="zh-CN"/>
        </w:rPr>
        <w:t>投</w:t>
      </w:r>
    </w:p>
    <w:p>
      <w:pPr>
        <w:autoSpaceDE w:val="0"/>
        <w:autoSpaceDN w:val="0"/>
        <w:adjustRightInd w:val="0"/>
        <w:spacing w:line="360" w:lineRule="auto"/>
        <w:jc w:val="center"/>
        <w:rPr>
          <w:rFonts w:ascii="宋体" w:hAnsi="宋体" w:cs="宋体"/>
          <w:color w:val="auto"/>
          <w:sz w:val="84"/>
          <w:szCs w:val="84"/>
          <w:highlight w:val="none"/>
          <w:lang w:val="zh-CN"/>
        </w:rPr>
      </w:pPr>
      <w:r>
        <w:rPr>
          <w:rFonts w:hint="eastAsia" w:ascii="宋体" w:hAnsi="宋体" w:cs="宋体"/>
          <w:color w:val="auto"/>
          <w:sz w:val="84"/>
          <w:szCs w:val="84"/>
          <w:highlight w:val="none"/>
          <w:lang w:val="zh-CN"/>
        </w:rPr>
        <w:t>标</w:t>
      </w:r>
    </w:p>
    <w:p>
      <w:pPr>
        <w:autoSpaceDE w:val="0"/>
        <w:autoSpaceDN w:val="0"/>
        <w:adjustRightInd w:val="0"/>
        <w:spacing w:line="360" w:lineRule="auto"/>
        <w:jc w:val="center"/>
        <w:rPr>
          <w:rFonts w:ascii="宋体" w:hAnsi="宋体"/>
          <w:color w:val="auto"/>
          <w:sz w:val="84"/>
          <w:szCs w:val="84"/>
          <w:highlight w:val="none"/>
        </w:rPr>
      </w:pPr>
      <w:r>
        <w:rPr>
          <w:rFonts w:hint="eastAsia" w:ascii="宋体" w:hAnsi="宋体" w:cs="宋体"/>
          <w:color w:val="auto"/>
          <w:sz w:val="84"/>
          <w:szCs w:val="84"/>
          <w:highlight w:val="none"/>
          <w:lang w:val="zh-CN"/>
        </w:rPr>
        <w:t>文</w:t>
      </w:r>
    </w:p>
    <w:p>
      <w:pPr>
        <w:spacing w:after="100" w:afterAutospacing="1" w:line="360" w:lineRule="auto"/>
        <w:ind w:right="-108"/>
        <w:jc w:val="center"/>
        <w:rPr>
          <w:rFonts w:ascii="宋体" w:hAnsi="宋体" w:cs="宋体"/>
          <w:color w:val="auto"/>
          <w:sz w:val="84"/>
          <w:szCs w:val="84"/>
          <w:highlight w:val="none"/>
          <w:lang w:val="zh-CN"/>
        </w:rPr>
      </w:pPr>
      <w:r>
        <w:rPr>
          <w:rFonts w:hint="eastAsia" w:ascii="宋体" w:hAnsi="宋体" w:cs="宋体"/>
          <w:color w:val="auto"/>
          <w:sz w:val="84"/>
          <w:szCs w:val="84"/>
          <w:highlight w:val="none"/>
          <w:lang w:val="zh-CN"/>
        </w:rPr>
        <w:t>件</w:t>
      </w:r>
    </w:p>
    <w:p>
      <w:pPr>
        <w:spacing w:after="100" w:afterAutospacing="1" w:line="360" w:lineRule="auto"/>
        <w:ind w:right="-108"/>
        <w:jc w:val="center"/>
        <w:rPr>
          <w:rFonts w:ascii="宋体" w:hAnsi="宋体"/>
          <w:b/>
          <w:color w:val="auto"/>
          <w:spacing w:val="40"/>
          <w:sz w:val="28"/>
          <w:szCs w:val="28"/>
          <w:highlight w:val="none"/>
        </w:rPr>
      </w:pPr>
      <w:r>
        <w:rPr>
          <w:rFonts w:hint="eastAsia" w:ascii="宋体" w:hAnsi="宋体" w:cs="宋体"/>
          <w:color w:val="auto"/>
          <w:sz w:val="28"/>
          <w:szCs w:val="28"/>
          <w:highlight w:val="none"/>
          <w:lang w:val="zh-CN"/>
        </w:rPr>
        <w:t>（</w:t>
      </w:r>
      <w:r>
        <w:rPr>
          <w:rFonts w:hint="eastAsia" w:ascii="宋体" w:hAnsi="宋体"/>
          <w:b/>
          <w:bCs/>
          <w:color w:val="auto"/>
          <w:sz w:val="28"/>
          <w:szCs w:val="28"/>
          <w:highlight w:val="none"/>
          <w:lang w:val="zh-CN"/>
        </w:rPr>
        <w:t>商务与技术文件</w:t>
      </w:r>
      <w:r>
        <w:rPr>
          <w:rFonts w:hint="eastAsia" w:ascii="宋体" w:hAnsi="宋体"/>
          <w:b/>
          <w:color w:val="auto"/>
          <w:spacing w:val="40"/>
          <w:sz w:val="28"/>
          <w:szCs w:val="28"/>
          <w:highlight w:val="none"/>
        </w:rPr>
        <w:t>）</w:t>
      </w:r>
    </w:p>
    <w:p>
      <w:pPr>
        <w:spacing w:line="360" w:lineRule="auto"/>
        <w:ind w:right="532" w:firstLine="600" w:firstLineChars="200"/>
        <w:rPr>
          <w:rFonts w:ascii="宋体" w:hAnsi="宋体"/>
          <w:color w:val="auto"/>
          <w:sz w:val="30"/>
          <w:szCs w:val="30"/>
          <w:highlight w:val="none"/>
        </w:rPr>
      </w:pPr>
      <w:r>
        <w:rPr>
          <w:rFonts w:hint="eastAsia" w:ascii="宋体" w:hAnsi="宋体"/>
          <w:color w:val="auto"/>
          <w:sz w:val="30"/>
          <w:szCs w:val="30"/>
          <w:highlight w:val="none"/>
        </w:rPr>
        <w:t>投标人全称（签电子公章）：</w:t>
      </w:r>
    </w:p>
    <w:p>
      <w:pPr>
        <w:spacing w:line="360" w:lineRule="auto"/>
        <w:ind w:right="532" w:firstLine="600" w:firstLineChars="200"/>
        <w:rPr>
          <w:rFonts w:ascii="宋体" w:hAnsi="宋体"/>
          <w:color w:val="auto"/>
          <w:sz w:val="30"/>
          <w:szCs w:val="30"/>
          <w:highlight w:val="none"/>
        </w:rPr>
      </w:pPr>
      <w:r>
        <w:rPr>
          <w:rFonts w:hint="eastAsia" w:ascii="宋体" w:hAnsi="宋体"/>
          <w:color w:val="auto"/>
          <w:sz w:val="30"/>
          <w:szCs w:val="30"/>
          <w:highlight w:val="none"/>
        </w:rPr>
        <w:t>地址：</w:t>
      </w:r>
    </w:p>
    <w:p>
      <w:pPr>
        <w:spacing w:line="360" w:lineRule="auto"/>
        <w:ind w:right="532" w:firstLine="600" w:firstLineChars="200"/>
        <w:rPr>
          <w:rFonts w:ascii="宋体" w:hAnsi="宋体"/>
          <w:color w:val="auto"/>
          <w:sz w:val="30"/>
          <w:szCs w:val="30"/>
          <w:highlight w:val="none"/>
        </w:rPr>
      </w:pPr>
      <w:r>
        <w:rPr>
          <w:rFonts w:hint="eastAsia" w:ascii="宋体" w:hAnsi="宋体"/>
          <w:color w:val="auto"/>
          <w:sz w:val="30"/>
          <w:szCs w:val="30"/>
          <w:highlight w:val="none"/>
        </w:rPr>
        <w:t>时间：</w:t>
      </w:r>
    </w:p>
    <w:p>
      <w:pPr>
        <w:widowControl/>
        <w:jc w:val="left"/>
        <w:rPr>
          <w:rFonts w:ascii="宋体" w:hAnsi="宋体"/>
          <w:b/>
          <w:bCs/>
          <w:color w:val="auto"/>
          <w:sz w:val="32"/>
          <w:szCs w:val="32"/>
          <w:highlight w:val="none"/>
          <w:lang w:val="zh-CN"/>
        </w:rPr>
      </w:pPr>
      <w:r>
        <w:rPr>
          <w:rFonts w:ascii="宋体" w:hAnsi="宋体"/>
          <w:b/>
          <w:bCs/>
          <w:color w:val="auto"/>
          <w:sz w:val="32"/>
          <w:szCs w:val="32"/>
          <w:highlight w:val="none"/>
          <w:lang w:val="zh-CN"/>
        </w:rPr>
        <w:br w:type="page"/>
      </w:r>
    </w:p>
    <w:p>
      <w:pPr>
        <w:snapToGrid w:val="0"/>
        <w:spacing w:before="50" w:after="50"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lang w:val="zh-CN"/>
        </w:rPr>
        <w:t>商务与技术文件</w:t>
      </w:r>
      <w:r>
        <w:rPr>
          <w:rFonts w:hint="eastAsia" w:ascii="宋体" w:hAnsi="宋体"/>
          <w:b/>
          <w:bCs/>
          <w:color w:val="auto"/>
          <w:sz w:val="32"/>
          <w:szCs w:val="32"/>
          <w:highlight w:val="none"/>
        </w:rPr>
        <w:t>目录</w:t>
      </w:r>
    </w:p>
    <w:p>
      <w:pPr>
        <w:snapToGrid w:val="0"/>
        <w:spacing w:line="360" w:lineRule="auto"/>
        <w:rPr>
          <w:rFonts w:ascii="宋体" w:hAnsi="宋体"/>
          <w:color w:val="auto"/>
          <w:sz w:val="24"/>
          <w:highlight w:val="none"/>
        </w:rPr>
      </w:pP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投标人基本情况表</w:t>
      </w:r>
      <w:r>
        <w:rPr>
          <w:rFonts w:hint="eastAsia" w:ascii="宋体" w:hAnsi="宋体"/>
          <w:bCs/>
          <w:color w:val="auto"/>
          <w:kern w:val="0"/>
          <w:sz w:val="24"/>
          <w:highlight w:val="none"/>
        </w:rPr>
        <w:t>（附件</w:t>
      </w:r>
      <w:r>
        <w:rPr>
          <w:rFonts w:hint="eastAsia" w:ascii="宋体" w:hAnsi="宋体"/>
          <w:bCs/>
          <w:color w:val="auto"/>
          <w:kern w:val="0"/>
          <w:sz w:val="24"/>
          <w:highlight w:val="none"/>
          <w:lang w:val="en-US" w:eastAsia="zh-CN"/>
        </w:rPr>
        <w:t>6</w:t>
      </w:r>
      <w:r>
        <w:rPr>
          <w:rFonts w:hint="eastAsia" w:ascii="宋体" w:hAnsi="宋体"/>
          <w:bCs/>
          <w:color w:val="auto"/>
          <w:kern w:val="0"/>
          <w:sz w:val="24"/>
          <w:highlight w:val="none"/>
        </w:rPr>
        <w:t>）；</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（2）投标人类似项目实施情况一览表</w:t>
      </w:r>
      <w:r>
        <w:rPr>
          <w:rFonts w:hint="eastAsia" w:ascii="宋体" w:hAnsi="宋体"/>
          <w:bCs/>
          <w:color w:val="auto"/>
          <w:kern w:val="0"/>
          <w:sz w:val="24"/>
          <w:highlight w:val="none"/>
        </w:rPr>
        <w:t>（附件</w:t>
      </w:r>
      <w:r>
        <w:rPr>
          <w:rFonts w:hint="eastAsia" w:ascii="宋体" w:hAnsi="宋体"/>
          <w:bCs/>
          <w:color w:val="auto"/>
          <w:kern w:val="0"/>
          <w:sz w:val="24"/>
          <w:highlight w:val="none"/>
          <w:lang w:val="en-US" w:eastAsia="zh-CN"/>
        </w:rPr>
        <w:t>7</w:t>
      </w:r>
      <w:r>
        <w:rPr>
          <w:rFonts w:hint="eastAsia" w:ascii="宋体" w:hAnsi="宋体"/>
          <w:bCs/>
          <w:color w:val="auto"/>
          <w:kern w:val="0"/>
          <w:sz w:val="24"/>
          <w:highlight w:val="none"/>
        </w:rPr>
        <w:t>）；</w:t>
      </w:r>
    </w:p>
    <w:p>
      <w:pPr>
        <w:snapToGrid w:val="0"/>
        <w:spacing w:line="360" w:lineRule="auto"/>
        <w:ind w:firstLine="480" w:firstLineChars="200"/>
        <w:rPr>
          <w:rFonts w:ascii="宋体" w:hAnsi="宋体"/>
          <w:bCs/>
          <w:color w:val="auto"/>
          <w:kern w:val="0"/>
          <w:sz w:val="24"/>
          <w:highlight w:val="none"/>
        </w:rPr>
      </w:pPr>
      <w:r>
        <w:rPr>
          <w:rFonts w:hint="eastAsia" w:ascii="宋体" w:hAnsi="宋体"/>
          <w:color w:val="auto"/>
          <w:sz w:val="24"/>
          <w:highlight w:val="none"/>
        </w:rPr>
        <w:t>（3）项目实施人员一览表</w:t>
      </w:r>
      <w:r>
        <w:rPr>
          <w:rFonts w:hint="eastAsia" w:ascii="宋体" w:hAnsi="宋体"/>
          <w:bCs/>
          <w:color w:val="auto"/>
          <w:kern w:val="0"/>
          <w:sz w:val="24"/>
          <w:highlight w:val="none"/>
        </w:rPr>
        <w:t>（附件</w:t>
      </w:r>
      <w:r>
        <w:rPr>
          <w:rFonts w:hint="eastAsia" w:ascii="宋体" w:hAnsi="宋体"/>
          <w:bCs/>
          <w:color w:val="auto"/>
          <w:kern w:val="0"/>
          <w:sz w:val="24"/>
          <w:highlight w:val="none"/>
          <w:lang w:val="en-US" w:eastAsia="zh-CN"/>
        </w:rPr>
        <w:t>8</w:t>
      </w:r>
      <w:r>
        <w:rPr>
          <w:rFonts w:hint="eastAsia" w:ascii="宋体" w:hAnsi="宋体"/>
          <w:bCs/>
          <w:color w:val="auto"/>
          <w:kern w:val="0"/>
          <w:sz w:val="24"/>
          <w:highlight w:val="none"/>
        </w:rPr>
        <w:t>）；</w:t>
      </w:r>
    </w:p>
    <w:p>
      <w:pPr>
        <w:snapToGrid w:val="0"/>
        <w:spacing w:line="360" w:lineRule="auto"/>
        <w:ind w:firstLine="480" w:firstLineChars="200"/>
        <w:rPr>
          <w:rFonts w:ascii="宋体" w:hAnsi="宋体"/>
          <w:bCs/>
          <w:color w:val="auto"/>
          <w:kern w:val="0"/>
          <w:sz w:val="24"/>
          <w:highlight w:val="none"/>
        </w:rPr>
      </w:pPr>
      <w:r>
        <w:rPr>
          <w:rFonts w:hint="eastAsia" w:ascii="宋体" w:hAnsi="宋体"/>
          <w:bCs/>
          <w:color w:val="auto"/>
          <w:kern w:val="0"/>
          <w:sz w:val="24"/>
          <w:highlight w:val="none"/>
        </w:rPr>
        <w:t>（4）商务需求响应表（附件</w:t>
      </w:r>
      <w:r>
        <w:rPr>
          <w:rFonts w:hint="eastAsia" w:ascii="宋体" w:hAnsi="宋体"/>
          <w:bCs/>
          <w:color w:val="auto"/>
          <w:kern w:val="0"/>
          <w:sz w:val="24"/>
          <w:highlight w:val="none"/>
          <w:lang w:val="en-US" w:eastAsia="zh-CN"/>
        </w:rPr>
        <w:t>9</w:t>
      </w:r>
      <w:r>
        <w:rPr>
          <w:rFonts w:hint="eastAsia" w:ascii="宋体" w:hAnsi="宋体"/>
          <w:bCs/>
          <w:color w:val="auto"/>
          <w:kern w:val="0"/>
          <w:sz w:val="24"/>
          <w:highlight w:val="none"/>
        </w:rPr>
        <w:t>）；</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（5）</w:t>
      </w:r>
      <w:r>
        <w:rPr>
          <w:rFonts w:ascii="宋体" w:hAnsi="宋体"/>
          <w:color w:val="auto"/>
          <w:sz w:val="24"/>
          <w:highlight w:val="none"/>
        </w:rPr>
        <w:t>根据评标办法自行</w:t>
      </w:r>
      <w:r>
        <w:rPr>
          <w:rFonts w:hint="eastAsia" w:ascii="宋体" w:hAnsi="宋体"/>
          <w:color w:val="auto"/>
          <w:sz w:val="24"/>
          <w:highlight w:val="none"/>
        </w:rPr>
        <w:t>编制商务与技术文件</w:t>
      </w:r>
      <w:r>
        <w:rPr>
          <w:rFonts w:ascii="宋体" w:hAnsi="宋体"/>
          <w:color w:val="auto"/>
          <w:sz w:val="24"/>
          <w:highlight w:val="none"/>
        </w:rPr>
        <w:t>；</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（6</w:t>
      </w:r>
      <w:r>
        <w:rPr>
          <w:rFonts w:ascii="宋体" w:hAnsi="宋体"/>
          <w:color w:val="auto"/>
          <w:sz w:val="24"/>
          <w:highlight w:val="none"/>
        </w:rPr>
        <w:t>）投标人认为需要提供的其他资料。</w:t>
      </w:r>
    </w:p>
    <w:p>
      <w:pPr>
        <w:snapToGrid w:val="0"/>
        <w:spacing w:line="360" w:lineRule="auto"/>
        <w:ind w:firstLine="482" w:firstLineChars="200"/>
        <w:rPr>
          <w:rFonts w:ascii="宋体" w:hAnsi="宋体"/>
          <w:b/>
          <w:bCs/>
          <w:color w:val="auto"/>
          <w:sz w:val="24"/>
          <w:highlight w:val="none"/>
        </w:rPr>
      </w:pPr>
    </w:p>
    <w:p>
      <w:pPr>
        <w:widowControl/>
        <w:jc w:val="left"/>
        <w:rPr>
          <w:rFonts w:ascii="宋体" w:hAnsi="宋体" w:cs="宋体"/>
          <w:b/>
          <w:color w:val="auto"/>
          <w:kern w:val="0"/>
          <w:sz w:val="28"/>
          <w:highlight w:val="none"/>
        </w:rPr>
      </w:pPr>
      <w:r>
        <w:rPr>
          <w:b/>
          <w:color w:val="auto"/>
          <w:sz w:val="28"/>
          <w:highlight w:val="none"/>
        </w:rPr>
        <w:br w:type="page"/>
      </w:r>
    </w:p>
    <w:p>
      <w:pPr>
        <w:pStyle w:val="38"/>
        <w:shd w:val="clear" w:color="auto" w:fill="FFFFFF"/>
        <w:spacing w:before="0" w:beforeAutospacing="0" w:after="0" w:afterAutospacing="0" w:line="360" w:lineRule="auto"/>
        <w:rPr>
          <w:rFonts w:hint="eastAsia" w:eastAsia="宋体"/>
          <w:b/>
          <w:color w:val="auto"/>
          <w:sz w:val="28"/>
          <w:highlight w:val="none"/>
          <w:lang w:eastAsia="zh-CN"/>
        </w:rPr>
      </w:pPr>
      <w:r>
        <w:rPr>
          <w:rFonts w:hint="eastAsia"/>
          <w:b/>
          <w:color w:val="auto"/>
          <w:sz w:val="28"/>
          <w:highlight w:val="none"/>
        </w:rPr>
        <w:t>附件</w:t>
      </w:r>
      <w:r>
        <w:rPr>
          <w:rFonts w:hint="eastAsia"/>
          <w:b/>
          <w:color w:val="auto"/>
          <w:sz w:val="28"/>
          <w:highlight w:val="none"/>
          <w:lang w:val="en-US" w:eastAsia="zh-CN"/>
        </w:rPr>
        <w:t>6</w:t>
      </w:r>
    </w:p>
    <w:p>
      <w:pPr>
        <w:pStyle w:val="38"/>
        <w:shd w:val="clear" w:color="auto" w:fill="FFFFFF"/>
        <w:spacing w:before="0" w:beforeAutospacing="0" w:after="0" w:afterAutospacing="0" w:line="360" w:lineRule="auto"/>
        <w:jc w:val="center"/>
        <w:rPr>
          <w:b/>
          <w:bCs/>
          <w:color w:val="auto"/>
          <w:spacing w:val="21"/>
          <w:sz w:val="32"/>
          <w:szCs w:val="32"/>
          <w:highlight w:val="none"/>
        </w:rPr>
      </w:pPr>
      <w:r>
        <w:rPr>
          <w:rFonts w:hint="eastAsia"/>
          <w:b/>
          <w:color w:val="auto"/>
          <w:sz w:val="32"/>
          <w:szCs w:val="32"/>
          <w:highlight w:val="none"/>
        </w:rPr>
        <w:t xml:space="preserve">  投标</w:t>
      </w:r>
      <w:r>
        <w:rPr>
          <w:rFonts w:hint="eastAsia"/>
          <w:b/>
          <w:bCs/>
          <w:color w:val="auto"/>
          <w:spacing w:val="21"/>
          <w:sz w:val="32"/>
          <w:szCs w:val="32"/>
          <w:highlight w:val="none"/>
        </w:rPr>
        <w:t>人基本情况表</w:t>
      </w:r>
    </w:p>
    <w:tbl>
      <w:tblPr>
        <w:tblStyle w:val="24"/>
        <w:tblW w:w="8505" w:type="dxa"/>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71"/>
        <w:gridCol w:w="1191"/>
        <w:gridCol w:w="1291"/>
        <w:gridCol w:w="709"/>
        <w:gridCol w:w="867"/>
        <w:gridCol w:w="692"/>
        <w:gridCol w:w="850"/>
        <w:gridCol w:w="113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6" w:hRule="atLeast"/>
        </w:trPr>
        <w:tc>
          <w:tcPr>
            <w:tcW w:w="1771" w:type="dxa"/>
            <w:vAlign w:val="center"/>
          </w:tcPr>
          <w:p>
            <w:pPr>
              <w:snapToGrid w:val="0"/>
              <w:spacing w:line="360" w:lineRule="auto"/>
              <w:rPr>
                <w:rFonts w:ascii="宋体" w:hAnsi="宋体"/>
                <w:color w:val="auto"/>
                <w:sz w:val="24"/>
                <w:highlight w:val="none"/>
              </w:rPr>
            </w:pPr>
            <w:r>
              <w:rPr>
                <w:rFonts w:hint="eastAsia" w:ascii="宋体" w:hAnsi="宋体"/>
                <w:color w:val="auto"/>
                <w:sz w:val="24"/>
                <w:highlight w:val="none"/>
              </w:rPr>
              <w:t>申请人名称</w:t>
            </w:r>
          </w:p>
        </w:tc>
        <w:tc>
          <w:tcPr>
            <w:tcW w:w="6734" w:type="dxa"/>
            <w:gridSpan w:val="7"/>
            <w:vAlign w:val="center"/>
          </w:tcPr>
          <w:p>
            <w:pPr>
              <w:snapToGrid w:val="0"/>
              <w:spacing w:line="360" w:lineRule="auto"/>
              <w:ind w:firstLine="480" w:firstLineChars="200"/>
              <w:rPr>
                <w:rFonts w:ascii="宋体" w:hAnsi="宋体"/>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771" w:type="dxa"/>
            <w:vAlign w:val="center"/>
          </w:tcPr>
          <w:p>
            <w:pPr>
              <w:snapToGrid w:val="0"/>
              <w:spacing w:line="360" w:lineRule="auto"/>
              <w:rPr>
                <w:rFonts w:ascii="宋体" w:hAnsi="宋体"/>
                <w:color w:val="auto"/>
                <w:sz w:val="24"/>
                <w:highlight w:val="none"/>
              </w:rPr>
            </w:pPr>
            <w:r>
              <w:rPr>
                <w:rFonts w:hint="eastAsia" w:ascii="宋体" w:hAnsi="宋体"/>
                <w:color w:val="auto"/>
                <w:sz w:val="24"/>
                <w:highlight w:val="none"/>
              </w:rPr>
              <w:t>注册地址</w:t>
            </w:r>
          </w:p>
        </w:tc>
        <w:tc>
          <w:tcPr>
            <w:tcW w:w="2482" w:type="dxa"/>
            <w:gridSpan w:val="2"/>
            <w:vAlign w:val="center"/>
          </w:tcPr>
          <w:p>
            <w:pPr>
              <w:snapToGrid w:val="0"/>
              <w:spacing w:line="360" w:lineRule="auto"/>
              <w:ind w:firstLine="480" w:firstLineChars="200"/>
              <w:rPr>
                <w:rFonts w:ascii="宋体" w:hAnsi="宋体"/>
                <w:color w:val="auto"/>
                <w:sz w:val="24"/>
                <w:highlight w:val="none"/>
              </w:rPr>
            </w:pPr>
          </w:p>
        </w:tc>
        <w:tc>
          <w:tcPr>
            <w:tcW w:w="1576" w:type="dxa"/>
            <w:gridSpan w:val="2"/>
            <w:vAlign w:val="center"/>
          </w:tcPr>
          <w:p>
            <w:pPr>
              <w:snapToGrid w:val="0"/>
              <w:spacing w:line="360" w:lineRule="auto"/>
              <w:rPr>
                <w:rFonts w:ascii="宋体" w:hAnsi="宋体"/>
                <w:color w:val="auto"/>
                <w:sz w:val="24"/>
                <w:highlight w:val="none"/>
              </w:rPr>
            </w:pPr>
            <w:r>
              <w:rPr>
                <w:rFonts w:hint="eastAsia" w:ascii="宋体" w:hAnsi="宋体"/>
                <w:color w:val="auto"/>
                <w:sz w:val="24"/>
                <w:highlight w:val="none"/>
              </w:rPr>
              <w:t>邮政编码</w:t>
            </w:r>
          </w:p>
        </w:tc>
        <w:tc>
          <w:tcPr>
            <w:tcW w:w="2676" w:type="dxa"/>
            <w:gridSpan w:val="3"/>
            <w:vAlign w:val="center"/>
          </w:tcPr>
          <w:p>
            <w:pPr>
              <w:snapToGrid w:val="0"/>
              <w:spacing w:line="360" w:lineRule="auto"/>
              <w:ind w:firstLine="480" w:firstLineChars="200"/>
              <w:rPr>
                <w:rFonts w:ascii="宋体" w:hAnsi="宋体"/>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71" w:type="dxa"/>
            <w:vMerge w:val="restart"/>
            <w:vAlign w:val="center"/>
          </w:tcPr>
          <w:p>
            <w:pPr>
              <w:snapToGrid w:val="0"/>
              <w:spacing w:line="360" w:lineRule="auto"/>
              <w:rPr>
                <w:rFonts w:ascii="宋体" w:hAnsi="宋体"/>
                <w:color w:val="auto"/>
                <w:sz w:val="24"/>
                <w:highlight w:val="none"/>
              </w:rPr>
            </w:pPr>
            <w:r>
              <w:rPr>
                <w:rFonts w:hint="eastAsia" w:ascii="宋体" w:hAnsi="宋体"/>
                <w:color w:val="auto"/>
                <w:sz w:val="24"/>
                <w:highlight w:val="none"/>
              </w:rPr>
              <w:t>联系方式</w:t>
            </w:r>
          </w:p>
        </w:tc>
        <w:tc>
          <w:tcPr>
            <w:tcW w:w="1191" w:type="dxa"/>
            <w:vAlign w:val="center"/>
          </w:tcPr>
          <w:p>
            <w:pPr>
              <w:snapToGrid w:val="0"/>
              <w:spacing w:line="360" w:lineRule="auto"/>
              <w:rPr>
                <w:rFonts w:ascii="宋体" w:hAnsi="宋体"/>
                <w:color w:val="auto"/>
                <w:sz w:val="24"/>
                <w:highlight w:val="none"/>
              </w:rPr>
            </w:pPr>
            <w:r>
              <w:rPr>
                <w:rFonts w:hint="eastAsia" w:ascii="宋体" w:hAnsi="宋体"/>
                <w:color w:val="auto"/>
                <w:sz w:val="24"/>
                <w:highlight w:val="none"/>
              </w:rPr>
              <w:t>联系人</w:t>
            </w:r>
          </w:p>
        </w:tc>
        <w:tc>
          <w:tcPr>
            <w:tcW w:w="1291" w:type="dxa"/>
            <w:vAlign w:val="center"/>
          </w:tcPr>
          <w:p>
            <w:pPr>
              <w:snapToGrid w:val="0"/>
              <w:spacing w:line="360" w:lineRule="auto"/>
              <w:ind w:firstLine="480" w:firstLineChars="200"/>
              <w:rPr>
                <w:rFonts w:ascii="宋体" w:hAnsi="宋体"/>
                <w:color w:val="auto"/>
                <w:sz w:val="24"/>
                <w:highlight w:val="none"/>
              </w:rPr>
            </w:pPr>
          </w:p>
        </w:tc>
        <w:tc>
          <w:tcPr>
            <w:tcW w:w="1576" w:type="dxa"/>
            <w:gridSpan w:val="2"/>
            <w:vAlign w:val="center"/>
          </w:tcPr>
          <w:p>
            <w:pPr>
              <w:snapToGrid w:val="0"/>
              <w:spacing w:line="360" w:lineRule="auto"/>
              <w:rPr>
                <w:rFonts w:ascii="宋体" w:hAnsi="宋体"/>
                <w:color w:val="auto"/>
                <w:sz w:val="24"/>
                <w:highlight w:val="none"/>
              </w:rPr>
            </w:pPr>
            <w:r>
              <w:rPr>
                <w:rFonts w:hint="eastAsia" w:ascii="宋体" w:hAnsi="宋体"/>
                <w:color w:val="auto"/>
                <w:sz w:val="24"/>
                <w:highlight w:val="none"/>
              </w:rPr>
              <w:t>电话</w:t>
            </w:r>
          </w:p>
        </w:tc>
        <w:tc>
          <w:tcPr>
            <w:tcW w:w="2676" w:type="dxa"/>
            <w:gridSpan w:val="3"/>
            <w:vAlign w:val="center"/>
          </w:tcPr>
          <w:p>
            <w:pPr>
              <w:snapToGrid w:val="0"/>
              <w:spacing w:line="360" w:lineRule="auto"/>
              <w:ind w:firstLine="480" w:firstLineChars="200"/>
              <w:rPr>
                <w:rFonts w:ascii="宋体" w:hAnsi="宋体"/>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771" w:type="dxa"/>
            <w:vMerge w:val="continue"/>
            <w:vAlign w:val="center"/>
          </w:tcPr>
          <w:p>
            <w:pPr>
              <w:snapToGrid w:val="0"/>
              <w:spacing w:line="360" w:lineRule="auto"/>
              <w:ind w:firstLine="480" w:firstLineChars="200"/>
              <w:rPr>
                <w:rFonts w:ascii="宋体" w:hAnsi="宋体"/>
                <w:color w:val="auto"/>
                <w:sz w:val="24"/>
                <w:highlight w:val="none"/>
              </w:rPr>
            </w:pPr>
          </w:p>
        </w:tc>
        <w:tc>
          <w:tcPr>
            <w:tcW w:w="1191" w:type="dxa"/>
            <w:vAlign w:val="center"/>
          </w:tcPr>
          <w:p>
            <w:pPr>
              <w:snapToGrid w:val="0"/>
              <w:spacing w:line="360" w:lineRule="auto"/>
              <w:rPr>
                <w:rFonts w:ascii="宋体" w:hAnsi="宋体"/>
                <w:color w:val="auto"/>
                <w:sz w:val="24"/>
                <w:highlight w:val="none"/>
              </w:rPr>
            </w:pPr>
            <w:r>
              <w:rPr>
                <w:rFonts w:hint="eastAsia" w:ascii="宋体" w:hAnsi="宋体"/>
                <w:color w:val="auto"/>
                <w:sz w:val="24"/>
                <w:highlight w:val="none"/>
              </w:rPr>
              <w:t>传真</w:t>
            </w:r>
          </w:p>
        </w:tc>
        <w:tc>
          <w:tcPr>
            <w:tcW w:w="1291" w:type="dxa"/>
            <w:vAlign w:val="center"/>
          </w:tcPr>
          <w:p>
            <w:pPr>
              <w:snapToGrid w:val="0"/>
              <w:spacing w:line="360" w:lineRule="auto"/>
              <w:ind w:firstLine="480" w:firstLineChars="200"/>
              <w:rPr>
                <w:rFonts w:ascii="宋体" w:hAnsi="宋体"/>
                <w:color w:val="auto"/>
                <w:sz w:val="24"/>
                <w:highlight w:val="none"/>
              </w:rPr>
            </w:pPr>
          </w:p>
        </w:tc>
        <w:tc>
          <w:tcPr>
            <w:tcW w:w="1576" w:type="dxa"/>
            <w:gridSpan w:val="2"/>
            <w:vAlign w:val="center"/>
          </w:tcPr>
          <w:p>
            <w:pPr>
              <w:snapToGrid w:val="0"/>
              <w:spacing w:line="360" w:lineRule="auto"/>
              <w:rPr>
                <w:rFonts w:ascii="宋体" w:hAnsi="宋体"/>
                <w:color w:val="auto"/>
                <w:sz w:val="24"/>
                <w:highlight w:val="none"/>
              </w:rPr>
            </w:pPr>
            <w:r>
              <w:rPr>
                <w:rFonts w:hint="eastAsia" w:ascii="宋体" w:hAnsi="宋体"/>
                <w:color w:val="auto"/>
                <w:sz w:val="24"/>
                <w:highlight w:val="none"/>
              </w:rPr>
              <w:t>网址</w:t>
            </w:r>
          </w:p>
        </w:tc>
        <w:tc>
          <w:tcPr>
            <w:tcW w:w="2676" w:type="dxa"/>
            <w:gridSpan w:val="3"/>
            <w:vAlign w:val="center"/>
          </w:tcPr>
          <w:p>
            <w:pPr>
              <w:snapToGrid w:val="0"/>
              <w:spacing w:line="360" w:lineRule="auto"/>
              <w:ind w:firstLine="480" w:firstLineChars="200"/>
              <w:rPr>
                <w:rFonts w:ascii="宋体" w:hAnsi="宋体"/>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771" w:type="dxa"/>
            <w:vAlign w:val="center"/>
          </w:tcPr>
          <w:p>
            <w:pPr>
              <w:snapToGrid w:val="0"/>
              <w:spacing w:line="360" w:lineRule="auto"/>
              <w:rPr>
                <w:rFonts w:ascii="宋体" w:hAnsi="宋体"/>
                <w:color w:val="auto"/>
                <w:sz w:val="24"/>
                <w:highlight w:val="none"/>
              </w:rPr>
            </w:pPr>
            <w:r>
              <w:rPr>
                <w:rFonts w:hint="eastAsia" w:ascii="宋体" w:hAnsi="宋体"/>
                <w:color w:val="auto"/>
                <w:sz w:val="24"/>
                <w:highlight w:val="none"/>
              </w:rPr>
              <w:t>组织结构</w:t>
            </w:r>
          </w:p>
        </w:tc>
        <w:tc>
          <w:tcPr>
            <w:tcW w:w="6734" w:type="dxa"/>
            <w:gridSpan w:val="7"/>
            <w:vAlign w:val="center"/>
          </w:tcPr>
          <w:p>
            <w:pPr>
              <w:snapToGrid w:val="0"/>
              <w:spacing w:line="360" w:lineRule="auto"/>
              <w:rPr>
                <w:rFonts w:ascii="宋体" w:hAnsi="宋体"/>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771" w:type="dxa"/>
            <w:vAlign w:val="center"/>
          </w:tcPr>
          <w:p>
            <w:pPr>
              <w:snapToGrid w:val="0"/>
              <w:spacing w:line="360" w:lineRule="auto"/>
              <w:rPr>
                <w:rFonts w:ascii="宋体" w:hAnsi="宋体"/>
                <w:color w:val="auto"/>
                <w:sz w:val="24"/>
                <w:highlight w:val="none"/>
              </w:rPr>
            </w:pPr>
            <w:r>
              <w:rPr>
                <w:rFonts w:hint="eastAsia" w:ascii="宋体" w:hAnsi="宋体"/>
                <w:color w:val="auto"/>
                <w:sz w:val="24"/>
                <w:highlight w:val="none"/>
              </w:rPr>
              <w:t>法定代表人</w:t>
            </w:r>
          </w:p>
        </w:tc>
        <w:tc>
          <w:tcPr>
            <w:tcW w:w="1191" w:type="dxa"/>
            <w:vAlign w:val="center"/>
          </w:tcPr>
          <w:p>
            <w:pPr>
              <w:snapToGrid w:val="0"/>
              <w:spacing w:line="360" w:lineRule="auto"/>
              <w:rPr>
                <w:rFonts w:ascii="宋体" w:hAnsi="宋体"/>
                <w:color w:val="auto"/>
                <w:sz w:val="24"/>
                <w:highlight w:val="none"/>
              </w:rPr>
            </w:pPr>
            <w:r>
              <w:rPr>
                <w:rFonts w:hint="eastAsia" w:ascii="宋体" w:hAnsi="宋体"/>
                <w:color w:val="auto"/>
                <w:sz w:val="24"/>
                <w:highlight w:val="none"/>
              </w:rPr>
              <w:t>姓名</w:t>
            </w:r>
          </w:p>
        </w:tc>
        <w:tc>
          <w:tcPr>
            <w:tcW w:w="1291" w:type="dxa"/>
            <w:vAlign w:val="center"/>
          </w:tcPr>
          <w:p>
            <w:pPr>
              <w:snapToGrid w:val="0"/>
              <w:spacing w:line="360" w:lineRule="auto"/>
              <w:rPr>
                <w:rFonts w:ascii="宋体" w:hAnsi="宋体"/>
                <w:color w:val="auto"/>
                <w:sz w:val="24"/>
                <w:highlight w:val="none"/>
              </w:rPr>
            </w:pPr>
          </w:p>
        </w:tc>
        <w:tc>
          <w:tcPr>
            <w:tcW w:w="1576" w:type="dxa"/>
            <w:gridSpan w:val="2"/>
            <w:vAlign w:val="center"/>
          </w:tcPr>
          <w:p>
            <w:pPr>
              <w:snapToGrid w:val="0"/>
              <w:spacing w:line="360" w:lineRule="auto"/>
              <w:rPr>
                <w:rFonts w:ascii="宋体" w:hAnsi="宋体"/>
                <w:color w:val="auto"/>
                <w:sz w:val="24"/>
                <w:highlight w:val="none"/>
              </w:rPr>
            </w:pPr>
            <w:r>
              <w:rPr>
                <w:rFonts w:hint="eastAsia" w:ascii="宋体" w:hAnsi="宋体"/>
                <w:color w:val="auto"/>
                <w:sz w:val="24"/>
                <w:highlight w:val="none"/>
              </w:rPr>
              <w:t>技术职称</w:t>
            </w:r>
          </w:p>
        </w:tc>
        <w:tc>
          <w:tcPr>
            <w:tcW w:w="692" w:type="dxa"/>
            <w:vAlign w:val="center"/>
          </w:tcPr>
          <w:p>
            <w:pPr>
              <w:snapToGrid w:val="0"/>
              <w:spacing w:line="360" w:lineRule="auto"/>
              <w:rPr>
                <w:rFonts w:ascii="宋体" w:hAnsi="宋体"/>
                <w:color w:val="auto"/>
                <w:sz w:val="24"/>
                <w:highlight w:val="none"/>
              </w:rPr>
            </w:pPr>
          </w:p>
        </w:tc>
        <w:tc>
          <w:tcPr>
            <w:tcW w:w="850" w:type="dxa"/>
            <w:vAlign w:val="center"/>
          </w:tcPr>
          <w:p>
            <w:pPr>
              <w:snapToGrid w:val="0"/>
              <w:spacing w:line="360" w:lineRule="auto"/>
              <w:rPr>
                <w:rFonts w:ascii="宋体" w:hAnsi="宋体"/>
                <w:color w:val="auto"/>
                <w:sz w:val="24"/>
                <w:highlight w:val="none"/>
              </w:rPr>
            </w:pPr>
            <w:r>
              <w:rPr>
                <w:rFonts w:hint="eastAsia" w:ascii="宋体" w:hAnsi="宋体"/>
                <w:color w:val="auto"/>
                <w:sz w:val="24"/>
                <w:highlight w:val="none"/>
              </w:rPr>
              <w:t>电话</w:t>
            </w:r>
          </w:p>
        </w:tc>
        <w:tc>
          <w:tcPr>
            <w:tcW w:w="1134" w:type="dxa"/>
            <w:vAlign w:val="center"/>
          </w:tcPr>
          <w:p>
            <w:pPr>
              <w:snapToGrid w:val="0"/>
              <w:spacing w:line="360" w:lineRule="auto"/>
              <w:rPr>
                <w:rFonts w:ascii="宋体" w:hAnsi="宋体"/>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771" w:type="dxa"/>
            <w:vAlign w:val="center"/>
          </w:tcPr>
          <w:p>
            <w:pPr>
              <w:snapToGrid w:val="0"/>
              <w:spacing w:line="360" w:lineRule="auto"/>
              <w:rPr>
                <w:rFonts w:ascii="宋体" w:hAnsi="宋体"/>
                <w:color w:val="auto"/>
                <w:sz w:val="24"/>
                <w:highlight w:val="none"/>
              </w:rPr>
            </w:pPr>
            <w:r>
              <w:rPr>
                <w:rFonts w:hint="eastAsia" w:ascii="宋体" w:hAnsi="宋体"/>
                <w:color w:val="auto"/>
                <w:sz w:val="24"/>
                <w:highlight w:val="none"/>
              </w:rPr>
              <w:t>技术负责人</w:t>
            </w:r>
          </w:p>
        </w:tc>
        <w:tc>
          <w:tcPr>
            <w:tcW w:w="1191" w:type="dxa"/>
            <w:vAlign w:val="center"/>
          </w:tcPr>
          <w:p>
            <w:pPr>
              <w:snapToGrid w:val="0"/>
              <w:spacing w:line="360" w:lineRule="auto"/>
              <w:rPr>
                <w:rFonts w:ascii="宋体" w:hAnsi="宋体"/>
                <w:color w:val="auto"/>
                <w:sz w:val="24"/>
                <w:highlight w:val="none"/>
              </w:rPr>
            </w:pPr>
            <w:r>
              <w:rPr>
                <w:rFonts w:hint="eastAsia" w:ascii="宋体" w:hAnsi="宋体"/>
                <w:color w:val="auto"/>
                <w:sz w:val="24"/>
                <w:highlight w:val="none"/>
              </w:rPr>
              <w:t>姓名</w:t>
            </w:r>
          </w:p>
        </w:tc>
        <w:tc>
          <w:tcPr>
            <w:tcW w:w="1291" w:type="dxa"/>
            <w:vAlign w:val="center"/>
          </w:tcPr>
          <w:p>
            <w:pPr>
              <w:snapToGrid w:val="0"/>
              <w:spacing w:line="360" w:lineRule="auto"/>
              <w:rPr>
                <w:rFonts w:ascii="宋体" w:hAnsi="宋体"/>
                <w:color w:val="auto"/>
                <w:sz w:val="24"/>
                <w:highlight w:val="none"/>
              </w:rPr>
            </w:pPr>
          </w:p>
        </w:tc>
        <w:tc>
          <w:tcPr>
            <w:tcW w:w="1576" w:type="dxa"/>
            <w:gridSpan w:val="2"/>
            <w:vAlign w:val="center"/>
          </w:tcPr>
          <w:p>
            <w:pPr>
              <w:snapToGrid w:val="0"/>
              <w:spacing w:line="360" w:lineRule="auto"/>
              <w:rPr>
                <w:rFonts w:ascii="宋体" w:hAnsi="宋体"/>
                <w:color w:val="auto"/>
                <w:sz w:val="24"/>
                <w:highlight w:val="none"/>
              </w:rPr>
            </w:pPr>
            <w:r>
              <w:rPr>
                <w:rFonts w:hint="eastAsia" w:ascii="宋体" w:hAnsi="宋体"/>
                <w:color w:val="auto"/>
                <w:sz w:val="24"/>
                <w:highlight w:val="none"/>
              </w:rPr>
              <w:t>技术职称</w:t>
            </w:r>
          </w:p>
        </w:tc>
        <w:tc>
          <w:tcPr>
            <w:tcW w:w="692" w:type="dxa"/>
            <w:vAlign w:val="center"/>
          </w:tcPr>
          <w:p>
            <w:pPr>
              <w:snapToGrid w:val="0"/>
              <w:spacing w:line="360" w:lineRule="auto"/>
              <w:rPr>
                <w:rFonts w:ascii="宋体" w:hAnsi="宋体"/>
                <w:color w:val="auto"/>
                <w:sz w:val="24"/>
                <w:highlight w:val="none"/>
              </w:rPr>
            </w:pPr>
          </w:p>
        </w:tc>
        <w:tc>
          <w:tcPr>
            <w:tcW w:w="850" w:type="dxa"/>
            <w:vAlign w:val="center"/>
          </w:tcPr>
          <w:p>
            <w:pPr>
              <w:snapToGrid w:val="0"/>
              <w:spacing w:line="360" w:lineRule="auto"/>
              <w:rPr>
                <w:rFonts w:ascii="宋体" w:hAnsi="宋体"/>
                <w:color w:val="auto"/>
                <w:sz w:val="24"/>
                <w:highlight w:val="none"/>
              </w:rPr>
            </w:pPr>
            <w:r>
              <w:rPr>
                <w:rFonts w:hint="eastAsia" w:ascii="宋体" w:hAnsi="宋体"/>
                <w:color w:val="auto"/>
                <w:sz w:val="24"/>
                <w:highlight w:val="none"/>
              </w:rPr>
              <w:t>电话</w:t>
            </w:r>
          </w:p>
        </w:tc>
        <w:tc>
          <w:tcPr>
            <w:tcW w:w="1134" w:type="dxa"/>
            <w:vAlign w:val="center"/>
          </w:tcPr>
          <w:p>
            <w:pPr>
              <w:snapToGrid w:val="0"/>
              <w:spacing w:line="360" w:lineRule="auto"/>
              <w:rPr>
                <w:rFonts w:ascii="宋体" w:hAnsi="宋体"/>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9" w:hRule="atLeast"/>
        </w:trPr>
        <w:tc>
          <w:tcPr>
            <w:tcW w:w="1771" w:type="dxa"/>
            <w:vAlign w:val="center"/>
          </w:tcPr>
          <w:p>
            <w:pPr>
              <w:snapToGrid w:val="0"/>
              <w:spacing w:line="360" w:lineRule="auto"/>
              <w:rPr>
                <w:rFonts w:ascii="宋体" w:hAnsi="宋体"/>
                <w:color w:val="auto"/>
                <w:sz w:val="24"/>
                <w:highlight w:val="none"/>
              </w:rPr>
            </w:pPr>
            <w:r>
              <w:rPr>
                <w:rFonts w:hint="eastAsia" w:ascii="宋体" w:hAnsi="宋体"/>
                <w:color w:val="auto"/>
                <w:sz w:val="24"/>
                <w:highlight w:val="none"/>
              </w:rPr>
              <w:t>成立时间</w:t>
            </w:r>
          </w:p>
        </w:tc>
        <w:tc>
          <w:tcPr>
            <w:tcW w:w="2482" w:type="dxa"/>
            <w:gridSpan w:val="2"/>
            <w:vAlign w:val="center"/>
          </w:tcPr>
          <w:p>
            <w:pPr>
              <w:snapToGrid w:val="0"/>
              <w:spacing w:line="360" w:lineRule="auto"/>
              <w:rPr>
                <w:rFonts w:ascii="宋体" w:hAnsi="宋体"/>
                <w:color w:val="auto"/>
                <w:sz w:val="24"/>
                <w:highlight w:val="none"/>
              </w:rPr>
            </w:pPr>
          </w:p>
        </w:tc>
        <w:tc>
          <w:tcPr>
            <w:tcW w:w="4252" w:type="dxa"/>
            <w:gridSpan w:val="5"/>
            <w:vAlign w:val="center"/>
          </w:tcPr>
          <w:p>
            <w:pPr>
              <w:snapToGrid w:val="0"/>
              <w:spacing w:line="360" w:lineRule="auto"/>
              <w:rPr>
                <w:rFonts w:ascii="宋体" w:hAnsi="宋体"/>
                <w:color w:val="auto"/>
                <w:sz w:val="24"/>
                <w:highlight w:val="none"/>
              </w:rPr>
            </w:pPr>
            <w:r>
              <w:rPr>
                <w:rFonts w:hint="eastAsia" w:ascii="宋体" w:hAnsi="宋体"/>
                <w:color w:val="auto"/>
                <w:sz w:val="24"/>
                <w:highlight w:val="none"/>
              </w:rPr>
              <w:t>员工总人数：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771" w:type="dxa"/>
            <w:vAlign w:val="center"/>
          </w:tcPr>
          <w:p>
            <w:pPr>
              <w:snapToGrid w:val="0"/>
              <w:spacing w:line="360" w:lineRule="auto"/>
              <w:rPr>
                <w:rFonts w:ascii="宋体" w:hAnsi="宋体"/>
                <w:color w:val="auto"/>
                <w:sz w:val="24"/>
                <w:highlight w:val="none"/>
              </w:rPr>
            </w:pPr>
            <w:r>
              <w:rPr>
                <w:rFonts w:hint="eastAsia" w:ascii="宋体" w:hAnsi="宋体"/>
                <w:color w:val="auto"/>
                <w:sz w:val="24"/>
                <w:highlight w:val="none"/>
              </w:rPr>
              <w:t>营业执照号</w:t>
            </w:r>
          </w:p>
        </w:tc>
        <w:tc>
          <w:tcPr>
            <w:tcW w:w="2482" w:type="dxa"/>
            <w:gridSpan w:val="2"/>
            <w:vAlign w:val="center"/>
          </w:tcPr>
          <w:p>
            <w:pPr>
              <w:snapToGrid w:val="0"/>
              <w:spacing w:line="360" w:lineRule="auto"/>
              <w:rPr>
                <w:rFonts w:ascii="宋体" w:hAnsi="宋体"/>
                <w:color w:val="auto"/>
                <w:sz w:val="24"/>
                <w:highlight w:val="none"/>
              </w:rPr>
            </w:pPr>
          </w:p>
        </w:tc>
        <w:tc>
          <w:tcPr>
            <w:tcW w:w="709" w:type="dxa"/>
            <w:vMerge w:val="restart"/>
            <w:vAlign w:val="center"/>
          </w:tcPr>
          <w:p>
            <w:pPr>
              <w:snapToGrid w:val="0"/>
              <w:spacing w:line="360" w:lineRule="auto"/>
              <w:rPr>
                <w:rFonts w:ascii="宋体" w:hAnsi="宋体"/>
                <w:color w:val="auto"/>
                <w:sz w:val="24"/>
                <w:highlight w:val="none"/>
              </w:rPr>
            </w:pPr>
            <w:r>
              <w:rPr>
                <w:rFonts w:hint="eastAsia" w:ascii="宋体" w:hAnsi="宋体"/>
                <w:color w:val="auto"/>
                <w:sz w:val="24"/>
                <w:highlight w:val="none"/>
              </w:rPr>
              <w:t>其中</w:t>
            </w:r>
          </w:p>
        </w:tc>
        <w:tc>
          <w:tcPr>
            <w:tcW w:w="1559" w:type="dxa"/>
            <w:gridSpan w:val="2"/>
            <w:vAlign w:val="center"/>
          </w:tcPr>
          <w:p>
            <w:pPr>
              <w:snapToGrid w:val="0"/>
              <w:spacing w:line="360" w:lineRule="auto"/>
              <w:rPr>
                <w:rFonts w:ascii="宋体" w:hAnsi="宋体"/>
                <w:color w:val="auto"/>
                <w:sz w:val="24"/>
                <w:highlight w:val="none"/>
              </w:rPr>
            </w:pPr>
            <w:r>
              <w:rPr>
                <w:rFonts w:hint="eastAsia" w:ascii="宋体" w:hAnsi="宋体"/>
                <w:color w:val="auto"/>
                <w:sz w:val="24"/>
                <w:highlight w:val="none"/>
              </w:rPr>
              <w:t>高级职称人员</w:t>
            </w:r>
          </w:p>
        </w:tc>
        <w:tc>
          <w:tcPr>
            <w:tcW w:w="1984" w:type="dxa"/>
            <w:gridSpan w:val="2"/>
            <w:vAlign w:val="center"/>
          </w:tcPr>
          <w:p>
            <w:pPr>
              <w:snapToGrid w:val="0"/>
              <w:spacing w:line="360" w:lineRule="auto"/>
              <w:rPr>
                <w:rFonts w:ascii="宋体" w:hAnsi="宋体"/>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771" w:type="dxa"/>
            <w:vAlign w:val="center"/>
          </w:tcPr>
          <w:p>
            <w:pPr>
              <w:snapToGrid w:val="0"/>
              <w:spacing w:line="360" w:lineRule="auto"/>
              <w:rPr>
                <w:rFonts w:ascii="宋体" w:hAnsi="宋体"/>
                <w:color w:val="auto"/>
                <w:sz w:val="24"/>
                <w:highlight w:val="none"/>
              </w:rPr>
            </w:pPr>
            <w:r>
              <w:rPr>
                <w:rFonts w:hint="eastAsia" w:ascii="宋体" w:hAnsi="宋体"/>
                <w:color w:val="auto"/>
                <w:sz w:val="24"/>
                <w:highlight w:val="none"/>
              </w:rPr>
              <w:t>注册资金（或开办资金）</w:t>
            </w:r>
          </w:p>
        </w:tc>
        <w:tc>
          <w:tcPr>
            <w:tcW w:w="2482" w:type="dxa"/>
            <w:gridSpan w:val="2"/>
            <w:vAlign w:val="center"/>
          </w:tcPr>
          <w:p>
            <w:pPr>
              <w:snapToGrid w:val="0"/>
              <w:spacing w:line="360" w:lineRule="auto"/>
              <w:rPr>
                <w:rFonts w:ascii="宋体" w:hAnsi="宋体"/>
                <w:color w:val="auto"/>
                <w:sz w:val="24"/>
                <w:highlight w:val="none"/>
              </w:rPr>
            </w:pPr>
          </w:p>
        </w:tc>
        <w:tc>
          <w:tcPr>
            <w:tcW w:w="709" w:type="dxa"/>
            <w:vMerge w:val="continue"/>
            <w:vAlign w:val="center"/>
          </w:tcPr>
          <w:p>
            <w:pPr>
              <w:snapToGrid w:val="0"/>
              <w:spacing w:line="360" w:lineRule="auto"/>
              <w:rPr>
                <w:rFonts w:ascii="宋体" w:hAnsi="宋体"/>
                <w:color w:val="auto"/>
                <w:sz w:val="24"/>
                <w:highlight w:val="none"/>
              </w:rPr>
            </w:pPr>
          </w:p>
        </w:tc>
        <w:tc>
          <w:tcPr>
            <w:tcW w:w="1559" w:type="dxa"/>
            <w:gridSpan w:val="2"/>
            <w:vAlign w:val="center"/>
          </w:tcPr>
          <w:p>
            <w:pPr>
              <w:snapToGrid w:val="0"/>
              <w:spacing w:line="360" w:lineRule="auto"/>
              <w:rPr>
                <w:rFonts w:ascii="宋体" w:hAnsi="宋体"/>
                <w:color w:val="auto"/>
                <w:sz w:val="24"/>
                <w:highlight w:val="none"/>
              </w:rPr>
            </w:pPr>
            <w:r>
              <w:rPr>
                <w:rFonts w:hint="eastAsia" w:ascii="宋体" w:hAnsi="宋体"/>
                <w:color w:val="auto"/>
                <w:sz w:val="24"/>
                <w:highlight w:val="none"/>
              </w:rPr>
              <w:t>中级职称人员</w:t>
            </w:r>
          </w:p>
        </w:tc>
        <w:tc>
          <w:tcPr>
            <w:tcW w:w="1984" w:type="dxa"/>
            <w:gridSpan w:val="2"/>
            <w:vAlign w:val="center"/>
          </w:tcPr>
          <w:p>
            <w:pPr>
              <w:snapToGrid w:val="0"/>
              <w:spacing w:line="360" w:lineRule="auto"/>
              <w:rPr>
                <w:rFonts w:ascii="宋体" w:hAnsi="宋体"/>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771" w:type="dxa"/>
            <w:vAlign w:val="center"/>
          </w:tcPr>
          <w:p>
            <w:pPr>
              <w:snapToGrid w:val="0"/>
              <w:spacing w:line="360" w:lineRule="auto"/>
              <w:rPr>
                <w:rFonts w:ascii="宋体" w:hAnsi="宋体"/>
                <w:color w:val="auto"/>
                <w:sz w:val="24"/>
                <w:highlight w:val="none"/>
              </w:rPr>
            </w:pPr>
            <w:r>
              <w:rPr>
                <w:rFonts w:hint="eastAsia" w:ascii="宋体" w:hAnsi="宋体"/>
                <w:color w:val="auto"/>
                <w:sz w:val="24"/>
                <w:highlight w:val="none"/>
              </w:rPr>
              <w:t>开户银行</w:t>
            </w:r>
          </w:p>
        </w:tc>
        <w:tc>
          <w:tcPr>
            <w:tcW w:w="2482" w:type="dxa"/>
            <w:gridSpan w:val="2"/>
            <w:vAlign w:val="center"/>
          </w:tcPr>
          <w:p>
            <w:pPr>
              <w:snapToGrid w:val="0"/>
              <w:spacing w:line="360" w:lineRule="auto"/>
              <w:rPr>
                <w:rFonts w:ascii="宋体" w:hAnsi="宋体"/>
                <w:color w:val="auto"/>
                <w:sz w:val="24"/>
                <w:highlight w:val="none"/>
              </w:rPr>
            </w:pPr>
          </w:p>
        </w:tc>
        <w:tc>
          <w:tcPr>
            <w:tcW w:w="709" w:type="dxa"/>
            <w:vMerge w:val="continue"/>
            <w:vAlign w:val="center"/>
          </w:tcPr>
          <w:p>
            <w:pPr>
              <w:snapToGrid w:val="0"/>
              <w:spacing w:line="360" w:lineRule="auto"/>
              <w:rPr>
                <w:rFonts w:ascii="宋体" w:hAnsi="宋体"/>
                <w:color w:val="auto"/>
                <w:sz w:val="24"/>
                <w:highlight w:val="none"/>
              </w:rPr>
            </w:pPr>
          </w:p>
        </w:tc>
        <w:tc>
          <w:tcPr>
            <w:tcW w:w="1559" w:type="dxa"/>
            <w:gridSpan w:val="2"/>
            <w:vAlign w:val="center"/>
          </w:tcPr>
          <w:p>
            <w:pPr>
              <w:snapToGrid w:val="0"/>
              <w:spacing w:line="360" w:lineRule="auto"/>
              <w:rPr>
                <w:rFonts w:ascii="宋体" w:hAnsi="宋体"/>
                <w:color w:val="auto"/>
                <w:sz w:val="24"/>
                <w:highlight w:val="none"/>
              </w:rPr>
            </w:pPr>
            <w:r>
              <w:rPr>
                <w:rFonts w:hint="eastAsia" w:ascii="宋体" w:hAnsi="宋体"/>
                <w:color w:val="auto"/>
                <w:sz w:val="24"/>
                <w:highlight w:val="none"/>
              </w:rPr>
              <w:t>初级职称人员</w:t>
            </w:r>
          </w:p>
        </w:tc>
        <w:tc>
          <w:tcPr>
            <w:tcW w:w="1984" w:type="dxa"/>
            <w:gridSpan w:val="2"/>
            <w:vAlign w:val="center"/>
          </w:tcPr>
          <w:p>
            <w:pPr>
              <w:snapToGrid w:val="0"/>
              <w:spacing w:line="360" w:lineRule="auto"/>
              <w:rPr>
                <w:rFonts w:ascii="宋体" w:hAnsi="宋体"/>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771" w:type="dxa"/>
            <w:vAlign w:val="center"/>
          </w:tcPr>
          <w:p>
            <w:pPr>
              <w:snapToGrid w:val="0"/>
              <w:spacing w:line="360" w:lineRule="auto"/>
              <w:rPr>
                <w:rFonts w:ascii="宋体" w:hAnsi="宋体"/>
                <w:color w:val="auto"/>
                <w:sz w:val="24"/>
                <w:highlight w:val="none"/>
              </w:rPr>
            </w:pPr>
            <w:r>
              <w:rPr>
                <w:rFonts w:hint="eastAsia" w:ascii="宋体" w:hAnsi="宋体"/>
                <w:color w:val="auto"/>
                <w:sz w:val="24"/>
                <w:highlight w:val="none"/>
              </w:rPr>
              <w:t>账号</w:t>
            </w:r>
          </w:p>
        </w:tc>
        <w:tc>
          <w:tcPr>
            <w:tcW w:w="2482" w:type="dxa"/>
            <w:gridSpan w:val="2"/>
            <w:vAlign w:val="center"/>
          </w:tcPr>
          <w:p>
            <w:pPr>
              <w:snapToGrid w:val="0"/>
              <w:spacing w:line="360" w:lineRule="auto"/>
              <w:rPr>
                <w:rFonts w:ascii="宋体" w:hAnsi="宋体"/>
                <w:color w:val="auto"/>
                <w:sz w:val="24"/>
                <w:highlight w:val="none"/>
              </w:rPr>
            </w:pPr>
          </w:p>
        </w:tc>
        <w:tc>
          <w:tcPr>
            <w:tcW w:w="709" w:type="dxa"/>
            <w:vMerge w:val="continue"/>
            <w:vAlign w:val="center"/>
          </w:tcPr>
          <w:p>
            <w:pPr>
              <w:snapToGrid w:val="0"/>
              <w:spacing w:line="360" w:lineRule="auto"/>
              <w:rPr>
                <w:rFonts w:ascii="宋体" w:hAnsi="宋体"/>
                <w:color w:val="auto"/>
                <w:sz w:val="24"/>
                <w:highlight w:val="none"/>
              </w:rPr>
            </w:pPr>
          </w:p>
        </w:tc>
        <w:tc>
          <w:tcPr>
            <w:tcW w:w="1559" w:type="dxa"/>
            <w:gridSpan w:val="2"/>
            <w:vAlign w:val="center"/>
          </w:tcPr>
          <w:p>
            <w:pPr>
              <w:snapToGrid w:val="0"/>
              <w:spacing w:line="360" w:lineRule="auto"/>
              <w:rPr>
                <w:rFonts w:ascii="宋体" w:hAnsi="宋体"/>
                <w:color w:val="auto"/>
                <w:sz w:val="24"/>
                <w:highlight w:val="none"/>
              </w:rPr>
            </w:pPr>
          </w:p>
        </w:tc>
        <w:tc>
          <w:tcPr>
            <w:tcW w:w="1984" w:type="dxa"/>
            <w:gridSpan w:val="2"/>
            <w:vAlign w:val="center"/>
          </w:tcPr>
          <w:p>
            <w:pPr>
              <w:snapToGrid w:val="0"/>
              <w:spacing w:line="360" w:lineRule="auto"/>
              <w:rPr>
                <w:rFonts w:ascii="宋体" w:hAnsi="宋体"/>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771" w:type="dxa"/>
            <w:vAlign w:val="center"/>
          </w:tcPr>
          <w:p>
            <w:pPr>
              <w:snapToGrid w:val="0"/>
              <w:spacing w:line="360" w:lineRule="auto"/>
              <w:rPr>
                <w:rFonts w:ascii="宋体" w:hAnsi="宋体"/>
                <w:color w:val="auto"/>
                <w:sz w:val="24"/>
                <w:highlight w:val="none"/>
              </w:rPr>
            </w:pPr>
            <w:r>
              <w:rPr>
                <w:rFonts w:hint="eastAsia" w:ascii="宋体" w:hAnsi="宋体"/>
                <w:color w:val="auto"/>
                <w:sz w:val="24"/>
                <w:highlight w:val="none"/>
              </w:rPr>
              <w:t>经营范围</w:t>
            </w:r>
          </w:p>
        </w:tc>
        <w:tc>
          <w:tcPr>
            <w:tcW w:w="6734" w:type="dxa"/>
            <w:gridSpan w:val="7"/>
            <w:vAlign w:val="center"/>
          </w:tcPr>
          <w:p>
            <w:pPr>
              <w:snapToGrid w:val="0"/>
              <w:spacing w:line="360" w:lineRule="auto"/>
              <w:rPr>
                <w:rFonts w:ascii="宋体" w:hAnsi="宋体"/>
                <w:color w:val="auto"/>
                <w:sz w:val="24"/>
                <w:highlight w:val="none"/>
              </w:rPr>
            </w:pPr>
          </w:p>
          <w:p>
            <w:pPr>
              <w:snapToGrid w:val="0"/>
              <w:spacing w:line="360" w:lineRule="auto"/>
              <w:rPr>
                <w:rFonts w:ascii="宋体" w:hAnsi="宋体"/>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771" w:type="dxa"/>
            <w:vAlign w:val="center"/>
          </w:tcPr>
          <w:p>
            <w:pPr>
              <w:snapToGrid w:val="0"/>
              <w:spacing w:line="360" w:lineRule="auto"/>
              <w:rPr>
                <w:rFonts w:ascii="宋体" w:hAnsi="宋体"/>
                <w:color w:val="auto"/>
                <w:sz w:val="24"/>
                <w:highlight w:val="none"/>
              </w:rPr>
            </w:pPr>
            <w:r>
              <w:rPr>
                <w:rFonts w:hint="eastAsia" w:ascii="宋体" w:hAnsi="宋体"/>
                <w:color w:val="auto"/>
                <w:sz w:val="24"/>
                <w:highlight w:val="none"/>
              </w:rPr>
              <w:t>备注</w:t>
            </w:r>
          </w:p>
        </w:tc>
        <w:tc>
          <w:tcPr>
            <w:tcW w:w="6734" w:type="dxa"/>
            <w:gridSpan w:val="7"/>
            <w:vAlign w:val="center"/>
          </w:tcPr>
          <w:p>
            <w:pPr>
              <w:snapToGrid w:val="0"/>
              <w:spacing w:line="360" w:lineRule="auto"/>
              <w:rPr>
                <w:rFonts w:ascii="宋体" w:hAnsi="宋体"/>
                <w:color w:val="auto"/>
                <w:sz w:val="24"/>
                <w:highlight w:val="none"/>
              </w:rPr>
            </w:pPr>
          </w:p>
        </w:tc>
      </w:tr>
    </w:tbl>
    <w:p>
      <w:pPr>
        <w:pStyle w:val="38"/>
        <w:shd w:val="clear" w:color="auto" w:fill="FFFFFF"/>
        <w:spacing w:before="0" w:beforeAutospacing="0" w:after="0" w:afterAutospacing="0" w:line="360" w:lineRule="auto"/>
        <w:rPr>
          <w:rFonts w:eastAsia="微软雅黑"/>
          <w:color w:val="auto"/>
          <w:sz w:val="21"/>
          <w:szCs w:val="21"/>
          <w:highlight w:val="none"/>
        </w:rPr>
      </w:pPr>
      <w:r>
        <w:rPr>
          <w:rFonts w:hint="eastAsia"/>
          <w:color w:val="auto"/>
          <w:sz w:val="21"/>
          <w:szCs w:val="21"/>
          <w:highlight w:val="none"/>
        </w:rPr>
        <w:t>注：投标人情况介绍的内容可另附页。</w:t>
      </w:r>
    </w:p>
    <w:p>
      <w:pPr>
        <w:pStyle w:val="38"/>
        <w:shd w:val="clear" w:color="auto" w:fill="FFFFFF"/>
        <w:spacing w:before="0" w:beforeAutospacing="0" w:after="0" w:afterAutospacing="0" w:line="360" w:lineRule="auto"/>
        <w:jc w:val="center"/>
        <w:rPr>
          <w:rFonts w:eastAsia="微软雅黑"/>
          <w:color w:val="auto"/>
          <w:sz w:val="36"/>
          <w:szCs w:val="36"/>
          <w:highlight w:val="none"/>
        </w:rPr>
      </w:pPr>
    </w:p>
    <w:p>
      <w:pPr>
        <w:adjustRightInd w:val="0"/>
        <w:snapToGrid w:val="0"/>
        <w:spacing w:line="360" w:lineRule="auto"/>
        <w:ind w:firstLine="4095" w:firstLineChars="1950"/>
        <w:rPr>
          <w:rFonts w:ascii="宋体" w:hAnsi="宋体" w:cs="仿宋_GB2312"/>
          <w:color w:val="auto"/>
          <w:kern w:val="0"/>
          <w:szCs w:val="21"/>
          <w:highlight w:val="none"/>
          <w:lang w:val="zh-CN"/>
        </w:rPr>
      </w:pPr>
      <w:r>
        <w:rPr>
          <w:rFonts w:ascii="宋体" w:hAnsi="宋体" w:cs="仿宋_GB2312"/>
          <w:color w:val="auto"/>
          <w:kern w:val="0"/>
          <w:szCs w:val="21"/>
          <w:highlight w:val="none"/>
          <w:lang w:val="zh-CN"/>
        </w:rPr>
        <w:t xml:space="preserve">  投标人名称(</w:t>
      </w:r>
      <w:r>
        <w:rPr>
          <w:rFonts w:hint="eastAsia" w:ascii="宋体" w:hAnsi="宋体" w:cs="仿宋_GB2312"/>
          <w:color w:val="auto"/>
          <w:kern w:val="0"/>
          <w:szCs w:val="21"/>
          <w:highlight w:val="none"/>
          <w:lang w:val="zh-CN"/>
        </w:rPr>
        <w:t>签电子</w:t>
      </w:r>
      <w:r>
        <w:rPr>
          <w:rFonts w:ascii="宋体" w:hAnsi="宋体" w:cs="仿宋_GB2312"/>
          <w:color w:val="auto"/>
          <w:kern w:val="0"/>
          <w:szCs w:val="21"/>
          <w:highlight w:val="none"/>
          <w:lang w:val="zh-CN"/>
        </w:rPr>
        <w:t>公章)：</w:t>
      </w:r>
    </w:p>
    <w:p>
      <w:pPr>
        <w:adjustRightInd w:val="0"/>
        <w:snapToGrid w:val="0"/>
        <w:spacing w:line="360" w:lineRule="auto"/>
        <w:rPr>
          <w:rFonts w:ascii="宋体" w:hAnsi="宋体" w:cs="仿宋_GB2312"/>
          <w:color w:val="auto"/>
          <w:kern w:val="0"/>
          <w:szCs w:val="21"/>
          <w:highlight w:val="none"/>
          <w:lang w:val="zh-CN"/>
        </w:rPr>
      </w:pPr>
      <w:r>
        <w:rPr>
          <w:rFonts w:ascii="宋体" w:hAnsi="宋体" w:cs="仿宋_GB2312"/>
          <w:color w:val="auto"/>
          <w:kern w:val="0"/>
          <w:szCs w:val="21"/>
          <w:highlight w:val="none"/>
          <w:lang w:val="zh-CN"/>
        </w:rPr>
        <w:t xml:space="preserve">                                       法定代表人或授权委托人(</w:t>
      </w:r>
      <w:r>
        <w:rPr>
          <w:rFonts w:hint="eastAsia" w:ascii="宋体" w:hAnsi="宋体" w:cs="仿宋_GB2312"/>
          <w:color w:val="auto"/>
          <w:kern w:val="0"/>
          <w:szCs w:val="21"/>
          <w:highlight w:val="none"/>
          <w:lang w:val="zh-CN"/>
        </w:rPr>
        <w:t>签章或</w:t>
      </w:r>
      <w:r>
        <w:rPr>
          <w:rFonts w:ascii="宋体" w:hAnsi="宋体" w:cs="仿宋_GB2312"/>
          <w:color w:val="auto"/>
          <w:kern w:val="0"/>
          <w:szCs w:val="21"/>
          <w:highlight w:val="none"/>
          <w:lang w:val="zh-CN"/>
        </w:rPr>
        <w:t>签字)：</w:t>
      </w:r>
    </w:p>
    <w:p>
      <w:pPr>
        <w:pStyle w:val="38"/>
        <w:shd w:val="clear" w:color="auto" w:fill="FFFFFF"/>
        <w:spacing w:before="0" w:beforeAutospacing="0" w:after="0" w:afterAutospacing="0" w:line="360" w:lineRule="auto"/>
        <w:ind w:firstLine="424" w:firstLineChars="177"/>
        <w:jc w:val="center"/>
        <w:rPr>
          <w:b/>
          <w:bCs/>
          <w:color w:val="auto"/>
          <w:spacing w:val="11"/>
          <w:highlight w:val="none"/>
        </w:rPr>
      </w:pPr>
      <w:r>
        <w:rPr>
          <w:rFonts w:hint="eastAsia"/>
          <w:color w:val="auto"/>
          <w:highlight w:val="none"/>
        </w:rPr>
        <w:t>日    期：</w:t>
      </w:r>
    </w:p>
    <w:p>
      <w:pPr>
        <w:spacing w:line="360" w:lineRule="auto"/>
        <w:ind w:firstLine="424" w:firstLineChars="177"/>
        <w:rPr>
          <w:rFonts w:ascii="宋体" w:hAnsi="宋体"/>
          <w:color w:val="auto"/>
          <w:sz w:val="24"/>
          <w:highlight w:val="none"/>
        </w:rPr>
      </w:pPr>
    </w:p>
    <w:p>
      <w:pPr>
        <w:spacing w:line="360" w:lineRule="auto"/>
        <w:ind w:firstLine="435"/>
        <w:rPr>
          <w:rFonts w:ascii="宋体" w:hAnsi="宋体"/>
          <w:b/>
          <w:color w:val="auto"/>
          <w:sz w:val="28"/>
          <w:highlight w:val="none"/>
        </w:rPr>
        <w:sectPr>
          <w:pgSz w:w="11906" w:h="16838"/>
          <w:pgMar w:top="1440" w:right="1800" w:bottom="1440" w:left="1800" w:header="851" w:footer="992" w:gutter="0"/>
          <w:cols w:space="425" w:num="1"/>
          <w:docGrid w:type="lines" w:linePitch="312" w:charSpace="0"/>
        </w:sectPr>
      </w:pPr>
    </w:p>
    <w:p>
      <w:pPr>
        <w:spacing w:line="360" w:lineRule="auto"/>
        <w:ind w:firstLine="435"/>
        <w:rPr>
          <w:rFonts w:hint="eastAsia" w:ascii="宋体" w:hAnsi="宋体" w:eastAsia="宋体"/>
          <w:b/>
          <w:color w:val="auto"/>
          <w:sz w:val="28"/>
          <w:highlight w:val="none"/>
          <w:lang w:eastAsia="zh-CN"/>
        </w:rPr>
      </w:pPr>
      <w:r>
        <w:rPr>
          <w:rFonts w:hint="eastAsia" w:ascii="宋体" w:hAnsi="宋体"/>
          <w:b/>
          <w:color w:val="auto"/>
          <w:sz w:val="28"/>
          <w:highlight w:val="none"/>
        </w:rPr>
        <w:t>附件</w:t>
      </w:r>
      <w:r>
        <w:rPr>
          <w:rFonts w:hint="eastAsia" w:ascii="宋体" w:hAnsi="宋体"/>
          <w:b/>
          <w:color w:val="auto"/>
          <w:sz w:val="28"/>
          <w:highlight w:val="none"/>
          <w:lang w:val="en-US" w:eastAsia="zh-CN"/>
        </w:rPr>
        <w:t>7</w:t>
      </w:r>
    </w:p>
    <w:p>
      <w:pPr>
        <w:pStyle w:val="41"/>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投标人类似项目实施情况一览表</w:t>
      </w:r>
    </w:p>
    <w:p>
      <w:pPr>
        <w:pStyle w:val="41"/>
        <w:spacing w:line="360" w:lineRule="auto"/>
        <w:jc w:val="center"/>
        <w:rPr>
          <w:rFonts w:ascii="仿宋_GB2312" w:eastAsia="仿宋_GB2312"/>
          <w:b/>
          <w:color w:val="auto"/>
          <w:sz w:val="28"/>
          <w:szCs w:val="28"/>
          <w:highlight w:val="none"/>
        </w:rPr>
      </w:pPr>
    </w:p>
    <w:tbl>
      <w:tblPr>
        <w:tblStyle w:val="24"/>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45"/>
        <w:gridCol w:w="1764"/>
        <w:gridCol w:w="1351"/>
        <w:gridCol w:w="1484"/>
        <w:gridCol w:w="1215"/>
        <w:gridCol w:w="198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0" w:hRule="atLeast"/>
          <w:jc w:val="center"/>
        </w:trPr>
        <w:tc>
          <w:tcPr>
            <w:tcW w:w="1145"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s="Arial"/>
                <w:b/>
                <w:bCs/>
                <w:color w:val="auto"/>
                <w:sz w:val="24"/>
                <w:highlight w:val="none"/>
              </w:rPr>
            </w:pPr>
            <w:r>
              <w:rPr>
                <w:rFonts w:hint="eastAsia" w:ascii="宋体" w:hAnsi="宋体" w:cs="Arial"/>
                <w:b/>
                <w:bCs/>
                <w:color w:val="auto"/>
                <w:sz w:val="24"/>
                <w:highlight w:val="none"/>
              </w:rPr>
              <w:t>序号</w:t>
            </w:r>
          </w:p>
        </w:tc>
        <w:tc>
          <w:tcPr>
            <w:tcW w:w="176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s="Arial"/>
                <w:b/>
                <w:bCs/>
                <w:color w:val="auto"/>
                <w:sz w:val="24"/>
                <w:highlight w:val="none"/>
              </w:rPr>
            </w:pPr>
            <w:r>
              <w:rPr>
                <w:rFonts w:hint="eastAsia" w:ascii="宋体" w:hAnsi="宋体" w:cs="Arial"/>
                <w:b/>
                <w:bCs/>
                <w:color w:val="auto"/>
                <w:sz w:val="24"/>
                <w:highlight w:val="none"/>
              </w:rPr>
              <w:t>项目名称</w:t>
            </w:r>
          </w:p>
        </w:tc>
        <w:tc>
          <w:tcPr>
            <w:tcW w:w="1351"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s="Arial"/>
                <w:b/>
                <w:bCs/>
                <w:color w:val="auto"/>
                <w:sz w:val="24"/>
                <w:highlight w:val="none"/>
              </w:rPr>
            </w:pPr>
            <w:r>
              <w:rPr>
                <w:rFonts w:hint="eastAsia" w:ascii="宋体" w:hAnsi="宋体" w:cs="Arial"/>
                <w:b/>
                <w:bCs/>
                <w:color w:val="auto"/>
                <w:sz w:val="24"/>
                <w:highlight w:val="none"/>
              </w:rPr>
              <w:t>合同签订时间</w:t>
            </w:r>
          </w:p>
        </w:tc>
        <w:tc>
          <w:tcPr>
            <w:tcW w:w="1484"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s="Arial"/>
                <w:b/>
                <w:bCs/>
                <w:color w:val="auto"/>
                <w:sz w:val="24"/>
                <w:highlight w:val="none"/>
              </w:rPr>
            </w:pPr>
            <w:r>
              <w:rPr>
                <w:rFonts w:hint="eastAsia" w:ascii="宋体" w:hAnsi="宋体" w:cs="Arial"/>
                <w:b/>
                <w:bCs/>
                <w:color w:val="auto"/>
                <w:sz w:val="24"/>
                <w:highlight w:val="none"/>
              </w:rPr>
              <w:t>项目情况简介</w:t>
            </w:r>
          </w:p>
        </w:tc>
        <w:tc>
          <w:tcPr>
            <w:tcW w:w="1215"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s="Arial"/>
                <w:b/>
                <w:bCs/>
                <w:color w:val="auto"/>
                <w:sz w:val="24"/>
                <w:highlight w:val="none"/>
              </w:rPr>
            </w:pPr>
            <w:r>
              <w:rPr>
                <w:rFonts w:hint="eastAsia" w:ascii="宋体" w:hAnsi="宋体" w:cs="Arial"/>
                <w:b/>
                <w:bCs/>
                <w:color w:val="auto"/>
                <w:sz w:val="24"/>
                <w:highlight w:val="none"/>
              </w:rPr>
              <w:t>合同金额</w:t>
            </w:r>
          </w:p>
        </w:tc>
        <w:tc>
          <w:tcPr>
            <w:tcW w:w="1982"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cs="Arial"/>
                <w:b/>
                <w:bCs/>
                <w:color w:val="auto"/>
                <w:sz w:val="24"/>
                <w:highlight w:val="none"/>
              </w:rPr>
            </w:pPr>
            <w:r>
              <w:rPr>
                <w:rFonts w:hint="eastAsia" w:ascii="宋体" w:hAnsi="宋体" w:cs="Arial"/>
                <w:b/>
                <w:bCs/>
                <w:color w:val="auto"/>
                <w:sz w:val="24"/>
                <w:highlight w:val="none"/>
              </w:rPr>
              <w:t>项目单位名称及其联系人电话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1145" w:type="dxa"/>
            <w:tcBorders>
              <w:top w:val="single" w:color="auto" w:sz="6" w:space="0"/>
              <w:left w:val="single" w:color="auto" w:sz="6" w:space="0"/>
              <w:bottom w:val="single" w:color="auto" w:sz="6" w:space="0"/>
              <w:right w:val="single" w:color="auto" w:sz="6" w:space="0"/>
            </w:tcBorders>
          </w:tcPr>
          <w:p>
            <w:pPr>
              <w:pStyle w:val="41"/>
              <w:spacing w:line="360" w:lineRule="auto"/>
              <w:jc w:val="center"/>
              <w:rPr>
                <w:rFonts w:ascii="宋体" w:hAnsi="宋体" w:cs="Arial"/>
                <w:color w:val="auto"/>
                <w:sz w:val="24"/>
                <w:highlight w:val="none"/>
              </w:rPr>
            </w:pPr>
            <w:r>
              <w:rPr>
                <w:rFonts w:ascii="宋体" w:hAnsi="宋体" w:cs="Arial"/>
                <w:color w:val="auto"/>
                <w:sz w:val="24"/>
                <w:highlight w:val="none"/>
              </w:rPr>
              <w:t>1</w:t>
            </w:r>
          </w:p>
        </w:tc>
        <w:tc>
          <w:tcPr>
            <w:tcW w:w="1764" w:type="dxa"/>
            <w:tcBorders>
              <w:top w:val="single" w:color="auto" w:sz="6" w:space="0"/>
              <w:left w:val="single" w:color="auto" w:sz="6" w:space="0"/>
              <w:bottom w:val="single" w:color="auto" w:sz="6" w:space="0"/>
              <w:right w:val="single" w:color="auto" w:sz="6" w:space="0"/>
            </w:tcBorders>
          </w:tcPr>
          <w:p>
            <w:pPr>
              <w:pStyle w:val="41"/>
              <w:keepNext/>
              <w:keepLines/>
              <w:spacing w:before="340" w:after="330" w:line="360" w:lineRule="auto"/>
              <w:outlineLvl w:val="0"/>
              <w:rPr>
                <w:rFonts w:ascii="宋体" w:hAnsi="宋体" w:cs="Arial"/>
                <w:color w:val="auto"/>
                <w:sz w:val="24"/>
                <w:highlight w:val="none"/>
              </w:rPr>
            </w:pPr>
          </w:p>
        </w:tc>
        <w:tc>
          <w:tcPr>
            <w:tcW w:w="1351" w:type="dxa"/>
            <w:tcBorders>
              <w:top w:val="single" w:color="auto" w:sz="6" w:space="0"/>
              <w:left w:val="single" w:color="auto" w:sz="6" w:space="0"/>
              <w:bottom w:val="single" w:color="auto" w:sz="6" w:space="0"/>
              <w:right w:val="single" w:color="auto" w:sz="6" w:space="0"/>
            </w:tcBorders>
          </w:tcPr>
          <w:p>
            <w:pPr>
              <w:pStyle w:val="41"/>
              <w:keepNext/>
              <w:keepLines/>
              <w:spacing w:before="340" w:after="330" w:line="360" w:lineRule="auto"/>
              <w:outlineLvl w:val="0"/>
              <w:rPr>
                <w:rFonts w:ascii="宋体" w:hAnsi="宋体" w:cs="Arial"/>
                <w:color w:val="auto"/>
                <w:sz w:val="24"/>
                <w:highlight w:val="none"/>
              </w:rPr>
            </w:pPr>
          </w:p>
        </w:tc>
        <w:tc>
          <w:tcPr>
            <w:tcW w:w="1484" w:type="dxa"/>
            <w:tcBorders>
              <w:top w:val="single" w:color="auto" w:sz="6" w:space="0"/>
              <w:left w:val="single" w:color="auto" w:sz="6" w:space="0"/>
              <w:bottom w:val="single" w:color="auto" w:sz="6" w:space="0"/>
              <w:right w:val="single" w:color="auto" w:sz="6" w:space="0"/>
            </w:tcBorders>
          </w:tcPr>
          <w:p>
            <w:pPr>
              <w:pStyle w:val="41"/>
              <w:keepNext/>
              <w:keepLines/>
              <w:spacing w:before="340" w:after="330" w:line="360" w:lineRule="auto"/>
              <w:outlineLvl w:val="0"/>
              <w:rPr>
                <w:rFonts w:ascii="宋体" w:hAnsi="宋体" w:cs="Arial"/>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pStyle w:val="41"/>
              <w:keepNext/>
              <w:keepLines/>
              <w:spacing w:before="340" w:after="330" w:line="360" w:lineRule="auto"/>
              <w:outlineLvl w:val="0"/>
              <w:rPr>
                <w:rFonts w:ascii="宋体" w:hAnsi="宋体" w:cs="Arial"/>
                <w:color w:val="auto"/>
                <w:sz w:val="24"/>
                <w:highlight w:val="none"/>
              </w:rPr>
            </w:pPr>
          </w:p>
        </w:tc>
        <w:tc>
          <w:tcPr>
            <w:tcW w:w="1982" w:type="dxa"/>
            <w:tcBorders>
              <w:top w:val="single" w:color="auto" w:sz="6" w:space="0"/>
              <w:left w:val="single" w:color="auto" w:sz="6" w:space="0"/>
              <w:bottom w:val="single" w:color="auto" w:sz="6" w:space="0"/>
              <w:right w:val="single" w:color="auto" w:sz="6" w:space="0"/>
            </w:tcBorders>
          </w:tcPr>
          <w:p>
            <w:pPr>
              <w:pStyle w:val="41"/>
              <w:keepNext/>
              <w:keepLines/>
              <w:spacing w:before="340" w:after="330" w:line="360" w:lineRule="auto"/>
              <w:outlineLvl w:val="0"/>
              <w:rPr>
                <w:rFonts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3" w:hRule="atLeast"/>
          <w:jc w:val="center"/>
        </w:trPr>
        <w:tc>
          <w:tcPr>
            <w:tcW w:w="1145" w:type="dxa"/>
            <w:tcBorders>
              <w:top w:val="single" w:color="auto" w:sz="6" w:space="0"/>
              <w:left w:val="single" w:color="auto" w:sz="6" w:space="0"/>
              <w:bottom w:val="single" w:color="auto" w:sz="6" w:space="0"/>
              <w:right w:val="single" w:color="auto" w:sz="6" w:space="0"/>
            </w:tcBorders>
          </w:tcPr>
          <w:p>
            <w:pPr>
              <w:pStyle w:val="41"/>
              <w:spacing w:line="360" w:lineRule="auto"/>
              <w:jc w:val="center"/>
              <w:rPr>
                <w:rFonts w:ascii="宋体" w:hAnsi="宋体" w:cs="Arial"/>
                <w:color w:val="auto"/>
                <w:sz w:val="24"/>
                <w:highlight w:val="none"/>
              </w:rPr>
            </w:pPr>
            <w:r>
              <w:rPr>
                <w:rFonts w:ascii="宋体" w:hAnsi="宋体" w:cs="Arial"/>
                <w:color w:val="auto"/>
                <w:sz w:val="24"/>
                <w:highlight w:val="none"/>
              </w:rPr>
              <w:t>2</w:t>
            </w:r>
          </w:p>
        </w:tc>
        <w:tc>
          <w:tcPr>
            <w:tcW w:w="1764" w:type="dxa"/>
            <w:tcBorders>
              <w:top w:val="single" w:color="auto" w:sz="6" w:space="0"/>
              <w:left w:val="single" w:color="auto" w:sz="6" w:space="0"/>
              <w:bottom w:val="single" w:color="auto" w:sz="6" w:space="0"/>
              <w:right w:val="single" w:color="auto" w:sz="6" w:space="0"/>
            </w:tcBorders>
          </w:tcPr>
          <w:p>
            <w:pPr>
              <w:pStyle w:val="41"/>
              <w:keepNext/>
              <w:keepLines/>
              <w:spacing w:before="340" w:after="330" w:line="360" w:lineRule="auto"/>
              <w:outlineLvl w:val="0"/>
              <w:rPr>
                <w:rFonts w:ascii="宋体" w:hAnsi="宋体" w:cs="Arial"/>
                <w:color w:val="auto"/>
                <w:sz w:val="24"/>
                <w:highlight w:val="none"/>
              </w:rPr>
            </w:pPr>
          </w:p>
        </w:tc>
        <w:tc>
          <w:tcPr>
            <w:tcW w:w="1351" w:type="dxa"/>
            <w:tcBorders>
              <w:top w:val="single" w:color="auto" w:sz="6" w:space="0"/>
              <w:left w:val="single" w:color="auto" w:sz="6" w:space="0"/>
              <w:bottom w:val="single" w:color="auto" w:sz="6" w:space="0"/>
              <w:right w:val="single" w:color="auto" w:sz="6" w:space="0"/>
            </w:tcBorders>
          </w:tcPr>
          <w:p>
            <w:pPr>
              <w:pStyle w:val="41"/>
              <w:keepNext/>
              <w:keepLines/>
              <w:spacing w:before="340" w:after="330" w:line="360" w:lineRule="auto"/>
              <w:outlineLvl w:val="0"/>
              <w:rPr>
                <w:rFonts w:ascii="宋体" w:hAnsi="宋体" w:cs="Arial"/>
                <w:color w:val="auto"/>
                <w:sz w:val="24"/>
                <w:highlight w:val="none"/>
              </w:rPr>
            </w:pPr>
          </w:p>
        </w:tc>
        <w:tc>
          <w:tcPr>
            <w:tcW w:w="1484" w:type="dxa"/>
            <w:tcBorders>
              <w:top w:val="single" w:color="auto" w:sz="6" w:space="0"/>
              <w:left w:val="single" w:color="auto" w:sz="6" w:space="0"/>
              <w:bottom w:val="single" w:color="auto" w:sz="6" w:space="0"/>
              <w:right w:val="single" w:color="auto" w:sz="6" w:space="0"/>
            </w:tcBorders>
          </w:tcPr>
          <w:p>
            <w:pPr>
              <w:pStyle w:val="41"/>
              <w:keepNext/>
              <w:keepLines/>
              <w:spacing w:before="340" w:after="330" w:line="360" w:lineRule="auto"/>
              <w:outlineLvl w:val="0"/>
              <w:rPr>
                <w:rFonts w:ascii="宋体" w:hAnsi="宋体" w:cs="Arial"/>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pStyle w:val="41"/>
              <w:keepNext/>
              <w:keepLines/>
              <w:spacing w:before="340" w:after="330" w:line="360" w:lineRule="auto"/>
              <w:outlineLvl w:val="0"/>
              <w:rPr>
                <w:rFonts w:ascii="宋体" w:hAnsi="宋体" w:cs="Arial"/>
                <w:color w:val="auto"/>
                <w:sz w:val="24"/>
                <w:highlight w:val="none"/>
              </w:rPr>
            </w:pPr>
          </w:p>
        </w:tc>
        <w:tc>
          <w:tcPr>
            <w:tcW w:w="1982" w:type="dxa"/>
            <w:tcBorders>
              <w:top w:val="single" w:color="auto" w:sz="6" w:space="0"/>
              <w:left w:val="single" w:color="auto" w:sz="6" w:space="0"/>
              <w:bottom w:val="single" w:color="auto" w:sz="6" w:space="0"/>
              <w:right w:val="single" w:color="auto" w:sz="6" w:space="0"/>
            </w:tcBorders>
          </w:tcPr>
          <w:p>
            <w:pPr>
              <w:pStyle w:val="41"/>
              <w:keepNext/>
              <w:keepLines/>
              <w:spacing w:before="340" w:after="330" w:line="360" w:lineRule="auto"/>
              <w:outlineLvl w:val="0"/>
              <w:rPr>
                <w:rFonts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3" w:hRule="atLeast"/>
          <w:jc w:val="center"/>
        </w:trPr>
        <w:tc>
          <w:tcPr>
            <w:tcW w:w="1145" w:type="dxa"/>
            <w:tcBorders>
              <w:top w:val="single" w:color="auto" w:sz="6" w:space="0"/>
              <w:left w:val="single" w:color="auto" w:sz="6" w:space="0"/>
              <w:bottom w:val="single" w:color="auto" w:sz="6" w:space="0"/>
              <w:right w:val="single" w:color="auto" w:sz="6" w:space="0"/>
            </w:tcBorders>
          </w:tcPr>
          <w:p>
            <w:pPr>
              <w:pStyle w:val="41"/>
              <w:spacing w:line="360" w:lineRule="auto"/>
              <w:jc w:val="center"/>
              <w:rPr>
                <w:rFonts w:ascii="宋体" w:hAnsi="宋体" w:cs="Arial"/>
                <w:color w:val="auto"/>
                <w:sz w:val="24"/>
                <w:highlight w:val="none"/>
              </w:rPr>
            </w:pPr>
            <w:r>
              <w:rPr>
                <w:rFonts w:ascii="宋体" w:hAnsi="宋体" w:cs="Arial"/>
                <w:color w:val="auto"/>
                <w:sz w:val="24"/>
                <w:highlight w:val="none"/>
              </w:rPr>
              <w:t>3</w:t>
            </w:r>
          </w:p>
        </w:tc>
        <w:tc>
          <w:tcPr>
            <w:tcW w:w="1764" w:type="dxa"/>
            <w:tcBorders>
              <w:top w:val="single" w:color="auto" w:sz="6" w:space="0"/>
              <w:left w:val="single" w:color="auto" w:sz="6" w:space="0"/>
              <w:bottom w:val="single" w:color="auto" w:sz="6" w:space="0"/>
              <w:right w:val="single" w:color="auto" w:sz="6" w:space="0"/>
            </w:tcBorders>
          </w:tcPr>
          <w:p>
            <w:pPr>
              <w:pStyle w:val="41"/>
              <w:keepNext/>
              <w:keepLines/>
              <w:spacing w:before="340" w:after="330" w:line="360" w:lineRule="auto"/>
              <w:outlineLvl w:val="0"/>
              <w:rPr>
                <w:rFonts w:ascii="宋体" w:hAnsi="宋体" w:cs="Arial"/>
                <w:color w:val="auto"/>
                <w:sz w:val="24"/>
                <w:highlight w:val="none"/>
              </w:rPr>
            </w:pPr>
          </w:p>
        </w:tc>
        <w:tc>
          <w:tcPr>
            <w:tcW w:w="1351" w:type="dxa"/>
            <w:tcBorders>
              <w:top w:val="single" w:color="auto" w:sz="6" w:space="0"/>
              <w:left w:val="single" w:color="auto" w:sz="6" w:space="0"/>
              <w:bottom w:val="single" w:color="auto" w:sz="6" w:space="0"/>
              <w:right w:val="single" w:color="auto" w:sz="6" w:space="0"/>
            </w:tcBorders>
          </w:tcPr>
          <w:p>
            <w:pPr>
              <w:pStyle w:val="41"/>
              <w:keepNext/>
              <w:keepLines/>
              <w:spacing w:before="340" w:after="330" w:line="360" w:lineRule="auto"/>
              <w:outlineLvl w:val="0"/>
              <w:rPr>
                <w:rFonts w:ascii="宋体" w:hAnsi="宋体" w:cs="Arial"/>
                <w:color w:val="auto"/>
                <w:sz w:val="24"/>
                <w:highlight w:val="none"/>
              </w:rPr>
            </w:pPr>
          </w:p>
        </w:tc>
        <w:tc>
          <w:tcPr>
            <w:tcW w:w="1484" w:type="dxa"/>
            <w:tcBorders>
              <w:top w:val="single" w:color="auto" w:sz="6" w:space="0"/>
              <w:left w:val="single" w:color="auto" w:sz="6" w:space="0"/>
              <w:bottom w:val="single" w:color="auto" w:sz="6" w:space="0"/>
              <w:right w:val="single" w:color="auto" w:sz="6" w:space="0"/>
            </w:tcBorders>
          </w:tcPr>
          <w:p>
            <w:pPr>
              <w:pStyle w:val="41"/>
              <w:keepNext/>
              <w:keepLines/>
              <w:spacing w:before="340" w:after="330" w:line="360" w:lineRule="auto"/>
              <w:outlineLvl w:val="0"/>
              <w:rPr>
                <w:rFonts w:ascii="宋体" w:hAnsi="宋体" w:cs="Arial"/>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pStyle w:val="41"/>
              <w:keepNext/>
              <w:keepLines/>
              <w:spacing w:before="340" w:after="330" w:line="360" w:lineRule="auto"/>
              <w:outlineLvl w:val="0"/>
              <w:rPr>
                <w:rFonts w:ascii="宋体" w:hAnsi="宋体" w:cs="Arial"/>
                <w:color w:val="auto"/>
                <w:sz w:val="24"/>
                <w:highlight w:val="none"/>
              </w:rPr>
            </w:pPr>
          </w:p>
        </w:tc>
        <w:tc>
          <w:tcPr>
            <w:tcW w:w="1982" w:type="dxa"/>
            <w:tcBorders>
              <w:top w:val="single" w:color="auto" w:sz="6" w:space="0"/>
              <w:left w:val="single" w:color="auto" w:sz="6" w:space="0"/>
              <w:bottom w:val="single" w:color="auto" w:sz="6" w:space="0"/>
              <w:right w:val="single" w:color="auto" w:sz="6" w:space="0"/>
            </w:tcBorders>
          </w:tcPr>
          <w:p>
            <w:pPr>
              <w:pStyle w:val="41"/>
              <w:keepNext/>
              <w:keepLines/>
              <w:spacing w:before="340" w:after="330" w:line="360" w:lineRule="auto"/>
              <w:outlineLvl w:val="0"/>
              <w:rPr>
                <w:rFonts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1145" w:type="dxa"/>
            <w:tcBorders>
              <w:top w:val="single" w:color="auto" w:sz="6" w:space="0"/>
              <w:left w:val="single" w:color="auto" w:sz="6" w:space="0"/>
              <w:bottom w:val="single" w:color="auto" w:sz="6" w:space="0"/>
              <w:right w:val="single" w:color="auto" w:sz="6" w:space="0"/>
            </w:tcBorders>
          </w:tcPr>
          <w:p>
            <w:pPr>
              <w:pStyle w:val="83"/>
              <w:ind w:firstLine="480"/>
              <w:rPr>
                <w:color w:val="auto"/>
                <w:highlight w:val="none"/>
              </w:rPr>
            </w:pPr>
            <w:r>
              <w:rPr>
                <w:rFonts w:hint="eastAsia"/>
                <w:color w:val="auto"/>
                <w:highlight w:val="none"/>
              </w:rPr>
              <w:t>…</w:t>
            </w:r>
          </w:p>
        </w:tc>
        <w:tc>
          <w:tcPr>
            <w:tcW w:w="1764" w:type="dxa"/>
            <w:tcBorders>
              <w:top w:val="single" w:color="auto" w:sz="6" w:space="0"/>
              <w:left w:val="single" w:color="auto" w:sz="6" w:space="0"/>
              <w:bottom w:val="single" w:color="auto" w:sz="6" w:space="0"/>
              <w:right w:val="single" w:color="auto" w:sz="6" w:space="0"/>
            </w:tcBorders>
          </w:tcPr>
          <w:p>
            <w:pPr>
              <w:pStyle w:val="41"/>
              <w:keepNext/>
              <w:keepLines/>
              <w:spacing w:before="260" w:after="260" w:line="360" w:lineRule="auto"/>
              <w:outlineLvl w:val="2"/>
              <w:rPr>
                <w:rFonts w:ascii="宋体" w:hAnsi="宋体" w:cs="Arial"/>
                <w:color w:val="auto"/>
                <w:sz w:val="24"/>
                <w:highlight w:val="none"/>
              </w:rPr>
            </w:pPr>
          </w:p>
        </w:tc>
        <w:tc>
          <w:tcPr>
            <w:tcW w:w="1351" w:type="dxa"/>
            <w:tcBorders>
              <w:top w:val="single" w:color="auto" w:sz="6" w:space="0"/>
              <w:left w:val="single" w:color="auto" w:sz="6" w:space="0"/>
              <w:bottom w:val="single" w:color="auto" w:sz="6" w:space="0"/>
              <w:right w:val="single" w:color="auto" w:sz="6" w:space="0"/>
            </w:tcBorders>
          </w:tcPr>
          <w:p>
            <w:pPr>
              <w:pStyle w:val="41"/>
              <w:keepNext/>
              <w:keepLines/>
              <w:spacing w:before="260" w:after="260" w:line="360" w:lineRule="auto"/>
              <w:outlineLvl w:val="2"/>
              <w:rPr>
                <w:rFonts w:ascii="宋体" w:hAnsi="宋体" w:cs="Arial"/>
                <w:color w:val="auto"/>
                <w:sz w:val="24"/>
                <w:highlight w:val="none"/>
              </w:rPr>
            </w:pPr>
          </w:p>
        </w:tc>
        <w:tc>
          <w:tcPr>
            <w:tcW w:w="1484" w:type="dxa"/>
            <w:tcBorders>
              <w:top w:val="single" w:color="auto" w:sz="6" w:space="0"/>
              <w:left w:val="single" w:color="auto" w:sz="6" w:space="0"/>
              <w:bottom w:val="single" w:color="auto" w:sz="6" w:space="0"/>
              <w:right w:val="single" w:color="auto" w:sz="6" w:space="0"/>
            </w:tcBorders>
          </w:tcPr>
          <w:p>
            <w:pPr>
              <w:pStyle w:val="41"/>
              <w:keepNext/>
              <w:keepLines/>
              <w:spacing w:before="260" w:after="260" w:line="360" w:lineRule="auto"/>
              <w:outlineLvl w:val="2"/>
              <w:rPr>
                <w:rFonts w:ascii="宋体" w:hAnsi="宋体" w:cs="Arial"/>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pStyle w:val="41"/>
              <w:keepNext/>
              <w:keepLines/>
              <w:spacing w:before="260" w:after="260" w:line="360" w:lineRule="auto"/>
              <w:outlineLvl w:val="2"/>
              <w:rPr>
                <w:rFonts w:ascii="宋体" w:hAnsi="宋体" w:cs="Arial"/>
                <w:color w:val="auto"/>
                <w:sz w:val="24"/>
                <w:highlight w:val="none"/>
              </w:rPr>
            </w:pPr>
          </w:p>
        </w:tc>
        <w:tc>
          <w:tcPr>
            <w:tcW w:w="1982" w:type="dxa"/>
            <w:tcBorders>
              <w:top w:val="single" w:color="auto" w:sz="6" w:space="0"/>
              <w:left w:val="single" w:color="auto" w:sz="6" w:space="0"/>
              <w:bottom w:val="single" w:color="auto" w:sz="6" w:space="0"/>
              <w:right w:val="single" w:color="auto" w:sz="6" w:space="0"/>
            </w:tcBorders>
          </w:tcPr>
          <w:p>
            <w:pPr>
              <w:pStyle w:val="41"/>
              <w:keepNext/>
              <w:keepLines/>
              <w:spacing w:before="260" w:after="260" w:line="360" w:lineRule="auto"/>
              <w:outlineLvl w:val="2"/>
              <w:rPr>
                <w:rFonts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1145" w:type="dxa"/>
            <w:tcBorders>
              <w:top w:val="single" w:color="auto" w:sz="6" w:space="0"/>
              <w:left w:val="single" w:color="auto" w:sz="6" w:space="0"/>
              <w:bottom w:val="single" w:color="auto" w:sz="6" w:space="0"/>
              <w:right w:val="single" w:color="auto" w:sz="6" w:space="0"/>
            </w:tcBorders>
          </w:tcPr>
          <w:p>
            <w:pPr>
              <w:pStyle w:val="83"/>
              <w:ind w:firstLine="482"/>
              <w:rPr>
                <w:b/>
                <w:bCs/>
                <w:color w:val="auto"/>
                <w:highlight w:val="none"/>
              </w:rPr>
            </w:pPr>
          </w:p>
        </w:tc>
        <w:tc>
          <w:tcPr>
            <w:tcW w:w="1764" w:type="dxa"/>
            <w:tcBorders>
              <w:top w:val="single" w:color="auto" w:sz="6" w:space="0"/>
              <w:left w:val="single" w:color="auto" w:sz="6" w:space="0"/>
              <w:bottom w:val="single" w:color="auto" w:sz="6" w:space="0"/>
              <w:right w:val="single" w:color="auto" w:sz="6" w:space="0"/>
            </w:tcBorders>
          </w:tcPr>
          <w:p>
            <w:pPr>
              <w:pStyle w:val="41"/>
              <w:keepNext/>
              <w:keepLines/>
              <w:spacing w:before="260" w:after="260" w:line="360" w:lineRule="auto"/>
              <w:outlineLvl w:val="2"/>
              <w:rPr>
                <w:rFonts w:ascii="宋体" w:hAnsi="宋体" w:cs="Arial"/>
                <w:color w:val="auto"/>
                <w:sz w:val="24"/>
                <w:highlight w:val="none"/>
              </w:rPr>
            </w:pPr>
          </w:p>
        </w:tc>
        <w:tc>
          <w:tcPr>
            <w:tcW w:w="1351" w:type="dxa"/>
            <w:tcBorders>
              <w:top w:val="single" w:color="auto" w:sz="6" w:space="0"/>
              <w:left w:val="single" w:color="auto" w:sz="6" w:space="0"/>
              <w:bottom w:val="single" w:color="auto" w:sz="6" w:space="0"/>
              <w:right w:val="single" w:color="auto" w:sz="6" w:space="0"/>
            </w:tcBorders>
          </w:tcPr>
          <w:p>
            <w:pPr>
              <w:pStyle w:val="41"/>
              <w:keepNext/>
              <w:keepLines/>
              <w:spacing w:before="260" w:after="260" w:line="360" w:lineRule="auto"/>
              <w:outlineLvl w:val="2"/>
              <w:rPr>
                <w:rFonts w:ascii="宋体" w:hAnsi="宋体" w:cs="Arial"/>
                <w:color w:val="auto"/>
                <w:sz w:val="24"/>
                <w:highlight w:val="none"/>
              </w:rPr>
            </w:pPr>
          </w:p>
        </w:tc>
        <w:tc>
          <w:tcPr>
            <w:tcW w:w="1484" w:type="dxa"/>
            <w:tcBorders>
              <w:top w:val="single" w:color="auto" w:sz="6" w:space="0"/>
              <w:left w:val="single" w:color="auto" w:sz="6" w:space="0"/>
              <w:bottom w:val="single" w:color="auto" w:sz="6" w:space="0"/>
              <w:right w:val="single" w:color="auto" w:sz="6" w:space="0"/>
            </w:tcBorders>
          </w:tcPr>
          <w:p>
            <w:pPr>
              <w:pStyle w:val="41"/>
              <w:keepNext/>
              <w:keepLines/>
              <w:spacing w:before="260" w:after="260" w:line="360" w:lineRule="auto"/>
              <w:outlineLvl w:val="2"/>
              <w:rPr>
                <w:rFonts w:ascii="宋体" w:hAnsi="宋体" w:cs="Arial"/>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pStyle w:val="41"/>
              <w:keepNext/>
              <w:keepLines/>
              <w:spacing w:before="260" w:after="260" w:line="360" w:lineRule="auto"/>
              <w:outlineLvl w:val="2"/>
              <w:rPr>
                <w:rFonts w:ascii="宋体" w:hAnsi="宋体" w:cs="Arial"/>
                <w:color w:val="auto"/>
                <w:sz w:val="24"/>
                <w:highlight w:val="none"/>
              </w:rPr>
            </w:pPr>
          </w:p>
        </w:tc>
        <w:tc>
          <w:tcPr>
            <w:tcW w:w="1982" w:type="dxa"/>
            <w:tcBorders>
              <w:top w:val="single" w:color="auto" w:sz="6" w:space="0"/>
              <w:left w:val="single" w:color="auto" w:sz="6" w:space="0"/>
              <w:bottom w:val="single" w:color="auto" w:sz="6" w:space="0"/>
              <w:right w:val="single" w:color="auto" w:sz="6" w:space="0"/>
            </w:tcBorders>
          </w:tcPr>
          <w:p>
            <w:pPr>
              <w:pStyle w:val="41"/>
              <w:keepNext/>
              <w:keepLines/>
              <w:spacing w:before="260" w:after="260" w:line="360" w:lineRule="auto"/>
              <w:outlineLvl w:val="2"/>
              <w:rPr>
                <w:rFonts w:ascii="宋体" w:hAnsi="宋体" w:cs="Arial"/>
                <w:color w:val="auto"/>
                <w:sz w:val="24"/>
                <w:highlight w:val="none"/>
              </w:rPr>
            </w:pPr>
          </w:p>
        </w:tc>
      </w:tr>
    </w:tbl>
    <w:p>
      <w:pPr>
        <w:autoSpaceDE w:val="0"/>
        <w:autoSpaceDN w:val="0"/>
        <w:adjustRightInd w:val="0"/>
        <w:spacing w:beforeLines="50" w:line="360" w:lineRule="auto"/>
        <w:rPr>
          <w:rFonts w:ascii="宋体" w:hAnsi="宋体" w:cs="Arial"/>
          <w:b/>
          <w:color w:val="auto"/>
          <w:szCs w:val="21"/>
          <w:highlight w:val="none"/>
        </w:rPr>
      </w:pPr>
      <w:r>
        <w:rPr>
          <w:rFonts w:hint="eastAsia" w:ascii="宋体" w:hAnsi="宋体" w:cs="Arial"/>
          <w:b/>
          <w:color w:val="auto"/>
          <w:szCs w:val="21"/>
          <w:highlight w:val="none"/>
        </w:rPr>
        <w:t>要求</w:t>
      </w:r>
      <w:r>
        <w:rPr>
          <w:rFonts w:ascii="宋体" w:hAnsi="宋体" w:cs="Arial"/>
          <w:b/>
          <w:color w:val="auto"/>
          <w:szCs w:val="21"/>
          <w:highlight w:val="none"/>
        </w:rPr>
        <w:t>：</w:t>
      </w:r>
    </w:p>
    <w:p>
      <w:pPr>
        <w:autoSpaceDE w:val="0"/>
        <w:autoSpaceDN w:val="0"/>
        <w:adjustRightInd w:val="0"/>
        <w:spacing w:beforeLines="50" w:line="360" w:lineRule="auto"/>
        <w:ind w:firstLine="424" w:firstLineChars="202"/>
        <w:rPr>
          <w:rFonts w:ascii="宋体" w:hAnsi="宋体" w:cs="Arial"/>
          <w:b/>
          <w:color w:val="auto"/>
          <w:szCs w:val="21"/>
          <w:highlight w:val="none"/>
        </w:rPr>
      </w:pPr>
      <w:r>
        <w:rPr>
          <w:rFonts w:ascii="宋体" w:hAnsi="宋体" w:cs="Arial"/>
          <w:color w:val="auto"/>
          <w:szCs w:val="21"/>
          <w:highlight w:val="none"/>
        </w:rPr>
        <w:t>1.业绩证明应</w:t>
      </w:r>
      <w:r>
        <w:rPr>
          <w:rFonts w:hint="eastAsia" w:ascii="宋体" w:hAnsi="宋体" w:cs="Arial"/>
          <w:color w:val="auto"/>
          <w:szCs w:val="21"/>
          <w:highlight w:val="none"/>
        </w:rPr>
        <w:t>按</w:t>
      </w:r>
      <w:r>
        <w:rPr>
          <w:rFonts w:ascii="宋体" w:hAnsi="宋体" w:cs="Arial"/>
          <w:color w:val="auto"/>
          <w:szCs w:val="21"/>
          <w:highlight w:val="none"/>
        </w:rPr>
        <w:t>评分标准</w:t>
      </w:r>
      <w:r>
        <w:rPr>
          <w:rFonts w:hint="eastAsia" w:ascii="宋体" w:hAnsi="宋体" w:cs="Arial"/>
          <w:color w:val="auto"/>
          <w:szCs w:val="21"/>
          <w:highlight w:val="none"/>
        </w:rPr>
        <w:t>要求</w:t>
      </w:r>
      <w:r>
        <w:rPr>
          <w:rFonts w:ascii="宋体" w:hAnsi="宋体" w:cs="Arial"/>
          <w:color w:val="auto"/>
          <w:szCs w:val="21"/>
          <w:highlight w:val="none"/>
        </w:rPr>
        <w:t>提供证明材料（合同</w:t>
      </w:r>
      <w:r>
        <w:rPr>
          <w:rFonts w:hint="eastAsia" w:ascii="宋体" w:hAnsi="宋体" w:cs="Arial"/>
          <w:color w:val="auto"/>
          <w:szCs w:val="21"/>
          <w:highlight w:val="none"/>
        </w:rPr>
        <w:t>复制件可只提供首页、含金额页、盖章页等</w:t>
      </w:r>
      <w:r>
        <w:rPr>
          <w:rFonts w:ascii="宋体" w:hAnsi="宋体" w:cs="Arial"/>
          <w:color w:val="auto"/>
          <w:szCs w:val="21"/>
          <w:highlight w:val="none"/>
        </w:rPr>
        <w:t>体现评</w:t>
      </w:r>
      <w:r>
        <w:rPr>
          <w:rFonts w:hint="eastAsia" w:ascii="宋体" w:hAnsi="宋体" w:cs="Arial"/>
          <w:color w:val="auto"/>
          <w:szCs w:val="21"/>
          <w:highlight w:val="none"/>
        </w:rPr>
        <w:t>分标</w:t>
      </w:r>
      <w:r>
        <w:rPr>
          <w:rFonts w:ascii="宋体" w:hAnsi="宋体" w:cs="Arial"/>
          <w:color w:val="auto"/>
          <w:szCs w:val="21"/>
          <w:highlight w:val="none"/>
        </w:rPr>
        <w:t>准的内容</w:t>
      </w:r>
      <w:r>
        <w:rPr>
          <w:rFonts w:hint="eastAsia" w:ascii="宋体" w:hAnsi="宋体" w:cs="Arial"/>
          <w:color w:val="auto"/>
          <w:szCs w:val="21"/>
          <w:highlight w:val="none"/>
        </w:rPr>
        <w:t>并加盖投标人公章</w:t>
      </w:r>
      <w:r>
        <w:rPr>
          <w:rFonts w:ascii="宋体" w:hAnsi="宋体" w:cs="Arial"/>
          <w:color w:val="auto"/>
          <w:szCs w:val="21"/>
          <w:highlight w:val="none"/>
        </w:rPr>
        <w:t>）；</w:t>
      </w:r>
    </w:p>
    <w:p>
      <w:pPr>
        <w:spacing w:line="360" w:lineRule="auto"/>
        <w:ind w:firstLine="424" w:firstLineChars="202"/>
        <w:jc w:val="left"/>
        <w:rPr>
          <w:rFonts w:ascii="宋体" w:hAnsi="宋体" w:cs="Arial"/>
          <w:color w:val="auto"/>
          <w:szCs w:val="21"/>
          <w:highlight w:val="none"/>
        </w:rPr>
      </w:pPr>
      <w:r>
        <w:rPr>
          <w:rFonts w:ascii="宋体" w:hAnsi="宋体" w:cs="Arial"/>
          <w:color w:val="auto"/>
          <w:szCs w:val="21"/>
          <w:highlight w:val="none"/>
        </w:rPr>
        <w:t>2.投标供应商可按此表格式复制</w:t>
      </w:r>
      <w:r>
        <w:rPr>
          <w:rFonts w:hint="eastAsia" w:ascii="宋体" w:hAnsi="宋体" w:cs="Arial"/>
          <w:color w:val="auto"/>
          <w:szCs w:val="21"/>
          <w:highlight w:val="none"/>
        </w:rPr>
        <w:t>。</w:t>
      </w:r>
    </w:p>
    <w:p>
      <w:pPr>
        <w:spacing w:line="360" w:lineRule="auto"/>
        <w:rPr>
          <w:rFonts w:ascii="宋体" w:hAnsi="宋体"/>
          <w:color w:val="auto"/>
          <w:sz w:val="22"/>
          <w:szCs w:val="22"/>
          <w:highlight w:val="none"/>
        </w:rPr>
      </w:pPr>
    </w:p>
    <w:p>
      <w:pPr>
        <w:spacing w:line="360" w:lineRule="auto"/>
        <w:rPr>
          <w:rFonts w:ascii="宋体" w:hAnsi="宋体"/>
          <w:color w:val="auto"/>
          <w:sz w:val="22"/>
          <w:szCs w:val="22"/>
          <w:highlight w:val="none"/>
        </w:rPr>
      </w:pPr>
    </w:p>
    <w:p>
      <w:pPr>
        <w:adjustRightInd w:val="0"/>
        <w:snapToGrid w:val="0"/>
        <w:spacing w:line="360" w:lineRule="auto"/>
        <w:ind w:firstLine="4095" w:firstLineChars="1950"/>
        <w:rPr>
          <w:rFonts w:ascii="宋体" w:hAnsi="宋体" w:cs="仿宋_GB2312"/>
          <w:color w:val="auto"/>
          <w:kern w:val="0"/>
          <w:szCs w:val="21"/>
          <w:highlight w:val="none"/>
          <w:lang w:val="zh-CN"/>
        </w:rPr>
      </w:pPr>
      <w:r>
        <w:rPr>
          <w:rFonts w:ascii="宋体" w:hAnsi="宋体" w:cs="仿宋_GB2312"/>
          <w:color w:val="auto"/>
          <w:kern w:val="0"/>
          <w:szCs w:val="21"/>
          <w:highlight w:val="none"/>
          <w:lang w:val="zh-CN"/>
        </w:rPr>
        <w:t>投标人名称(</w:t>
      </w:r>
      <w:r>
        <w:rPr>
          <w:rFonts w:hint="eastAsia" w:ascii="宋体" w:hAnsi="宋体" w:cs="仿宋_GB2312"/>
          <w:color w:val="auto"/>
          <w:kern w:val="0"/>
          <w:szCs w:val="21"/>
          <w:highlight w:val="none"/>
          <w:lang w:val="zh-CN"/>
        </w:rPr>
        <w:t>签电子</w:t>
      </w:r>
      <w:r>
        <w:rPr>
          <w:rFonts w:ascii="宋体" w:hAnsi="宋体" w:cs="仿宋_GB2312"/>
          <w:color w:val="auto"/>
          <w:kern w:val="0"/>
          <w:szCs w:val="21"/>
          <w:highlight w:val="none"/>
          <w:lang w:val="zh-CN"/>
        </w:rPr>
        <w:t>公章)：</w:t>
      </w:r>
    </w:p>
    <w:p>
      <w:pPr>
        <w:spacing w:line="360" w:lineRule="auto"/>
        <w:rPr>
          <w:rFonts w:ascii="宋体" w:hAnsi="宋体"/>
          <w:color w:val="auto"/>
          <w:sz w:val="22"/>
          <w:szCs w:val="22"/>
          <w:highlight w:val="none"/>
          <w:lang w:val="zh-CN"/>
        </w:rPr>
      </w:pPr>
      <w:r>
        <w:rPr>
          <w:rFonts w:ascii="宋体" w:hAnsi="宋体" w:cs="仿宋_GB2312"/>
          <w:color w:val="auto"/>
          <w:kern w:val="0"/>
          <w:szCs w:val="21"/>
          <w:highlight w:val="none"/>
          <w:lang w:val="zh-CN"/>
        </w:rPr>
        <w:t xml:space="preserve">                                       法</w:t>
      </w:r>
      <w:r>
        <w:rPr>
          <w:rFonts w:ascii="宋体" w:hAnsi="宋体"/>
          <w:color w:val="auto"/>
          <w:sz w:val="22"/>
          <w:szCs w:val="22"/>
          <w:highlight w:val="none"/>
          <w:lang w:val="zh-CN"/>
        </w:rPr>
        <w:t>定代表人或授权委托人(</w:t>
      </w:r>
      <w:r>
        <w:rPr>
          <w:rFonts w:hint="eastAsia" w:ascii="宋体" w:hAnsi="宋体"/>
          <w:color w:val="auto"/>
          <w:sz w:val="22"/>
          <w:szCs w:val="22"/>
          <w:highlight w:val="none"/>
          <w:lang w:val="zh-CN"/>
        </w:rPr>
        <w:t>签章或</w:t>
      </w:r>
      <w:r>
        <w:rPr>
          <w:rFonts w:ascii="宋体" w:hAnsi="宋体"/>
          <w:color w:val="auto"/>
          <w:sz w:val="22"/>
          <w:szCs w:val="22"/>
          <w:highlight w:val="none"/>
          <w:lang w:val="zh-CN"/>
        </w:rPr>
        <w:t>签字)：</w:t>
      </w:r>
    </w:p>
    <w:p>
      <w:pPr>
        <w:spacing w:line="360" w:lineRule="auto"/>
        <w:ind w:firstLine="4180" w:firstLineChars="1900"/>
        <w:rPr>
          <w:rFonts w:ascii="宋体" w:hAnsi="宋体"/>
          <w:b/>
          <w:color w:val="auto"/>
          <w:sz w:val="28"/>
          <w:highlight w:val="none"/>
        </w:rPr>
      </w:pPr>
      <w:r>
        <w:rPr>
          <w:rFonts w:hint="eastAsia" w:ascii="宋体" w:hAnsi="宋体"/>
          <w:color w:val="auto"/>
          <w:sz w:val="22"/>
          <w:szCs w:val="22"/>
          <w:highlight w:val="none"/>
        </w:rPr>
        <w:t>日期：</w:t>
      </w:r>
      <w:r>
        <w:rPr>
          <w:rFonts w:ascii="宋体" w:hAnsi="宋体"/>
          <w:b/>
          <w:color w:val="auto"/>
          <w:sz w:val="28"/>
          <w:highlight w:val="none"/>
        </w:rPr>
        <w:br w:type="page"/>
      </w:r>
    </w:p>
    <w:p>
      <w:pPr>
        <w:spacing w:line="360" w:lineRule="auto"/>
        <w:ind w:firstLine="435"/>
        <w:rPr>
          <w:rFonts w:hint="eastAsia" w:ascii="宋体" w:hAnsi="宋体" w:eastAsia="宋体"/>
          <w:color w:val="auto"/>
          <w:sz w:val="24"/>
          <w:highlight w:val="none"/>
          <w:lang w:eastAsia="zh-CN"/>
        </w:rPr>
      </w:pPr>
      <w:r>
        <w:rPr>
          <w:rFonts w:hint="eastAsia" w:ascii="宋体" w:hAnsi="宋体"/>
          <w:b/>
          <w:color w:val="auto"/>
          <w:sz w:val="28"/>
          <w:highlight w:val="none"/>
        </w:rPr>
        <w:t>附件</w:t>
      </w:r>
      <w:r>
        <w:rPr>
          <w:rFonts w:hint="eastAsia" w:ascii="宋体" w:hAnsi="宋体"/>
          <w:b/>
          <w:color w:val="auto"/>
          <w:sz w:val="28"/>
          <w:highlight w:val="none"/>
          <w:lang w:val="en-US" w:eastAsia="zh-CN"/>
        </w:rPr>
        <w:t>8</w:t>
      </w:r>
    </w:p>
    <w:p>
      <w:pPr>
        <w:snapToGrid w:val="0"/>
        <w:spacing w:beforeLines="50" w:after="50" w:line="360" w:lineRule="auto"/>
        <w:jc w:val="center"/>
        <w:rPr>
          <w:rFonts w:ascii="宋体" w:hAnsi="宋体"/>
          <w:b/>
          <w:color w:val="auto"/>
          <w:sz w:val="32"/>
          <w:szCs w:val="32"/>
          <w:highlight w:val="none"/>
        </w:rPr>
      </w:pPr>
      <w:r>
        <w:rPr>
          <w:rFonts w:hint="eastAsia" w:ascii="宋体" w:hAnsi="宋体"/>
          <w:b/>
          <w:color w:val="auto"/>
          <w:sz w:val="32"/>
          <w:szCs w:val="32"/>
          <w:highlight w:val="none"/>
        </w:rPr>
        <w:t>项目实施人员一览表</w:t>
      </w:r>
    </w:p>
    <w:p>
      <w:pPr>
        <w:snapToGrid w:val="0"/>
        <w:spacing w:beforeLines="50" w:after="50" w:line="360" w:lineRule="auto"/>
        <w:ind w:firstLine="1560" w:firstLineChars="650"/>
        <w:rPr>
          <w:rFonts w:ascii="宋体" w:hAnsi="宋体"/>
          <w:color w:val="auto"/>
          <w:sz w:val="24"/>
          <w:highlight w:val="none"/>
        </w:rPr>
      </w:pPr>
      <w:r>
        <w:rPr>
          <w:rFonts w:hint="eastAsia" w:ascii="宋体" w:hAnsi="宋体"/>
          <w:color w:val="auto"/>
          <w:sz w:val="24"/>
          <w:highlight w:val="none"/>
        </w:rPr>
        <w:t>（项</w:t>
      </w:r>
      <w:r>
        <w:rPr>
          <w:rFonts w:ascii="宋体" w:hAnsi="宋体"/>
          <w:color w:val="auto"/>
          <w:sz w:val="24"/>
          <w:highlight w:val="none"/>
        </w:rPr>
        <w:t>目负责人</w:t>
      </w:r>
      <w:r>
        <w:rPr>
          <w:rFonts w:hint="eastAsia" w:ascii="宋体" w:hAnsi="宋体"/>
          <w:color w:val="auto"/>
          <w:sz w:val="24"/>
          <w:highlight w:val="none"/>
        </w:rPr>
        <w:t>、</w:t>
      </w:r>
      <w:r>
        <w:rPr>
          <w:rFonts w:ascii="宋体" w:hAnsi="宋体"/>
          <w:color w:val="auto"/>
          <w:sz w:val="24"/>
          <w:highlight w:val="none"/>
        </w:rPr>
        <w:t>项目组</w:t>
      </w:r>
      <w:r>
        <w:rPr>
          <w:rFonts w:hint="eastAsia" w:ascii="宋体" w:hAnsi="宋体"/>
          <w:color w:val="auto"/>
          <w:sz w:val="24"/>
          <w:highlight w:val="none"/>
        </w:rPr>
        <w:t>主要人员及其技术资格）</w:t>
      </w:r>
    </w:p>
    <w:tbl>
      <w:tblPr>
        <w:tblStyle w:val="24"/>
        <w:tblW w:w="8647" w:type="dxa"/>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93"/>
        <w:gridCol w:w="1275"/>
        <w:gridCol w:w="1418"/>
        <w:gridCol w:w="1222"/>
        <w:gridCol w:w="1329"/>
        <w:gridCol w:w="1134"/>
        <w:gridCol w:w="12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993" w:type="dxa"/>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序号</w:t>
            </w:r>
          </w:p>
        </w:tc>
        <w:tc>
          <w:tcPr>
            <w:tcW w:w="1275" w:type="dxa"/>
            <w:vAlign w:val="center"/>
          </w:tcPr>
          <w:p>
            <w:pPr>
              <w:spacing w:line="360" w:lineRule="auto"/>
              <w:ind w:left="437"/>
              <w:jc w:val="center"/>
              <w:rPr>
                <w:rFonts w:ascii="宋体" w:hAnsi="宋体"/>
                <w:color w:val="auto"/>
                <w:szCs w:val="21"/>
                <w:highlight w:val="none"/>
              </w:rPr>
            </w:pPr>
            <w:r>
              <w:rPr>
                <w:rFonts w:hint="eastAsia" w:ascii="宋体" w:hAnsi="宋体"/>
                <w:color w:val="auto"/>
                <w:szCs w:val="21"/>
                <w:highlight w:val="none"/>
              </w:rPr>
              <w:t>姓名</w:t>
            </w:r>
          </w:p>
        </w:tc>
        <w:tc>
          <w:tcPr>
            <w:tcW w:w="1418" w:type="dxa"/>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职务</w:t>
            </w:r>
          </w:p>
        </w:tc>
        <w:tc>
          <w:tcPr>
            <w:tcW w:w="1222" w:type="dxa"/>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专业</w:t>
            </w:r>
          </w:p>
        </w:tc>
        <w:tc>
          <w:tcPr>
            <w:tcW w:w="1329" w:type="dxa"/>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专业技术资格</w:t>
            </w:r>
          </w:p>
        </w:tc>
        <w:tc>
          <w:tcPr>
            <w:tcW w:w="1134" w:type="dxa"/>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证书编号</w:t>
            </w:r>
          </w:p>
        </w:tc>
        <w:tc>
          <w:tcPr>
            <w:tcW w:w="1276" w:type="dxa"/>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参加本单位工作时间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7" w:hRule="atLeast"/>
        </w:trPr>
        <w:tc>
          <w:tcPr>
            <w:tcW w:w="993" w:type="dxa"/>
          </w:tcPr>
          <w:p>
            <w:pPr>
              <w:snapToGrid w:val="0"/>
              <w:jc w:val="center"/>
              <w:rPr>
                <w:rFonts w:ascii="宋体" w:hAnsi="宋体"/>
                <w:snapToGrid w:val="0"/>
                <w:color w:val="auto"/>
                <w:w w:val="90"/>
                <w:kern w:val="0"/>
                <w:sz w:val="24"/>
                <w:highlight w:val="none"/>
              </w:rPr>
            </w:pPr>
            <w:r>
              <w:rPr>
                <w:rFonts w:hint="eastAsia" w:ascii="宋体" w:hAnsi="宋体"/>
                <w:snapToGrid w:val="0"/>
                <w:color w:val="auto"/>
                <w:w w:val="90"/>
                <w:kern w:val="0"/>
                <w:sz w:val="24"/>
                <w:highlight w:val="none"/>
              </w:rPr>
              <w:t>1</w:t>
            </w:r>
          </w:p>
        </w:tc>
        <w:tc>
          <w:tcPr>
            <w:tcW w:w="1275" w:type="dxa"/>
            <w:vAlign w:val="center"/>
          </w:tcPr>
          <w:p>
            <w:pPr>
              <w:snapToGrid w:val="0"/>
              <w:jc w:val="center"/>
              <w:rPr>
                <w:rFonts w:ascii="宋体" w:hAnsi="宋体"/>
                <w:snapToGrid w:val="0"/>
                <w:color w:val="auto"/>
                <w:w w:val="90"/>
                <w:kern w:val="0"/>
                <w:sz w:val="24"/>
                <w:highlight w:val="none"/>
              </w:rPr>
            </w:pPr>
          </w:p>
        </w:tc>
        <w:tc>
          <w:tcPr>
            <w:tcW w:w="1418" w:type="dxa"/>
            <w:vAlign w:val="center"/>
          </w:tcPr>
          <w:p>
            <w:pPr>
              <w:snapToGrid w:val="0"/>
              <w:jc w:val="center"/>
              <w:rPr>
                <w:rFonts w:ascii="宋体" w:hAnsi="宋体"/>
                <w:snapToGrid w:val="0"/>
                <w:color w:val="auto"/>
                <w:w w:val="90"/>
                <w:kern w:val="0"/>
                <w:sz w:val="24"/>
                <w:highlight w:val="none"/>
              </w:rPr>
            </w:pPr>
          </w:p>
        </w:tc>
        <w:tc>
          <w:tcPr>
            <w:tcW w:w="1222" w:type="dxa"/>
            <w:vAlign w:val="center"/>
          </w:tcPr>
          <w:p>
            <w:pPr>
              <w:snapToGrid w:val="0"/>
              <w:jc w:val="center"/>
              <w:rPr>
                <w:rFonts w:ascii="宋体" w:hAnsi="宋体"/>
                <w:snapToGrid w:val="0"/>
                <w:color w:val="auto"/>
                <w:w w:val="90"/>
                <w:kern w:val="0"/>
                <w:sz w:val="24"/>
                <w:highlight w:val="none"/>
              </w:rPr>
            </w:pPr>
          </w:p>
        </w:tc>
        <w:tc>
          <w:tcPr>
            <w:tcW w:w="1329" w:type="dxa"/>
            <w:vAlign w:val="center"/>
          </w:tcPr>
          <w:p>
            <w:pPr>
              <w:snapToGrid w:val="0"/>
              <w:jc w:val="center"/>
              <w:rPr>
                <w:rFonts w:ascii="宋体" w:hAnsi="宋体"/>
                <w:snapToGrid w:val="0"/>
                <w:color w:val="auto"/>
                <w:w w:val="90"/>
                <w:kern w:val="0"/>
                <w:sz w:val="24"/>
                <w:highlight w:val="none"/>
              </w:rPr>
            </w:pPr>
          </w:p>
        </w:tc>
        <w:tc>
          <w:tcPr>
            <w:tcW w:w="1134" w:type="dxa"/>
            <w:vAlign w:val="center"/>
          </w:tcPr>
          <w:p>
            <w:pPr>
              <w:snapToGrid w:val="0"/>
              <w:jc w:val="center"/>
              <w:rPr>
                <w:rFonts w:ascii="宋体" w:hAnsi="宋体"/>
                <w:snapToGrid w:val="0"/>
                <w:color w:val="auto"/>
                <w:w w:val="90"/>
                <w:kern w:val="0"/>
                <w:sz w:val="24"/>
                <w:highlight w:val="none"/>
              </w:rPr>
            </w:pPr>
          </w:p>
        </w:tc>
        <w:tc>
          <w:tcPr>
            <w:tcW w:w="1276" w:type="dxa"/>
            <w:vAlign w:val="center"/>
          </w:tcPr>
          <w:p>
            <w:pPr>
              <w:snapToGrid w:val="0"/>
              <w:jc w:val="center"/>
              <w:rPr>
                <w:rFonts w:ascii="宋体" w:hAnsi="宋体"/>
                <w:snapToGrid w:val="0"/>
                <w:color w:val="auto"/>
                <w:w w:val="90"/>
                <w:kern w:val="0"/>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7" w:hRule="atLeast"/>
        </w:trPr>
        <w:tc>
          <w:tcPr>
            <w:tcW w:w="993" w:type="dxa"/>
          </w:tcPr>
          <w:p>
            <w:pPr>
              <w:snapToGrid w:val="0"/>
              <w:jc w:val="center"/>
              <w:rPr>
                <w:rFonts w:ascii="宋体" w:hAnsi="宋体"/>
                <w:snapToGrid w:val="0"/>
                <w:color w:val="auto"/>
                <w:w w:val="90"/>
                <w:kern w:val="0"/>
                <w:sz w:val="24"/>
                <w:highlight w:val="none"/>
              </w:rPr>
            </w:pPr>
            <w:r>
              <w:rPr>
                <w:rFonts w:hint="eastAsia" w:ascii="宋体" w:hAnsi="宋体"/>
                <w:snapToGrid w:val="0"/>
                <w:color w:val="auto"/>
                <w:w w:val="90"/>
                <w:kern w:val="0"/>
                <w:sz w:val="24"/>
                <w:highlight w:val="none"/>
              </w:rPr>
              <w:t>2</w:t>
            </w:r>
          </w:p>
        </w:tc>
        <w:tc>
          <w:tcPr>
            <w:tcW w:w="1275" w:type="dxa"/>
            <w:vAlign w:val="center"/>
          </w:tcPr>
          <w:p>
            <w:pPr>
              <w:snapToGrid w:val="0"/>
              <w:jc w:val="center"/>
              <w:rPr>
                <w:rFonts w:ascii="宋体" w:hAnsi="宋体"/>
                <w:snapToGrid w:val="0"/>
                <w:color w:val="auto"/>
                <w:w w:val="90"/>
                <w:kern w:val="0"/>
                <w:sz w:val="24"/>
                <w:highlight w:val="none"/>
              </w:rPr>
            </w:pPr>
          </w:p>
        </w:tc>
        <w:tc>
          <w:tcPr>
            <w:tcW w:w="1418" w:type="dxa"/>
            <w:vAlign w:val="center"/>
          </w:tcPr>
          <w:p>
            <w:pPr>
              <w:snapToGrid w:val="0"/>
              <w:jc w:val="center"/>
              <w:rPr>
                <w:rFonts w:ascii="宋体" w:hAnsi="宋体"/>
                <w:snapToGrid w:val="0"/>
                <w:color w:val="auto"/>
                <w:w w:val="90"/>
                <w:kern w:val="0"/>
                <w:sz w:val="24"/>
                <w:highlight w:val="none"/>
              </w:rPr>
            </w:pPr>
          </w:p>
        </w:tc>
        <w:tc>
          <w:tcPr>
            <w:tcW w:w="1222" w:type="dxa"/>
            <w:vAlign w:val="center"/>
          </w:tcPr>
          <w:p>
            <w:pPr>
              <w:snapToGrid w:val="0"/>
              <w:jc w:val="center"/>
              <w:rPr>
                <w:rFonts w:ascii="宋体" w:hAnsi="宋体"/>
                <w:snapToGrid w:val="0"/>
                <w:color w:val="auto"/>
                <w:w w:val="90"/>
                <w:kern w:val="0"/>
                <w:sz w:val="24"/>
                <w:highlight w:val="none"/>
              </w:rPr>
            </w:pPr>
          </w:p>
        </w:tc>
        <w:tc>
          <w:tcPr>
            <w:tcW w:w="1329" w:type="dxa"/>
            <w:vAlign w:val="center"/>
          </w:tcPr>
          <w:p>
            <w:pPr>
              <w:snapToGrid w:val="0"/>
              <w:jc w:val="center"/>
              <w:rPr>
                <w:rFonts w:ascii="宋体" w:hAnsi="宋体"/>
                <w:snapToGrid w:val="0"/>
                <w:color w:val="auto"/>
                <w:w w:val="90"/>
                <w:kern w:val="0"/>
                <w:sz w:val="24"/>
                <w:highlight w:val="none"/>
              </w:rPr>
            </w:pPr>
          </w:p>
        </w:tc>
        <w:tc>
          <w:tcPr>
            <w:tcW w:w="1134" w:type="dxa"/>
            <w:vAlign w:val="center"/>
          </w:tcPr>
          <w:p>
            <w:pPr>
              <w:snapToGrid w:val="0"/>
              <w:jc w:val="center"/>
              <w:rPr>
                <w:rFonts w:ascii="宋体" w:hAnsi="宋体"/>
                <w:snapToGrid w:val="0"/>
                <w:color w:val="auto"/>
                <w:w w:val="90"/>
                <w:kern w:val="0"/>
                <w:sz w:val="24"/>
                <w:highlight w:val="none"/>
              </w:rPr>
            </w:pPr>
          </w:p>
        </w:tc>
        <w:tc>
          <w:tcPr>
            <w:tcW w:w="1276" w:type="dxa"/>
            <w:vAlign w:val="center"/>
          </w:tcPr>
          <w:p>
            <w:pPr>
              <w:snapToGrid w:val="0"/>
              <w:jc w:val="center"/>
              <w:rPr>
                <w:rFonts w:ascii="宋体" w:hAnsi="宋体"/>
                <w:snapToGrid w:val="0"/>
                <w:color w:val="auto"/>
                <w:w w:val="90"/>
                <w:kern w:val="0"/>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7" w:hRule="atLeast"/>
        </w:trPr>
        <w:tc>
          <w:tcPr>
            <w:tcW w:w="993" w:type="dxa"/>
          </w:tcPr>
          <w:p>
            <w:pPr>
              <w:snapToGrid w:val="0"/>
              <w:jc w:val="center"/>
              <w:rPr>
                <w:rFonts w:ascii="宋体" w:hAnsi="宋体"/>
                <w:snapToGrid w:val="0"/>
                <w:color w:val="auto"/>
                <w:w w:val="90"/>
                <w:kern w:val="0"/>
                <w:sz w:val="24"/>
                <w:highlight w:val="none"/>
              </w:rPr>
            </w:pPr>
            <w:r>
              <w:rPr>
                <w:rFonts w:hint="eastAsia" w:ascii="宋体" w:hAnsi="宋体"/>
                <w:snapToGrid w:val="0"/>
                <w:color w:val="auto"/>
                <w:w w:val="90"/>
                <w:kern w:val="0"/>
                <w:sz w:val="24"/>
                <w:highlight w:val="none"/>
              </w:rPr>
              <w:t>3</w:t>
            </w:r>
          </w:p>
        </w:tc>
        <w:tc>
          <w:tcPr>
            <w:tcW w:w="1275" w:type="dxa"/>
            <w:vAlign w:val="center"/>
          </w:tcPr>
          <w:p>
            <w:pPr>
              <w:snapToGrid w:val="0"/>
              <w:jc w:val="center"/>
              <w:rPr>
                <w:rFonts w:ascii="宋体" w:hAnsi="宋体"/>
                <w:snapToGrid w:val="0"/>
                <w:color w:val="auto"/>
                <w:w w:val="90"/>
                <w:kern w:val="0"/>
                <w:sz w:val="24"/>
                <w:highlight w:val="none"/>
              </w:rPr>
            </w:pPr>
          </w:p>
        </w:tc>
        <w:tc>
          <w:tcPr>
            <w:tcW w:w="1418" w:type="dxa"/>
            <w:vAlign w:val="center"/>
          </w:tcPr>
          <w:p>
            <w:pPr>
              <w:snapToGrid w:val="0"/>
              <w:jc w:val="center"/>
              <w:rPr>
                <w:rFonts w:ascii="宋体" w:hAnsi="宋体"/>
                <w:snapToGrid w:val="0"/>
                <w:color w:val="auto"/>
                <w:w w:val="90"/>
                <w:kern w:val="0"/>
                <w:sz w:val="24"/>
                <w:highlight w:val="none"/>
              </w:rPr>
            </w:pPr>
          </w:p>
        </w:tc>
        <w:tc>
          <w:tcPr>
            <w:tcW w:w="1222" w:type="dxa"/>
            <w:vAlign w:val="center"/>
          </w:tcPr>
          <w:p>
            <w:pPr>
              <w:pStyle w:val="16"/>
              <w:snapToGrid w:val="0"/>
              <w:ind w:left="5250"/>
              <w:jc w:val="center"/>
              <w:rPr>
                <w:rFonts w:ascii="宋体" w:hAnsi="宋体" w:eastAsia="宋体"/>
                <w:snapToGrid w:val="0"/>
                <w:color w:val="auto"/>
                <w:w w:val="90"/>
                <w:kern w:val="0"/>
                <w:sz w:val="24"/>
                <w:szCs w:val="24"/>
                <w:highlight w:val="none"/>
              </w:rPr>
            </w:pPr>
          </w:p>
        </w:tc>
        <w:tc>
          <w:tcPr>
            <w:tcW w:w="1329" w:type="dxa"/>
            <w:vAlign w:val="center"/>
          </w:tcPr>
          <w:p>
            <w:pPr>
              <w:snapToGrid w:val="0"/>
              <w:jc w:val="center"/>
              <w:rPr>
                <w:rFonts w:ascii="宋体" w:hAnsi="宋体"/>
                <w:snapToGrid w:val="0"/>
                <w:color w:val="auto"/>
                <w:w w:val="90"/>
                <w:kern w:val="0"/>
                <w:sz w:val="24"/>
                <w:highlight w:val="none"/>
              </w:rPr>
            </w:pPr>
          </w:p>
        </w:tc>
        <w:tc>
          <w:tcPr>
            <w:tcW w:w="1134" w:type="dxa"/>
            <w:vAlign w:val="center"/>
          </w:tcPr>
          <w:p>
            <w:pPr>
              <w:snapToGrid w:val="0"/>
              <w:jc w:val="center"/>
              <w:rPr>
                <w:rFonts w:ascii="宋体" w:hAnsi="宋体"/>
                <w:snapToGrid w:val="0"/>
                <w:color w:val="auto"/>
                <w:w w:val="90"/>
                <w:kern w:val="0"/>
                <w:sz w:val="24"/>
                <w:highlight w:val="none"/>
              </w:rPr>
            </w:pPr>
          </w:p>
        </w:tc>
        <w:tc>
          <w:tcPr>
            <w:tcW w:w="1276" w:type="dxa"/>
            <w:vAlign w:val="center"/>
          </w:tcPr>
          <w:p>
            <w:pPr>
              <w:snapToGrid w:val="0"/>
              <w:jc w:val="center"/>
              <w:rPr>
                <w:rFonts w:ascii="宋体" w:hAnsi="宋体"/>
                <w:snapToGrid w:val="0"/>
                <w:color w:val="auto"/>
                <w:w w:val="90"/>
                <w:kern w:val="0"/>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7" w:hRule="atLeast"/>
        </w:trPr>
        <w:tc>
          <w:tcPr>
            <w:tcW w:w="993" w:type="dxa"/>
          </w:tcPr>
          <w:p>
            <w:pPr>
              <w:snapToGrid w:val="0"/>
              <w:jc w:val="center"/>
              <w:rPr>
                <w:rFonts w:ascii="宋体" w:hAnsi="宋体"/>
                <w:snapToGrid w:val="0"/>
                <w:color w:val="auto"/>
                <w:w w:val="90"/>
                <w:kern w:val="0"/>
                <w:sz w:val="24"/>
                <w:highlight w:val="none"/>
              </w:rPr>
            </w:pPr>
            <w:r>
              <w:rPr>
                <w:rFonts w:hint="eastAsia" w:ascii="宋体" w:hAnsi="宋体"/>
                <w:snapToGrid w:val="0"/>
                <w:color w:val="auto"/>
                <w:w w:val="90"/>
                <w:kern w:val="0"/>
                <w:sz w:val="24"/>
                <w:highlight w:val="none"/>
              </w:rPr>
              <w:t>4</w:t>
            </w:r>
          </w:p>
        </w:tc>
        <w:tc>
          <w:tcPr>
            <w:tcW w:w="1275" w:type="dxa"/>
            <w:vAlign w:val="center"/>
          </w:tcPr>
          <w:p>
            <w:pPr>
              <w:snapToGrid w:val="0"/>
              <w:jc w:val="center"/>
              <w:rPr>
                <w:rFonts w:ascii="宋体" w:hAnsi="宋体"/>
                <w:snapToGrid w:val="0"/>
                <w:color w:val="auto"/>
                <w:w w:val="90"/>
                <w:kern w:val="0"/>
                <w:sz w:val="24"/>
                <w:highlight w:val="none"/>
              </w:rPr>
            </w:pPr>
          </w:p>
        </w:tc>
        <w:tc>
          <w:tcPr>
            <w:tcW w:w="1418" w:type="dxa"/>
            <w:vAlign w:val="center"/>
          </w:tcPr>
          <w:p>
            <w:pPr>
              <w:snapToGrid w:val="0"/>
              <w:jc w:val="center"/>
              <w:rPr>
                <w:rFonts w:ascii="宋体" w:hAnsi="宋体"/>
                <w:snapToGrid w:val="0"/>
                <w:color w:val="auto"/>
                <w:w w:val="90"/>
                <w:kern w:val="0"/>
                <w:sz w:val="24"/>
                <w:highlight w:val="none"/>
              </w:rPr>
            </w:pPr>
          </w:p>
        </w:tc>
        <w:tc>
          <w:tcPr>
            <w:tcW w:w="1222" w:type="dxa"/>
            <w:vAlign w:val="center"/>
          </w:tcPr>
          <w:p>
            <w:pPr>
              <w:snapToGrid w:val="0"/>
              <w:jc w:val="center"/>
              <w:rPr>
                <w:rFonts w:ascii="宋体" w:hAnsi="宋体"/>
                <w:snapToGrid w:val="0"/>
                <w:color w:val="auto"/>
                <w:w w:val="90"/>
                <w:kern w:val="0"/>
                <w:sz w:val="24"/>
                <w:highlight w:val="none"/>
              </w:rPr>
            </w:pPr>
          </w:p>
        </w:tc>
        <w:tc>
          <w:tcPr>
            <w:tcW w:w="1329" w:type="dxa"/>
            <w:vAlign w:val="center"/>
          </w:tcPr>
          <w:p>
            <w:pPr>
              <w:snapToGrid w:val="0"/>
              <w:jc w:val="center"/>
              <w:rPr>
                <w:rFonts w:ascii="宋体" w:hAnsi="宋体"/>
                <w:snapToGrid w:val="0"/>
                <w:color w:val="auto"/>
                <w:w w:val="90"/>
                <w:kern w:val="0"/>
                <w:sz w:val="24"/>
                <w:highlight w:val="none"/>
              </w:rPr>
            </w:pPr>
          </w:p>
        </w:tc>
        <w:tc>
          <w:tcPr>
            <w:tcW w:w="1134" w:type="dxa"/>
            <w:vAlign w:val="center"/>
          </w:tcPr>
          <w:p>
            <w:pPr>
              <w:snapToGrid w:val="0"/>
              <w:jc w:val="center"/>
              <w:rPr>
                <w:rFonts w:ascii="宋体" w:hAnsi="宋体"/>
                <w:snapToGrid w:val="0"/>
                <w:color w:val="auto"/>
                <w:w w:val="90"/>
                <w:kern w:val="0"/>
                <w:sz w:val="24"/>
                <w:highlight w:val="none"/>
              </w:rPr>
            </w:pPr>
          </w:p>
        </w:tc>
        <w:tc>
          <w:tcPr>
            <w:tcW w:w="1276" w:type="dxa"/>
            <w:vAlign w:val="center"/>
          </w:tcPr>
          <w:p>
            <w:pPr>
              <w:snapToGrid w:val="0"/>
              <w:jc w:val="center"/>
              <w:rPr>
                <w:rFonts w:ascii="宋体" w:hAnsi="宋体"/>
                <w:snapToGrid w:val="0"/>
                <w:color w:val="auto"/>
                <w:w w:val="90"/>
                <w:kern w:val="0"/>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7" w:hRule="atLeast"/>
        </w:trPr>
        <w:tc>
          <w:tcPr>
            <w:tcW w:w="993" w:type="dxa"/>
          </w:tcPr>
          <w:p>
            <w:pPr>
              <w:snapToGrid w:val="0"/>
              <w:jc w:val="center"/>
              <w:rPr>
                <w:rFonts w:ascii="宋体" w:hAnsi="宋体"/>
                <w:snapToGrid w:val="0"/>
                <w:color w:val="auto"/>
                <w:w w:val="90"/>
                <w:kern w:val="0"/>
                <w:sz w:val="24"/>
                <w:highlight w:val="none"/>
              </w:rPr>
            </w:pPr>
            <w:r>
              <w:rPr>
                <w:rFonts w:hint="eastAsia" w:ascii="宋体" w:hAnsi="宋体"/>
                <w:snapToGrid w:val="0"/>
                <w:color w:val="auto"/>
                <w:w w:val="90"/>
                <w:kern w:val="0"/>
                <w:sz w:val="24"/>
                <w:highlight w:val="none"/>
              </w:rPr>
              <w:t>5</w:t>
            </w:r>
          </w:p>
        </w:tc>
        <w:tc>
          <w:tcPr>
            <w:tcW w:w="1275" w:type="dxa"/>
            <w:vAlign w:val="center"/>
          </w:tcPr>
          <w:p>
            <w:pPr>
              <w:snapToGrid w:val="0"/>
              <w:jc w:val="center"/>
              <w:rPr>
                <w:rFonts w:ascii="宋体" w:hAnsi="宋体"/>
                <w:snapToGrid w:val="0"/>
                <w:color w:val="auto"/>
                <w:w w:val="90"/>
                <w:kern w:val="0"/>
                <w:sz w:val="24"/>
                <w:highlight w:val="none"/>
              </w:rPr>
            </w:pPr>
          </w:p>
        </w:tc>
        <w:tc>
          <w:tcPr>
            <w:tcW w:w="1418" w:type="dxa"/>
            <w:vAlign w:val="center"/>
          </w:tcPr>
          <w:p>
            <w:pPr>
              <w:snapToGrid w:val="0"/>
              <w:jc w:val="center"/>
              <w:rPr>
                <w:rFonts w:ascii="宋体" w:hAnsi="宋体"/>
                <w:snapToGrid w:val="0"/>
                <w:color w:val="auto"/>
                <w:w w:val="90"/>
                <w:kern w:val="0"/>
                <w:sz w:val="24"/>
                <w:highlight w:val="none"/>
              </w:rPr>
            </w:pPr>
          </w:p>
        </w:tc>
        <w:tc>
          <w:tcPr>
            <w:tcW w:w="1222" w:type="dxa"/>
            <w:vAlign w:val="center"/>
          </w:tcPr>
          <w:p>
            <w:pPr>
              <w:snapToGrid w:val="0"/>
              <w:jc w:val="center"/>
              <w:rPr>
                <w:rFonts w:ascii="宋体" w:hAnsi="宋体"/>
                <w:snapToGrid w:val="0"/>
                <w:color w:val="auto"/>
                <w:w w:val="90"/>
                <w:kern w:val="0"/>
                <w:sz w:val="24"/>
                <w:highlight w:val="none"/>
              </w:rPr>
            </w:pPr>
          </w:p>
        </w:tc>
        <w:tc>
          <w:tcPr>
            <w:tcW w:w="1329" w:type="dxa"/>
            <w:vAlign w:val="center"/>
          </w:tcPr>
          <w:p>
            <w:pPr>
              <w:snapToGrid w:val="0"/>
              <w:jc w:val="center"/>
              <w:rPr>
                <w:rFonts w:ascii="宋体" w:hAnsi="宋体"/>
                <w:snapToGrid w:val="0"/>
                <w:color w:val="auto"/>
                <w:w w:val="90"/>
                <w:kern w:val="0"/>
                <w:sz w:val="24"/>
                <w:highlight w:val="none"/>
              </w:rPr>
            </w:pPr>
          </w:p>
        </w:tc>
        <w:tc>
          <w:tcPr>
            <w:tcW w:w="1134" w:type="dxa"/>
            <w:vAlign w:val="center"/>
          </w:tcPr>
          <w:p>
            <w:pPr>
              <w:snapToGrid w:val="0"/>
              <w:jc w:val="center"/>
              <w:rPr>
                <w:rFonts w:ascii="宋体" w:hAnsi="宋体"/>
                <w:snapToGrid w:val="0"/>
                <w:color w:val="auto"/>
                <w:w w:val="90"/>
                <w:kern w:val="0"/>
                <w:sz w:val="24"/>
                <w:highlight w:val="none"/>
              </w:rPr>
            </w:pPr>
          </w:p>
        </w:tc>
        <w:tc>
          <w:tcPr>
            <w:tcW w:w="1276" w:type="dxa"/>
            <w:vAlign w:val="center"/>
          </w:tcPr>
          <w:p>
            <w:pPr>
              <w:snapToGrid w:val="0"/>
              <w:jc w:val="center"/>
              <w:rPr>
                <w:rFonts w:ascii="宋体" w:hAnsi="宋体"/>
                <w:snapToGrid w:val="0"/>
                <w:color w:val="auto"/>
                <w:w w:val="90"/>
                <w:kern w:val="0"/>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7" w:hRule="atLeast"/>
        </w:trPr>
        <w:tc>
          <w:tcPr>
            <w:tcW w:w="993" w:type="dxa"/>
          </w:tcPr>
          <w:p>
            <w:pPr>
              <w:snapToGrid w:val="0"/>
              <w:jc w:val="center"/>
              <w:rPr>
                <w:rFonts w:ascii="宋体" w:hAnsi="宋体"/>
                <w:snapToGrid w:val="0"/>
                <w:color w:val="auto"/>
                <w:w w:val="90"/>
                <w:kern w:val="0"/>
                <w:sz w:val="24"/>
                <w:highlight w:val="none"/>
              </w:rPr>
            </w:pPr>
            <w:r>
              <w:rPr>
                <w:rFonts w:hint="eastAsia" w:ascii="宋体" w:hAnsi="宋体"/>
                <w:snapToGrid w:val="0"/>
                <w:color w:val="auto"/>
                <w:w w:val="90"/>
                <w:kern w:val="0"/>
                <w:sz w:val="24"/>
                <w:highlight w:val="none"/>
              </w:rPr>
              <w:t>6</w:t>
            </w:r>
          </w:p>
        </w:tc>
        <w:tc>
          <w:tcPr>
            <w:tcW w:w="1275" w:type="dxa"/>
            <w:vAlign w:val="center"/>
          </w:tcPr>
          <w:p>
            <w:pPr>
              <w:snapToGrid w:val="0"/>
              <w:jc w:val="center"/>
              <w:rPr>
                <w:rFonts w:ascii="宋体" w:hAnsi="宋体"/>
                <w:snapToGrid w:val="0"/>
                <w:color w:val="auto"/>
                <w:w w:val="90"/>
                <w:kern w:val="0"/>
                <w:sz w:val="24"/>
                <w:highlight w:val="none"/>
              </w:rPr>
            </w:pPr>
          </w:p>
        </w:tc>
        <w:tc>
          <w:tcPr>
            <w:tcW w:w="1418" w:type="dxa"/>
            <w:vAlign w:val="center"/>
          </w:tcPr>
          <w:p>
            <w:pPr>
              <w:snapToGrid w:val="0"/>
              <w:jc w:val="center"/>
              <w:rPr>
                <w:rFonts w:ascii="宋体" w:hAnsi="宋体"/>
                <w:snapToGrid w:val="0"/>
                <w:color w:val="auto"/>
                <w:w w:val="90"/>
                <w:kern w:val="0"/>
                <w:sz w:val="24"/>
                <w:highlight w:val="none"/>
              </w:rPr>
            </w:pPr>
          </w:p>
        </w:tc>
        <w:tc>
          <w:tcPr>
            <w:tcW w:w="1222" w:type="dxa"/>
            <w:vAlign w:val="center"/>
          </w:tcPr>
          <w:p>
            <w:pPr>
              <w:snapToGrid w:val="0"/>
              <w:jc w:val="center"/>
              <w:rPr>
                <w:rFonts w:ascii="宋体" w:hAnsi="宋体"/>
                <w:snapToGrid w:val="0"/>
                <w:color w:val="auto"/>
                <w:w w:val="90"/>
                <w:kern w:val="0"/>
                <w:sz w:val="24"/>
                <w:highlight w:val="none"/>
              </w:rPr>
            </w:pPr>
          </w:p>
        </w:tc>
        <w:tc>
          <w:tcPr>
            <w:tcW w:w="1329" w:type="dxa"/>
            <w:vAlign w:val="center"/>
          </w:tcPr>
          <w:p>
            <w:pPr>
              <w:snapToGrid w:val="0"/>
              <w:jc w:val="center"/>
              <w:rPr>
                <w:rFonts w:ascii="宋体" w:hAnsi="宋体"/>
                <w:snapToGrid w:val="0"/>
                <w:color w:val="auto"/>
                <w:w w:val="90"/>
                <w:kern w:val="0"/>
                <w:sz w:val="24"/>
                <w:highlight w:val="none"/>
              </w:rPr>
            </w:pPr>
          </w:p>
        </w:tc>
        <w:tc>
          <w:tcPr>
            <w:tcW w:w="1134" w:type="dxa"/>
            <w:vAlign w:val="center"/>
          </w:tcPr>
          <w:p>
            <w:pPr>
              <w:snapToGrid w:val="0"/>
              <w:jc w:val="center"/>
              <w:rPr>
                <w:rFonts w:ascii="宋体" w:hAnsi="宋体"/>
                <w:snapToGrid w:val="0"/>
                <w:color w:val="auto"/>
                <w:w w:val="90"/>
                <w:kern w:val="0"/>
                <w:sz w:val="24"/>
                <w:highlight w:val="none"/>
              </w:rPr>
            </w:pPr>
          </w:p>
        </w:tc>
        <w:tc>
          <w:tcPr>
            <w:tcW w:w="1276" w:type="dxa"/>
            <w:vAlign w:val="center"/>
          </w:tcPr>
          <w:p>
            <w:pPr>
              <w:snapToGrid w:val="0"/>
              <w:jc w:val="center"/>
              <w:rPr>
                <w:rFonts w:ascii="宋体" w:hAnsi="宋体"/>
                <w:snapToGrid w:val="0"/>
                <w:color w:val="auto"/>
                <w:w w:val="90"/>
                <w:kern w:val="0"/>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7" w:hRule="atLeast"/>
        </w:trPr>
        <w:tc>
          <w:tcPr>
            <w:tcW w:w="993" w:type="dxa"/>
          </w:tcPr>
          <w:p>
            <w:pPr>
              <w:snapToGrid w:val="0"/>
              <w:jc w:val="center"/>
              <w:rPr>
                <w:rFonts w:ascii="宋体" w:hAnsi="宋体"/>
                <w:snapToGrid w:val="0"/>
                <w:color w:val="auto"/>
                <w:w w:val="90"/>
                <w:kern w:val="0"/>
                <w:sz w:val="24"/>
                <w:highlight w:val="none"/>
              </w:rPr>
            </w:pPr>
            <w:r>
              <w:rPr>
                <w:rFonts w:hint="eastAsia" w:ascii="宋体" w:hAnsi="宋体"/>
                <w:snapToGrid w:val="0"/>
                <w:color w:val="auto"/>
                <w:w w:val="90"/>
                <w:kern w:val="0"/>
                <w:sz w:val="24"/>
                <w:highlight w:val="none"/>
              </w:rPr>
              <w:t>7</w:t>
            </w:r>
          </w:p>
        </w:tc>
        <w:tc>
          <w:tcPr>
            <w:tcW w:w="1275" w:type="dxa"/>
            <w:vAlign w:val="center"/>
          </w:tcPr>
          <w:p>
            <w:pPr>
              <w:snapToGrid w:val="0"/>
              <w:jc w:val="center"/>
              <w:rPr>
                <w:rFonts w:ascii="宋体" w:hAnsi="宋体"/>
                <w:snapToGrid w:val="0"/>
                <w:color w:val="auto"/>
                <w:w w:val="90"/>
                <w:kern w:val="0"/>
                <w:sz w:val="24"/>
                <w:highlight w:val="none"/>
              </w:rPr>
            </w:pPr>
          </w:p>
        </w:tc>
        <w:tc>
          <w:tcPr>
            <w:tcW w:w="1418" w:type="dxa"/>
            <w:vAlign w:val="center"/>
          </w:tcPr>
          <w:p>
            <w:pPr>
              <w:snapToGrid w:val="0"/>
              <w:jc w:val="center"/>
              <w:rPr>
                <w:rFonts w:ascii="宋体" w:hAnsi="宋体"/>
                <w:snapToGrid w:val="0"/>
                <w:color w:val="auto"/>
                <w:w w:val="90"/>
                <w:kern w:val="0"/>
                <w:sz w:val="24"/>
                <w:highlight w:val="none"/>
              </w:rPr>
            </w:pPr>
          </w:p>
        </w:tc>
        <w:tc>
          <w:tcPr>
            <w:tcW w:w="1222" w:type="dxa"/>
            <w:vAlign w:val="center"/>
          </w:tcPr>
          <w:p>
            <w:pPr>
              <w:snapToGrid w:val="0"/>
              <w:jc w:val="center"/>
              <w:rPr>
                <w:rFonts w:ascii="宋体" w:hAnsi="宋体"/>
                <w:snapToGrid w:val="0"/>
                <w:color w:val="auto"/>
                <w:w w:val="90"/>
                <w:kern w:val="0"/>
                <w:sz w:val="24"/>
                <w:highlight w:val="none"/>
              </w:rPr>
            </w:pPr>
          </w:p>
        </w:tc>
        <w:tc>
          <w:tcPr>
            <w:tcW w:w="1329" w:type="dxa"/>
            <w:vAlign w:val="center"/>
          </w:tcPr>
          <w:p>
            <w:pPr>
              <w:snapToGrid w:val="0"/>
              <w:jc w:val="center"/>
              <w:rPr>
                <w:rFonts w:ascii="宋体" w:hAnsi="宋体"/>
                <w:snapToGrid w:val="0"/>
                <w:color w:val="auto"/>
                <w:w w:val="90"/>
                <w:kern w:val="0"/>
                <w:sz w:val="24"/>
                <w:highlight w:val="none"/>
              </w:rPr>
            </w:pPr>
          </w:p>
        </w:tc>
        <w:tc>
          <w:tcPr>
            <w:tcW w:w="1134" w:type="dxa"/>
            <w:vAlign w:val="center"/>
          </w:tcPr>
          <w:p>
            <w:pPr>
              <w:snapToGrid w:val="0"/>
              <w:jc w:val="center"/>
              <w:rPr>
                <w:rFonts w:ascii="宋体" w:hAnsi="宋体"/>
                <w:snapToGrid w:val="0"/>
                <w:color w:val="auto"/>
                <w:w w:val="90"/>
                <w:kern w:val="0"/>
                <w:sz w:val="24"/>
                <w:highlight w:val="none"/>
              </w:rPr>
            </w:pPr>
          </w:p>
        </w:tc>
        <w:tc>
          <w:tcPr>
            <w:tcW w:w="1276" w:type="dxa"/>
            <w:vAlign w:val="center"/>
          </w:tcPr>
          <w:p>
            <w:pPr>
              <w:snapToGrid w:val="0"/>
              <w:jc w:val="center"/>
              <w:rPr>
                <w:rFonts w:ascii="宋体" w:hAnsi="宋体"/>
                <w:snapToGrid w:val="0"/>
                <w:color w:val="auto"/>
                <w:w w:val="90"/>
                <w:kern w:val="0"/>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7" w:hRule="atLeast"/>
        </w:trPr>
        <w:tc>
          <w:tcPr>
            <w:tcW w:w="993" w:type="dxa"/>
          </w:tcPr>
          <w:p>
            <w:pPr>
              <w:snapToGrid w:val="0"/>
              <w:jc w:val="center"/>
              <w:rPr>
                <w:rFonts w:ascii="宋体" w:hAnsi="宋体"/>
                <w:snapToGrid w:val="0"/>
                <w:color w:val="auto"/>
                <w:w w:val="90"/>
                <w:kern w:val="0"/>
                <w:sz w:val="24"/>
                <w:highlight w:val="none"/>
              </w:rPr>
            </w:pPr>
            <w:r>
              <w:rPr>
                <w:rFonts w:hint="eastAsia" w:ascii="宋体" w:hAnsi="宋体"/>
                <w:snapToGrid w:val="0"/>
                <w:color w:val="auto"/>
                <w:w w:val="90"/>
                <w:kern w:val="0"/>
                <w:sz w:val="24"/>
                <w:highlight w:val="none"/>
              </w:rPr>
              <w:t>8</w:t>
            </w:r>
          </w:p>
        </w:tc>
        <w:tc>
          <w:tcPr>
            <w:tcW w:w="1275" w:type="dxa"/>
            <w:vAlign w:val="center"/>
          </w:tcPr>
          <w:p>
            <w:pPr>
              <w:snapToGrid w:val="0"/>
              <w:jc w:val="center"/>
              <w:rPr>
                <w:rFonts w:ascii="宋体" w:hAnsi="宋体"/>
                <w:snapToGrid w:val="0"/>
                <w:color w:val="auto"/>
                <w:w w:val="90"/>
                <w:kern w:val="0"/>
                <w:sz w:val="24"/>
                <w:highlight w:val="none"/>
              </w:rPr>
            </w:pPr>
          </w:p>
        </w:tc>
        <w:tc>
          <w:tcPr>
            <w:tcW w:w="1418" w:type="dxa"/>
            <w:vAlign w:val="center"/>
          </w:tcPr>
          <w:p>
            <w:pPr>
              <w:snapToGrid w:val="0"/>
              <w:jc w:val="center"/>
              <w:rPr>
                <w:rFonts w:ascii="宋体" w:hAnsi="宋体"/>
                <w:snapToGrid w:val="0"/>
                <w:color w:val="auto"/>
                <w:w w:val="90"/>
                <w:kern w:val="0"/>
                <w:sz w:val="24"/>
                <w:highlight w:val="none"/>
              </w:rPr>
            </w:pPr>
          </w:p>
        </w:tc>
        <w:tc>
          <w:tcPr>
            <w:tcW w:w="1222" w:type="dxa"/>
            <w:vAlign w:val="center"/>
          </w:tcPr>
          <w:p>
            <w:pPr>
              <w:snapToGrid w:val="0"/>
              <w:jc w:val="center"/>
              <w:rPr>
                <w:rFonts w:ascii="宋体" w:hAnsi="宋体"/>
                <w:snapToGrid w:val="0"/>
                <w:color w:val="auto"/>
                <w:w w:val="90"/>
                <w:kern w:val="0"/>
                <w:sz w:val="24"/>
                <w:highlight w:val="none"/>
              </w:rPr>
            </w:pPr>
          </w:p>
        </w:tc>
        <w:tc>
          <w:tcPr>
            <w:tcW w:w="1329" w:type="dxa"/>
            <w:vAlign w:val="center"/>
          </w:tcPr>
          <w:p>
            <w:pPr>
              <w:snapToGrid w:val="0"/>
              <w:jc w:val="center"/>
              <w:rPr>
                <w:rFonts w:ascii="宋体" w:hAnsi="宋体"/>
                <w:snapToGrid w:val="0"/>
                <w:color w:val="auto"/>
                <w:w w:val="90"/>
                <w:kern w:val="0"/>
                <w:sz w:val="24"/>
                <w:highlight w:val="none"/>
              </w:rPr>
            </w:pPr>
          </w:p>
        </w:tc>
        <w:tc>
          <w:tcPr>
            <w:tcW w:w="1134" w:type="dxa"/>
            <w:vAlign w:val="center"/>
          </w:tcPr>
          <w:p>
            <w:pPr>
              <w:snapToGrid w:val="0"/>
              <w:jc w:val="center"/>
              <w:rPr>
                <w:rFonts w:ascii="宋体" w:hAnsi="宋体"/>
                <w:snapToGrid w:val="0"/>
                <w:color w:val="auto"/>
                <w:w w:val="90"/>
                <w:kern w:val="0"/>
                <w:sz w:val="24"/>
                <w:highlight w:val="none"/>
              </w:rPr>
            </w:pPr>
          </w:p>
        </w:tc>
        <w:tc>
          <w:tcPr>
            <w:tcW w:w="1276" w:type="dxa"/>
            <w:vAlign w:val="center"/>
          </w:tcPr>
          <w:p>
            <w:pPr>
              <w:snapToGrid w:val="0"/>
              <w:jc w:val="center"/>
              <w:rPr>
                <w:rFonts w:ascii="宋体" w:hAnsi="宋体"/>
                <w:snapToGrid w:val="0"/>
                <w:color w:val="auto"/>
                <w:w w:val="90"/>
                <w:kern w:val="0"/>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7" w:hRule="atLeast"/>
        </w:trPr>
        <w:tc>
          <w:tcPr>
            <w:tcW w:w="993" w:type="dxa"/>
          </w:tcPr>
          <w:p>
            <w:pPr>
              <w:snapToGrid w:val="0"/>
              <w:jc w:val="center"/>
              <w:rPr>
                <w:rFonts w:ascii="宋体" w:hAnsi="宋体"/>
                <w:snapToGrid w:val="0"/>
                <w:color w:val="auto"/>
                <w:w w:val="90"/>
                <w:kern w:val="0"/>
                <w:sz w:val="24"/>
                <w:highlight w:val="none"/>
              </w:rPr>
            </w:pPr>
            <w:r>
              <w:rPr>
                <w:rFonts w:hint="eastAsia" w:ascii="宋体" w:hAnsi="宋体"/>
                <w:snapToGrid w:val="0"/>
                <w:color w:val="auto"/>
                <w:w w:val="90"/>
                <w:kern w:val="0"/>
                <w:sz w:val="24"/>
                <w:highlight w:val="none"/>
              </w:rPr>
              <w:t>9</w:t>
            </w:r>
          </w:p>
        </w:tc>
        <w:tc>
          <w:tcPr>
            <w:tcW w:w="1275" w:type="dxa"/>
            <w:vAlign w:val="center"/>
          </w:tcPr>
          <w:p>
            <w:pPr>
              <w:snapToGrid w:val="0"/>
              <w:jc w:val="center"/>
              <w:rPr>
                <w:rFonts w:ascii="宋体" w:hAnsi="宋体"/>
                <w:snapToGrid w:val="0"/>
                <w:color w:val="auto"/>
                <w:w w:val="90"/>
                <w:kern w:val="0"/>
                <w:sz w:val="24"/>
                <w:highlight w:val="none"/>
              </w:rPr>
            </w:pPr>
          </w:p>
        </w:tc>
        <w:tc>
          <w:tcPr>
            <w:tcW w:w="1418" w:type="dxa"/>
            <w:vAlign w:val="center"/>
          </w:tcPr>
          <w:p>
            <w:pPr>
              <w:snapToGrid w:val="0"/>
              <w:jc w:val="center"/>
              <w:rPr>
                <w:rFonts w:ascii="宋体" w:hAnsi="宋体"/>
                <w:snapToGrid w:val="0"/>
                <w:color w:val="auto"/>
                <w:w w:val="90"/>
                <w:kern w:val="0"/>
                <w:sz w:val="24"/>
                <w:highlight w:val="none"/>
              </w:rPr>
            </w:pPr>
          </w:p>
        </w:tc>
        <w:tc>
          <w:tcPr>
            <w:tcW w:w="1222" w:type="dxa"/>
            <w:vAlign w:val="center"/>
          </w:tcPr>
          <w:p>
            <w:pPr>
              <w:snapToGrid w:val="0"/>
              <w:jc w:val="center"/>
              <w:rPr>
                <w:rFonts w:ascii="宋体" w:hAnsi="宋体"/>
                <w:snapToGrid w:val="0"/>
                <w:color w:val="auto"/>
                <w:w w:val="90"/>
                <w:kern w:val="0"/>
                <w:sz w:val="24"/>
                <w:highlight w:val="none"/>
              </w:rPr>
            </w:pPr>
          </w:p>
        </w:tc>
        <w:tc>
          <w:tcPr>
            <w:tcW w:w="1329" w:type="dxa"/>
            <w:vAlign w:val="center"/>
          </w:tcPr>
          <w:p>
            <w:pPr>
              <w:snapToGrid w:val="0"/>
              <w:jc w:val="center"/>
              <w:rPr>
                <w:rFonts w:ascii="宋体" w:hAnsi="宋体"/>
                <w:snapToGrid w:val="0"/>
                <w:color w:val="auto"/>
                <w:w w:val="90"/>
                <w:kern w:val="0"/>
                <w:sz w:val="24"/>
                <w:highlight w:val="none"/>
              </w:rPr>
            </w:pPr>
          </w:p>
        </w:tc>
        <w:tc>
          <w:tcPr>
            <w:tcW w:w="1134" w:type="dxa"/>
            <w:vAlign w:val="center"/>
          </w:tcPr>
          <w:p>
            <w:pPr>
              <w:snapToGrid w:val="0"/>
              <w:jc w:val="center"/>
              <w:rPr>
                <w:rFonts w:ascii="宋体" w:hAnsi="宋体"/>
                <w:snapToGrid w:val="0"/>
                <w:color w:val="auto"/>
                <w:w w:val="90"/>
                <w:kern w:val="0"/>
                <w:sz w:val="24"/>
                <w:highlight w:val="none"/>
              </w:rPr>
            </w:pPr>
          </w:p>
        </w:tc>
        <w:tc>
          <w:tcPr>
            <w:tcW w:w="1276" w:type="dxa"/>
            <w:vAlign w:val="center"/>
          </w:tcPr>
          <w:p>
            <w:pPr>
              <w:snapToGrid w:val="0"/>
              <w:jc w:val="center"/>
              <w:rPr>
                <w:rFonts w:ascii="宋体" w:hAnsi="宋体"/>
                <w:snapToGrid w:val="0"/>
                <w:color w:val="auto"/>
                <w:w w:val="90"/>
                <w:kern w:val="0"/>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7" w:hRule="atLeast"/>
        </w:trPr>
        <w:tc>
          <w:tcPr>
            <w:tcW w:w="993" w:type="dxa"/>
          </w:tcPr>
          <w:p>
            <w:pPr>
              <w:snapToGrid w:val="0"/>
              <w:jc w:val="center"/>
              <w:rPr>
                <w:rFonts w:ascii="宋体" w:hAnsi="宋体"/>
                <w:snapToGrid w:val="0"/>
                <w:color w:val="auto"/>
                <w:w w:val="90"/>
                <w:kern w:val="0"/>
                <w:sz w:val="24"/>
                <w:highlight w:val="none"/>
              </w:rPr>
            </w:pPr>
            <w:r>
              <w:rPr>
                <w:rFonts w:hint="eastAsia" w:ascii="宋体" w:hAnsi="宋体"/>
                <w:snapToGrid w:val="0"/>
                <w:color w:val="auto"/>
                <w:w w:val="90"/>
                <w:kern w:val="0"/>
                <w:sz w:val="24"/>
                <w:highlight w:val="none"/>
              </w:rPr>
              <w:t>10</w:t>
            </w:r>
          </w:p>
        </w:tc>
        <w:tc>
          <w:tcPr>
            <w:tcW w:w="1275" w:type="dxa"/>
            <w:vAlign w:val="center"/>
          </w:tcPr>
          <w:p>
            <w:pPr>
              <w:snapToGrid w:val="0"/>
              <w:jc w:val="center"/>
              <w:rPr>
                <w:rFonts w:ascii="宋体" w:hAnsi="宋体"/>
                <w:snapToGrid w:val="0"/>
                <w:color w:val="auto"/>
                <w:w w:val="90"/>
                <w:kern w:val="0"/>
                <w:sz w:val="24"/>
                <w:highlight w:val="none"/>
              </w:rPr>
            </w:pPr>
          </w:p>
        </w:tc>
        <w:tc>
          <w:tcPr>
            <w:tcW w:w="1418" w:type="dxa"/>
            <w:vAlign w:val="center"/>
          </w:tcPr>
          <w:p>
            <w:pPr>
              <w:snapToGrid w:val="0"/>
              <w:jc w:val="center"/>
              <w:rPr>
                <w:rFonts w:ascii="宋体" w:hAnsi="宋体"/>
                <w:snapToGrid w:val="0"/>
                <w:color w:val="auto"/>
                <w:w w:val="90"/>
                <w:kern w:val="0"/>
                <w:sz w:val="24"/>
                <w:highlight w:val="none"/>
              </w:rPr>
            </w:pPr>
          </w:p>
        </w:tc>
        <w:tc>
          <w:tcPr>
            <w:tcW w:w="1222" w:type="dxa"/>
            <w:vAlign w:val="center"/>
          </w:tcPr>
          <w:p>
            <w:pPr>
              <w:snapToGrid w:val="0"/>
              <w:jc w:val="center"/>
              <w:rPr>
                <w:rFonts w:ascii="宋体" w:hAnsi="宋体"/>
                <w:snapToGrid w:val="0"/>
                <w:color w:val="auto"/>
                <w:w w:val="90"/>
                <w:kern w:val="0"/>
                <w:sz w:val="24"/>
                <w:highlight w:val="none"/>
              </w:rPr>
            </w:pPr>
          </w:p>
        </w:tc>
        <w:tc>
          <w:tcPr>
            <w:tcW w:w="1329" w:type="dxa"/>
            <w:vAlign w:val="center"/>
          </w:tcPr>
          <w:p>
            <w:pPr>
              <w:snapToGrid w:val="0"/>
              <w:jc w:val="center"/>
              <w:rPr>
                <w:rFonts w:ascii="宋体" w:hAnsi="宋体"/>
                <w:snapToGrid w:val="0"/>
                <w:color w:val="auto"/>
                <w:w w:val="90"/>
                <w:kern w:val="0"/>
                <w:sz w:val="24"/>
                <w:highlight w:val="none"/>
              </w:rPr>
            </w:pPr>
          </w:p>
        </w:tc>
        <w:tc>
          <w:tcPr>
            <w:tcW w:w="1134" w:type="dxa"/>
            <w:vAlign w:val="center"/>
          </w:tcPr>
          <w:p>
            <w:pPr>
              <w:snapToGrid w:val="0"/>
              <w:jc w:val="center"/>
              <w:rPr>
                <w:rFonts w:ascii="宋体" w:hAnsi="宋体"/>
                <w:snapToGrid w:val="0"/>
                <w:color w:val="auto"/>
                <w:w w:val="90"/>
                <w:kern w:val="0"/>
                <w:sz w:val="24"/>
                <w:highlight w:val="none"/>
              </w:rPr>
            </w:pPr>
          </w:p>
        </w:tc>
        <w:tc>
          <w:tcPr>
            <w:tcW w:w="1276" w:type="dxa"/>
            <w:vAlign w:val="center"/>
          </w:tcPr>
          <w:p>
            <w:pPr>
              <w:snapToGrid w:val="0"/>
              <w:jc w:val="center"/>
              <w:rPr>
                <w:rFonts w:ascii="宋体" w:hAnsi="宋体"/>
                <w:snapToGrid w:val="0"/>
                <w:color w:val="auto"/>
                <w:w w:val="90"/>
                <w:kern w:val="0"/>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993" w:type="dxa"/>
          </w:tcPr>
          <w:p>
            <w:pPr>
              <w:snapToGrid w:val="0"/>
              <w:jc w:val="center"/>
              <w:rPr>
                <w:rFonts w:ascii="宋体" w:hAnsi="宋体"/>
                <w:snapToGrid w:val="0"/>
                <w:color w:val="auto"/>
                <w:w w:val="90"/>
                <w:kern w:val="0"/>
                <w:sz w:val="24"/>
                <w:highlight w:val="none"/>
              </w:rPr>
            </w:pPr>
            <w:r>
              <w:rPr>
                <w:rFonts w:hint="eastAsia" w:ascii="宋体" w:hAnsi="宋体"/>
                <w:snapToGrid w:val="0"/>
                <w:color w:val="auto"/>
                <w:w w:val="90"/>
                <w:kern w:val="0"/>
                <w:sz w:val="24"/>
                <w:highlight w:val="none"/>
              </w:rPr>
              <w:t>11</w:t>
            </w:r>
          </w:p>
        </w:tc>
        <w:tc>
          <w:tcPr>
            <w:tcW w:w="1275" w:type="dxa"/>
            <w:vAlign w:val="center"/>
          </w:tcPr>
          <w:p>
            <w:pPr>
              <w:snapToGrid w:val="0"/>
              <w:jc w:val="center"/>
              <w:rPr>
                <w:rFonts w:ascii="宋体" w:hAnsi="宋体"/>
                <w:snapToGrid w:val="0"/>
                <w:color w:val="auto"/>
                <w:w w:val="90"/>
                <w:kern w:val="0"/>
                <w:sz w:val="24"/>
                <w:highlight w:val="none"/>
              </w:rPr>
            </w:pPr>
          </w:p>
        </w:tc>
        <w:tc>
          <w:tcPr>
            <w:tcW w:w="1418" w:type="dxa"/>
            <w:vAlign w:val="center"/>
          </w:tcPr>
          <w:p>
            <w:pPr>
              <w:snapToGrid w:val="0"/>
              <w:jc w:val="center"/>
              <w:rPr>
                <w:rFonts w:ascii="宋体" w:hAnsi="宋体"/>
                <w:snapToGrid w:val="0"/>
                <w:color w:val="auto"/>
                <w:w w:val="90"/>
                <w:kern w:val="0"/>
                <w:sz w:val="24"/>
                <w:highlight w:val="none"/>
              </w:rPr>
            </w:pPr>
          </w:p>
        </w:tc>
        <w:tc>
          <w:tcPr>
            <w:tcW w:w="1222" w:type="dxa"/>
            <w:vAlign w:val="center"/>
          </w:tcPr>
          <w:p>
            <w:pPr>
              <w:snapToGrid w:val="0"/>
              <w:jc w:val="center"/>
              <w:rPr>
                <w:rFonts w:ascii="宋体" w:hAnsi="宋体"/>
                <w:snapToGrid w:val="0"/>
                <w:color w:val="auto"/>
                <w:w w:val="90"/>
                <w:kern w:val="0"/>
                <w:sz w:val="24"/>
                <w:highlight w:val="none"/>
              </w:rPr>
            </w:pPr>
          </w:p>
        </w:tc>
        <w:tc>
          <w:tcPr>
            <w:tcW w:w="1329" w:type="dxa"/>
            <w:vAlign w:val="center"/>
          </w:tcPr>
          <w:p>
            <w:pPr>
              <w:snapToGrid w:val="0"/>
              <w:jc w:val="center"/>
              <w:rPr>
                <w:rFonts w:ascii="宋体" w:hAnsi="宋体"/>
                <w:snapToGrid w:val="0"/>
                <w:color w:val="auto"/>
                <w:w w:val="90"/>
                <w:kern w:val="0"/>
                <w:sz w:val="24"/>
                <w:highlight w:val="none"/>
              </w:rPr>
            </w:pPr>
          </w:p>
        </w:tc>
        <w:tc>
          <w:tcPr>
            <w:tcW w:w="1134" w:type="dxa"/>
            <w:vAlign w:val="center"/>
          </w:tcPr>
          <w:p>
            <w:pPr>
              <w:snapToGrid w:val="0"/>
              <w:jc w:val="center"/>
              <w:rPr>
                <w:rFonts w:ascii="宋体" w:hAnsi="宋体"/>
                <w:snapToGrid w:val="0"/>
                <w:color w:val="auto"/>
                <w:w w:val="90"/>
                <w:kern w:val="0"/>
                <w:sz w:val="24"/>
                <w:highlight w:val="none"/>
              </w:rPr>
            </w:pPr>
          </w:p>
        </w:tc>
        <w:tc>
          <w:tcPr>
            <w:tcW w:w="1276" w:type="dxa"/>
            <w:vAlign w:val="center"/>
          </w:tcPr>
          <w:p>
            <w:pPr>
              <w:snapToGrid w:val="0"/>
              <w:jc w:val="center"/>
              <w:rPr>
                <w:rFonts w:ascii="宋体" w:hAnsi="宋体"/>
                <w:snapToGrid w:val="0"/>
                <w:color w:val="auto"/>
                <w:w w:val="90"/>
                <w:kern w:val="0"/>
                <w:sz w:val="24"/>
                <w:highlight w:val="none"/>
              </w:rPr>
            </w:pPr>
          </w:p>
        </w:tc>
      </w:tr>
    </w:tbl>
    <w:p>
      <w:pPr>
        <w:spacing w:line="360" w:lineRule="auto"/>
        <w:rPr>
          <w:rFonts w:ascii="宋体" w:hAnsi="宋体"/>
          <w:b/>
          <w:color w:val="auto"/>
          <w:szCs w:val="21"/>
          <w:highlight w:val="none"/>
        </w:rPr>
      </w:pPr>
      <w:r>
        <w:rPr>
          <w:rFonts w:hint="eastAsia" w:ascii="宋体" w:hAnsi="宋体"/>
          <w:b/>
          <w:color w:val="auto"/>
          <w:szCs w:val="21"/>
          <w:highlight w:val="none"/>
        </w:rPr>
        <w:t>要求：</w:t>
      </w:r>
    </w:p>
    <w:p>
      <w:pPr>
        <w:spacing w:line="360" w:lineRule="auto"/>
        <w:ind w:left="437"/>
        <w:rPr>
          <w:rFonts w:ascii="宋体" w:hAnsi="宋体"/>
          <w:color w:val="auto"/>
          <w:szCs w:val="21"/>
          <w:highlight w:val="none"/>
        </w:rPr>
      </w:pPr>
      <w:r>
        <w:rPr>
          <w:rFonts w:ascii="宋体" w:hAnsi="宋体"/>
          <w:b/>
          <w:color w:val="auto"/>
          <w:szCs w:val="21"/>
          <w:highlight w:val="none"/>
        </w:rPr>
        <w:t>1.</w:t>
      </w:r>
      <w:r>
        <w:rPr>
          <w:rFonts w:hint="eastAsia" w:ascii="宋体" w:hAnsi="宋体"/>
          <w:color w:val="auto"/>
          <w:szCs w:val="21"/>
          <w:highlight w:val="none"/>
        </w:rPr>
        <w:t>在填写时，如本表格不适合投标单位的实际情况，可根据本表格式自行划表填写。</w:t>
      </w:r>
    </w:p>
    <w:p>
      <w:pPr>
        <w:pStyle w:val="39"/>
        <w:spacing w:line="360" w:lineRule="auto"/>
        <w:ind w:left="424" w:leftChars="202"/>
        <w:rPr>
          <w:rFonts w:ascii="宋体" w:hAnsi="宋体"/>
          <w:color w:val="auto"/>
          <w:szCs w:val="21"/>
          <w:highlight w:val="none"/>
        </w:rPr>
      </w:pPr>
      <w:r>
        <w:rPr>
          <w:rFonts w:ascii="宋体" w:hAnsi="宋体"/>
          <w:b/>
          <w:color w:val="auto"/>
          <w:szCs w:val="21"/>
          <w:highlight w:val="none"/>
        </w:rPr>
        <w:t>2.</w:t>
      </w:r>
      <w:r>
        <w:rPr>
          <w:rFonts w:hint="eastAsia" w:ascii="宋体" w:hAnsi="宋体"/>
          <w:color w:val="auto"/>
          <w:szCs w:val="21"/>
          <w:highlight w:val="none"/>
        </w:rPr>
        <w:t>附人</w:t>
      </w:r>
      <w:r>
        <w:rPr>
          <w:rFonts w:ascii="宋体" w:hAnsi="宋体"/>
          <w:color w:val="auto"/>
          <w:szCs w:val="21"/>
          <w:highlight w:val="none"/>
        </w:rPr>
        <w:t>员</w:t>
      </w:r>
      <w:r>
        <w:rPr>
          <w:rFonts w:hint="eastAsia" w:ascii="宋体" w:hAnsi="宋体"/>
          <w:color w:val="auto"/>
          <w:szCs w:val="21"/>
          <w:highlight w:val="none"/>
        </w:rPr>
        <w:t>职称证书或学历证书等能证明职</w:t>
      </w:r>
      <w:r>
        <w:rPr>
          <w:rFonts w:ascii="宋体" w:hAnsi="宋体"/>
          <w:color w:val="auto"/>
          <w:szCs w:val="21"/>
          <w:highlight w:val="none"/>
        </w:rPr>
        <w:t>称和</w:t>
      </w:r>
      <w:r>
        <w:rPr>
          <w:rFonts w:hint="eastAsia" w:ascii="宋体" w:hAnsi="宋体"/>
          <w:color w:val="auto"/>
          <w:szCs w:val="21"/>
          <w:highlight w:val="none"/>
        </w:rPr>
        <w:t>专业的证书</w:t>
      </w:r>
      <w:r>
        <w:rPr>
          <w:rFonts w:hint="eastAsia"/>
          <w:color w:val="auto"/>
          <w:szCs w:val="21"/>
          <w:highlight w:val="none"/>
        </w:rPr>
        <w:t>（复制件并加盖公章）</w:t>
      </w:r>
      <w:r>
        <w:rPr>
          <w:rFonts w:hint="eastAsia" w:ascii="宋体" w:hAnsi="宋体"/>
          <w:color w:val="auto"/>
          <w:szCs w:val="21"/>
          <w:highlight w:val="none"/>
        </w:rPr>
        <w:t>。</w:t>
      </w:r>
    </w:p>
    <w:p>
      <w:pPr>
        <w:spacing w:line="360" w:lineRule="auto"/>
        <w:ind w:left="420"/>
        <w:rPr>
          <w:rFonts w:ascii="宋体" w:hAnsi="宋体"/>
          <w:color w:val="auto"/>
          <w:sz w:val="24"/>
          <w:highlight w:val="none"/>
        </w:rPr>
      </w:pPr>
    </w:p>
    <w:p>
      <w:pPr>
        <w:adjustRightInd w:val="0"/>
        <w:snapToGrid w:val="0"/>
        <w:spacing w:line="360" w:lineRule="auto"/>
        <w:ind w:firstLine="4095" w:firstLineChars="1950"/>
        <w:rPr>
          <w:rFonts w:ascii="宋体" w:hAnsi="宋体" w:cs="仿宋_GB2312"/>
          <w:color w:val="auto"/>
          <w:kern w:val="0"/>
          <w:szCs w:val="21"/>
          <w:highlight w:val="none"/>
          <w:lang w:val="zh-CN"/>
        </w:rPr>
      </w:pPr>
      <w:r>
        <w:rPr>
          <w:rFonts w:ascii="宋体" w:hAnsi="宋体" w:cs="仿宋_GB2312"/>
          <w:color w:val="auto"/>
          <w:kern w:val="0"/>
          <w:szCs w:val="21"/>
          <w:highlight w:val="none"/>
          <w:lang w:val="zh-CN"/>
        </w:rPr>
        <w:t>投标人名称(</w:t>
      </w:r>
      <w:r>
        <w:rPr>
          <w:rFonts w:hint="eastAsia" w:ascii="宋体" w:hAnsi="宋体" w:cs="仿宋_GB2312"/>
          <w:color w:val="auto"/>
          <w:kern w:val="0"/>
          <w:szCs w:val="21"/>
          <w:highlight w:val="none"/>
          <w:lang w:val="zh-CN"/>
        </w:rPr>
        <w:t>签电子</w:t>
      </w:r>
      <w:r>
        <w:rPr>
          <w:rFonts w:ascii="宋体" w:hAnsi="宋体" w:cs="仿宋_GB2312"/>
          <w:color w:val="auto"/>
          <w:kern w:val="0"/>
          <w:szCs w:val="21"/>
          <w:highlight w:val="none"/>
          <w:lang w:val="zh-CN"/>
        </w:rPr>
        <w:t>公章)：</w:t>
      </w:r>
    </w:p>
    <w:p>
      <w:pPr>
        <w:adjustRightInd w:val="0"/>
        <w:snapToGrid w:val="0"/>
        <w:spacing w:line="360" w:lineRule="auto"/>
        <w:rPr>
          <w:rFonts w:ascii="宋体" w:hAnsi="宋体" w:cs="仿宋_GB2312"/>
          <w:color w:val="auto"/>
          <w:kern w:val="0"/>
          <w:szCs w:val="21"/>
          <w:highlight w:val="none"/>
          <w:lang w:val="zh-CN"/>
        </w:rPr>
      </w:pPr>
      <w:r>
        <w:rPr>
          <w:rFonts w:ascii="宋体" w:hAnsi="宋体" w:cs="仿宋_GB2312"/>
          <w:color w:val="auto"/>
          <w:kern w:val="0"/>
          <w:szCs w:val="21"/>
          <w:highlight w:val="none"/>
          <w:lang w:val="zh-CN"/>
        </w:rPr>
        <w:t xml:space="preserve">                                       法定代表人或授权委托人(</w:t>
      </w:r>
      <w:r>
        <w:rPr>
          <w:rFonts w:hint="eastAsia" w:ascii="宋体" w:hAnsi="宋体" w:cs="仿宋_GB2312"/>
          <w:color w:val="auto"/>
          <w:kern w:val="0"/>
          <w:szCs w:val="21"/>
          <w:highlight w:val="none"/>
          <w:lang w:val="zh-CN"/>
        </w:rPr>
        <w:t>签章或</w:t>
      </w:r>
      <w:r>
        <w:rPr>
          <w:rFonts w:ascii="宋体" w:hAnsi="宋体" w:cs="仿宋_GB2312"/>
          <w:color w:val="auto"/>
          <w:kern w:val="0"/>
          <w:szCs w:val="21"/>
          <w:highlight w:val="none"/>
          <w:lang w:val="zh-CN"/>
        </w:rPr>
        <w:t>签字)：</w:t>
      </w:r>
    </w:p>
    <w:p>
      <w:pPr>
        <w:spacing w:line="360" w:lineRule="auto"/>
        <w:ind w:firstLine="4200" w:firstLineChars="2000"/>
        <w:rPr>
          <w:rFonts w:ascii="宋体" w:hAnsi="宋体"/>
          <w:color w:val="auto"/>
          <w:szCs w:val="21"/>
          <w:highlight w:val="none"/>
        </w:rPr>
      </w:pPr>
      <w:r>
        <w:rPr>
          <w:rFonts w:hint="eastAsia" w:ascii="宋体" w:hAnsi="宋体"/>
          <w:color w:val="auto"/>
          <w:szCs w:val="21"/>
          <w:highlight w:val="none"/>
        </w:rPr>
        <w:t>日期：</w:t>
      </w:r>
    </w:p>
    <w:p>
      <w:pPr>
        <w:spacing w:line="360" w:lineRule="auto"/>
        <w:ind w:firstLine="435"/>
        <w:rPr>
          <w:rFonts w:ascii="宋体" w:hAnsi="宋体"/>
          <w:b/>
          <w:color w:val="auto"/>
          <w:sz w:val="28"/>
          <w:highlight w:val="none"/>
        </w:rPr>
      </w:pPr>
      <w:r>
        <w:rPr>
          <w:rFonts w:ascii="宋体" w:hAnsi="宋体"/>
          <w:b/>
          <w:color w:val="auto"/>
          <w:sz w:val="28"/>
          <w:highlight w:val="none"/>
        </w:rPr>
        <w:br w:type="page"/>
      </w:r>
    </w:p>
    <w:p>
      <w:pPr>
        <w:jc w:val="center"/>
        <w:rPr>
          <w:rFonts w:ascii="仿宋" w:hAnsi="仿宋" w:eastAsia="仿宋"/>
          <w:snapToGrid w:val="0"/>
          <w:color w:val="auto"/>
          <w:kern w:val="0"/>
          <w:sz w:val="24"/>
          <w:highlight w:val="none"/>
        </w:rPr>
      </w:pPr>
    </w:p>
    <w:p>
      <w:pPr>
        <w:pStyle w:val="42"/>
        <w:tabs>
          <w:tab w:val="left" w:pos="1050"/>
        </w:tabs>
        <w:spacing w:line="360" w:lineRule="auto"/>
        <w:rPr>
          <w:rFonts w:hint="eastAsia" w:ascii="仿宋_GB2312" w:hAnsi="宋体" w:eastAsia="宋体"/>
          <w:color w:val="auto"/>
          <w:sz w:val="24"/>
          <w:highlight w:val="none"/>
          <w:lang w:eastAsia="zh-CN"/>
        </w:rPr>
      </w:pPr>
      <w:r>
        <w:rPr>
          <w:rFonts w:hint="eastAsia" w:ascii="宋体" w:hAnsi="宋体"/>
          <w:b/>
          <w:color w:val="auto"/>
          <w:sz w:val="28"/>
          <w:highlight w:val="none"/>
        </w:rPr>
        <w:t>附件</w:t>
      </w:r>
      <w:r>
        <w:rPr>
          <w:rFonts w:hint="eastAsia" w:ascii="宋体" w:hAnsi="宋体"/>
          <w:b/>
          <w:color w:val="auto"/>
          <w:sz w:val="28"/>
          <w:highlight w:val="none"/>
          <w:lang w:val="en-US" w:eastAsia="zh-CN"/>
        </w:rPr>
        <w:t>9</w:t>
      </w:r>
    </w:p>
    <w:p>
      <w:pPr>
        <w:spacing w:line="360" w:lineRule="auto"/>
        <w:ind w:left="549" w:hanging="549" w:hangingChars="171"/>
        <w:jc w:val="center"/>
        <w:rPr>
          <w:rFonts w:ascii="宋体" w:hAnsi="宋体"/>
          <w:b/>
          <w:color w:val="auto"/>
          <w:sz w:val="32"/>
          <w:szCs w:val="32"/>
          <w:highlight w:val="none"/>
        </w:rPr>
      </w:pPr>
      <w:r>
        <w:rPr>
          <w:rFonts w:hint="eastAsia" w:ascii="宋体" w:hAnsi="宋体"/>
          <w:b/>
          <w:color w:val="auto"/>
          <w:sz w:val="32"/>
          <w:szCs w:val="32"/>
          <w:highlight w:val="none"/>
        </w:rPr>
        <w:t>商务需求响应表</w:t>
      </w:r>
    </w:p>
    <w:p>
      <w:pPr>
        <w:spacing w:line="360" w:lineRule="auto"/>
        <w:ind w:left="481" w:leftChars="229" w:firstLine="813" w:firstLineChars="450"/>
        <w:rPr>
          <w:rFonts w:ascii="宋体" w:hAnsi="宋体"/>
          <w:b/>
          <w:color w:val="auto"/>
          <w:sz w:val="18"/>
          <w:szCs w:val="18"/>
          <w:highlight w:val="none"/>
        </w:rPr>
      </w:pPr>
    </w:p>
    <w:tbl>
      <w:tblPr>
        <w:tblStyle w:val="2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785"/>
        <w:gridCol w:w="1785"/>
        <w:gridCol w:w="1365"/>
        <w:gridCol w:w="2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6" w:hRule="atLeast"/>
        </w:trPr>
        <w:tc>
          <w:tcPr>
            <w:tcW w:w="735" w:type="dxa"/>
            <w:vAlign w:val="center"/>
          </w:tcPr>
          <w:p>
            <w:pPr>
              <w:pStyle w:val="83"/>
              <w:ind w:firstLine="0" w:firstLineChars="0"/>
              <w:rPr>
                <w:color w:val="auto"/>
                <w:highlight w:val="none"/>
              </w:rPr>
            </w:pPr>
            <w:r>
              <w:rPr>
                <w:rFonts w:hint="eastAsia"/>
                <w:color w:val="auto"/>
                <w:highlight w:val="none"/>
              </w:rPr>
              <w:t>序号</w:t>
            </w:r>
          </w:p>
        </w:tc>
        <w:tc>
          <w:tcPr>
            <w:tcW w:w="1785" w:type="dxa"/>
            <w:vAlign w:val="center"/>
          </w:tcPr>
          <w:p>
            <w:pPr>
              <w:pStyle w:val="83"/>
              <w:ind w:firstLine="480"/>
              <w:rPr>
                <w:color w:val="auto"/>
                <w:highlight w:val="none"/>
              </w:rPr>
            </w:pPr>
            <w:r>
              <w:rPr>
                <w:color w:val="auto"/>
                <w:highlight w:val="none"/>
              </w:rPr>
              <w:t xml:space="preserve">   内容</w:t>
            </w:r>
          </w:p>
        </w:tc>
        <w:tc>
          <w:tcPr>
            <w:tcW w:w="1785" w:type="dxa"/>
            <w:vAlign w:val="center"/>
          </w:tcPr>
          <w:p>
            <w:pPr>
              <w:pStyle w:val="83"/>
              <w:ind w:firstLine="480"/>
              <w:rPr>
                <w:color w:val="auto"/>
                <w:highlight w:val="none"/>
              </w:rPr>
            </w:pPr>
            <w:r>
              <w:rPr>
                <w:rFonts w:hint="eastAsia"/>
                <w:color w:val="auto"/>
                <w:highlight w:val="none"/>
              </w:rPr>
              <w:t>招标需求</w:t>
            </w:r>
          </w:p>
        </w:tc>
        <w:tc>
          <w:tcPr>
            <w:tcW w:w="1365" w:type="dxa"/>
            <w:vAlign w:val="center"/>
          </w:tcPr>
          <w:p>
            <w:pPr>
              <w:pStyle w:val="83"/>
              <w:ind w:firstLine="0" w:firstLineChars="0"/>
              <w:rPr>
                <w:color w:val="auto"/>
                <w:highlight w:val="none"/>
              </w:rPr>
            </w:pPr>
            <w:r>
              <w:rPr>
                <w:rFonts w:hint="eastAsia"/>
                <w:color w:val="auto"/>
                <w:highlight w:val="none"/>
              </w:rPr>
              <w:t>是否响应</w:t>
            </w:r>
          </w:p>
        </w:tc>
        <w:tc>
          <w:tcPr>
            <w:tcW w:w="2625" w:type="dxa"/>
            <w:vAlign w:val="center"/>
          </w:tcPr>
          <w:p>
            <w:pPr>
              <w:pStyle w:val="83"/>
              <w:ind w:firstLine="0" w:firstLineChars="0"/>
              <w:rPr>
                <w:color w:val="auto"/>
                <w:highlight w:val="none"/>
              </w:rPr>
            </w:pPr>
            <w:r>
              <w:rPr>
                <w:rFonts w:hint="eastAsia"/>
                <w:color w:val="auto"/>
                <w:highlight w:val="none"/>
              </w:rPr>
              <w:t>投标人的承诺或说明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735" w:type="dxa"/>
            <w:vAlign w:val="center"/>
          </w:tcPr>
          <w:p>
            <w:pPr>
              <w:pStyle w:val="83"/>
              <w:ind w:firstLine="643"/>
              <w:rPr>
                <w:b/>
                <w:bCs/>
                <w:color w:val="auto"/>
                <w:sz w:val="32"/>
                <w:highlight w:val="none"/>
              </w:rPr>
            </w:pPr>
          </w:p>
        </w:tc>
        <w:tc>
          <w:tcPr>
            <w:tcW w:w="1785" w:type="dxa"/>
          </w:tcPr>
          <w:p>
            <w:pPr>
              <w:pStyle w:val="83"/>
              <w:ind w:firstLine="643"/>
              <w:rPr>
                <w:b/>
                <w:bCs/>
                <w:color w:val="auto"/>
                <w:sz w:val="32"/>
                <w:highlight w:val="none"/>
              </w:rPr>
            </w:pPr>
          </w:p>
        </w:tc>
        <w:tc>
          <w:tcPr>
            <w:tcW w:w="1785" w:type="dxa"/>
            <w:vAlign w:val="center"/>
          </w:tcPr>
          <w:p>
            <w:pPr>
              <w:pStyle w:val="83"/>
              <w:ind w:firstLine="643"/>
              <w:rPr>
                <w:b/>
                <w:bCs/>
                <w:color w:val="auto"/>
                <w:sz w:val="32"/>
                <w:highlight w:val="none"/>
              </w:rPr>
            </w:pPr>
          </w:p>
        </w:tc>
        <w:tc>
          <w:tcPr>
            <w:tcW w:w="1365" w:type="dxa"/>
            <w:vAlign w:val="center"/>
          </w:tcPr>
          <w:p>
            <w:pPr>
              <w:pStyle w:val="83"/>
              <w:ind w:firstLine="643"/>
              <w:rPr>
                <w:b/>
                <w:bCs/>
                <w:color w:val="auto"/>
                <w:sz w:val="32"/>
                <w:highlight w:val="none"/>
              </w:rPr>
            </w:pPr>
          </w:p>
        </w:tc>
        <w:tc>
          <w:tcPr>
            <w:tcW w:w="2625" w:type="dxa"/>
            <w:vAlign w:val="center"/>
          </w:tcPr>
          <w:p>
            <w:pPr>
              <w:pStyle w:val="83"/>
              <w:ind w:firstLine="643"/>
              <w:rPr>
                <w:b/>
                <w:bCs/>
                <w:color w:val="auto"/>
                <w:sz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pPr>
              <w:pStyle w:val="83"/>
              <w:ind w:firstLine="643"/>
              <w:rPr>
                <w:b/>
                <w:bCs/>
                <w:color w:val="auto"/>
                <w:sz w:val="32"/>
                <w:highlight w:val="none"/>
              </w:rPr>
            </w:pPr>
          </w:p>
        </w:tc>
        <w:tc>
          <w:tcPr>
            <w:tcW w:w="1785" w:type="dxa"/>
          </w:tcPr>
          <w:p>
            <w:pPr>
              <w:pStyle w:val="83"/>
              <w:ind w:firstLine="643"/>
              <w:rPr>
                <w:b/>
                <w:bCs/>
                <w:color w:val="auto"/>
                <w:sz w:val="32"/>
                <w:highlight w:val="none"/>
              </w:rPr>
            </w:pPr>
          </w:p>
        </w:tc>
        <w:tc>
          <w:tcPr>
            <w:tcW w:w="1785" w:type="dxa"/>
            <w:vAlign w:val="center"/>
          </w:tcPr>
          <w:p>
            <w:pPr>
              <w:pStyle w:val="83"/>
              <w:ind w:firstLine="643"/>
              <w:rPr>
                <w:b/>
                <w:bCs/>
                <w:color w:val="auto"/>
                <w:sz w:val="32"/>
                <w:highlight w:val="none"/>
              </w:rPr>
            </w:pPr>
          </w:p>
        </w:tc>
        <w:tc>
          <w:tcPr>
            <w:tcW w:w="1365" w:type="dxa"/>
            <w:vAlign w:val="center"/>
          </w:tcPr>
          <w:p>
            <w:pPr>
              <w:pStyle w:val="83"/>
              <w:ind w:firstLine="643"/>
              <w:rPr>
                <w:b/>
                <w:bCs/>
                <w:color w:val="auto"/>
                <w:sz w:val="32"/>
                <w:highlight w:val="none"/>
              </w:rPr>
            </w:pPr>
          </w:p>
        </w:tc>
        <w:tc>
          <w:tcPr>
            <w:tcW w:w="2625" w:type="dxa"/>
            <w:vAlign w:val="center"/>
          </w:tcPr>
          <w:p>
            <w:pPr>
              <w:pStyle w:val="83"/>
              <w:ind w:firstLine="643"/>
              <w:rPr>
                <w:b/>
                <w:bCs/>
                <w:color w:val="auto"/>
                <w:sz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pPr>
              <w:pStyle w:val="83"/>
              <w:ind w:firstLine="643"/>
              <w:rPr>
                <w:b/>
                <w:bCs/>
                <w:color w:val="auto"/>
                <w:sz w:val="32"/>
                <w:highlight w:val="none"/>
              </w:rPr>
            </w:pPr>
          </w:p>
        </w:tc>
        <w:tc>
          <w:tcPr>
            <w:tcW w:w="1785" w:type="dxa"/>
          </w:tcPr>
          <w:p>
            <w:pPr>
              <w:pStyle w:val="83"/>
              <w:ind w:firstLine="643"/>
              <w:rPr>
                <w:b/>
                <w:bCs/>
                <w:color w:val="auto"/>
                <w:sz w:val="32"/>
                <w:highlight w:val="none"/>
              </w:rPr>
            </w:pPr>
          </w:p>
        </w:tc>
        <w:tc>
          <w:tcPr>
            <w:tcW w:w="1785" w:type="dxa"/>
            <w:vAlign w:val="center"/>
          </w:tcPr>
          <w:p>
            <w:pPr>
              <w:pStyle w:val="83"/>
              <w:ind w:firstLine="643"/>
              <w:rPr>
                <w:b/>
                <w:bCs/>
                <w:color w:val="auto"/>
                <w:sz w:val="32"/>
                <w:highlight w:val="none"/>
              </w:rPr>
            </w:pPr>
          </w:p>
        </w:tc>
        <w:tc>
          <w:tcPr>
            <w:tcW w:w="1365" w:type="dxa"/>
            <w:vAlign w:val="center"/>
          </w:tcPr>
          <w:p>
            <w:pPr>
              <w:pStyle w:val="83"/>
              <w:ind w:firstLine="643"/>
              <w:rPr>
                <w:b/>
                <w:bCs/>
                <w:color w:val="auto"/>
                <w:sz w:val="32"/>
                <w:highlight w:val="none"/>
              </w:rPr>
            </w:pPr>
          </w:p>
        </w:tc>
        <w:tc>
          <w:tcPr>
            <w:tcW w:w="2625" w:type="dxa"/>
            <w:vAlign w:val="center"/>
          </w:tcPr>
          <w:p>
            <w:pPr>
              <w:pStyle w:val="83"/>
              <w:ind w:firstLine="643"/>
              <w:rPr>
                <w:b/>
                <w:bCs/>
                <w:color w:val="auto"/>
                <w:sz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pPr>
              <w:pStyle w:val="83"/>
              <w:ind w:firstLine="643"/>
              <w:rPr>
                <w:b/>
                <w:bCs/>
                <w:color w:val="auto"/>
                <w:sz w:val="32"/>
                <w:highlight w:val="none"/>
              </w:rPr>
            </w:pPr>
          </w:p>
        </w:tc>
        <w:tc>
          <w:tcPr>
            <w:tcW w:w="1785" w:type="dxa"/>
          </w:tcPr>
          <w:p>
            <w:pPr>
              <w:pStyle w:val="83"/>
              <w:ind w:firstLine="643"/>
              <w:rPr>
                <w:b/>
                <w:bCs/>
                <w:color w:val="auto"/>
                <w:sz w:val="32"/>
                <w:highlight w:val="none"/>
              </w:rPr>
            </w:pPr>
          </w:p>
        </w:tc>
        <w:tc>
          <w:tcPr>
            <w:tcW w:w="1785" w:type="dxa"/>
            <w:vAlign w:val="center"/>
          </w:tcPr>
          <w:p>
            <w:pPr>
              <w:pStyle w:val="83"/>
              <w:ind w:firstLine="643"/>
              <w:rPr>
                <w:b/>
                <w:bCs/>
                <w:color w:val="auto"/>
                <w:sz w:val="32"/>
                <w:highlight w:val="none"/>
              </w:rPr>
            </w:pPr>
          </w:p>
        </w:tc>
        <w:tc>
          <w:tcPr>
            <w:tcW w:w="1365" w:type="dxa"/>
            <w:vAlign w:val="center"/>
          </w:tcPr>
          <w:p>
            <w:pPr>
              <w:pStyle w:val="83"/>
              <w:ind w:firstLine="643"/>
              <w:rPr>
                <w:b/>
                <w:bCs/>
                <w:color w:val="auto"/>
                <w:sz w:val="32"/>
                <w:highlight w:val="none"/>
              </w:rPr>
            </w:pPr>
          </w:p>
        </w:tc>
        <w:tc>
          <w:tcPr>
            <w:tcW w:w="2625" w:type="dxa"/>
            <w:vAlign w:val="center"/>
          </w:tcPr>
          <w:p>
            <w:pPr>
              <w:pStyle w:val="83"/>
              <w:ind w:firstLine="643"/>
              <w:rPr>
                <w:b/>
                <w:bCs/>
                <w:color w:val="auto"/>
                <w:sz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pPr>
              <w:pStyle w:val="83"/>
              <w:ind w:firstLine="643"/>
              <w:rPr>
                <w:b/>
                <w:bCs/>
                <w:color w:val="auto"/>
                <w:sz w:val="32"/>
                <w:highlight w:val="none"/>
              </w:rPr>
            </w:pPr>
          </w:p>
        </w:tc>
        <w:tc>
          <w:tcPr>
            <w:tcW w:w="1785" w:type="dxa"/>
          </w:tcPr>
          <w:p>
            <w:pPr>
              <w:pStyle w:val="83"/>
              <w:ind w:firstLine="643"/>
              <w:rPr>
                <w:b/>
                <w:bCs/>
                <w:color w:val="auto"/>
                <w:sz w:val="32"/>
                <w:highlight w:val="none"/>
              </w:rPr>
            </w:pPr>
          </w:p>
        </w:tc>
        <w:tc>
          <w:tcPr>
            <w:tcW w:w="1785" w:type="dxa"/>
            <w:vAlign w:val="center"/>
          </w:tcPr>
          <w:p>
            <w:pPr>
              <w:pStyle w:val="83"/>
              <w:ind w:firstLine="643"/>
              <w:rPr>
                <w:b/>
                <w:bCs/>
                <w:color w:val="auto"/>
                <w:sz w:val="32"/>
                <w:highlight w:val="none"/>
              </w:rPr>
            </w:pPr>
          </w:p>
        </w:tc>
        <w:tc>
          <w:tcPr>
            <w:tcW w:w="1365" w:type="dxa"/>
            <w:vAlign w:val="center"/>
          </w:tcPr>
          <w:p>
            <w:pPr>
              <w:pStyle w:val="83"/>
              <w:ind w:firstLine="643"/>
              <w:rPr>
                <w:b/>
                <w:bCs/>
                <w:color w:val="auto"/>
                <w:sz w:val="32"/>
                <w:highlight w:val="none"/>
              </w:rPr>
            </w:pPr>
          </w:p>
        </w:tc>
        <w:tc>
          <w:tcPr>
            <w:tcW w:w="2625" w:type="dxa"/>
            <w:vAlign w:val="center"/>
          </w:tcPr>
          <w:p>
            <w:pPr>
              <w:pStyle w:val="83"/>
              <w:ind w:firstLine="643"/>
              <w:rPr>
                <w:b/>
                <w:bCs/>
                <w:color w:val="auto"/>
                <w:sz w:val="32"/>
                <w:highlight w:val="none"/>
              </w:rPr>
            </w:pPr>
          </w:p>
        </w:tc>
      </w:tr>
    </w:tbl>
    <w:p>
      <w:pPr>
        <w:spacing w:line="360" w:lineRule="auto"/>
        <w:ind w:left="420"/>
        <w:rPr>
          <w:rFonts w:ascii="宋体" w:hAnsi="宋体"/>
          <w:color w:val="auto"/>
          <w:szCs w:val="21"/>
          <w:highlight w:val="none"/>
        </w:rPr>
      </w:pPr>
      <w:r>
        <w:rPr>
          <w:rFonts w:ascii="宋体" w:hAnsi="宋体"/>
          <w:color w:val="auto"/>
          <w:szCs w:val="21"/>
          <w:highlight w:val="none"/>
        </w:rPr>
        <w:t>1、商务条款内容主要针对招标文件有关的包括工期</w:t>
      </w:r>
      <w:r>
        <w:rPr>
          <w:rFonts w:hint="eastAsia" w:ascii="宋体" w:hAnsi="宋体"/>
          <w:color w:val="auto"/>
          <w:szCs w:val="21"/>
          <w:highlight w:val="none"/>
        </w:rPr>
        <w:t>（服务期）</w:t>
      </w:r>
      <w:r>
        <w:rPr>
          <w:rFonts w:ascii="宋体" w:hAnsi="宋体"/>
          <w:color w:val="auto"/>
          <w:szCs w:val="21"/>
          <w:highlight w:val="none"/>
        </w:rPr>
        <w:t>、售后服务要求、合同价款结算及付款方式等内容，具体招标文件要求详见第</w:t>
      </w:r>
      <w:r>
        <w:rPr>
          <w:rFonts w:hint="eastAsia" w:ascii="宋体" w:hAnsi="宋体"/>
          <w:color w:val="auto"/>
          <w:szCs w:val="21"/>
          <w:highlight w:val="none"/>
        </w:rPr>
        <w:t>四</w:t>
      </w:r>
      <w:r>
        <w:rPr>
          <w:rFonts w:ascii="宋体" w:hAnsi="宋体"/>
          <w:color w:val="auto"/>
          <w:szCs w:val="21"/>
          <w:highlight w:val="none"/>
        </w:rPr>
        <w:t>章中的商务要求</w:t>
      </w:r>
      <w:r>
        <w:rPr>
          <w:rFonts w:hint="eastAsia" w:ascii="宋体" w:hAnsi="宋体"/>
          <w:color w:val="auto"/>
          <w:szCs w:val="21"/>
          <w:highlight w:val="none"/>
        </w:rPr>
        <w:t>；</w:t>
      </w:r>
      <w:r>
        <w:rPr>
          <w:rFonts w:hint="eastAsia" w:ascii="宋体" w:hAnsi="宋体"/>
          <w:b/>
          <w:color w:val="auto"/>
          <w:szCs w:val="21"/>
          <w:highlight w:val="none"/>
        </w:rPr>
        <w:t>投标人的承诺或说明如未明确表述或表述不完整，视为完全响应</w:t>
      </w:r>
      <w:r>
        <w:rPr>
          <w:rFonts w:hint="eastAsia" w:ascii="宋体" w:hAnsi="宋体"/>
          <w:color w:val="auto"/>
          <w:szCs w:val="21"/>
          <w:highlight w:val="none"/>
        </w:rPr>
        <w:t>。</w:t>
      </w:r>
    </w:p>
    <w:p>
      <w:pPr>
        <w:spacing w:line="360" w:lineRule="auto"/>
        <w:ind w:left="420"/>
        <w:rPr>
          <w:rFonts w:ascii="宋体" w:hAnsi="宋体"/>
          <w:color w:val="auto"/>
          <w:sz w:val="24"/>
          <w:highlight w:val="none"/>
        </w:rPr>
      </w:pPr>
    </w:p>
    <w:p>
      <w:pPr>
        <w:adjustRightInd w:val="0"/>
        <w:snapToGrid w:val="0"/>
        <w:spacing w:line="360" w:lineRule="auto"/>
        <w:ind w:firstLine="4095" w:firstLineChars="1950"/>
        <w:rPr>
          <w:rFonts w:ascii="宋体" w:hAnsi="宋体" w:cs="仿宋_GB2312"/>
          <w:color w:val="auto"/>
          <w:kern w:val="0"/>
          <w:szCs w:val="21"/>
          <w:highlight w:val="none"/>
          <w:lang w:val="zh-CN"/>
        </w:rPr>
      </w:pPr>
      <w:r>
        <w:rPr>
          <w:rFonts w:ascii="宋体" w:hAnsi="宋体" w:cs="仿宋_GB2312"/>
          <w:color w:val="auto"/>
          <w:kern w:val="0"/>
          <w:szCs w:val="21"/>
          <w:highlight w:val="none"/>
          <w:lang w:val="zh-CN"/>
        </w:rPr>
        <w:t>投标人名称(</w:t>
      </w:r>
      <w:r>
        <w:rPr>
          <w:rFonts w:hint="eastAsia" w:ascii="宋体" w:hAnsi="宋体" w:cs="仿宋_GB2312"/>
          <w:color w:val="auto"/>
          <w:kern w:val="0"/>
          <w:szCs w:val="21"/>
          <w:highlight w:val="none"/>
          <w:lang w:val="zh-CN"/>
        </w:rPr>
        <w:t>签电子</w:t>
      </w:r>
      <w:r>
        <w:rPr>
          <w:rFonts w:ascii="宋体" w:hAnsi="宋体" w:cs="仿宋_GB2312"/>
          <w:color w:val="auto"/>
          <w:kern w:val="0"/>
          <w:szCs w:val="21"/>
          <w:highlight w:val="none"/>
          <w:lang w:val="zh-CN"/>
        </w:rPr>
        <w:t>公章)：</w:t>
      </w:r>
    </w:p>
    <w:p>
      <w:pPr>
        <w:adjustRightInd w:val="0"/>
        <w:snapToGrid w:val="0"/>
        <w:spacing w:line="360" w:lineRule="auto"/>
        <w:rPr>
          <w:rFonts w:ascii="宋体" w:hAnsi="宋体" w:cs="仿宋_GB2312"/>
          <w:color w:val="auto"/>
          <w:kern w:val="0"/>
          <w:szCs w:val="21"/>
          <w:highlight w:val="none"/>
          <w:lang w:val="zh-CN"/>
        </w:rPr>
      </w:pPr>
      <w:r>
        <w:rPr>
          <w:rFonts w:ascii="宋体" w:hAnsi="宋体" w:cs="仿宋_GB2312"/>
          <w:color w:val="auto"/>
          <w:kern w:val="0"/>
          <w:szCs w:val="21"/>
          <w:highlight w:val="none"/>
          <w:lang w:val="zh-CN"/>
        </w:rPr>
        <w:t xml:space="preserve">                                       法定代表人或授权委托人(</w:t>
      </w:r>
      <w:r>
        <w:rPr>
          <w:rFonts w:hint="eastAsia" w:ascii="宋体" w:hAnsi="宋体" w:cs="仿宋_GB2312"/>
          <w:color w:val="auto"/>
          <w:kern w:val="0"/>
          <w:szCs w:val="21"/>
          <w:highlight w:val="none"/>
          <w:lang w:val="zh-CN"/>
        </w:rPr>
        <w:t>签章或</w:t>
      </w:r>
      <w:r>
        <w:rPr>
          <w:rFonts w:ascii="宋体" w:hAnsi="宋体" w:cs="仿宋_GB2312"/>
          <w:color w:val="auto"/>
          <w:kern w:val="0"/>
          <w:szCs w:val="21"/>
          <w:highlight w:val="none"/>
          <w:lang w:val="zh-CN"/>
        </w:rPr>
        <w:t>签字)：</w:t>
      </w:r>
    </w:p>
    <w:p>
      <w:pPr>
        <w:spacing w:line="360" w:lineRule="auto"/>
        <w:ind w:firstLine="4200" w:firstLineChars="2000"/>
        <w:rPr>
          <w:rFonts w:ascii="宋体" w:hAnsi="宋体"/>
          <w:color w:val="auto"/>
          <w:szCs w:val="21"/>
          <w:highlight w:val="none"/>
        </w:rPr>
      </w:pPr>
      <w:r>
        <w:rPr>
          <w:rFonts w:hint="eastAsia" w:ascii="宋体" w:hAnsi="宋体"/>
          <w:color w:val="auto"/>
          <w:szCs w:val="21"/>
          <w:highlight w:val="none"/>
        </w:rPr>
        <w:t>日期：</w:t>
      </w:r>
    </w:p>
    <w:p>
      <w:pPr>
        <w:tabs>
          <w:tab w:val="left" w:pos="2460"/>
        </w:tabs>
        <w:spacing w:line="360" w:lineRule="auto"/>
        <w:ind w:firstLine="435"/>
        <w:rPr>
          <w:rFonts w:ascii="宋体" w:hAnsi="宋体"/>
          <w:b/>
          <w:color w:val="auto"/>
          <w:sz w:val="28"/>
          <w:highlight w:val="none"/>
        </w:rPr>
      </w:pPr>
      <w:r>
        <w:rPr>
          <w:rFonts w:ascii="宋体" w:hAnsi="宋体"/>
          <w:b/>
          <w:color w:val="auto"/>
          <w:sz w:val="28"/>
          <w:highlight w:val="none"/>
        </w:rPr>
        <w:br w:type="page"/>
      </w:r>
    </w:p>
    <w:p>
      <w:pPr>
        <w:widowControl/>
        <w:jc w:val="left"/>
        <w:rPr>
          <w:rFonts w:ascii="宋体" w:hAnsi="宋体"/>
          <w:b/>
          <w:color w:val="auto"/>
          <w:sz w:val="28"/>
          <w:highlight w:val="none"/>
        </w:rPr>
      </w:pPr>
    </w:p>
    <w:p>
      <w:pPr>
        <w:spacing w:line="360" w:lineRule="auto"/>
        <w:ind w:right="-110"/>
        <w:jc w:val="left"/>
        <w:rPr>
          <w:rFonts w:hint="default" w:ascii="宋体" w:hAnsi="宋体" w:eastAsia="宋体"/>
          <w:color w:val="auto"/>
          <w:spacing w:val="40"/>
          <w:sz w:val="52"/>
          <w:szCs w:val="52"/>
          <w:highlight w:val="none"/>
          <w:lang w:val="en-US" w:eastAsia="zh-CN"/>
        </w:rPr>
      </w:pPr>
      <w:r>
        <w:rPr>
          <w:rFonts w:hint="eastAsia" w:ascii="宋体" w:hAnsi="宋体"/>
          <w:b/>
          <w:color w:val="auto"/>
          <w:sz w:val="28"/>
          <w:highlight w:val="none"/>
        </w:rPr>
        <w:t>附件</w:t>
      </w:r>
      <w:r>
        <w:rPr>
          <w:rFonts w:hint="eastAsia" w:ascii="宋体" w:hAnsi="宋体"/>
          <w:b/>
          <w:color w:val="auto"/>
          <w:sz w:val="28"/>
          <w:highlight w:val="none"/>
          <w:lang w:val="en-US" w:eastAsia="zh-CN"/>
        </w:rPr>
        <w:t>10</w:t>
      </w:r>
    </w:p>
    <w:p>
      <w:pPr>
        <w:spacing w:line="360" w:lineRule="auto"/>
        <w:ind w:firstLine="900" w:firstLineChars="300"/>
        <w:jc w:val="left"/>
        <w:rPr>
          <w:rFonts w:ascii="宋体" w:hAnsi="宋体"/>
          <w:snapToGrid w:val="0"/>
          <w:color w:val="auto"/>
          <w:kern w:val="0"/>
          <w:sz w:val="30"/>
          <w:szCs w:val="30"/>
          <w:highlight w:val="none"/>
        </w:rPr>
      </w:pPr>
    </w:p>
    <w:p>
      <w:pPr>
        <w:spacing w:line="360" w:lineRule="auto"/>
        <w:ind w:firstLine="900" w:firstLineChars="300"/>
        <w:jc w:val="left"/>
        <w:rPr>
          <w:rFonts w:ascii="宋体" w:hAnsi="宋体"/>
          <w:snapToGrid w:val="0"/>
          <w:color w:val="auto"/>
          <w:kern w:val="0"/>
          <w:sz w:val="30"/>
          <w:szCs w:val="30"/>
          <w:highlight w:val="none"/>
        </w:rPr>
      </w:pPr>
      <w:r>
        <w:rPr>
          <w:rFonts w:hint="eastAsia" w:ascii="宋体" w:hAnsi="宋体"/>
          <w:snapToGrid w:val="0"/>
          <w:color w:val="auto"/>
          <w:kern w:val="0"/>
          <w:sz w:val="30"/>
          <w:szCs w:val="30"/>
          <w:highlight w:val="none"/>
        </w:rPr>
        <w:t>项目名称：</w:t>
      </w:r>
      <w:r>
        <w:rPr>
          <w:rFonts w:hint="eastAsia" w:ascii="宋体" w:hAnsi="宋体"/>
          <w:snapToGrid w:val="0"/>
          <w:color w:val="auto"/>
          <w:kern w:val="0"/>
          <w:sz w:val="30"/>
          <w:szCs w:val="30"/>
          <w:highlight w:val="none"/>
        </w:rPr>
        <w:t>台州湾新区科技治水服务项目</w:t>
      </w:r>
    </w:p>
    <w:p>
      <w:pPr>
        <w:spacing w:beforeLines="100" w:line="360" w:lineRule="auto"/>
        <w:ind w:firstLine="900" w:firstLineChars="300"/>
        <w:rPr>
          <w:rFonts w:ascii="宋体" w:hAnsi="宋体"/>
          <w:snapToGrid w:val="0"/>
          <w:color w:val="auto"/>
          <w:kern w:val="0"/>
          <w:sz w:val="30"/>
          <w:szCs w:val="30"/>
          <w:highlight w:val="none"/>
        </w:rPr>
      </w:pPr>
      <w:r>
        <w:rPr>
          <w:rFonts w:hint="eastAsia" w:ascii="宋体" w:hAnsi="宋体"/>
          <w:color w:val="auto"/>
          <w:sz w:val="30"/>
          <w:szCs w:val="30"/>
          <w:highlight w:val="none"/>
        </w:rPr>
        <w:t>项目编号：</w:t>
      </w:r>
    </w:p>
    <w:p>
      <w:pPr>
        <w:spacing w:after="100" w:afterAutospacing="1" w:line="360" w:lineRule="auto"/>
        <w:ind w:right="-108"/>
        <w:jc w:val="center"/>
        <w:rPr>
          <w:rFonts w:ascii="宋体" w:hAnsi="宋体"/>
          <w:b/>
          <w:color w:val="auto"/>
          <w:spacing w:val="40"/>
          <w:sz w:val="84"/>
          <w:szCs w:val="84"/>
          <w:highlight w:val="none"/>
        </w:rPr>
      </w:pPr>
      <w:r>
        <w:rPr>
          <w:rFonts w:hint="eastAsia" w:ascii="宋体" w:hAnsi="宋体"/>
          <w:b/>
          <w:color w:val="auto"/>
          <w:spacing w:val="40"/>
          <w:sz w:val="84"/>
          <w:szCs w:val="84"/>
          <w:highlight w:val="none"/>
        </w:rPr>
        <w:t>报</w:t>
      </w:r>
    </w:p>
    <w:p>
      <w:pPr>
        <w:spacing w:after="100" w:afterAutospacing="1" w:line="360" w:lineRule="auto"/>
        <w:ind w:right="-108"/>
        <w:jc w:val="center"/>
        <w:rPr>
          <w:rFonts w:ascii="宋体" w:hAnsi="宋体"/>
          <w:b/>
          <w:color w:val="auto"/>
          <w:spacing w:val="40"/>
          <w:sz w:val="84"/>
          <w:szCs w:val="84"/>
          <w:highlight w:val="none"/>
        </w:rPr>
      </w:pPr>
      <w:r>
        <w:rPr>
          <w:rFonts w:hint="eastAsia" w:ascii="宋体" w:hAnsi="宋体"/>
          <w:b/>
          <w:color w:val="auto"/>
          <w:spacing w:val="40"/>
          <w:sz w:val="84"/>
          <w:szCs w:val="84"/>
          <w:highlight w:val="none"/>
        </w:rPr>
        <w:t>价</w:t>
      </w:r>
    </w:p>
    <w:p>
      <w:pPr>
        <w:spacing w:after="100" w:afterAutospacing="1" w:line="360" w:lineRule="auto"/>
        <w:ind w:right="-108"/>
        <w:jc w:val="center"/>
        <w:rPr>
          <w:rFonts w:ascii="宋体" w:hAnsi="宋体"/>
          <w:b/>
          <w:color w:val="auto"/>
          <w:spacing w:val="40"/>
          <w:sz w:val="84"/>
          <w:szCs w:val="84"/>
          <w:highlight w:val="none"/>
        </w:rPr>
      </w:pPr>
      <w:r>
        <w:rPr>
          <w:rFonts w:hint="eastAsia" w:ascii="宋体" w:hAnsi="宋体"/>
          <w:b/>
          <w:color w:val="auto"/>
          <w:spacing w:val="40"/>
          <w:sz w:val="84"/>
          <w:szCs w:val="84"/>
          <w:highlight w:val="none"/>
        </w:rPr>
        <w:t>文</w:t>
      </w:r>
    </w:p>
    <w:p>
      <w:pPr>
        <w:spacing w:after="100" w:afterAutospacing="1" w:line="360" w:lineRule="auto"/>
        <w:ind w:right="-108"/>
        <w:jc w:val="center"/>
        <w:rPr>
          <w:rFonts w:ascii="宋体" w:hAnsi="宋体"/>
          <w:b/>
          <w:color w:val="auto"/>
          <w:spacing w:val="40"/>
          <w:sz w:val="84"/>
          <w:szCs w:val="84"/>
          <w:highlight w:val="none"/>
        </w:rPr>
      </w:pPr>
      <w:r>
        <w:rPr>
          <w:rFonts w:hint="eastAsia" w:ascii="宋体" w:hAnsi="宋体"/>
          <w:b/>
          <w:color w:val="auto"/>
          <w:spacing w:val="40"/>
          <w:sz w:val="84"/>
          <w:szCs w:val="84"/>
          <w:highlight w:val="none"/>
        </w:rPr>
        <w:t>件</w:t>
      </w:r>
    </w:p>
    <w:p>
      <w:pPr>
        <w:spacing w:line="360" w:lineRule="auto"/>
        <w:ind w:right="532"/>
        <w:jc w:val="center"/>
        <w:rPr>
          <w:rFonts w:ascii="宋体" w:hAnsi="宋体"/>
          <w:color w:val="auto"/>
          <w:sz w:val="36"/>
          <w:szCs w:val="36"/>
          <w:highlight w:val="none"/>
        </w:rPr>
      </w:pPr>
    </w:p>
    <w:p>
      <w:pPr>
        <w:spacing w:line="360" w:lineRule="auto"/>
        <w:ind w:right="532" w:firstLine="600" w:firstLineChars="200"/>
        <w:rPr>
          <w:rFonts w:ascii="宋体" w:hAnsi="宋体"/>
          <w:color w:val="auto"/>
          <w:sz w:val="30"/>
          <w:szCs w:val="30"/>
          <w:highlight w:val="none"/>
        </w:rPr>
      </w:pPr>
      <w:r>
        <w:rPr>
          <w:rFonts w:hint="eastAsia" w:ascii="宋体" w:hAnsi="宋体"/>
          <w:color w:val="auto"/>
          <w:sz w:val="30"/>
          <w:szCs w:val="30"/>
          <w:highlight w:val="none"/>
        </w:rPr>
        <w:t>供应商全称（签电子公章）：</w:t>
      </w:r>
    </w:p>
    <w:p>
      <w:pPr>
        <w:spacing w:line="360" w:lineRule="auto"/>
        <w:ind w:right="-108" w:firstLine="600" w:firstLineChars="200"/>
        <w:rPr>
          <w:rFonts w:ascii="宋体" w:hAnsi="宋体"/>
          <w:color w:val="auto"/>
          <w:sz w:val="30"/>
          <w:szCs w:val="30"/>
          <w:highlight w:val="none"/>
        </w:rPr>
      </w:pPr>
      <w:r>
        <w:rPr>
          <w:rFonts w:hint="eastAsia" w:ascii="宋体" w:hAnsi="宋体"/>
          <w:color w:val="auto"/>
          <w:sz w:val="30"/>
          <w:szCs w:val="30"/>
          <w:highlight w:val="none"/>
        </w:rPr>
        <w:t>地址：</w:t>
      </w:r>
    </w:p>
    <w:p>
      <w:pPr>
        <w:spacing w:line="360" w:lineRule="auto"/>
        <w:ind w:right="-108" w:firstLine="600" w:firstLineChars="200"/>
        <w:rPr>
          <w:rFonts w:ascii="宋体" w:hAnsi="宋体"/>
          <w:color w:val="auto"/>
          <w:sz w:val="30"/>
          <w:szCs w:val="30"/>
          <w:highlight w:val="none"/>
        </w:rPr>
      </w:pPr>
      <w:r>
        <w:rPr>
          <w:rFonts w:hint="eastAsia" w:ascii="宋体" w:hAnsi="宋体"/>
          <w:color w:val="auto"/>
          <w:sz w:val="30"/>
          <w:szCs w:val="30"/>
          <w:highlight w:val="none"/>
        </w:rPr>
        <w:t>时间：</w:t>
      </w:r>
    </w:p>
    <w:p>
      <w:pPr>
        <w:widowControl/>
        <w:jc w:val="left"/>
        <w:rPr>
          <w:rFonts w:ascii="宋体" w:hAnsi="宋体"/>
          <w:b/>
          <w:color w:val="auto"/>
          <w:sz w:val="32"/>
          <w:szCs w:val="32"/>
          <w:highlight w:val="none"/>
        </w:rPr>
      </w:pPr>
      <w:r>
        <w:rPr>
          <w:rFonts w:ascii="宋体" w:hAnsi="宋体"/>
          <w:b/>
          <w:color w:val="auto"/>
          <w:sz w:val="32"/>
          <w:szCs w:val="32"/>
          <w:highlight w:val="none"/>
        </w:rPr>
        <w:br w:type="page"/>
      </w:r>
    </w:p>
    <w:p>
      <w:pPr>
        <w:spacing w:line="360" w:lineRule="auto"/>
        <w:ind w:right="-108"/>
        <w:jc w:val="center"/>
        <w:rPr>
          <w:rFonts w:ascii="宋体" w:hAnsi="宋体"/>
          <w:b/>
          <w:color w:val="auto"/>
          <w:sz w:val="32"/>
          <w:szCs w:val="32"/>
          <w:highlight w:val="none"/>
        </w:rPr>
      </w:pPr>
      <w:r>
        <w:rPr>
          <w:rFonts w:hint="eastAsia" w:ascii="宋体" w:hAnsi="宋体"/>
          <w:b/>
          <w:color w:val="auto"/>
          <w:sz w:val="32"/>
          <w:szCs w:val="32"/>
          <w:highlight w:val="none"/>
        </w:rPr>
        <w:t>报价文件目录</w:t>
      </w:r>
    </w:p>
    <w:p>
      <w:pPr>
        <w:spacing w:line="360" w:lineRule="auto"/>
        <w:ind w:right="-108"/>
        <w:jc w:val="center"/>
        <w:rPr>
          <w:rFonts w:ascii="仿宋_GB2312" w:hAnsi="宋体" w:eastAsia="仿宋_GB2312"/>
          <w:b/>
          <w:color w:val="auto"/>
          <w:sz w:val="36"/>
          <w:szCs w:val="36"/>
          <w:highlight w:val="none"/>
        </w:rPr>
      </w:pPr>
    </w:p>
    <w:p>
      <w:pPr>
        <w:spacing w:line="360" w:lineRule="auto"/>
        <w:rPr>
          <w:rFonts w:ascii="宋体" w:hAnsi="宋体"/>
          <w:color w:val="auto"/>
          <w:sz w:val="24"/>
          <w:highlight w:val="none"/>
        </w:rPr>
      </w:pPr>
    </w:p>
    <w:p>
      <w:pPr>
        <w:snapToGrid w:val="0"/>
        <w:spacing w:line="360" w:lineRule="auto"/>
        <w:jc w:val="left"/>
        <w:rPr>
          <w:rFonts w:ascii="宋体" w:hAnsi="宋体"/>
          <w:color w:val="auto"/>
          <w:sz w:val="24"/>
          <w:highlight w:val="none"/>
        </w:rPr>
      </w:pPr>
      <w:r>
        <w:rPr>
          <w:rFonts w:ascii="宋体" w:hAnsi="宋体"/>
          <w:color w:val="auto"/>
          <w:sz w:val="24"/>
          <w:highlight w:val="none"/>
        </w:rPr>
        <w:t>1、开标一览表（附件</w:t>
      </w:r>
      <w:r>
        <w:rPr>
          <w:rFonts w:hint="eastAsia" w:ascii="宋体" w:hAnsi="宋体"/>
          <w:color w:val="auto"/>
          <w:sz w:val="24"/>
          <w:highlight w:val="none"/>
          <w:lang w:val="en-US" w:eastAsia="zh-CN"/>
        </w:rPr>
        <w:t>11</w:t>
      </w:r>
      <w:r>
        <w:rPr>
          <w:rFonts w:hint="eastAsia" w:ascii="宋体" w:hAnsi="宋体"/>
          <w:color w:val="auto"/>
          <w:sz w:val="24"/>
          <w:highlight w:val="none"/>
        </w:rPr>
        <w:t>）；</w:t>
      </w:r>
    </w:p>
    <w:p>
      <w:pPr>
        <w:pStyle w:val="16"/>
        <w:snapToGrid w:val="0"/>
        <w:spacing w:line="360" w:lineRule="auto"/>
        <w:ind w:left="0" w:leftChars="0"/>
        <w:rPr>
          <w:rFonts w:ascii="宋体" w:hAnsi="宋体"/>
          <w:b/>
          <w:color w:val="auto"/>
          <w:sz w:val="28"/>
          <w:highlight w:val="none"/>
        </w:rPr>
      </w:pPr>
      <w:r>
        <w:rPr>
          <w:rFonts w:ascii="宋体" w:hAnsi="宋体" w:eastAsia="宋体"/>
          <w:color w:val="auto"/>
          <w:sz w:val="24"/>
          <w:szCs w:val="24"/>
          <w:highlight w:val="none"/>
        </w:rPr>
        <w:t>2、报价明细表</w:t>
      </w:r>
      <w:r>
        <w:rPr>
          <w:rFonts w:hint="eastAsia" w:ascii="宋体" w:hAnsi="宋体"/>
          <w:color w:val="auto"/>
          <w:sz w:val="24"/>
          <w:highlight w:val="none"/>
        </w:rPr>
        <w:t>（</w:t>
      </w:r>
      <w:r>
        <w:rPr>
          <w:rFonts w:hint="eastAsia" w:ascii="宋体" w:hAnsi="宋体" w:eastAsia="宋体" w:cs="宋体"/>
          <w:color w:val="auto"/>
          <w:sz w:val="24"/>
          <w:highlight w:val="none"/>
        </w:rPr>
        <w:t>附件</w:t>
      </w:r>
      <w:r>
        <w:rPr>
          <w:rFonts w:hint="eastAsia" w:ascii="宋体" w:hAnsi="宋体" w:eastAsia="宋体" w:cs="宋体"/>
          <w:color w:val="auto"/>
          <w:sz w:val="24"/>
          <w:highlight w:val="none"/>
          <w:lang w:val="en-US" w:eastAsia="zh-CN"/>
        </w:rPr>
        <w:t>12</w:t>
      </w:r>
      <w:r>
        <w:rPr>
          <w:rFonts w:hint="eastAsia" w:ascii="宋体" w:hAnsi="宋体" w:eastAsia="宋体" w:cs="宋体"/>
          <w:color w:val="auto"/>
          <w:sz w:val="24"/>
          <w:highlight w:val="none"/>
        </w:rPr>
        <w:t>）</w:t>
      </w: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widowControl/>
        <w:jc w:val="left"/>
        <w:rPr>
          <w:rFonts w:hint="default" w:ascii="宋体" w:hAnsi="宋体" w:eastAsia="宋体"/>
          <w:b/>
          <w:color w:val="auto"/>
          <w:sz w:val="28"/>
          <w:highlight w:val="none"/>
          <w:lang w:val="en-US" w:eastAsia="zh-CN"/>
        </w:rPr>
      </w:pPr>
      <w:r>
        <w:rPr>
          <w:rFonts w:ascii="宋体" w:hAnsi="宋体"/>
          <w:b/>
          <w:color w:val="auto"/>
          <w:sz w:val="28"/>
          <w:highlight w:val="none"/>
        </w:rPr>
        <w:br w:type="page"/>
      </w:r>
      <w:r>
        <w:rPr>
          <w:rFonts w:hint="eastAsia" w:ascii="宋体" w:hAnsi="宋体"/>
          <w:b/>
          <w:color w:val="auto"/>
          <w:sz w:val="28"/>
          <w:highlight w:val="none"/>
        </w:rPr>
        <w:t>附件</w:t>
      </w:r>
      <w:r>
        <w:rPr>
          <w:rFonts w:hint="eastAsia" w:ascii="宋体" w:hAnsi="宋体"/>
          <w:b/>
          <w:color w:val="auto"/>
          <w:sz w:val="28"/>
          <w:highlight w:val="none"/>
          <w:lang w:val="en-US" w:eastAsia="zh-CN"/>
        </w:rPr>
        <w:t>11</w:t>
      </w:r>
    </w:p>
    <w:p>
      <w:pPr>
        <w:spacing w:line="360" w:lineRule="auto"/>
        <w:ind w:left="-2" w:hanging="2"/>
        <w:jc w:val="center"/>
        <w:rPr>
          <w:rFonts w:ascii="宋体" w:hAnsi="宋体"/>
          <w:b/>
          <w:color w:val="auto"/>
          <w:sz w:val="32"/>
          <w:szCs w:val="32"/>
          <w:highlight w:val="none"/>
        </w:rPr>
      </w:pPr>
      <w:r>
        <w:rPr>
          <w:rFonts w:hint="eastAsia" w:ascii="宋体" w:hAnsi="宋体"/>
          <w:b/>
          <w:color w:val="auto"/>
          <w:sz w:val="32"/>
          <w:szCs w:val="32"/>
          <w:highlight w:val="none"/>
        </w:rPr>
        <w:t>开标一览表</w:t>
      </w:r>
    </w:p>
    <w:p>
      <w:pPr>
        <w:pStyle w:val="15"/>
        <w:spacing w:line="320" w:lineRule="exact"/>
        <w:rPr>
          <w:rFonts w:hAnsi="宋体"/>
          <w:b/>
          <w:color w:val="auto"/>
          <w:sz w:val="24"/>
          <w:highlight w:val="none"/>
        </w:rPr>
      </w:pPr>
      <w:r>
        <w:rPr>
          <w:rFonts w:hAnsi="宋体"/>
          <w:b/>
          <w:color w:val="auto"/>
          <w:sz w:val="24"/>
          <w:highlight w:val="none"/>
        </w:rPr>
        <w:t>项目编号：</w:t>
      </w:r>
    </w:p>
    <w:p>
      <w:pPr>
        <w:pStyle w:val="47"/>
        <w:spacing w:line="360" w:lineRule="auto"/>
        <w:ind w:right="480"/>
        <w:jc w:val="left"/>
        <w:rPr>
          <w:rFonts w:hAnsi="宋体"/>
          <w:color w:val="auto"/>
          <w:sz w:val="24"/>
          <w:highlight w:val="none"/>
        </w:rPr>
      </w:pPr>
      <w:r>
        <w:rPr>
          <w:rFonts w:hAnsi="宋体"/>
          <w:b/>
          <w:color w:val="auto"/>
          <w:sz w:val="24"/>
          <w:highlight w:val="none"/>
        </w:rPr>
        <w:t>项目名称：</w:t>
      </w:r>
      <w:r>
        <w:rPr>
          <w:rFonts w:hint="eastAsia" w:hAnsi="宋体"/>
          <w:color w:val="auto"/>
          <w:sz w:val="24"/>
          <w:highlight w:val="none"/>
        </w:rPr>
        <w:t>台州湾新区科技治水服务项目</w:t>
      </w:r>
      <w:r>
        <w:rPr>
          <w:rFonts w:hint="eastAsia" w:hAnsi="宋体"/>
          <w:color w:val="auto"/>
          <w:sz w:val="24"/>
          <w:highlight w:val="none"/>
        </w:rPr>
        <w:t xml:space="preserve">  </w:t>
      </w:r>
      <w:r>
        <w:rPr>
          <w:rFonts w:ascii="宋体" w:hAnsi="宋体"/>
          <w:color w:val="auto"/>
          <w:sz w:val="24"/>
          <w:highlight w:val="none"/>
        </w:rPr>
        <w:t>[货币单位：人民币元]</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911"/>
        <w:gridCol w:w="1090"/>
        <w:gridCol w:w="4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96" w:hRule="atLeast"/>
          <w:jc w:val="center"/>
        </w:trPr>
        <w:tc>
          <w:tcPr>
            <w:tcW w:w="2911" w:type="dxa"/>
            <w:vMerge w:val="restart"/>
            <w:vAlign w:val="center"/>
          </w:tcPr>
          <w:p>
            <w:pPr>
              <w:autoSpaceDE w:val="0"/>
              <w:autoSpaceDN w:val="0"/>
              <w:spacing w:line="450" w:lineRule="exact"/>
              <w:jc w:val="center"/>
              <w:textAlignment w:val="bottom"/>
              <w:rPr>
                <w:rFonts w:ascii="宋体" w:hAnsi="宋体"/>
                <w:color w:val="auto"/>
                <w:sz w:val="24"/>
                <w:highlight w:val="none"/>
              </w:rPr>
            </w:pPr>
            <w:r>
              <w:rPr>
                <w:rFonts w:hint="eastAsia" w:ascii="宋体" w:hAnsi="宋体"/>
                <w:color w:val="auto"/>
                <w:sz w:val="24"/>
                <w:highlight w:val="none"/>
              </w:rPr>
              <w:t>报  价</w:t>
            </w:r>
          </w:p>
        </w:tc>
        <w:tc>
          <w:tcPr>
            <w:tcW w:w="1090" w:type="dxa"/>
            <w:vAlign w:val="center"/>
          </w:tcPr>
          <w:p>
            <w:pPr>
              <w:autoSpaceDE w:val="0"/>
              <w:autoSpaceDN w:val="0"/>
              <w:spacing w:line="450" w:lineRule="exact"/>
              <w:jc w:val="center"/>
              <w:textAlignment w:val="bottom"/>
              <w:rPr>
                <w:rFonts w:ascii="宋体" w:hAnsi="宋体"/>
                <w:color w:val="auto"/>
                <w:sz w:val="24"/>
                <w:highlight w:val="none"/>
              </w:rPr>
            </w:pPr>
            <w:r>
              <w:rPr>
                <w:rFonts w:hint="eastAsia" w:ascii="宋体" w:hAnsi="宋体"/>
                <w:color w:val="auto"/>
                <w:sz w:val="24"/>
                <w:highlight w:val="none"/>
              </w:rPr>
              <w:t>大写</w:t>
            </w:r>
          </w:p>
        </w:tc>
        <w:tc>
          <w:tcPr>
            <w:tcW w:w="4117" w:type="dxa"/>
            <w:vAlign w:val="center"/>
          </w:tcPr>
          <w:p>
            <w:pPr>
              <w:keepNext/>
              <w:keepLines/>
              <w:autoSpaceDE w:val="0"/>
              <w:autoSpaceDN w:val="0"/>
              <w:spacing w:before="340" w:after="330" w:line="450" w:lineRule="exact"/>
              <w:jc w:val="center"/>
              <w:textAlignment w:val="bottom"/>
              <w:outlineLvl w:val="0"/>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96" w:hRule="atLeast"/>
          <w:jc w:val="center"/>
        </w:trPr>
        <w:tc>
          <w:tcPr>
            <w:tcW w:w="2911" w:type="dxa"/>
            <w:vMerge w:val="continue"/>
            <w:vAlign w:val="center"/>
          </w:tcPr>
          <w:p>
            <w:pPr>
              <w:autoSpaceDE w:val="0"/>
              <w:autoSpaceDN w:val="0"/>
              <w:spacing w:line="450" w:lineRule="exact"/>
              <w:jc w:val="center"/>
              <w:textAlignment w:val="bottom"/>
              <w:rPr>
                <w:rFonts w:ascii="宋体" w:hAnsi="宋体"/>
                <w:color w:val="auto"/>
                <w:sz w:val="24"/>
                <w:highlight w:val="none"/>
              </w:rPr>
            </w:pPr>
          </w:p>
        </w:tc>
        <w:tc>
          <w:tcPr>
            <w:tcW w:w="1090" w:type="dxa"/>
            <w:vAlign w:val="center"/>
          </w:tcPr>
          <w:p>
            <w:pPr>
              <w:autoSpaceDE w:val="0"/>
              <w:autoSpaceDN w:val="0"/>
              <w:spacing w:line="450" w:lineRule="exact"/>
              <w:jc w:val="center"/>
              <w:textAlignment w:val="bottom"/>
              <w:rPr>
                <w:rFonts w:ascii="宋体" w:hAnsi="宋体"/>
                <w:color w:val="auto"/>
                <w:sz w:val="24"/>
                <w:highlight w:val="none"/>
              </w:rPr>
            </w:pPr>
            <w:r>
              <w:rPr>
                <w:rFonts w:hint="eastAsia" w:ascii="宋体" w:hAnsi="宋体"/>
                <w:color w:val="auto"/>
                <w:sz w:val="24"/>
                <w:highlight w:val="none"/>
              </w:rPr>
              <w:t>小写</w:t>
            </w:r>
          </w:p>
        </w:tc>
        <w:tc>
          <w:tcPr>
            <w:tcW w:w="4117" w:type="dxa"/>
            <w:vAlign w:val="center"/>
          </w:tcPr>
          <w:p>
            <w:pPr>
              <w:keepNext/>
              <w:keepLines/>
              <w:autoSpaceDE w:val="0"/>
              <w:autoSpaceDN w:val="0"/>
              <w:spacing w:before="340" w:after="330" w:line="450" w:lineRule="exact"/>
              <w:jc w:val="center"/>
              <w:textAlignment w:val="bottom"/>
              <w:outlineLvl w:val="0"/>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05" w:hRule="atLeast"/>
          <w:jc w:val="center"/>
        </w:trPr>
        <w:tc>
          <w:tcPr>
            <w:tcW w:w="2911" w:type="dxa"/>
            <w:vAlign w:val="center"/>
          </w:tcPr>
          <w:p>
            <w:pPr>
              <w:autoSpaceDE w:val="0"/>
              <w:autoSpaceDN w:val="0"/>
              <w:spacing w:line="450" w:lineRule="exact"/>
              <w:jc w:val="center"/>
              <w:textAlignment w:val="bottom"/>
              <w:rPr>
                <w:rFonts w:ascii="宋体" w:hAnsi="宋体"/>
                <w:color w:val="auto"/>
                <w:sz w:val="24"/>
                <w:highlight w:val="none"/>
              </w:rPr>
            </w:pPr>
            <w:r>
              <w:rPr>
                <w:rFonts w:hint="eastAsia" w:ascii="宋体" w:hAnsi="宋体"/>
                <w:color w:val="auto"/>
                <w:sz w:val="24"/>
                <w:highlight w:val="none"/>
              </w:rPr>
              <w:t>服务期</w:t>
            </w:r>
          </w:p>
        </w:tc>
        <w:tc>
          <w:tcPr>
            <w:tcW w:w="5207" w:type="dxa"/>
            <w:gridSpan w:val="2"/>
            <w:vAlign w:val="center"/>
          </w:tcPr>
          <w:p>
            <w:pPr>
              <w:keepNext/>
              <w:keepLines/>
              <w:autoSpaceDE w:val="0"/>
              <w:autoSpaceDN w:val="0"/>
              <w:spacing w:before="340" w:after="330" w:line="450" w:lineRule="exact"/>
              <w:jc w:val="center"/>
              <w:textAlignment w:val="bottom"/>
              <w:outlineLvl w:val="0"/>
              <w:rPr>
                <w:rFonts w:ascii="宋体" w:hAnsi="宋体"/>
                <w:color w:val="auto"/>
                <w:sz w:val="24"/>
                <w:highlight w:val="none"/>
              </w:rPr>
            </w:pPr>
            <w:r>
              <w:rPr>
                <w:rFonts w:hint="eastAsia" w:ascii="宋体" w:hAnsi="宋体"/>
                <w:color w:val="auto"/>
                <w:sz w:val="24"/>
                <w:highlight w:val="none"/>
              </w:rPr>
              <w:t>2年</w:t>
            </w:r>
          </w:p>
        </w:tc>
      </w:tr>
    </w:tbl>
    <w:p>
      <w:pPr>
        <w:spacing w:line="360" w:lineRule="auto"/>
        <w:rPr>
          <w:rFonts w:ascii="宋体" w:hAnsi="宋体"/>
          <w:color w:val="auto"/>
          <w:sz w:val="24"/>
          <w:highlight w:val="none"/>
        </w:rPr>
      </w:pPr>
      <w:r>
        <w:rPr>
          <w:rFonts w:hint="eastAsia" w:ascii="宋体" w:hAnsi="宋体"/>
          <w:b/>
          <w:color w:val="auto"/>
          <w:szCs w:val="21"/>
          <w:highlight w:val="none"/>
        </w:rPr>
        <w:t>填报要求：</w:t>
      </w:r>
    </w:p>
    <w:p>
      <w:pPr>
        <w:pStyle w:val="11"/>
        <w:spacing w:line="360" w:lineRule="auto"/>
        <w:ind w:firstLine="422" w:firstLineChars="200"/>
        <w:rPr>
          <w:rFonts w:ascii="宋体" w:hAnsi="宋体"/>
          <w:b/>
          <w:color w:val="auto"/>
          <w:kern w:val="0"/>
          <w:szCs w:val="21"/>
          <w:highlight w:val="none"/>
        </w:rPr>
      </w:pPr>
      <w:r>
        <w:rPr>
          <w:rFonts w:ascii="宋体" w:hAnsi="宋体"/>
          <w:b/>
          <w:color w:val="auto"/>
          <w:kern w:val="0"/>
          <w:szCs w:val="21"/>
          <w:highlight w:val="none"/>
        </w:rPr>
        <w:t>1.投标总报价是</w:t>
      </w:r>
      <w:r>
        <w:rPr>
          <w:rFonts w:hint="eastAsia" w:ascii="宋体" w:hAnsi="宋体" w:cs="宋体"/>
          <w:b/>
          <w:snapToGrid w:val="0"/>
          <w:color w:val="auto"/>
          <w:kern w:val="0"/>
          <w:szCs w:val="21"/>
          <w:highlight w:val="none"/>
        </w:rPr>
        <w:t>包括为完成</w:t>
      </w:r>
      <w:r>
        <w:rPr>
          <w:rFonts w:hint="eastAsia" w:ascii="宋体" w:hAnsi="宋体" w:cs="宋体"/>
          <w:b/>
          <w:snapToGrid w:val="0"/>
          <w:color w:val="auto"/>
          <w:kern w:val="0"/>
          <w:szCs w:val="21"/>
          <w:highlight w:val="none"/>
        </w:rPr>
        <w:t>台州湾新区科技治水服务项目</w:t>
      </w:r>
      <w:r>
        <w:rPr>
          <w:rFonts w:hint="eastAsia" w:ascii="宋体" w:hAnsi="宋体" w:cs="宋体"/>
          <w:b/>
          <w:snapToGrid w:val="0"/>
          <w:color w:val="auto"/>
          <w:kern w:val="0"/>
          <w:szCs w:val="21"/>
          <w:highlight w:val="none"/>
        </w:rPr>
        <w:t>按招标文件规定的所有工作内容开展而产生的所有费用。</w:t>
      </w:r>
    </w:p>
    <w:p>
      <w:pPr>
        <w:spacing w:line="360" w:lineRule="auto"/>
        <w:ind w:firstLine="422" w:firstLineChars="200"/>
        <w:rPr>
          <w:rFonts w:ascii="宋体" w:hAnsi="宋体"/>
          <w:b/>
          <w:color w:val="auto"/>
          <w:kern w:val="0"/>
          <w:szCs w:val="21"/>
          <w:highlight w:val="none"/>
        </w:rPr>
      </w:pPr>
      <w:r>
        <w:rPr>
          <w:rFonts w:ascii="宋体" w:hAnsi="宋体"/>
          <w:b/>
          <w:color w:val="auto"/>
          <w:kern w:val="0"/>
          <w:szCs w:val="21"/>
          <w:highlight w:val="none"/>
        </w:rPr>
        <w:t>2.报价一经涂改，应在涂改处加盖单位公章，或者由法定代表人或全权代表签字或盖章，否则其投标作无效标处理。</w:t>
      </w:r>
    </w:p>
    <w:p>
      <w:pPr>
        <w:adjustRightInd w:val="0"/>
        <w:snapToGrid w:val="0"/>
        <w:spacing w:line="360" w:lineRule="auto"/>
        <w:ind w:firstLine="4095" w:firstLineChars="1950"/>
        <w:rPr>
          <w:rFonts w:ascii="宋体" w:hAnsi="宋体" w:cs="仿宋_GB2312"/>
          <w:color w:val="auto"/>
          <w:kern w:val="0"/>
          <w:szCs w:val="21"/>
          <w:highlight w:val="none"/>
          <w:lang w:val="zh-CN"/>
        </w:rPr>
      </w:pPr>
    </w:p>
    <w:p>
      <w:pPr>
        <w:adjustRightInd w:val="0"/>
        <w:snapToGrid w:val="0"/>
        <w:spacing w:line="360" w:lineRule="auto"/>
        <w:ind w:firstLine="4095" w:firstLineChars="1950"/>
        <w:rPr>
          <w:rFonts w:ascii="宋体" w:hAnsi="宋体" w:cs="仿宋_GB2312"/>
          <w:color w:val="auto"/>
          <w:kern w:val="0"/>
          <w:szCs w:val="21"/>
          <w:highlight w:val="none"/>
          <w:lang w:val="zh-CN"/>
        </w:rPr>
      </w:pPr>
      <w:r>
        <w:rPr>
          <w:rFonts w:ascii="宋体" w:hAnsi="宋体" w:cs="仿宋_GB2312"/>
          <w:color w:val="auto"/>
          <w:kern w:val="0"/>
          <w:szCs w:val="21"/>
          <w:highlight w:val="none"/>
          <w:lang w:val="zh-CN"/>
        </w:rPr>
        <w:t xml:space="preserve"> 投标人名称(</w:t>
      </w:r>
      <w:r>
        <w:rPr>
          <w:rFonts w:hint="eastAsia" w:ascii="宋体" w:hAnsi="宋体" w:cs="仿宋_GB2312"/>
          <w:color w:val="auto"/>
          <w:kern w:val="0"/>
          <w:szCs w:val="21"/>
          <w:highlight w:val="none"/>
          <w:lang w:val="zh-CN"/>
        </w:rPr>
        <w:t>签电子</w:t>
      </w:r>
      <w:r>
        <w:rPr>
          <w:rFonts w:ascii="宋体" w:hAnsi="宋体" w:cs="仿宋_GB2312"/>
          <w:color w:val="auto"/>
          <w:kern w:val="0"/>
          <w:szCs w:val="21"/>
          <w:highlight w:val="none"/>
          <w:lang w:val="zh-CN"/>
        </w:rPr>
        <w:t>公章)：</w:t>
      </w:r>
    </w:p>
    <w:p>
      <w:pPr>
        <w:adjustRightInd w:val="0"/>
        <w:snapToGrid w:val="0"/>
        <w:spacing w:line="360" w:lineRule="auto"/>
        <w:rPr>
          <w:rFonts w:ascii="宋体" w:hAnsi="宋体" w:cs="仿宋_GB2312"/>
          <w:color w:val="auto"/>
          <w:kern w:val="0"/>
          <w:szCs w:val="21"/>
          <w:highlight w:val="none"/>
          <w:lang w:val="zh-CN"/>
        </w:rPr>
      </w:pPr>
      <w:r>
        <w:rPr>
          <w:rFonts w:ascii="宋体" w:hAnsi="宋体" w:cs="仿宋_GB2312"/>
          <w:color w:val="auto"/>
          <w:kern w:val="0"/>
          <w:szCs w:val="21"/>
          <w:highlight w:val="none"/>
          <w:lang w:val="zh-CN"/>
        </w:rPr>
        <w:t xml:space="preserve">                                       法定代表人或授权委托人(</w:t>
      </w:r>
      <w:r>
        <w:rPr>
          <w:rFonts w:hint="eastAsia" w:ascii="宋体" w:hAnsi="宋体" w:cs="仿宋_GB2312"/>
          <w:color w:val="auto"/>
          <w:kern w:val="0"/>
          <w:szCs w:val="21"/>
          <w:highlight w:val="none"/>
          <w:lang w:val="zh-CN"/>
        </w:rPr>
        <w:t>签章或</w:t>
      </w:r>
      <w:r>
        <w:rPr>
          <w:rFonts w:ascii="宋体" w:hAnsi="宋体" w:cs="仿宋_GB2312"/>
          <w:color w:val="auto"/>
          <w:kern w:val="0"/>
          <w:szCs w:val="21"/>
          <w:highlight w:val="none"/>
          <w:lang w:val="zh-CN"/>
        </w:rPr>
        <w:t>签字)：</w:t>
      </w:r>
    </w:p>
    <w:p>
      <w:pPr>
        <w:spacing w:line="360" w:lineRule="auto"/>
        <w:ind w:firstLine="435"/>
        <w:rPr>
          <w:rFonts w:ascii="宋体" w:hAnsi="宋体"/>
          <w:color w:val="auto"/>
          <w:sz w:val="24"/>
          <w:highlight w:val="none"/>
        </w:rPr>
      </w:pPr>
    </w:p>
    <w:p>
      <w:pPr>
        <w:spacing w:line="360" w:lineRule="auto"/>
        <w:ind w:firstLine="4208" w:firstLineChars="2004"/>
        <w:rPr>
          <w:rFonts w:ascii="宋体" w:hAnsi="宋体"/>
          <w:color w:val="auto"/>
          <w:szCs w:val="21"/>
          <w:highlight w:val="none"/>
        </w:rPr>
      </w:pPr>
      <w:r>
        <w:rPr>
          <w:rFonts w:hint="eastAsia" w:ascii="宋体" w:hAnsi="宋体"/>
          <w:color w:val="auto"/>
          <w:szCs w:val="21"/>
          <w:highlight w:val="none"/>
        </w:rPr>
        <w:t>日  期：</w:t>
      </w:r>
    </w:p>
    <w:p>
      <w:pPr>
        <w:spacing w:line="360" w:lineRule="auto"/>
        <w:ind w:firstLine="435"/>
        <w:rPr>
          <w:rFonts w:ascii="宋体" w:hAnsi="宋体"/>
          <w:color w:val="auto"/>
          <w:sz w:val="24"/>
          <w:highlight w:val="none"/>
        </w:rPr>
      </w:pPr>
      <w:r>
        <w:rPr>
          <w:rFonts w:ascii="宋体" w:hAnsi="宋体"/>
          <w:b/>
          <w:color w:val="auto"/>
          <w:sz w:val="28"/>
          <w:highlight w:val="none"/>
        </w:rPr>
        <w:br w:type="page"/>
      </w:r>
    </w:p>
    <w:p>
      <w:pPr>
        <w:spacing w:line="360" w:lineRule="auto"/>
        <w:rPr>
          <w:rFonts w:hint="default" w:ascii="宋体" w:hAnsi="宋体" w:eastAsia="宋体"/>
          <w:color w:val="auto"/>
          <w:sz w:val="24"/>
          <w:highlight w:val="none"/>
          <w:lang w:val="en-US" w:eastAsia="zh-CN"/>
        </w:rPr>
      </w:pPr>
      <w:r>
        <w:rPr>
          <w:rFonts w:hint="eastAsia" w:ascii="宋体" w:hAnsi="宋体"/>
          <w:b/>
          <w:color w:val="auto"/>
          <w:sz w:val="28"/>
          <w:highlight w:val="none"/>
        </w:rPr>
        <w:t>附件</w:t>
      </w:r>
      <w:r>
        <w:rPr>
          <w:rFonts w:hint="eastAsia" w:ascii="宋体" w:hAnsi="宋体"/>
          <w:b/>
          <w:color w:val="auto"/>
          <w:sz w:val="28"/>
          <w:highlight w:val="none"/>
          <w:lang w:val="en-US" w:eastAsia="zh-CN"/>
        </w:rPr>
        <w:t>12</w:t>
      </w:r>
    </w:p>
    <w:p>
      <w:pPr>
        <w:spacing w:line="360" w:lineRule="auto"/>
        <w:ind w:left="480"/>
        <w:jc w:val="center"/>
        <w:rPr>
          <w:rFonts w:ascii="宋体" w:hAnsi="宋体"/>
          <w:color w:val="auto"/>
          <w:highlight w:val="none"/>
        </w:rPr>
      </w:pPr>
      <w:r>
        <w:rPr>
          <w:rFonts w:hint="eastAsia" w:ascii="宋体" w:hAnsi="宋体"/>
          <w:b/>
          <w:color w:val="auto"/>
          <w:sz w:val="32"/>
          <w:szCs w:val="32"/>
          <w:highlight w:val="none"/>
        </w:rPr>
        <w:t>报价明细表</w:t>
      </w:r>
    </w:p>
    <w:p>
      <w:pPr>
        <w:spacing w:line="360" w:lineRule="auto"/>
        <w:rPr>
          <w:rFonts w:ascii="宋体" w:hAnsi="宋体"/>
          <w:color w:val="auto"/>
          <w:sz w:val="24"/>
          <w:highlight w:val="none"/>
        </w:rPr>
      </w:pPr>
      <w:r>
        <w:rPr>
          <w:rFonts w:ascii="宋体" w:hAnsi="宋体"/>
          <w:color w:val="auto"/>
          <w:sz w:val="24"/>
          <w:highlight w:val="none"/>
        </w:rPr>
        <w:t xml:space="preserve">  项目编号：[货币单位：人民币元]</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390"/>
        <w:gridCol w:w="825"/>
        <w:gridCol w:w="1200"/>
        <w:gridCol w:w="1260"/>
        <w:gridCol w:w="1429"/>
        <w:gridCol w:w="1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59" w:type="dxa"/>
            <w:vAlign w:val="center"/>
          </w:tcPr>
          <w:p>
            <w:pPr>
              <w:pStyle w:val="83"/>
              <w:ind w:right="-107" w:rightChars="-51" w:firstLine="0" w:firstLineChars="0"/>
              <w:jc w:val="center"/>
              <w:rPr>
                <w:color w:val="auto"/>
                <w:highlight w:val="none"/>
              </w:rPr>
            </w:pPr>
            <w:r>
              <w:rPr>
                <w:rFonts w:hint="eastAsia"/>
                <w:color w:val="auto"/>
                <w:highlight w:val="none"/>
              </w:rPr>
              <w:t>序号</w:t>
            </w:r>
          </w:p>
        </w:tc>
        <w:tc>
          <w:tcPr>
            <w:tcW w:w="1390" w:type="dxa"/>
            <w:vAlign w:val="center"/>
          </w:tcPr>
          <w:p>
            <w:pPr>
              <w:pStyle w:val="83"/>
              <w:ind w:firstLine="0" w:firstLineChars="0"/>
              <w:jc w:val="center"/>
              <w:rPr>
                <w:color w:val="auto"/>
                <w:highlight w:val="none"/>
              </w:rPr>
            </w:pPr>
            <w:r>
              <w:rPr>
                <w:rFonts w:hint="eastAsia"/>
                <w:color w:val="auto"/>
                <w:highlight w:val="none"/>
              </w:rPr>
              <w:t>报价项目</w:t>
            </w:r>
          </w:p>
        </w:tc>
        <w:tc>
          <w:tcPr>
            <w:tcW w:w="825" w:type="dxa"/>
            <w:vAlign w:val="center"/>
          </w:tcPr>
          <w:p>
            <w:pPr>
              <w:pStyle w:val="83"/>
              <w:ind w:firstLine="0" w:firstLineChars="0"/>
              <w:jc w:val="center"/>
              <w:rPr>
                <w:color w:val="auto"/>
                <w:highlight w:val="none"/>
              </w:rPr>
            </w:pPr>
            <w:r>
              <w:rPr>
                <w:rFonts w:hint="eastAsia"/>
                <w:color w:val="auto"/>
                <w:highlight w:val="none"/>
              </w:rPr>
              <w:t>单位</w:t>
            </w:r>
          </w:p>
        </w:tc>
        <w:tc>
          <w:tcPr>
            <w:tcW w:w="1200" w:type="dxa"/>
            <w:vAlign w:val="center"/>
          </w:tcPr>
          <w:p>
            <w:pPr>
              <w:pStyle w:val="83"/>
              <w:ind w:firstLine="0" w:firstLineChars="0"/>
              <w:jc w:val="center"/>
              <w:rPr>
                <w:color w:val="auto"/>
                <w:highlight w:val="none"/>
              </w:rPr>
            </w:pPr>
            <w:r>
              <w:rPr>
                <w:rFonts w:hint="eastAsia"/>
                <w:color w:val="auto"/>
                <w:highlight w:val="none"/>
              </w:rPr>
              <w:t>数量</w:t>
            </w:r>
          </w:p>
        </w:tc>
        <w:tc>
          <w:tcPr>
            <w:tcW w:w="1260" w:type="dxa"/>
            <w:vAlign w:val="center"/>
          </w:tcPr>
          <w:p>
            <w:pPr>
              <w:pStyle w:val="83"/>
              <w:ind w:firstLine="19" w:firstLineChars="8"/>
              <w:jc w:val="center"/>
              <w:rPr>
                <w:color w:val="auto"/>
                <w:highlight w:val="none"/>
              </w:rPr>
            </w:pPr>
            <w:r>
              <w:rPr>
                <w:rFonts w:hint="eastAsia"/>
                <w:color w:val="auto"/>
                <w:highlight w:val="none"/>
              </w:rPr>
              <w:t>单价</w:t>
            </w:r>
          </w:p>
        </w:tc>
        <w:tc>
          <w:tcPr>
            <w:tcW w:w="1429" w:type="dxa"/>
            <w:vAlign w:val="center"/>
          </w:tcPr>
          <w:p>
            <w:pPr>
              <w:pStyle w:val="83"/>
              <w:ind w:firstLine="0" w:firstLineChars="0"/>
              <w:jc w:val="center"/>
              <w:rPr>
                <w:color w:val="auto"/>
                <w:highlight w:val="none"/>
              </w:rPr>
            </w:pPr>
            <w:r>
              <w:rPr>
                <w:rFonts w:hint="eastAsia"/>
                <w:color w:val="auto"/>
                <w:highlight w:val="none"/>
              </w:rPr>
              <w:t>小计</w:t>
            </w:r>
          </w:p>
        </w:tc>
        <w:tc>
          <w:tcPr>
            <w:tcW w:w="1409" w:type="dxa"/>
            <w:vAlign w:val="center"/>
          </w:tcPr>
          <w:p>
            <w:pPr>
              <w:pStyle w:val="83"/>
              <w:ind w:firstLine="0" w:firstLineChars="0"/>
              <w:jc w:val="center"/>
              <w:rPr>
                <w:color w:val="auto"/>
                <w:highlight w:val="none"/>
              </w:rPr>
            </w:pPr>
            <w:r>
              <w:rPr>
                <w:rFonts w:hint="eastAsia"/>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959" w:type="dxa"/>
            <w:vAlign w:val="center"/>
          </w:tcPr>
          <w:p>
            <w:pPr>
              <w:pStyle w:val="83"/>
              <w:ind w:firstLine="0" w:firstLineChars="0"/>
              <w:jc w:val="center"/>
              <w:rPr>
                <w:color w:val="auto"/>
                <w:highlight w:val="none"/>
              </w:rPr>
            </w:pPr>
            <w:r>
              <w:rPr>
                <w:rFonts w:hint="eastAsia"/>
                <w:color w:val="auto"/>
                <w:highlight w:val="none"/>
              </w:rPr>
              <w:t>1</w:t>
            </w:r>
          </w:p>
        </w:tc>
        <w:tc>
          <w:tcPr>
            <w:tcW w:w="1390" w:type="dxa"/>
            <w:vAlign w:val="center"/>
          </w:tcPr>
          <w:p>
            <w:pPr>
              <w:pStyle w:val="83"/>
              <w:ind w:firstLine="480"/>
              <w:rPr>
                <w:color w:val="auto"/>
                <w:highlight w:val="none"/>
              </w:rPr>
            </w:pPr>
          </w:p>
        </w:tc>
        <w:tc>
          <w:tcPr>
            <w:tcW w:w="825" w:type="dxa"/>
            <w:vAlign w:val="center"/>
          </w:tcPr>
          <w:p>
            <w:pPr>
              <w:pStyle w:val="83"/>
              <w:ind w:firstLine="480"/>
              <w:rPr>
                <w:color w:val="auto"/>
                <w:highlight w:val="none"/>
              </w:rPr>
            </w:pPr>
          </w:p>
        </w:tc>
        <w:tc>
          <w:tcPr>
            <w:tcW w:w="1200" w:type="dxa"/>
            <w:vAlign w:val="center"/>
          </w:tcPr>
          <w:p>
            <w:pPr>
              <w:pStyle w:val="83"/>
              <w:ind w:firstLine="480"/>
              <w:rPr>
                <w:color w:val="auto"/>
                <w:highlight w:val="none"/>
              </w:rPr>
            </w:pPr>
          </w:p>
        </w:tc>
        <w:tc>
          <w:tcPr>
            <w:tcW w:w="1260" w:type="dxa"/>
            <w:vAlign w:val="center"/>
          </w:tcPr>
          <w:p>
            <w:pPr>
              <w:pStyle w:val="83"/>
              <w:ind w:firstLine="480"/>
              <w:rPr>
                <w:color w:val="auto"/>
                <w:highlight w:val="none"/>
              </w:rPr>
            </w:pPr>
          </w:p>
        </w:tc>
        <w:tc>
          <w:tcPr>
            <w:tcW w:w="1429" w:type="dxa"/>
            <w:vAlign w:val="center"/>
          </w:tcPr>
          <w:p>
            <w:pPr>
              <w:pStyle w:val="83"/>
              <w:ind w:firstLine="480"/>
              <w:rPr>
                <w:color w:val="auto"/>
                <w:highlight w:val="none"/>
              </w:rPr>
            </w:pPr>
          </w:p>
        </w:tc>
        <w:tc>
          <w:tcPr>
            <w:tcW w:w="1409" w:type="dxa"/>
            <w:vAlign w:val="center"/>
          </w:tcPr>
          <w:p>
            <w:pPr>
              <w:pStyle w:val="83"/>
              <w:ind w:firstLine="0" w:firstLineChars="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959" w:type="dxa"/>
            <w:vAlign w:val="center"/>
          </w:tcPr>
          <w:p>
            <w:pPr>
              <w:pStyle w:val="83"/>
              <w:ind w:firstLine="0" w:firstLineChars="0"/>
              <w:jc w:val="center"/>
              <w:rPr>
                <w:color w:val="auto"/>
                <w:highlight w:val="none"/>
              </w:rPr>
            </w:pPr>
            <w:r>
              <w:rPr>
                <w:rFonts w:hint="eastAsia"/>
                <w:color w:val="auto"/>
                <w:highlight w:val="none"/>
              </w:rPr>
              <w:t>2</w:t>
            </w:r>
          </w:p>
        </w:tc>
        <w:tc>
          <w:tcPr>
            <w:tcW w:w="1390" w:type="dxa"/>
            <w:vAlign w:val="center"/>
          </w:tcPr>
          <w:p>
            <w:pPr>
              <w:pStyle w:val="83"/>
              <w:ind w:firstLine="480"/>
              <w:rPr>
                <w:color w:val="auto"/>
                <w:highlight w:val="none"/>
              </w:rPr>
            </w:pPr>
          </w:p>
        </w:tc>
        <w:tc>
          <w:tcPr>
            <w:tcW w:w="825" w:type="dxa"/>
            <w:vAlign w:val="center"/>
          </w:tcPr>
          <w:p>
            <w:pPr>
              <w:pStyle w:val="83"/>
              <w:ind w:firstLine="480"/>
              <w:rPr>
                <w:color w:val="auto"/>
                <w:highlight w:val="none"/>
              </w:rPr>
            </w:pPr>
          </w:p>
        </w:tc>
        <w:tc>
          <w:tcPr>
            <w:tcW w:w="1200" w:type="dxa"/>
            <w:vAlign w:val="center"/>
          </w:tcPr>
          <w:p>
            <w:pPr>
              <w:pStyle w:val="83"/>
              <w:ind w:firstLine="480"/>
              <w:rPr>
                <w:color w:val="auto"/>
                <w:highlight w:val="none"/>
              </w:rPr>
            </w:pPr>
          </w:p>
        </w:tc>
        <w:tc>
          <w:tcPr>
            <w:tcW w:w="1260" w:type="dxa"/>
            <w:vAlign w:val="center"/>
          </w:tcPr>
          <w:p>
            <w:pPr>
              <w:pStyle w:val="83"/>
              <w:ind w:firstLine="480"/>
              <w:rPr>
                <w:color w:val="auto"/>
                <w:highlight w:val="none"/>
              </w:rPr>
            </w:pPr>
          </w:p>
        </w:tc>
        <w:tc>
          <w:tcPr>
            <w:tcW w:w="1429" w:type="dxa"/>
            <w:vAlign w:val="center"/>
          </w:tcPr>
          <w:p>
            <w:pPr>
              <w:pStyle w:val="83"/>
              <w:ind w:firstLine="480"/>
              <w:rPr>
                <w:color w:val="auto"/>
                <w:highlight w:val="none"/>
              </w:rPr>
            </w:pPr>
          </w:p>
        </w:tc>
        <w:tc>
          <w:tcPr>
            <w:tcW w:w="1409" w:type="dxa"/>
            <w:vAlign w:val="center"/>
          </w:tcPr>
          <w:p>
            <w:pPr>
              <w:pStyle w:val="83"/>
              <w:ind w:firstLine="48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959" w:type="dxa"/>
            <w:vAlign w:val="center"/>
          </w:tcPr>
          <w:p>
            <w:pPr>
              <w:pStyle w:val="83"/>
              <w:ind w:firstLine="0" w:firstLineChars="0"/>
              <w:jc w:val="center"/>
              <w:rPr>
                <w:color w:val="auto"/>
                <w:highlight w:val="none"/>
              </w:rPr>
            </w:pPr>
            <w:r>
              <w:rPr>
                <w:rFonts w:hint="eastAsia"/>
                <w:color w:val="auto"/>
                <w:highlight w:val="none"/>
              </w:rPr>
              <w:t>3</w:t>
            </w:r>
          </w:p>
        </w:tc>
        <w:tc>
          <w:tcPr>
            <w:tcW w:w="1390" w:type="dxa"/>
            <w:vAlign w:val="center"/>
          </w:tcPr>
          <w:p>
            <w:pPr>
              <w:pStyle w:val="83"/>
              <w:ind w:firstLine="480"/>
              <w:rPr>
                <w:color w:val="auto"/>
                <w:highlight w:val="none"/>
              </w:rPr>
            </w:pPr>
          </w:p>
        </w:tc>
        <w:tc>
          <w:tcPr>
            <w:tcW w:w="825" w:type="dxa"/>
            <w:vAlign w:val="center"/>
          </w:tcPr>
          <w:p>
            <w:pPr>
              <w:pStyle w:val="83"/>
              <w:ind w:firstLine="480"/>
              <w:rPr>
                <w:color w:val="auto"/>
                <w:highlight w:val="none"/>
              </w:rPr>
            </w:pPr>
          </w:p>
        </w:tc>
        <w:tc>
          <w:tcPr>
            <w:tcW w:w="1200" w:type="dxa"/>
            <w:vAlign w:val="center"/>
          </w:tcPr>
          <w:p>
            <w:pPr>
              <w:pStyle w:val="83"/>
              <w:ind w:firstLine="480"/>
              <w:rPr>
                <w:color w:val="auto"/>
                <w:highlight w:val="none"/>
              </w:rPr>
            </w:pPr>
          </w:p>
        </w:tc>
        <w:tc>
          <w:tcPr>
            <w:tcW w:w="1260" w:type="dxa"/>
            <w:vAlign w:val="center"/>
          </w:tcPr>
          <w:p>
            <w:pPr>
              <w:pStyle w:val="83"/>
              <w:ind w:firstLine="480"/>
              <w:rPr>
                <w:color w:val="auto"/>
                <w:highlight w:val="none"/>
              </w:rPr>
            </w:pPr>
          </w:p>
        </w:tc>
        <w:tc>
          <w:tcPr>
            <w:tcW w:w="1429" w:type="dxa"/>
            <w:vAlign w:val="center"/>
          </w:tcPr>
          <w:p>
            <w:pPr>
              <w:pStyle w:val="83"/>
              <w:ind w:firstLine="480"/>
              <w:rPr>
                <w:color w:val="auto"/>
                <w:highlight w:val="none"/>
              </w:rPr>
            </w:pPr>
          </w:p>
        </w:tc>
        <w:tc>
          <w:tcPr>
            <w:tcW w:w="1409" w:type="dxa"/>
            <w:vAlign w:val="center"/>
          </w:tcPr>
          <w:p>
            <w:pPr>
              <w:pStyle w:val="83"/>
              <w:ind w:firstLine="48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959" w:type="dxa"/>
            <w:vAlign w:val="center"/>
          </w:tcPr>
          <w:p>
            <w:pPr>
              <w:pStyle w:val="83"/>
              <w:ind w:firstLine="0" w:firstLineChars="0"/>
              <w:jc w:val="center"/>
              <w:rPr>
                <w:color w:val="auto"/>
                <w:highlight w:val="none"/>
              </w:rPr>
            </w:pPr>
            <w:r>
              <w:rPr>
                <w:rFonts w:hint="eastAsia"/>
                <w:color w:val="auto"/>
                <w:highlight w:val="none"/>
              </w:rPr>
              <w:t>4</w:t>
            </w:r>
          </w:p>
        </w:tc>
        <w:tc>
          <w:tcPr>
            <w:tcW w:w="1390" w:type="dxa"/>
            <w:vAlign w:val="center"/>
          </w:tcPr>
          <w:p>
            <w:pPr>
              <w:pStyle w:val="83"/>
              <w:ind w:firstLine="480"/>
              <w:rPr>
                <w:color w:val="auto"/>
                <w:highlight w:val="none"/>
              </w:rPr>
            </w:pPr>
          </w:p>
        </w:tc>
        <w:tc>
          <w:tcPr>
            <w:tcW w:w="825" w:type="dxa"/>
            <w:vAlign w:val="center"/>
          </w:tcPr>
          <w:p>
            <w:pPr>
              <w:pStyle w:val="83"/>
              <w:ind w:firstLine="480"/>
              <w:rPr>
                <w:color w:val="auto"/>
                <w:highlight w:val="none"/>
              </w:rPr>
            </w:pPr>
          </w:p>
        </w:tc>
        <w:tc>
          <w:tcPr>
            <w:tcW w:w="1200" w:type="dxa"/>
            <w:vAlign w:val="center"/>
          </w:tcPr>
          <w:p>
            <w:pPr>
              <w:pStyle w:val="83"/>
              <w:ind w:firstLine="480"/>
              <w:rPr>
                <w:color w:val="auto"/>
                <w:highlight w:val="none"/>
              </w:rPr>
            </w:pPr>
          </w:p>
        </w:tc>
        <w:tc>
          <w:tcPr>
            <w:tcW w:w="1260" w:type="dxa"/>
            <w:vAlign w:val="center"/>
          </w:tcPr>
          <w:p>
            <w:pPr>
              <w:pStyle w:val="83"/>
              <w:ind w:firstLine="480"/>
              <w:rPr>
                <w:color w:val="auto"/>
                <w:highlight w:val="none"/>
              </w:rPr>
            </w:pPr>
          </w:p>
        </w:tc>
        <w:tc>
          <w:tcPr>
            <w:tcW w:w="1429" w:type="dxa"/>
            <w:vAlign w:val="center"/>
          </w:tcPr>
          <w:p>
            <w:pPr>
              <w:pStyle w:val="83"/>
              <w:ind w:firstLine="480"/>
              <w:rPr>
                <w:color w:val="auto"/>
                <w:highlight w:val="none"/>
              </w:rPr>
            </w:pPr>
          </w:p>
        </w:tc>
        <w:tc>
          <w:tcPr>
            <w:tcW w:w="1409" w:type="dxa"/>
            <w:vAlign w:val="center"/>
          </w:tcPr>
          <w:p>
            <w:pPr>
              <w:pStyle w:val="83"/>
              <w:ind w:firstLine="48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959" w:type="dxa"/>
            <w:vAlign w:val="center"/>
          </w:tcPr>
          <w:p>
            <w:pPr>
              <w:pStyle w:val="83"/>
              <w:ind w:firstLine="0" w:firstLineChars="0"/>
              <w:rPr>
                <w:color w:val="auto"/>
                <w:highlight w:val="none"/>
              </w:rPr>
            </w:pPr>
            <w:r>
              <w:rPr>
                <w:rFonts w:hint="eastAsia"/>
                <w:color w:val="auto"/>
                <w:highlight w:val="none"/>
              </w:rPr>
              <w:t>......</w:t>
            </w:r>
          </w:p>
        </w:tc>
        <w:tc>
          <w:tcPr>
            <w:tcW w:w="1390" w:type="dxa"/>
            <w:vAlign w:val="center"/>
          </w:tcPr>
          <w:p>
            <w:pPr>
              <w:pStyle w:val="83"/>
              <w:ind w:firstLine="480"/>
              <w:rPr>
                <w:color w:val="auto"/>
                <w:highlight w:val="none"/>
              </w:rPr>
            </w:pPr>
          </w:p>
        </w:tc>
        <w:tc>
          <w:tcPr>
            <w:tcW w:w="825" w:type="dxa"/>
            <w:vAlign w:val="center"/>
          </w:tcPr>
          <w:p>
            <w:pPr>
              <w:pStyle w:val="83"/>
              <w:ind w:firstLine="480"/>
              <w:rPr>
                <w:color w:val="auto"/>
                <w:highlight w:val="none"/>
              </w:rPr>
            </w:pPr>
          </w:p>
        </w:tc>
        <w:tc>
          <w:tcPr>
            <w:tcW w:w="1200" w:type="dxa"/>
            <w:vAlign w:val="center"/>
          </w:tcPr>
          <w:p>
            <w:pPr>
              <w:pStyle w:val="83"/>
              <w:ind w:firstLine="480"/>
              <w:rPr>
                <w:color w:val="auto"/>
                <w:highlight w:val="none"/>
              </w:rPr>
            </w:pPr>
          </w:p>
        </w:tc>
        <w:tc>
          <w:tcPr>
            <w:tcW w:w="1260" w:type="dxa"/>
            <w:vAlign w:val="center"/>
          </w:tcPr>
          <w:p>
            <w:pPr>
              <w:pStyle w:val="83"/>
              <w:ind w:firstLine="480"/>
              <w:rPr>
                <w:color w:val="auto"/>
                <w:highlight w:val="none"/>
              </w:rPr>
            </w:pPr>
          </w:p>
        </w:tc>
        <w:tc>
          <w:tcPr>
            <w:tcW w:w="1429" w:type="dxa"/>
            <w:vAlign w:val="center"/>
          </w:tcPr>
          <w:p>
            <w:pPr>
              <w:pStyle w:val="83"/>
              <w:ind w:firstLine="480"/>
              <w:rPr>
                <w:color w:val="auto"/>
                <w:highlight w:val="none"/>
              </w:rPr>
            </w:pPr>
          </w:p>
        </w:tc>
        <w:tc>
          <w:tcPr>
            <w:tcW w:w="1409" w:type="dxa"/>
            <w:vAlign w:val="center"/>
          </w:tcPr>
          <w:p>
            <w:pPr>
              <w:pStyle w:val="83"/>
              <w:ind w:firstLine="48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959" w:type="dxa"/>
            <w:vAlign w:val="center"/>
          </w:tcPr>
          <w:p>
            <w:pPr>
              <w:pStyle w:val="83"/>
              <w:ind w:firstLine="0" w:firstLineChars="0"/>
              <w:rPr>
                <w:color w:val="auto"/>
                <w:highlight w:val="none"/>
              </w:rPr>
            </w:pPr>
            <w:r>
              <w:rPr>
                <w:rFonts w:hint="eastAsia"/>
                <w:color w:val="auto"/>
                <w:highlight w:val="none"/>
              </w:rPr>
              <w:t>合计</w:t>
            </w:r>
          </w:p>
        </w:tc>
        <w:tc>
          <w:tcPr>
            <w:tcW w:w="1390" w:type="dxa"/>
            <w:vAlign w:val="center"/>
          </w:tcPr>
          <w:p>
            <w:pPr>
              <w:pStyle w:val="83"/>
              <w:ind w:firstLine="480"/>
              <w:rPr>
                <w:color w:val="auto"/>
                <w:highlight w:val="none"/>
              </w:rPr>
            </w:pPr>
          </w:p>
        </w:tc>
        <w:tc>
          <w:tcPr>
            <w:tcW w:w="825" w:type="dxa"/>
            <w:vAlign w:val="center"/>
          </w:tcPr>
          <w:p>
            <w:pPr>
              <w:pStyle w:val="83"/>
              <w:ind w:firstLine="480"/>
              <w:rPr>
                <w:color w:val="auto"/>
                <w:highlight w:val="none"/>
              </w:rPr>
            </w:pPr>
          </w:p>
        </w:tc>
        <w:tc>
          <w:tcPr>
            <w:tcW w:w="1200" w:type="dxa"/>
            <w:vAlign w:val="center"/>
          </w:tcPr>
          <w:p>
            <w:pPr>
              <w:pStyle w:val="83"/>
              <w:ind w:firstLine="480"/>
              <w:rPr>
                <w:color w:val="auto"/>
                <w:highlight w:val="none"/>
              </w:rPr>
            </w:pPr>
          </w:p>
        </w:tc>
        <w:tc>
          <w:tcPr>
            <w:tcW w:w="1260" w:type="dxa"/>
            <w:vAlign w:val="center"/>
          </w:tcPr>
          <w:p>
            <w:pPr>
              <w:pStyle w:val="83"/>
              <w:ind w:firstLine="480"/>
              <w:rPr>
                <w:color w:val="auto"/>
                <w:highlight w:val="none"/>
              </w:rPr>
            </w:pPr>
          </w:p>
        </w:tc>
        <w:tc>
          <w:tcPr>
            <w:tcW w:w="1429" w:type="dxa"/>
            <w:vAlign w:val="center"/>
          </w:tcPr>
          <w:p>
            <w:pPr>
              <w:pStyle w:val="83"/>
              <w:ind w:firstLine="480"/>
              <w:rPr>
                <w:color w:val="auto"/>
                <w:highlight w:val="none"/>
              </w:rPr>
            </w:pPr>
          </w:p>
        </w:tc>
        <w:tc>
          <w:tcPr>
            <w:tcW w:w="1409" w:type="dxa"/>
            <w:vAlign w:val="center"/>
          </w:tcPr>
          <w:p>
            <w:pPr>
              <w:pStyle w:val="83"/>
              <w:ind w:firstLine="48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6" w:hRule="atLeast"/>
        </w:trPr>
        <w:tc>
          <w:tcPr>
            <w:tcW w:w="8472" w:type="dxa"/>
            <w:gridSpan w:val="7"/>
            <w:tcBorders>
              <w:bottom w:val="single" w:color="auto" w:sz="4" w:space="0"/>
            </w:tcBorders>
            <w:vAlign w:val="center"/>
          </w:tcPr>
          <w:p>
            <w:pPr>
              <w:pStyle w:val="83"/>
              <w:ind w:firstLine="480"/>
              <w:rPr>
                <w:color w:val="auto"/>
                <w:highlight w:val="none"/>
              </w:rPr>
            </w:pPr>
            <w:r>
              <w:rPr>
                <w:rFonts w:hint="eastAsia"/>
                <w:color w:val="auto"/>
                <w:highlight w:val="none"/>
              </w:rPr>
              <w:t>合计人民币：大写 元，小写  元</w:t>
            </w:r>
          </w:p>
        </w:tc>
      </w:tr>
    </w:tbl>
    <w:p>
      <w:pPr>
        <w:spacing w:line="360" w:lineRule="auto"/>
        <w:rPr>
          <w:rFonts w:ascii="宋体" w:hAnsi="宋体"/>
          <w:b/>
          <w:color w:val="auto"/>
          <w:szCs w:val="21"/>
          <w:highlight w:val="none"/>
        </w:rPr>
      </w:pPr>
      <w:r>
        <w:rPr>
          <w:rFonts w:hint="eastAsia" w:ascii="宋体" w:hAnsi="宋体"/>
          <w:b/>
          <w:color w:val="auto"/>
          <w:szCs w:val="21"/>
          <w:highlight w:val="none"/>
        </w:rPr>
        <w:t>要求：</w:t>
      </w:r>
    </w:p>
    <w:p>
      <w:pPr>
        <w:spacing w:line="360" w:lineRule="auto"/>
        <w:ind w:left="435"/>
        <w:rPr>
          <w:rFonts w:ascii="宋体" w:hAnsi="宋体"/>
          <w:color w:val="auto"/>
          <w:szCs w:val="21"/>
          <w:highlight w:val="none"/>
        </w:rPr>
      </w:pPr>
      <w:r>
        <w:rPr>
          <w:rFonts w:ascii="宋体" w:hAnsi="宋体"/>
          <w:color w:val="auto"/>
          <w:szCs w:val="21"/>
          <w:highlight w:val="none"/>
        </w:rPr>
        <w:t xml:space="preserve">1. </w:t>
      </w:r>
      <w:r>
        <w:rPr>
          <w:rFonts w:hint="eastAsia" w:ascii="宋体" w:hAnsi="宋体"/>
          <w:color w:val="auto"/>
          <w:szCs w:val="21"/>
          <w:highlight w:val="none"/>
        </w:rPr>
        <w:t>本表为《开标一览表》的报价明细表，如有缺项、漏项，视为投标报价中已包含相关费用，采购人无需另外支付任何费用。</w:t>
      </w:r>
    </w:p>
    <w:p>
      <w:pPr>
        <w:spacing w:line="360" w:lineRule="auto"/>
        <w:ind w:left="435"/>
        <w:rPr>
          <w:rFonts w:ascii="宋体"/>
          <w:color w:val="auto"/>
          <w:szCs w:val="21"/>
          <w:highlight w:val="none"/>
          <w:lang w:val="zh-CN"/>
        </w:rPr>
      </w:pPr>
      <w:r>
        <w:rPr>
          <w:rFonts w:ascii="宋体" w:hAnsi="宋体"/>
          <w:color w:val="auto"/>
          <w:szCs w:val="21"/>
          <w:highlight w:val="none"/>
        </w:rPr>
        <w:t>2.</w:t>
      </w:r>
      <w:r>
        <w:rPr>
          <w:rFonts w:hint="eastAsia" w:ascii="宋体"/>
          <w:color w:val="auto"/>
          <w:szCs w:val="21"/>
          <w:highlight w:val="none"/>
          <w:lang w:val="zh-CN"/>
        </w:rPr>
        <w:t>“报价明细表”中的报价合计应与“开标一览表”中的投标总报价相一致，不一致时，以开标一览表为准。</w:t>
      </w:r>
    </w:p>
    <w:p>
      <w:pPr>
        <w:spacing w:line="360" w:lineRule="auto"/>
        <w:ind w:left="435"/>
        <w:rPr>
          <w:rFonts w:ascii="宋体"/>
          <w:color w:val="auto"/>
          <w:szCs w:val="21"/>
          <w:highlight w:val="none"/>
          <w:lang w:val="zh-CN"/>
        </w:rPr>
      </w:pPr>
      <w:r>
        <w:rPr>
          <w:rFonts w:ascii="宋体"/>
          <w:color w:val="auto"/>
          <w:szCs w:val="21"/>
          <w:highlight w:val="none"/>
        </w:rPr>
        <w:t>3.</w:t>
      </w:r>
      <w:r>
        <w:rPr>
          <w:rFonts w:hint="eastAsia" w:ascii="宋体"/>
          <w:color w:val="auto"/>
          <w:szCs w:val="21"/>
          <w:highlight w:val="none"/>
          <w:lang w:val="zh-CN"/>
        </w:rPr>
        <w:t>投标报价明细表所填内容按招标文件招标需求中主要工作内容要求为准。费用明细可自行添加，如有漏报的，视同已包含在投标总价内或已作优惠处理。</w:t>
      </w:r>
    </w:p>
    <w:p>
      <w:pPr>
        <w:adjustRightInd w:val="0"/>
        <w:snapToGrid w:val="0"/>
        <w:spacing w:line="360" w:lineRule="auto"/>
        <w:ind w:firstLine="4095" w:firstLineChars="1950"/>
        <w:rPr>
          <w:rFonts w:ascii="宋体" w:hAnsi="宋体" w:cs="仿宋_GB2312"/>
          <w:color w:val="auto"/>
          <w:kern w:val="0"/>
          <w:szCs w:val="21"/>
          <w:highlight w:val="none"/>
          <w:lang w:val="zh-CN"/>
        </w:rPr>
      </w:pPr>
      <w:r>
        <w:rPr>
          <w:rFonts w:ascii="宋体" w:hAnsi="宋体" w:cs="仿宋_GB2312"/>
          <w:color w:val="auto"/>
          <w:kern w:val="0"/>
          <w:szCs w:val="21"/>
          <w:highlight w:val="none"/>
          <w:lang w:val="zh-CN"/>
        </w:rPr>
        <w:t xml:space="preserve">  投标人名称(</w:t>
      </w:r>
      <w:r>
        <w:rPr>
          <w:rFonts w:hint="eastAsia" w:ascii="宋体" w:hAnsi="宋体" w:cs="仿宋_GB2312"/>
          <w:color w:val="auto"/>
          <w:kern w:val="0"/>
          <w:szCs w:val="21"/>
          <w:highlight w:val="none"/>
          <w:lang w:val="zh-CN"/>
        </w:rPr>
        <w:t>签电子</w:t>
      </w:r>
      <w:r>
        <w:rPr>
          <w:rFonts w:ascii="宋体" w:hAnsi="宋体" w:cs="仿宋_GB2312"/>
          <w:color w:val="auto"/>
          <w:kern w:val="0"/>
          <w:szCs w:val="21"/>
          <w:highlight w:val="none"/>
          <w:lang w:val="zh-CN"/>
        </w:rPr>
        <w:t>公章)：</w:t>
      </w:r>
    </w:p>
    <w:p>
      <w:pPr>
        <w:adjustRightInd w:val="0"/>
        <w:snapToGrid w:val="0"/>
        <w:spacing w:line="360" w:lineRule="auto"/>
        <w:rPr>
          <w:rFonts w:ascii="宋体" w:hAnsi="宋体" w:cs="仿宋_GB2312"/>
          <w:color w:val="auto"/>
          <w:kern w:val="0"/>
          <w:szCs w:val="21"/>
          <w:highlight w:val="none"/>
          <w:lang w:val="zh-CN"/>
        </w:rPr>
      </w:pPr>
      <w:r>
        <w:rPr>
          <w:rFonts w:ascii="宋体" w:hAnsi="宋体" w:cs="仿宋_GB2312"/>
          <w:color w:val="auto"/>
          <w:kern w:val="0"/>
          <w:szCs w:val="21"/>
          <w:highlight w:val="none"/>
          <w:lang w:val="zh-CN"/>
        </w:rPr>
        <w:t xml:space="preserve">                                       法定代表人或授权委托人(</w:t>
      </w:r>
      <w:r>
        <w:rPr>
          <w:rFonts w:hint="eastAsia" w:ascii="宋体" w:hAnsi="宋体" w:cs="仿宋_GB2312"/>
          <w:color w:val="auto"/>
          <w:kern w:val="0"/>
          <w:szCs w:val="21"/>
          <w:highlight w:val="none"/>
          <w:lang w:val="zh-CN"/>
        </w:rPr>
        <w:t>签章或</w:t>
      </w:r>
      <w:r>
        <w:rPr>
          <w:rFonts w:ascii="宋体" w:hAnsi="宋体" w:cs="仿宋_GB2312"/>
          <w:color w:val="auto"/>
          <w:kern w:val="0"/>
          <w:szCs w:val="21"/>
          <w:highlight w:val="none"/>
          <w:lang w:val="zh-CN"/>
        </w:rPr>
        <w:t>签字)：</w:t>
      </w:r>
    </w:p>
    <w:p>
      <w:pPr>
        <w:spacing w:line="360" w:lineRule="auto"/>
        <w:ind w:firstLine="435"/>
        <w:rPr>
          <w:rFonts w:ascii="宋体" w:hAnsi="宋体"/>
          <w:color w:val="auto"/>
          <w:sz w:val="24"/>
          <w:highlight w:val="none"/>
        </w:rPr>
      </w:pPr>
    </w:p>
    <w:p>
      <w:pPr>
        <w:pStyle w:val="15"/>
        <w:spacing w:line="360" w:lineRule="auto"/>
        <w:jc w:val="center"/>
        <w:outlineLvl w:val="1"/>
        <w:rPr>
          <w:rFonts w:hAnsi="宋体"/>
          <w:b/>
          <w:color w:val="auto"/>
          <w:sz w:val="32"/>
          <w:szCs w:val="32"/>
          <w:highlight w:val="none"/>
          <w:lang w:val="en-GB"/>
        </w:rPr>
      </w:pPr>
      <w:r>
        <w:rPr>
          <w:rFonts w:hint="eastAsia" w:ascii="宋体" w:hAnsi="宋体"/>
          <w:color w:val="auto"/>
          <w:sz w:val="24"/>
          <w:highlight w:val="none"/>
        </w:rPr>
        <w:t xml:space="preserve">     </w:t>
      </w:r>
      <w:r>
        <w:rPr>
          <w:rFonts w:hint="eastAsia" w:ascii="宋体" w:hAnsi="宋体"/>
          <w:color w:val="auto"/>
          <w:sz w:val="24"/>
          <w:highlight w:val="none"/>
          <w:lang w:val="en-US" w:eastAsia="zh-CN"/>
        </w:rPr>
        <w:t xml:space="preserve">    </w:t>
      </w:r>
      <w:r>
        <w:rPr>
          <w:rFonts w:hint="eastAsia" w:ascii="宋体" w:hAnsi="宋体"/>
          <w:color w:val="auto"/>
          <w:sz w:val="24"/>
          <w:highlight w:val="none"/>
        </w:rPr>
        <w:t>日期：</w:t>
      </w:r>
    </w:p>
    <w:p>
      <w:pPr>
        <w:pStyle w:val="15"/>
        <w:spacing w:line="360" w:lineRule="auto"/>
        <w:jc w:val="center"/>
        <w:outlineLvl w:val="1"/>
        <w:rPr>
          <w:rFonts w:hAnsi="宋体"/>
          <w:b/>
          <w:color w:val="auto"/>
          <w:sz w:val="32"/>
          <w:szCs w:val="32"/>
          <w:highlight w:val="none"/>
          <w:lang w:val="en-GB"/>
        </w:rPr>
      </w:pPr>
    </w:p>
    <w:p>
      <w:pPr>
        <w:spacing w:line="360" w:lineRule="auto"/>
        <w:ind w:right="-110"/>
        <w:jc w:val="center"/>
        <w:rPr>
          <w:color w:val="auto"/>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方正书宋简体">
    <w:altName w:val="宋体"/>
    <w:panose1 w:val="00000000000000000000"/>
    <w:charset w:val="86"/>
    <w:family w:val="script"/>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Segoe UI Emoji">
    <w:panose1 w:val="020B0502040204020203"/>
    <w:charset w:val="00"/>
    <w:family w:val="swiss"/>
    <w:pitch w:val="default"/>
    <w:sig w:usb0="00000001" w:usb1="02000000" w:usb2="00000000" w:usb3="00000000" w:csb0="00000001" w:csb1="00000000"/>
  </w:font>
  <w:font w:name="仿宋_GB2312">
    <w:altName w:val="仿宋"/>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path/>
          <v:fill on="f" focussize="0,0"/>
          <v:stroke on="f" weight="0.5pt" joinstyle="miter"/>
          <v:imagedata o:title=""/>
          <o:lock v:ext="edit"/>
          <v:textbox inset="0mm,0mm,0mm,0mm" style="mso-fit-shape-to-text:t;">
            <w:txbxContent>
              <w:p>
                <w:pPr>
                  <w:pStyle w:val="18"/>
                </w:pPr>
                <w:r>
                  <w:fldChar w:fldCharType="begin"/>
                </w:r>
                <w:r>
                  <w:instrText xml:space="preserve"> PAGE  \* MERGEFORMAT </w:instrText>
                </w:r>
                <w:r>
                  <w:fldChar w:fldCharType="separate"/>
                </w:r>
                <w:r>
                  <w:t>46</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atLeast"/>
      <w:rPr>
        <w:b/>
        <w:color w:val="000000"/>
        <w:sz w:val="10"/>
        <w:u w:val="single"/>
      </w:rPr>
    </w:pPr>
    <w:r>
      <w:rPr>
        <w:b/>
        <w:i/>
        <w:color w:val="000000"/>
        <w:kern w:val="0"/>
        <w:sz w:val="18"/>
        <w:u w:val="single"/>
      </w:rPr>
      <w:t>采购招标文件</w:t>
    </w:r>
    <w:r>
      <w:rPr>
        <w:rFonts w:hint="eastAsia"/>
        <w:b/>
        <w:i/>
        <w:color w:val="000000"/>
        <w:spacing w:val="-20"/>
        <w:kern w:val="0"/>
        <w:sz w:val="18"/>
        <w:u w:val="single"/>
      </w:rPr>
      <w:t>第</w:t>
    </w:r>
    <w:r>
      <w:rPr>
        <w:b/>
        <w:i/>
        <w:color w:val="000000"/>
        <w:spacing w:val="-20"/>
        <w:kern w:val="0"/>
        <w:sz w:val="18"/>
        <w:u w:val="single"/>
      </w:rPr>
      <w:fldChar w:fldCharType="begin"/>
    </w:r>
    <w:r>
      <w:rPr>
        <w:b/>
        <w:i/>
        <w:color w:val="000000"/>
        <w:spacing w:val="-20"/>
        <w:kern w:val="0"/>
        <w:sz w:val="18"/>
        <w:u w:val="single"/>
      </w:rPr>
      <w:instrText xml:space="preserve"> PAGE </w:instrText>
    </w:r>
    <w:r>
      <w:rPr>
        <w:b/>
        <w:i/>
        <w:color w:val="000000"/>
        <w:spacing w:val="-20"/>
        <w:kern w:val="0"/>
        <w:sz w:val="18"/>
        <w:u w:val="single"/>
      </w:rPr>
      <w:fldChar w:fldCharType="separate"/>
    </w:r>
    <w:r>
      <w:rPr>
        <w:b/>
        <w:i/>
        <w:color w:val="000000"/>
        <w:spacing w:val="-20"/>
        <w:kern w:val="0"/>
        <w:sz w:val="18"/>
        <w:u w:val="single"/>
      </w:rPr>
      <w:t>46</w:t>
    </w:r>
    <w:r>
      <w:rPr>
        <w:b/>
        <w:i/>
        <w:color w:val="000000"/>
        <w:spacing w:val="-20"/>
        <w:kern w:val="0"/>
        <w:sz w:val="18"/>
        <w:u w:val="single"/>
      </w:rPr>
      <w:fldChar w:fldCharType="end"/>
    </w:r>
    <w:r>
      <w:rPr>
        <w:rFonts w:hint="eastAsia"/>
        <w:b/>
        <w:i/>
        <w:color w:val="000000"/>
        <w:spacing w:val="-20"/>
        <w:kern w:val="0"/>
        <w:sz w:val="18"/>
        <w:u w:val="single"/>
      </w:rPr>
      <w:t>页共</w:t>
    </w:r>
    <w:r>
      <w:rPr>
        <w:b/>
        <w:i/>
        <w:color w:val="000000"/>
        <w:spacing w:val="-20"/>
        <w:kern w:val="0"/>
        <w:sz w:val="18"/>
        <w:u w:val="single"/>
      </w:rPr>
      <w:fldChar w:fldCharType="begin"/>
    </w:r>
    <w:r>
      <w:rPr>
        <w:b/>
        <w:i/>
        <w:color w:val="000000"/>
        <w:spacing w:val="-20"/>
        <w:kern w:val="0"/>
        <w:sz w:val="18"/>
        <w:u w:val="single"/>
      </w:rPr>
      <w:instrText xml:space="preserve"> NUMPAGES </w:instrText>
    </w:r>
    <w:r>
      <w:rPr>
        <w:b/>
        <w:i/>
        <w:color w:val="000000"/>
        <w:spacing w:val="-20"/>
        <w:kern w:val="0"/>
        <w:sz w:val="18"/>
        <w:u w:val="single"/>
      </w:rPr>
      <w:fldChar w:fldCharType="separate"/>
    </w:r>
    <w:r>
      <w:rPr>
        <w:b/>
        <w:i/>
        <w:color w:val="000000"/>
        <w:spacing w:val="-20"/>
        <w:kern w:val="0"/>
        <w:sz w:val="18"/>
        <w:u w:val="single"/>
      </w:rPr>
      <w:t>55</w:t>
    </w:r>
    <w:r>
      <w:rPr>
        <w:b/>
        <w:i/>
        <w:color w:val="000000"/>
        <w:spacing w:val="-20"/>
        <w:kern w:val="0"/>
        <w:sz w:val="18"/>
        <w:u w:val="single"/>
      </w:rPr>
      <w:fldChar w:fldCharType="end"/>
    </w:r>
    <w:r>
      <w:rPr>
        <w:rFonts w:hint="eastAsia"/>
        <w:b/>
        <w:i/>
        <w:color w:val="000000"/>
        <w:spacing w:val="-20"/>
        <w:kern w:val="0"/>
        <w:sz w:val="18"/>
        <w:u w:val="single"/>
      </w:rPr>
      <w:t>页</w:t>
    </w:r>
  </w:p>
  <w:p>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2D8F7B"/>
    <w:multiLevelType w:val="singleLevel"/>
    <w:tmpl w:val="AE2D8F7B"/>
    <w:lvl w:ilvl="0" w:tentative="0">
      <w:start w:val="1"/>
      <w:numFmt w:val="decimal"/>
      <w:pStyle w:val="10"/>
      <w:lvlText w:val="%1."/>
      <w:lvlJc w:val="left"/>
      <w:pPr>
        <w:tabs>
          <w:tab w:val="left" w:pos="360"/>
        </w:tabs>
        <w:ind w:left="360" w:hanging="360"/>
      </w:pPr>
    </w:lvl>
  </w:abstractNum>
  <w:abstractNum w:abstractNumId="1">
    <w:nsid w:val="C8A3F0D0"/>
    <w:multiLevelType w:val="singleLevel"/>
    <w:tmpl w:val="C8A3F0D0"/>
    <w:lvl w:ilvl="0" w:tentative="0">
      <w:start w:val="2"/>
      <w:numFmt w:val="chineseCounting"/>
      <w:suff w:val="nothing"/>
      <w:lvlText w:val="（%1）"/>
      <w:lvlJc w:val="left"/>
      <w:pPr>
        <w:ind w:left="140" w:firstLine="0"/>
      </w:pPr>
      <w:rPr>
        <w:rFonts w:hint="eastAsia"/>
      </w:rPr>
    </w:lvl>
  </w:abstractNum>
  <w:abstractNum w:abstractNumId="2">
    <w:nsid w:val="111E7399"/>
    <w:multiLevelType w:val="singleLevel"/>
    <w:tmpl w:val="111E7399"/>
    <w:lvl w:ilvl="0" w:tentative="0">
      <w:start w:val="1"/>
      <w:numFmt w:val="decimal"/>
      <w:suff w:val="space"/>
      <w:lvlText w:val="%1."/>
      <w:lvlJc w:val="left"/>
    </w:lvl>
  </w:abstractNum>
  <w:abstractNum w:abstractNumId="3">
    <w:nsid w:val="1128502E"/>
    <w:multiLevelType w:val="singleLevel"/>
    <w:tmpl w:val="1128502E"/>
    <w:lvl w:ilvl="0" w:tentative="0">
      <w:start w:val="1"/>
      <w:numFmt w:val="decimal"/>
      <w:suff w:val="space"/>
      <w:lvlText w:val="%1."/>
      <w:lvlJc w:val="left"/>
    </w:lvl>
  </w:abstractNum>
  <w:abstractNum w:abstractNumId="4">
    <w:nsid w:val="461E5E94"/>
    <w:multiLevelType w:val="singleLevel"/>
    <w:tmpl w:val="461E5E94"/>
    <w:lvl w:ilvl="0" w:tentative="0">
      <w:start w:val="2"/>
      <w:numFmt w:val="chineseCounting"/>
      <w:suff w:val="space"/>
      <w:lvlText w:val="第%1章"/>
      <w:lvlJc w:val="left"/>
      <w:rPr>
        <w:rFonts w:hint="eastAsia"/>
      </w:rPr>
    </w:lvl>
  </w:abstractNum>
  <w:abstractNum w:abstractNumId="5">
    <w:nsid w:val="471E06A1"/>
    <w:multiLevelType w:val="singleLevel"/>
    <w:tmpl w:val="471E06A1"/>
    <w:lvl w:ilvl="0" w:tentative="0">
      <w:start w:val="1"/>
      <w:numFmt w:val="japaneseCounting"/>
      <w:lvlText w:val="%1、"/>
      <w:lvlJc w:val="left"/>
      <w:pPr>
        <w:tabs>
          <w:tab w:val="left" w:pos="960"/>
        </w:tabs>
        <w:ind w:left="960" w:hanging="600"/>
      </w:pPr>
      <w:rPr>
        <w:rFonts w:hint="eastAsia"/>
      </w:rPr>
    </w:lvl>
  </w:abstractNum>
  <w:num w:numId="1">
    <w:abstractNumId w:val="0"/>
  </w:num>
  <w:num w:numId="2">
    <w:abstractNumId w:val="5"/>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zY4YjIzNTU3ZDMxYWNiZWE4OGVlNTQ0MjNmNDliOWEifQ=="/>
  </w:docVars>
  <w:rsids>
    <w:rsidRoot w:val="0E970358"/>
    <w:rsid w:val="00000A1F"/>
    <w:rsid w:val="00004407"/>
    <w:rsid w:val="00011939"/>
    <w:rsid w:val="00011F22"/>
    <w:rsid w:val="00012584"/>
    <w:rsid w:val="00014E26"/>
    <w:rsid w:val="00035D78"/>
    <w:rsid w:val="0004278A"/>
    <w:rsid w:val="000435AF"/>
    <w:rsid w:val="00062620"/>
    <w:rsid w:val="0006294D"/>
    <w:rsid w:val="00062AB3"/>
    <w:rsid w:val="00063A0C"/>
    <w:rsid w:val="00064D13"/>
    <w:rsid w:val="0006508A"/>
    <w:rsid w:val="000719C5"/>
    <w:rsid w:val="00081D5D"/>
    <w:rsid w:val="00081F66"/>
    <w:rsid w:val="0008517C"/>
    <w:rsid w:val="000860EE"/>
    <w:rsid w:val="00094061"/>
    <w:rsid w:val="00095AC9"/>
    <w:rsid w:val="00096FA4"/>
    <w:rsid w:val="000975EF"/>
    <w:rsid w:val="000A1EC1"/>
    <w:rsid w:val="000B6F55"/>
    <w:rsid w:val="000C31BC"/>
    <w:rsid w:val="000D2FA7"/>
    <w:rsid w:val="000D46E8"/>
    <w:rsid w:val="000D71CC"/>
    <w:rsid w:val="000D742E"/>
    <w:rsid w:val="000F15AF"/>
    <w:rsid w:val="001037B6"/>
    <w:rsid w:val="00107BF6"/>
    <w:rsid w:val="001101D9"/>
    <w:rsid w:val="00114AA4"/>
    <w:rsid w:val="00117E9B"/>
    <w:rsid w:val="0012050D"/>
    <w:rsid w:val="00125189"/>
    <w:rsid w:val="00125ECE"/>
    <w:rsid w:val="00127BA2"/>
    <w:rsid w:val="00131F54"/>
    <w:rsid w:val="00140466"/>
    <w:rsid w:val="0015411D"/>
    <w:rsid w:val="001577CC"/>
    <w:rsid w:val="00160765"/>
    <w:rsid w:val="00161A2A"/>
    <w:rsid w:val="00165F2A"/>
    <w:rsid w:val="0018053C"/>
    <w:rsid w:val="00180C31"/>
    <w:rsid w:val="001845B5"/>
    <w:rsid w:val="00184FFD"/>
    <w:rsid w:val="00192470"/>
    <w:rsid w:val="0019296D"/>
    <w:rsid w:val="001952CD"/>
    <w:rsid w:val="001A1E06"/>
    <w:rsid w:val="001A4CFB"/>
    <w:rsid w:val="001B2822"/>
    <w:rsid w:val="001D2294"/>
    <w:rsid w:val="001E0FC8"/>
    <w:rsid w:val="001E5411"/>
    <w:rsid w:val="001E5CA3"/>
    <w:rsid w:val="001F06A0"/>
    <w:rsid w:val="001F7B03"/>
    <w:rsid w:val="00200D34"/>
    <w:rsid w:val="00201D62"/>
    <w:rsid w:val="002102B1"/>
    <w:rsid w:val="002107B6"/>
    <w:rsid w:val="0021318F"/>
    <w:rsid w:val="00213A85"/>
    <w:rsid w:val="00221F01"/>
    <w:rsid w:val="00225DDA"/>
    <w:rsid w:val="00235FEA"/>
    <w:rsid w:val="00243965"/>
    <w:rsid w:val="00245347"/>
    <w:rsid w:val="0024785A"/>
    <w:rsid w:val="002478E5"/>
    <w:rsid w:val="00252867"/>
    <w:rsid w:val="00261A01"/>
    <w:rsid w:val="002622FF"/>
    <w:rsid w:val="00273FDD"/>
    <w:rsid w:val="00277CBD"/>
    <w:rsid w:val="00297EEF"/>
    <w:rsid w:val="002A1620"/>
    <w:rsid w:val="002A63AC"/>
    <w:rsid w:val="002B1184"/>
    <w:rsid w:val="002B1800"/>
    <w:rsid w:val="002B1EB9"/>
    <w:rsid w:val="002C60A1"/>
    <w:rsid w:val="002E34D8"/>
    <w:rsid w:val="002E6EAE"/>
    <w:rsid w:val="002F1714"/>
    <w:rsid w:val="002F32F6"/>
    <w:rsid w:val="002F4191"/>
    <w:rsid w:val="00307447"/>
    <w:rsid w:val="003102FB"/>
    <w:rsid w:val="0031336B"/>
    <w:rsid w:val="003166FE"/>
    <w:rsid w:val="00316CB9"/>
    <w:rsid w:val="00323237"/>
    <w:rsid w:val="00323509"/>
    <w:rsid w:val="003244B8"/>
    <w:rsid w:val="00327836"/>
    <w:rsid w:val="00330C6D"/>
    <w:rsid w:val="00332E30"/>
    <w:rsid w:val="00334732"/>
    <w:rsid w:val="0034076D"/>
    <w:rsid w:val="00347CD9"/>
    <w:rsid w:val="00356DC0"/>
    <w:rsid w:val="00357042"/>
    <w:rsid w:val="0036472E"/>
    <w:rsid w:val="00384E5C"/>
    <w:rsid w:val="003863EC"/>
    <w:rsid w:val="003944D3"/>
    <w:rsid w:val="003A2D6C"/>
    <w:rsid w:val="003A66B4"/>
    <w:rsid w:val="003B0139"/>
    <w:rsid w:val="003B1F2A"/>
    <w:rsid w:val="003B6CB7"/>
    <w:rsid w:val="003C42AB"/>
    <w:rsid w:val="003C5E00"/>
    <w:rsid w:val="003D5072"/>
    <w:rsid w:val="003E3F7C"/>
    <w:rsid w:val="003E62EE"/>
    <w:rsid w:val="003E6365"/>
    <w:rsid w:val="003F595C"/>
    <w:rsid w:val="003F7083"/>
    <w:rsid w:val="003F78E0"/>
    <w:rsid w:val="00423623"/>
    <w:rsid w:val="00423807"/>
    <w:rsid w:val="00423A3B"/>
    <w:rsid w:val="00423A85"/>
    <w:rsid w:val="004306F4"/>
    <w:rsid w:val="004315D9"/>
    <w:rsid w:val="00432077"/>
    <w:rsid w:val="00441FAE"/>
    <w:rsid w:val="00442C98"/>
    <w:rsid w:val="00446CEF"/>
    <w:rsid w:val="00460C1E"/>
    <w:rsid w:val="004610FC"/>
    <w:rsid w:val="0046588B"/>
    <w:rsid w:val="00465D8C"/>
    <w:rsid w:val="0046610B"/>
    <w:rsid w:val="004818A9"/>
    <w:rsid w:val="004871A0"/>
    <w:rsid w:val="00491BDF"/>
    <w:rsid w:val="00495885"/>
    <w:rsid w:val="004A048C"/>
    <w:rsid w:val="004A0E68"/>
    <w:rsid w:val="004A69BA"/>
    <w:rsid w:val="004B38BE"/>
    <w:rsid w:val="004B4165"/>
    <w:rsid w:val="004B78F5"/>
    <w:rsid w:val="004C13DF"/>
    <w:rsid w:val="004D435C"/>
    <w:rsid w:val="004E32A5"/>
    <w:rsid w:val="004E3857"/>
    <w:rsid w:val="004E50B7"/>
    <w:rsid w:val="004F053C"/>
    <w:rsid w:val="004F252C"/>
    <w:rsid w:val="00502AD0"/>
    <w:rsid w:val="00504C5F"/>
    <w:rsid w:val="0050703E"/>
    <w:rsid w:val="00514BBE"/>
    <w:rsid w:val="00516258"/>
    <w:rsid w:val="0052028C"/>
    <w:rsid w:val="0052516C"/>
    <w:rsid w:val="005307B2"/>
    <w:rsid w:val="005339E7"/>
    <w:rsid w:val="00534007"/>
    <w:rsid w:val="0055172F"/>
    <w:rsid w:val="00555EC1"/>
    <w:rsid w:val="005576EA"/>
    <w:rsid w:val="00562109"/>
    <w:rsid w:val="0056461E"/>
    <w:rsid w:val="00565754"/>
    <w:rsid w:val="00566727"/>
    <w:rsid w:val="005740AC"/>
    <w:rsid w:val="00577651"/>
    <w:rsid w:val="0059323B"/>
    <w:rsid w:val="005A0E58"/>
    <w:rsid w:val="005A7173"/>
    <w:rsid w:val="005B2C94"/>
    <w:rsid w:val="005B37C2"/>
    <w:rsid w:val="005B6CDF"/>
    <w:rsid w:val="005C2B94"/>
    <w:rsid w:val="005C7B27"/>
    <w:rsid w:val="005D3C85"/>
    <w:rsid w:val="005E0DB2"/>
    <w:rsid w:val="005E2B1F"/>
    <w:rsid w:val="005F3941"/>
    <w:rsid w:val="005F601C"/>
    <w:rsid w:val="00601394"/>
    <w:rsid w:val="006023EC"/>
    <w:rsid w:val="00612551"/>
    <w:rsid w:val="00616E31"/>
    <w:rsid w:val="006264D4"/>
    <w:rsid w:val="00635533"/>
    <w:rsid w:val="0065434A"/>
    <w:rsid w:val="00655E3C"/>
    <w:rsid w:val="00664258"/>
    <w:rsid w:val="00666305"/>
    <w:rsid w:val="0066667C"/>
    <w:rsid w:val="00672733"/>
    <w:rsid w:val="00674C42"/>
    <w:rsid w:val="00677C02"/>
    <w:rsid w:val="00680B8C"/>
    <w:rsid w:val="00690F8F"/>
    <w:rsid w:val="00695B00"/>
    <w:rsid w:val="006A4314"/>
    <w:rsid w:val="006A6573"/>
    <w:rsid w:val="006B0012"/>
    <w:rsid w:val="006B10F0"/>
    <w:rsid w:val="006B3628"/>
    <w:rsid w:val="006B631C"/>
    <w:rsid w:val="006C121D"/>
    <w:rsid w:val="006C44D8"/>
    <w:rsid w:val="006C517A"/>
    <w:rsid w:val="006C5F91"/>
    <w:rsid w:val="006D1134"/>
    <w:rsid w:val="006D1CF7"/>
    <w:rsid w:val="006D714D"/>
    <w:rsid w:val="006D72E0"/>
    <w:rsid w:val="006D77EB"/>
    <w:rsid w:val="006E04A5"/>
    <w:rsid w:val="006E7C98"/>
    <w:rsid w:val="006F4DFE"/>
    <w:rsid w:val="007029EF"/>
    <w:rsid w:val="00704E7B"/>
    <w:rsid w:val="00707765"/>
    <w:rsid w:val="00716B82"/>
    <w:rsid w:val="0072383F"/>
    <w:rsid w:val="00725576"/>
    <w:rsid w:val="007319D9"/>
    <w:rsid w:val="00740AC1"/>
    <w:rsid w:val="00744953"/>
    <w:rsid w:val="00745D9F"/>
    <w:rsid w:val="00756050"/>
    <w:rsid w:val="00760F31"/>
    <w:rsid w:val="007657F9"/>
    <w:rsid w:val="007674C2"/>
    <w:rsid w:val="00782AC1"/>
    <w:rsid w:val="007A1062"/>
    <w:rsid w:val="007A2629"/>
    <w:rsid w:val="007A579F"/>
    <w:rsid w:val="007B1218"/>
    <w:rsid w:val="007C1005"/>
    <w:rsid w:val="007C5D03"/>
    <w:rsid w:val="007E50EF"/>
    <w:rsid w:val="00802325"/>
    <w:rsid w:val="00810AAD"/>
    <w:rsid w:val="00812694"/>
    <w:rsid w:val="0081782E"/>
    <w:rsid w:val="00821458"/>
    <w:rsid w:val="008309D8"/>
    <w:rsid w:val="00836212"/>
    <w:rsid w:val="00843D2E"/>
    <w:rsid w:val="00847BE5"/>
    <w:rsid w:val="00852140"/>
    <w:rsid w:val="0085576D"/>
    <w:rsid w:val="0088066B"/>
    <w:rsid w:val="00893240"/>
    <w:rsid w:val="008A4087"/>
    <w:rsid w:val="008A5CD2"/>
    <w:rsid w:val="008A6B8A"/>
    <w:rsid w:val="008B48C3"/>
    <w:rsid w:val="008B7DE3"/>
    <w:rsid w:val="008C12A7"/>
    <w:rsid w:val="008C595C"/>
    <w:rsid w:val="008D0189"/>
    <w:rsid w:val="008E31E1"/>
    <w:rsid w:val="008F157E"/>
    <w:rsid w:val="00901C1A"/>
    <w:rsid w:val="0090715F"/>
    <w:rsid w:val="00910CBD"/>
    <w:rsid w:val="00912983"/>
    <w:rsid w:val="00912B5A"/>
    <w:rsid w:val="0091330C"/>
    <w:rsid w:val="00915853"/>
    <w:rsid w:val="009249E6"/>
    <w:rsid w:val="009300A2"/>
    <w:rsid w:val="0093426E"/>
    <w:rsid w:val="00956FE1"/>
    <w:rsid w:val="0095791D"/>
    <w:rsid w:val="009668B3"/>
    <w:rsid w:val="009821FA"/>
    <w:rsid w:val="00984085"/>
    <w:rsid w:val="00986420"/>
    <w:rsid w:val="00986698"/>
    <w:rsid w:val="00993588"/>
    <w:rsid w:val="009B282E"/>
    <w:rsid w:val="009B3E22"/>
    <w:rsid w:val="009B79BC"/>
    <w:rsid w:val="009C0219"/>
    <w:rsid w:val="009C33A8"/>
    <w:rsid w:val="009E1913"/>
    <w:rsid w:val="009E4CE7"/>
    <w:rsid w:val="009E79C6"/>
    <w:rsid w:val="009E7BE7"/>
    <w:rsid w:val="009F24A0"/>
    <w:rsid w:val="009F3459"/>
    <w:rsid w:val="00A01FC4"/>
    <w:rsid w:val="00A04DE5"/>
    <w:rsid w:val="00A1171F"/>
    <w:rsid w:val="00A1194C"/>
    <w:rsid w:val="00A1281C"/>
    <w:rsid w:val="00A13ED2"/>
    <w:rsid w:val="00A14AC1"/>
    <w:rsid w:val="00A17C2A"/>
    <w:rsid w:val="00A22CD6"/>
    <w:rsid w:val="00A23482"/>
    <w:rsid w:val="00A241C3"/>
    <w:rsid w:val="00A26C89"/>
    <w:rsid w:val="00A30B75"/>
    <w:rsid w:val="00A406FC"/>
    <w:rsid w:val="00A4545A"/>
    <w:rsid w:val="00A45775"/>
    <w:rsid w:val="00A530A4"/>
    <w:rsid w:val="00A55155"/>
    <w:rsid w:val="00A643F5"/>
    <w:rsid w:val="00A674FC"/>
    <w:rsid w:val="00A706F9"/>
    <w:rsid w:val="00A70886"/>
    <w:rsid w:val="00A730CA"/>
    <w:rsid w:val="00A90486"/>
    <w:rsid w:val="00A96D7A"/>
    <w:rsid w:val="00AA1BA9"/>
    <w:rsid w:val="00AA3509"/>
    <w:rsid w:val="00AA77BB"/>
    <w:rsid w:val="00AC4DC2"/>
    <w:rsid w:val="00AD0722"/>
    <w:rsid w:val="00AD54A3"/>
    <w:rsid w:val="00AE1A7A"/>
    <w:rsid w:val="00AE412A"/>
    <w:rsid w:val="00AE5F3F"/>
    <w:rsid w:val="00AE7FBA"/>
    <w:rsid w:val="00AF7186"/>
    <w:rsid w:val="00B21916"/>
    <w:rsid w:val="00B365B8"/>
    <w:rsid w:val="00B41F4A"/>
    <w:rsid w:val="00B42351"/>
    <w:rsid w:val="00B6267E"/>
    <w:rsid w:val="00B63877"/>
    <w:rsid w:val="00B917B5"/>
    <w:rsid w:val="00B93540"/>
    <w:rsid w:val="00B93EB1"/>
    <w:rsid w:val="00B944BB"/>
    <w:rsid w:val="00BA63AC"/>
    <w:rsid w:val="00BB245E"/>
    <w:rsid w:val="00BB3B46"/>
    <w:rsid w:val="00BC220A"/>
    <w:rsid w:val="00BD6AD7"/>
    <w:rsid w:val="00BE0881"/>
    <w:rsid w:val="00BE5939"/>
    <w:rsid w:val="00BF0402"/>
    <w:rsid w:val="00BF0465"/>
    <w:rsid w:val="00BF3315"/>
    <w:rsid w:val="00C04FAA"/>
    <w:rsid w:val="00C05033"/>
    <w:rsid w:val="00C058DA"/>
    <w:rsid w:val="00C20BAA"/>
    <w:rsid w:val="00C224FC"/>
    <w:rsid w:val="00C30F7F"/>
    <w:rsid w:val="00C33BF9"/>
    <w:rsid w:val="00C367E9"/>
    <w:rsid w:val="00C422FA"/>
    <w:rsid w:val="00C4598E"/>
    <w:rsid w:val="00C46252"/>
    <w:rsid w:val="00C50152"/>
    <w:rsid w:val="00C52E14"/>
    <w:rsid w:val="00C62241"/>
    <w:rsid w:val="00C64C78"/>
    <w:rsid w:val="00C66E0C"/>
    <w:rsid w:val="00C738ED"/>
    <w:rsid w:val="00C7653A"/>
    <w:rsid w:val="00C767D4"/>
    <w:rsid w:val="00C82CD4"/>
    <w:rsid w:val="00C91C78"/>
    <w:rsid w:val="00C97F8F"/>
    <w:rsid w:val="00CA1131"/>
    <w:rsid w:val="00CA1965"/>
    <w:rsid w:val="00CA391D"/>
    <w:rsid w:val="00CA42F0"/>
    <w:rsid w:val="00CB2C5C"/>
    <w:rsid w:val="00CB78AC"/>
    <w:rsid w:val="00CC009A"/>
    <w:rsid w:val="00CC232E"/>
    <w:rsid w:val="00CD1804"/>
    <w:rsid w:val="00CD21CE"/>
    <w:rsid w:val="00CF5F65"/>
    <w:rsid w:val="00D03C61"/>
    <w:rsid w:val="00D0447C"/>
    <w:rsid w:val="00D05438"/>
    <w:rsid w:val="00D112C6"/>
    <w:rsid w:val="00D13DAE"/>
    <w:rsid w:val="00D314D8"/>
    <w:rsid w:val="00D31525"/>
    <w:rsid w:val="00D342DE"/>
    <w:rsid w:val="00D54D71"/>
    <w:rsid w:val="00D61410"/>
    <w:rsid w:val="00D62311"/>
    <w:rsid w:val="00D6675D"/>
    <w:rsid w:val="00D81DEA"/>
    <w:rsid w:val="00D82E2D"/>
    <w:rsid w:val="00D91FF6"/>
    <w:rsid w:val="00D93227"/>
    <w:rsid w:val="00D9567D"/>
    <w:rsid w:val="00DA1624"/>
    <w:rsid w:val="00DB1959"/>
    <w:rsid w:val="00DC0FCF"/>
    <w:rsid w:val="00DC2406"/>
    <w:rsid w:val="00DC459D"/>
    <w:rsid w:val="00DE31D0"/>
    <w:rsid w:val="00DE4DA0"/>
    <w:rsid w:val="00DE5B9C"/>
    <w:rsid w:val="00DF634C"/>
    <w:rsid w:val="00DF75A0"/>
    <w:rsid w:val="00E11093"/>
    <w:rsid w:val="00E1297B"/>
    <w:rsid w:val="00E1554C"/>
    <w:rsid w:val="00E16810"/>
    <w:rsid w:val="00E207D5"/>
    <w:rsid w:val="00E319E7"/>
    <w:rsid w:val="00E334A0"/>
    <w:rsid w:val="00E4006D"/>
    <w:rsid w:val="00E516FF"/>
    <w:rsid w:val="00E528C2"/>
    <w:rsid w:val="00E55978"/>
    <w:rsid w:val="00E96DD7"/>
    <w:rsid w:val="00E977F0"/>
    <w:rsid w:val="00EB419A"/>
    <w:rsid w:val="00EB4631"/>
    <w:rsid w:val="00EB7A44"/>
    <w:rsid w:val="00EC298B"/>
    <w:rsid w:val="00EC5F1D"/>
    <w:rsid w:val="00EC6A44"/>
    <w:rsid w:val="00ED043C"/>
    <w:rsid w:val="00ED0E77"/>
    <w:rsid w:val="00ED524E"/>
    <w:rsid w:val="00EE27C3"/>
    <w:rsid w:val="00EF2797"/>
    <w:rsid w:val="00EF364F"/>
    <w:rsid w:val="00EF3A11"/>
    <w:rsid w:val="00EF50B7"/>
    <w:rsid w:val="00F0010A"/>
    <w:rsid w:val="00F019AD"/>
    <w:rsid w:val="00F0455A"/>
    <w:rsid w:val="00F127FF"/>
    <w:rsid w:val="00F12A46"/>
    <w:rsid w:val="00F16480"/>
    <w:rsid w:val="00F1745D"/>
    <w:rsid w:val="00F24BCC"/>
    <w:rsid w:val="00F24C9C"/>
    <w:rsid w:val="00F26E5B"/>
    <w:rsid w:val="00F3121B"/>
    <w:rsid w:val="00F31F6A"/>
    <w:rsid w:val="00F35D0E"/>
    <w:rsid w:val="00F368DD"/>
    <w:rsid w:val="00F44969"/>
    <w:rsid w:val="00F57CCA"/>
    <w:rsid w:val="00F608D1"/>
    <w:rsid w:val="00F6784A"/>
    <w:rsid w:val="00F70DF5"/>
    <w:rsid w:val="00F7133B"/>
    <w:rsid w:val="00F71D82"/>
    <w:rsid w:val="00F75B58"/>
    <w:rsid w:val="00F84B48"/>
    <w:rsid w:val="00FA3ABA"/>
    <w:rsid w:val="00FB35A2"/>
    <w:rsid w:val="00FC5A34"/>
    <w:rsid w:val="00FD7FB3"/>
    <w:rsid w:val="00FE3E07"/>
    <w:rsid w:val="00FE4391"/>
    <w:rsid w:val="00FF0C12"/>
    <w:rsid w:val="00FF0DA0"/>
    <w:rsid w:val="00FF4FB3"/>
    <w:rsid w:val="01154EDD"/>
    <w:rsid w:val="01935887"/>
    <w:rsid w:val="0493054D"/>
    <w:rsid w:val="04CC341D"/>
    <w:rsid w:val="05137CD7"/>
    <w:rsid w:val="060B26E0"/>
    <w:rsid w:val="0C1E2BA0"/>
    <w:rsid w:val="0C765CB2"/>
    <w:rsid w:val="0E970358"/>
    <w:rsid w:val="10392EAE"/>
    <w:rsid w:val="10706EC2"/>
    <w:rsid w:val="10A712C9"/>
    <w:rsid w:val="11CE2AB7"/>
    <w:rsid w:val="12807280"/>
    <w:rsid w:val="148463E6"/>
    <w:rsid w:val="14D20D9B"/>
    <w:rsid w:val="15A72BED"/>
    <w:rsid w:val="1621170E"/>
    <w:rsid w:val="16D071B4"/>
    <w:rsid w:val="18B91D2B"/>
    <w:rsid w:val="18C40414"/>
    <w:rsid w:val="1A6A6D44"/>
    <w:rsid w:val="1A817123"/>
    <w:rsid w:val="1BE552FE"/>
    <w:rsid w:val="1C093ECB"/>
    <w:rsid w:val="1CB14EFB"/>
    <w:rsid w:val="1CE4433A"/>
    <w:rsid w:val="1EE84AA8"/>
    <w:rsid w:val="228447E5"/>
    <w:rsid w:val="23424F53"/>
    <w:rsid w:val="236E14E2"/>
    <w:rsid w:val="279D16B2"/>
    <w:rsid w:val="291A1E22"/>
    <w:rsid w:val="29D148D0"/>
    <w:rsid w:val="2AC803DC"/>
    <w:rsid w:val="30143D85"/>
    <w:rsid w:val="31752B09"/>
    <w:rsid w:val="338846AE"/>
    <w:rsid w:val="341548E3"/>
    <w:rsid w:val="37712A39"/>
    <w:rsid w:val="3A3262F9"/>
    <w:rsid w:val="3AE50133"/>
    <w:rsid w:val="3B345EA5"/>
    <w:rsid w:val="3CDE029E"/>
    <w:rsid w:val="3CE4796C"/>
    <w:rsid w:val="3DB531EC"/>
    <w:rsid w:val="43036342"/>
    <w:rsid w:val="437F21CF"/>
    <w:rsid w:val="445E7B32"/>
    <w:rsid w:val="4563730C"/>
    <w:rsid w:val="48694FA0"/>
    <w:rsid w:val="488E768B"/>
    <w:rsid w:val="49F41D5E"/>
    <w:rsid w:val="4B1E31F7"/>
    <w:rsid w:val="4BCB3573"/>
    <w:rsid w:val="4CE75373"/>
    <w:rsid w:val="4E2B3CD6"/>
    <w:rsid w:val="566D4B95"/>
    <w:rsid w:val="572656D4"/>
    <w:rsid w:val="59AD06A4"/>
    <w:rsid w:val="5A4D586D"/>
    <w:rsid w:val="5A6249B0"/>
    <w:rsid w:val="5D656A59"/>
    <w:rsid w:val="5D913114"/>
    <w:rsid w:val="5EE84C68"/>
    <w:rsid w:val="621D5BA4"/>
    <w:rsid w:val="62A00F93"/>
    <w:rsid w:val="635B6748"/>
    <w:rsid w:val="63947A95"/>
    <w:rsid w:val="64671727"/>
    <w:rsid w:val="64F15C1C"/>
    <w:rsid w:val="67B167D1"/>
    <w:rsid w:val="685F1C50"/>
    <w:rsid w:val="699022E9"/>
    <w:rsid w:val="69967687"/>
    <w:rsid w:val="6A103D8E"/>
    <w:rsid w:val="6A3D3FA6"/>
    <w:rsid w:val="6A714498"/>
    <w:rsid w:val="6C8F3F3A"/>
    <w:rsid w:val="6CBD043E"/>
    <w:rsid w:val="6E9B67F9"/>
    <w:rsid w:val="726500C8"/>
    <w:rsid w:val="745919C6"/>
    <w:rsid w:val="74702A9A"/>
    <w:rsid w:val="761C2BBB"/>
    <w:rsid w:val="776A1DE8"/>
    <w:rsid w:val="777447D6"/>
    <w:rsid w:val="785D00CA"/>
    <w:rsid w:val="79161CA8"/>
    <w:rsid w:val="7DDD6CEA"/>
    <w:rsid w:val="7E2B606E"/>
    <w:rsid w:val="7E636E14"/>
    <w:rsid w:val="7F1B65D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qFormat="1"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0" w:name="FollowedHyperlink"/>
    <w:lsdException w:qFormat="1" w:unhideWhenUsed="0" w:uiPriority="0" w:semiHidden="0" w:name="Strong"/>
    <w:lsdException w:qFormat="1" w:unhideWhenUsed="0" w:uiPriority="0" w:semiHidden="0" w:name="Emphasis"/>
    <w:lsdException w:qFormat="1" w:unhideWhenUsed="0" w:uiPriority="99"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1"/>
    <w:link w:val="54"/>
    <w:qFormat/>
    <w:uiPriority w:val="0"/>
    <w:pPr>
      <w:outlineLvl w:val="0"/>
    </w:pPr>
    <w:rPr>
      <w:color w:val="000000"/>
      <w:kern w:val="0"/>
      <w:sz w:val="20"/>
      <w:shd w:val="clear" w:color="auto" w:fill="FFFFFF"/>
    </w:rPr>
  </w:style>
  <w:style w:type="paragraph" w:styleId="7">
    <w:name w:val="heading 2"/>
    <w:basedOn w:val="1"/>
    <w:next w:val="1"/>
    <w:link w:val="55"/>
    <w:qFormat/>
    <w:uiPriority w:val="9"/>
    <w:pPr>
      <w:keepNext/>
      <w:keepLines/>
      <w:widowControl/>
      <w:spacing w:before="260" w:after="260" w:line="416" w:lineRule="auto"/>
      <w:jc w:val="left"/>
      <w:outlineLvl w:val="1"/>
    </w:pPr>
    <w:rPr>
      <w:rFonts w:ascii="Arial" w:hAnsi="Arial" w:eastAsia="黑体"/>
      <w:b/>
      <w:bCs/>
      <w:sz w:val="32"/>
      <w:szCs w:val="32"/>
    </w:rPr>
  </w:style>
  <w:style w:type="paragraph" w:styleId="8">
    <w:name w:val="heading 3"/>
    <w:basedOn w:val="1"/>
    <w:next w:val="1"/>
    <w:semiHidden/>
    <w:unhideWhenUsed/>
    <w:qFormat/>
    <w:uiPriority w:val="0"/>
    <w:pPr>
      <w:keepNext/>
      <w:keepLines/>
      <w:spacing w:before="260" w:after="260" w:line="416" w:lineRule="auto"/>
      <w:outlineLvl w:val="2"/>
    </w:pPr>
    <w:rPr>
      <w:b/>
      <w:bCs/>
      <w:sz w:val="32"/>
      <w:szCs w:val="32"/>
    </w:rPr>
  </w:style>
  <w:style w:type="paragraph" w:styleId="9">
    <w:name w:val="heading 4"/>
    <w:basedOn w:val="1"/>
    <w:next w:val="1"/>
    <w:link w:val="78"/>
    <w:semiHidden/>
    <w:unhideWhenUsed/>
    <w:qFormat/>
    <w:uiPriority w:val="0"/>
    <w:pPr>
      <w:keepNext/>
      <w:keepLines/>
      <w:spacing w:before="280" w:after="290" w:line="376" w:lineRule="auto"/>
      <w:outlineLvl w:val="3"/>
    </w:pPr>
    <w:rPr>
      <w:rFonts w:ascii="Calibri Light" w:hAnsi="Calibri Light"/>
      <w:b/>
      <w:bCs/>
      <w:sz w:val="28"/>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link w:val="81"/>
    <w:semiHidden/>
    <w:unhideWhenUsed/>
    <w:qFormat/>
    <w:uiPriority w:val="0"/>
    <w:pPr>
      <w:ind w:firstLine="420" w:firstLineChars="200"/>
    </w:pPr>
  </w:style>
  <w:style w:type="paragraph" w:styleId="3">
    <w:name w:val="Body Text Indent"/>
    <w:basedOn w:val="1"/>
    <w:next w:val="1"/>
    <w:link w:val="53"/>
    <w:qFormat/>
    <w:uiPriority w:val="0"/>
    <w:pPr>
      <w:spacing w:after="120"/>
      <w:ind w:left="420" w:leftChars="200"/>
    </w:pPr>
  </w:style>
  <w:style w:type="paragraph" w:customStyle="1" w:styleId="4">
    <w:name w:val="文章正文"/>
    <w:basedOn w:val="1"/>
    <w:next w:val="5"/>
    <w:qFormat/>
    <w:uiPriority w:val="0"/>
    <w:pPr>
      <w:spacing w:line="360" w:lineRule="auto"/>
      <w:ind w:firstLine="200" w:firstLineChars="200"/>
    </w:pPr>
    <w:rPr>
      <w:rFonts w:ascii="宋体" w:hAnsi="宋体" w:cs="宋体"/>
      <w:sz w:val="24"/>
    </w:rPr>
  </w:style>
  <w:style w:type="paragraph" w:customStyle="1" w:styleId="5">
    <w:name w:val="公式样式 变量"/>
    <w:qFormat/>
    <w:uiPriority w:val="0"/>
    <w:rPr>
      <w:rFonts w:ascii="Times New Roman" w:hAnsi="Times New Roman" w:eastAsia="宋体" w:cs="Times New Roman"/>
      <w:i/>
      <w:lang w:val="en-US" w:eastAsia="zh-CN" w:bidi="ar-SA"/>
    </w:rPr>
  </w:style>
  <w:style w:type="paragraph" w:styleId="10">
    <w:name w:val="List Number"/>
    <w:basedOn w:val="1"/>
    <w:qFormat/>
    <w:uiPriority w:val="0"/>
    <w:pPr>
      <w:numPr>
        <w:ilvl w:val="0"/>
        <w:numId w:val="1"/>
      </w:numPr>
    </w:pPr>
  </w:style>
  <w:style w:type="paragraph" w:styleId="11">
    <w:name w:val="Normal Indent"/>
    <w:basedOn w:val="1"/>
    <w:next w:val="1"/>
    <w:link w:val="80"/>
    <w:qFormat/>
    <w:uiPriority w:val="0"/>
    <w:pPr>
      <w:ind w:firstLine="420"/>
    </w:pPr>
    <w:rPr>
      <w:szCs w:val="20"/>
    </w:rPr>
  </w:style>
  <w:style w:type="paragraph" w:styleId="12">
    <w:name w:val="Document Map"/>
    <w:basedOn w:val="1"/>
    <w:link w:val="56"/>
    <w:semiHidden/>
    <w:qFormat/>
    <w:uiPriority w:val="99"/>
    <w:pPr>
      <w:shd w:val="clear" w:color="auto" w:fill="000080"/>
    </w:pPr>
    <w:rPr>
      <w:kern w:val="0"/>
      <w:sz w:val="2"/>
    </w:rPr>
  </w:style>
  <w:style w:type="paragraph" w:styleId="13">
    <w:name w:val="annotation text"/>
    <w:basedOn w:val="1"/>
    <w:link w:val="50"/>
    <w:qFormat/>
    <w:uiPriority w:val="99"/>
    <w:pPr>
      <w:jc w:val="left"/>
    </w:pPr>
  </w:style>
  <w:style w:type="paragraph" w:styleId="14">
    <w:name w:val="Body Text"/>
    <w:basedOn w:val="1"/>
    <w:link w:val="61"/>
    <w:qFormat/>
    <w:uiPriority w:val="99"/>
    <w:pPr>
      <w:spacing w:line="360" w:lineRule="exact"/>
    </w:pPr>
    <w:rPr>
      <w:sz w:val="24"/>
      <w:lang w:val="zh-CN"/>
    </w:rPr>
  </w:style>
  <w:style w:type="paragraph" w:styleId="15">
    <w:name w:val="Plain Text"/>
    <w:basedOn w:val="1"/>
    <w:next w:val="16"/>
    <w:link w:val="69"/>
    <w:qFormat/>
    <w:uiPriority w:val="0"/>
    <w:rPr>
      <w:rFonts w:ascii="宋体" w:hAnsi="Courier New"/>
      <w:lang w:val="zh-CN"/>
    </w:rPr>
  </w:style>
  <w:style w:type="paragraph" w:styleId="16">
    <w:name w:val="Date"/>
    <w:basedOn w:val="1"/>
    <w:next w:val="1"/>
    <w:qFormat/>
    <w:uiPriority w:val="0"/>
    <w:pPr>
      <w:ind w:left="2500" w:leftChars="2500"/>
    </w:pPr>
    <w:rPr>
      <w:rFonts w:ascii="Calibri" w:hAnsi="Calibri" w:eastAsia="楷体_GB2312"/>
      <w:sz w:val="32"/>
      <w:szCs w:val="22"/>
    </w:rPr>
  </w:style>
  <w:style w:type="paragraph" w:styleId="17">
    <w:name w:val="Balloon Text"/>
    <w:basedOn w:val="1"/>
    <w:link w:val="52"/>
    <w:qFormat/>
    <w:uiPriority w:val="0"/>
    <w:rPr>
      <w:sz w:val="18"/>
      <w:szCs w:val="18"/>
    </w:rPr>
  </w:style>
  <w:style w:type="paragraph" w:styleId="18">
    <w:name w:val="footer"/>
    <w:basedOn w:val="1"/>
    <w:link w:val="58"/>
    <w:qFormat/>
    <w:uiPriority w:val="0"/>
    <w:pPr>
      <w:tabs>
        <w:tab w:val="center" w:pos="4153"/>
        <w:tab w:val="right" w:pos="8306"/>
      </w:tabs>
      <w:snapToGrid w:val="0"/>
      <w:jc w:val="left"/>
    </w:pPr>
    <w:rPr>
      <w:sz w:val="18"/>
      <w:lang w:val="zh-CN"/>
    </w:rPr>
  </w:style>
  <w:style w:type="paragraph" w:styleId="19">
    <w:name w:val="header"/>
    <w:basedOn w:val="1"/>
    <w:link w:val="5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lang w:val="zh-CN"/>
    </w:rPr>
  </w:style>
  <w:style w:type="paragraph" w:styleId="20">
    <w:name w:val="Subtitle"/>
    <w:basedOn w:val="1"/>
    <w:next w:val="1"/>
    <w:link w:val="67"/>
    <w:qFormat/>
    <w:uiPriority w:val="0"/>
    <w:pPr>
      <w:spacing w:before="240" w:after="60" w:line="312" w:lineRule="auto"/>
      <w:jc w:val="center"/>
      <w:outlineLvl w:val="1"/>
    </w:pPr>
    <w:rPr>
      <w:rFonts w:ascii="等线 Light" w:hAnsi="等线 Light"/>
      <w:b/>
      <w:bCs/>
      <w:kern w:val="28"/>
      <w:sz w:val="32"/>
      <w:szCs w:val="32"/>
    </w:rPr>
  </w:style>
  <w:style w:type="paragraph" w:styleId="21">
    <w:name w:val="Normal (Web)"/>
    <w:basedOn w:val="1"/>
    <w:qFormat/>
    <w:uiPriority w:val="0"/>
    <w:pPr>
      <w:widowControl/>
      <w:spacing w:before="100" w:beforeAutospacing="1" w:after="100" w:afterAutospacing="1"/>
      <w:jc w:val="left"/>
    </w:pPr>
    <w:rPr>
      <w:rFonts w:hint="eastAsia" w:ascii="宋体" w:hAnsi="宋体"/>
      <w:kern w:val="0"/>
      <w:sz w:val="24"/>
    </w:rPr>
  </w:style>
  <w:style w:type="paragraph" w:styleId="22">
    <w:name w:val="Title"/>
    <w:basedOn w:val="1"/>
    <w:next w:val="1"/>
    <w:link w:val="66"/>
    <w:qFormat/>
    <w:uiPriority w:val="0"/>
    <w:pPr>
      <w:spacing w:before="240" w:after="60"/>
      <w:jc w:val="center"/>
      <w:outlineLvl w:val="0"/>
    </w:pPr>
    <w:rPr>
      <w:rFonts w:ascii="等线 Light" w:hAnsi="等线 Light"/>
      <w:b/>
      <w:bCs/>
      <w:sz w:val="32"/>
      <w:szCs w:val="32"/>
    </w:rPr>
  </w:style>
  <w:style w:type="paragraph" w:styleId="23">
    <w:name w:val="annotation subject"/>
    <w:basedOn w:val="13"/>
    <w:next w:val="13"/>
    <w:link w:val="51"/>
    <w:qFormat/>
    <w:uiPriority w:val="0"/>
    <w:rPr>
      <w:b/>
      <w:bCs/>
    </w:rPr>
  </w:style>
  <w:style w:type="table" w:styleId="25">
    <w:name w:val="Table Grid"/>
    <w:basedOn w:val="24"/>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qFormat/>
    <w:uiPriority w:val="0"/>
    <w:rPr>
      <w:b/>
      <w:bCs/>
    </w:rPr>
  </w:style>
  <w:style w:type="character" w:styleId="28">
    <w:name w:val="page number"/>
    <w:basedOn w:val="26"/>
    <w:qFormat/>
    <w:uiPriority w:val="0"/>
  </w:style>
  <w:style w:type="character" w:styleId="29">
    <w:name w:val="FollowedHyperlink"/>
    <w:basedOn w:val="26"/>
    <w:semiHidden/>
    <w:unhideWhenUsed/>
    <w:qFormat/>
    <w:uiPriority w:val="0"/>
    <w:rPr>
      <w:color w:val="954F72" w:themeColor="followedHyperlink"/>
      <w:u w:val="single"/>
    </w:rPr>
  </w:style>
  <w:style w:type="character" w:styleId="30">
    <w:name w:val="Emphasis"/>
    <w:qFormat/>
    <w:uiPriority w:val="0"/>
    <w:rPr>
      <w:i/>
      <w:iCs/>
    </w:rPr>
  </w:style>
  <w:style w:type="character" w:styleId="31">
    <w:name w:val="Hyperlink"/>
    <w:qFormat/>
    <w:uiPriority w:val="99"/>
    <w:rPr>
      <w:color w:val="0000FF"/>
      <w:u w:val="single"/>
    </w:rPr>
  </w:style>
  <w:style w:type="character" w:styleId="32">
    <w:name w:val="annotation reference"/>
    <w:qFormat/>
    <w:uiPriority w:val="99"/>
    <w:rPr>
      <w:sz w:val="21"/>
      <w:szCs w:val="21"/>
    </w:rPr>
  </w:style>
  <w:style w:type="paragraph" w:customStyle="1" w:styleId="33">
    <w:name w:val="zw"/>
    <w:basedOn w:val="1"/>
    <w:qFormat/>
    <w:uiPriority w:val="0"/>
    <w:pPr>
      <w:widowControl/>
      <w:spacing w:before="30"/>
      <w:ind w:left="100" w:right="100"/>
    </w:pPr>
    <w:rPr>
      <w:rFonts w:ascii="方正书宋简体" w:hAnsi="宋体" w:eastAsia="方正书宋简体"/>
      <w:color w:val="000000"/>
      <w:kern w:val="0"/>
      <w:szCs w:val="21"/>
    </w:rPr>
  </w:style>
  <w:style w:type="paragraph" w:styleId="34">
    <w:name w:val="List Paragraph"/>
    <w:basedOn w:val="1"/>
    <w:qFormat/>
    <w:uiPriority w:val="34"/>
    <w:pPr>
      <w:ind w:firstLine="420" w:firstLineChars="200"/>
    </w:pPr>
    <w:rPr>
      <w:rFonts w:ascii="Calibri" w:hAnsi="Calibri"/>
      <w:szCs w:val="22"/>
    </w:rPr>
  </w:style>
  <w:style w:type="paragraph" w:customStyle="1" w:styleId="35">
    <w:name w:val="无间隔1"/>
    <w:qFormat/>
    <w:uiPriority w:val="99"/>
    <w:pPr>
      <w:adjustRightInd w:val="0"/>
      <w:snapToGrid w:val="0"/>
    </w:pPr>
    <w:rPr>
      <w:rFonts w:ascii="Tahoma" w:hAnsi="Tahoma" w:eastAsia="微软雅黑" w:cs="Times New Roman"/>
      <w:sz w:val="22"/>
      <w:szCs w:val="22"/>
      <w:lang w:val="en-US" w:eastAsia="zh-CN" w:bidi="ar-SA"/>
    </w:rPr>
  </w:style>
  <w:style w:type="paragraph" w:customStyle="1" w:styleId="36">
    <w:name w:val="列出段落1"/>
    <w:basedOn w:val="1"/>
    <w:qFormat/>
    <w:uiPriority w:val="0"/>
    <w:pPr>
      <w:ind w:firstLine="420" w:firstLineChars="200"/>
    </w:pPr>
    <w:rPr>
      <w:rFonts w:ascii="Calibri" w:hAnsi="Calibri"/>
      <w:kern w:val="0"/>
      <w:szCs w:val="20"/>
    </w:rPr>
  </w:style>
  <w:style w:type="paragraph" w:customStyle="1" w:styleId="37">
    <w:name w:val="无间隔11"/>
    <w:qFormat/>
    <w:uiPriority w:val="0"/>
    <w:pPr>
      <w:adjustRightInd w:val="0"/>
      <w:snapToGrid w:val="0"/>
    </w:pPr>
    <w:rPr>
      <w:rFonts w:ascii="Tahoma" w:hAnsi="Tahoma" w:eastAsia="微软雅黑" w:cs="Times New Roman"/>
      <w:sz w:val="22"/>
      <w:szCs w:val="22"/>
      <w:lang w:val="en-US" w:eastAsia="zh-CN" w:bidi="ar-SA"/>
    </w:rPr>
  </w:style>
  <w:style w:type="paragraph" w:customStyle="1" w:styleId="38">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39">
    <w:name w:val="正文_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0">
    <w:name w:val="正文_14"/>
    <w:qFormat/>
    <w:uiPriority w:val="0"/>
    <w:rPr>
      <w:rFonts w:ascii="Times New Roman" w:hAnsi="Times New Roman" w:eastAsia="宋体" w:cs="Times New Roman"/>
      <w:sz w:val="21"/>
      <w:szCs w:val="22"/>
      <w:lang w:val="en-US" w:eastAsia="zh-CN" w:bidi="ar-SA"/>
    </w:rPr>
  </w:style>
  <w:style w:type="paragraph" w:customStyle="1" w:styleId="41">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2">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3">
    <w:name w:val="正文_1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4">
    <w:name w:val="纯文本_3"/>
    <w:basedOn w:val="43"/>
    <w:qFormat/>
    <w:uiPriority w:val="0"/>
    <w:pPr>
      <w:widowControl/>
      <w:jc w:val="left"/>
    </w:pPr>
    <w:rPr>
      <w:rFonts w:ascii="宋体" w:hAnsi="Courier New"/>
      <w:szCs w:val="21"/>
    </w:rPr>
  </w:style>
  <w:style w:type="paragraph" w:customStyle="1" w:styleId="45">
    <w:name w:val="纯文本_0_1"/>
    <w:basedOn w:val="1"/>
    <w:qFormat/>
    <w:uiPriority w:val="0"/>
    <w:pPr>
      <w:widowControl/>
      <w:jc w:val="left"/>
    </w:pPr>
    <w:rPr>
      <w:rFonts w:ascii="宋体" w:hAnsi="Courier New"/>
      <w:szCs w:val="21"/>
    </w:rPr>
  </w:style>
  <w:style w:type="paragraph" w:customStyle="1" w:styleId="46">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7">
    <w:name w:val="正文_2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8">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9">
    <w:name w:val="Normal_15"/>
    <w:qFormat/>
    <w:uiPriority w:val="0"/>
    <w:pPr>
      <w:widowControl w:val="0"/>
      <w:jc w:val="both"/>
    </w:pPr>
    <w:rPr>
      <w:rFonts w:ascii="Calibri" w:hAnsi="Calibri" w:eastAsia="宋体" w:cs="Times New Roman"/>
      <w:kern w:val="2"/>
      <w:sz w:val="21"/>
      <w:szCs w:val="22"/>
      <w:lang w:val="en-US" w:eastAsia="zh-CN" w:bidi="ar-SA"/>
    </w:rPr>
  </w:style>
  <w:style w:type="character" w:customStyle="1" w:styleId="50">
    <w:name w:val="批注文字 Char"/>
    <w:link w:val="13"/>
    <w:qFormat/>
    <w:uiPriority w:val="99"/>
    <w:rPr>
      <w:rFonts w:ascii="Times New Roman" w:hAnsi="Times New Roman" w:eastAsia="宋体" w:cs="Times New Roman"/>
      <w:kern w:val="2"/>
      <w:sz w:val="21"/>
      <w:szCs w:val="24"/>
    </w:rPr>
  </w:style>
  <w:style w:type="character" w:customStyle="1" w:styleId="51">
    <w:name w:val="批注主题 Char"/>
    <w:link w:val="23"/>
    <w:qFormat/>
    <w:uiPriority w:val="0"/>
    <w:rPr>
      <w:rFonts w:ascii="Times New Roman" w:hAnsi="Times New Roman" w:eastAsia="宋体" w:cs="Times New Roman"/>
      <w:b/>
      <w:bCs/>
      <w:kern w:val="2"/>
      <w:sz w:val="21"/>
      <w:szCs w:val="24"/>
    </w:rPr>
  </w:style>
  <w:style w:type="character" w:customStyle="1" w:styleId="52">
    <w:name w:val="批注框文本 Char"/>
    <w:link w:val="17"/>
    <w:qFormat/>
    <w:uiPriority w:val="0"/>
    <w:rPr>
      <w:rFonts w:ascii="Times New Roman" w:hAnsi="Times New Roman" w:eastAsia="宋体" w:cs="Times New Roman"/>
      <w:kern w:val="2"/>
      <w:sz w:val="18"/>
      <w:szCs w:val="18"/>
    </w:rPr>
  </w:style>
  <w:style w:type="character" w:customStyle="1" w:styleId="53">
    <w:name w:val="正文文本缩进 Char"/>
    <w:link w:val="3"/>
    <w:qFormat/>
    <w:uiPriority w:val="0"/>
    <w:rPr>
      <w:kern w:val="2"/>
      <w:sz w:val="21"/>
      <w:szCs w:val="24"/>
    </w:rPr>
  </w:style>
  <w:style w:type="character" w:customStyle="1" w:styleId="54">
    <w:name w:val="标题 1 Char"/>
    <w:link w:val="6"/>
    <w:qFormat/>
    <w:uiPriority w:val="0"/>
    <w:rPr>
      <w:color w:val="000000"/>
      <w:szCs w:val="24"/>
    </w:rPr>
  </w:style>
  <w:style w:type="character" w:customStyle="1" w:styleId="55">
    <w:name w:val="标题 2 Char"/>
    <w:link w:val="7"/>
    <w:qFormat/>
    <w:uiPriority w:val="9"/>
    <w:rPr>
      <w:rFonts w:ascii="Arial" w:hAnsi="Arial" w:eastAsia="黑体"/>
      <w:b/>
      <w:bCs/>
      <w:kern w:val="2"/>
      <w:sz w:val="32"/>
      <w:szCs w:val="32"/>
    </w:rPr>
  </w:style>
  <w:style w:type="character" w:customStyle="1" w:styleId="56">
    <w:name w:val="文档结构图 Char"/>
    <w:link w:val="12"/>
    <w:semiHidden/>
    <w:qFormat/>
    <w:uiPriority w:val="99"/>
    <w:rPr>
      <w:sz w:val="2"/>
      <w:szCs w:val="24"/>
      <w:shd w:val="clear" w:color="auto" w:fill="000080"/>
    </w:rPr>
  </w:style>
  <w:style w:type="character" w:customStyle="1" w:styleId="57">
    <w:name w:val="页眉 Char"/>
    <w:link w:val="19"/>
    <w:qFormat/>
    <w:locked/>
    <w:uiPriority w:val="0"/>
    <w:rPr>
      <w:kern w:val="2"/>
      <w:sz w:val="18"/>
      <w:szCs w:val="24"/>
    </w:rPr>
  </w:style>
  <w:style w:type="character" w:customStyle="1" w:styleId="58">
    <w:name w:val="页脚 Char"/>
    <w:link w:val="18"/>
    <w:qFormat/>
    <w:locked/>
    <w:uiPriority w:val="0"/>
    <w:rPr>
      <w:kern w:val="2"/>
      <w:sz w:val="18"/>
      <w:szCs w:val="24"/>
    </w:rPr>
  </w:style>
  <w:style w:type="paragraph" w:customStyle="1" w:styleId="59">
    <w:name w:val="图"/>
    <w:basedOn w:val="1"/>
    <w:qFormat/>
    <w:uiPriority w:val="99"/>
    <w:pPr>
      <w:keepNext/>
      <w:adjustRightInd w:val="0"/>
      <w:snapToGrid w:val="0"/>
      <w:spacing w:before="60" w:after="60" w:line="300" w:lineRule="auto"/>
      <w:jc w:val="center"/>
    </w:pPr>
    <w:rPr>
      <w:spacing w:val="20"/>
      <w:kern w:val="0"/>
      <w:sz w:val="24"/>
      <w:szCs w:val="20"/>
    </w:rPr>
  </w:style>
  <w:style w:type="paragraph" w:customStyle="1" w:styleId="60">
    <w:name w:val="[Normal]"/>
    <w:next w:val="1"/>
    <w:qFormat/>
    <w:uiPriority w:val="99"/>
    <w:pPr>
      <w:widowControl w:val="0"/>
      <w:autoSpaceDE w:val="0"/>
      <w:autoSpaceDN w:val="0"/>
      <w:adjustRightInd w:val="0"/>
    </w:pPr>
    <w:rPr>
      <w:rFonts w:ascii="Arial" w:hAnsi="Arial" w:eastAsia="宋体" w:cs="Arial"/>
      <w:sz w:val="24"/>
      <w:szCs w:val="24"/>
      <w:shd w:val="clear" w:color="auto" w:fill="FFFFFF"/>
      <w:lang w:val="de-DE" w:eastAsia="zh-CN" w:bidi="ar-SA"/>
    </w:rPr>
  </w:style>
  <w:style w:type="character" w:customStyle="1" w:styleId="61">
    <w:name w:val="正文文本 Char"/>
    <w:link w:val="14"/>
    <w:qFormat/>
    <w:locked/>
    <w:uiPriority w:val="99"/>
    <w:rPr>
      <w:kern w:val="2"/>
      <w:sz w:val="24"/>
      <w:szCs w:val="24"/>
    </w:rPr>
  </w:style>
  <w:style w:type="paragraph" w:customStyle="1" w:styleId="62">
    <w:name w:val="KTG"/>
    <w:next w:val="1"/>
    <w:qFormat/>
    <w:uiPriority w:val="99"/>
    <w:pPr>
      <w:widowControl w:val="0"/>
      <w:tabs>
        <w:tab w:val="left" w:pos="1134"/>
      </w:tabs>
      <w:autoSpaceDE w:val="0"/>
      <w:autoSpaceDN w:val="0"/>
      <w:adjustRightInd w:val="0"/>
    </w:pPr>
    <w:rPr>
      <w:rFonts w:ascii="Arial" w:hAnsi="Arial" w:eastAsia="宋体" w:cs="Times New Roman"/>
      <w:sz w:val="22"/>
      <w:szCs w:val="22"/>
      <w:lang w:val="de-DE" w:eastAsia="zh-CN" w:bidi="ar-SA"/>
    </w:rPr>
  </w:style>
  <w:style w:type="character" w:customStyle="1" w:styleId="63">
    <w:name w:val="已访问的超链接1"/>
    <w:qFormat/>
    <w:uiPriority w:val="0"/>
    <w:rPr>
      <w:color w:val="800080"/>
      <w:u w:val="none"/>
    </w:rPr>
  </w:style>
  <w:style w:type="paragraph" w:customStyle="1" w:styleId="64">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65">
    <w:name w:val="_Style 2"/>
    <w:basedOn w:val="1"/>
    <w:qFormat/>
    <w:uiPriority w:val="0"/>
    <w:pPr>
      <w:ind w:firstLine="420" w:firstLineChars="200"/>
    </w:pPr>
  </w:style>
  <w:style w:type="character" w:customStyle="1" w:styleId="66">
    <w:name w:val="标题 Char"/>
    <w:link w:val="22"/>
    <w:qFormat/>
    <w:uiPriority w:val="0"/>
    <w:rPr>
      <w:rFonts w:ascii="等线 Light" w:hAnsi="等线 Light"/>
      <w:b/>
      <w:bCs/>
      <w:kern w:val="2"/>
      <w:sz w:val="32"/>
      <w:szCs w:val="32"/>
    </w:rPr>
  </w:style>
  <w:style w:type="character" w:customStyle="1" w:styleId="67">
    <w:name w:val="副标题 Char"/>
    <w:link w:val="20"/>
    <w:qFormat/>
    <w:uiPriority w:val="0"/>
    <w:rPr>
      <w:rFonts w:ascii="等线 Light" w:hAnsi="等线 Light"/>
      <w:b/>
      <w:bCs/>
      <w:kern w:val="28"/>
      <w:sz w:val="32"/>
      <w:szCs w:val="32"/>
    </w:rPr>
  </w:style>
  <w:style w:type="table" w:customStyle="1" w:styleId="68">
    <w:name w:val="网格型1"/>
    <w:basedOn w:val="24"/>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69">
    <w:name w:val="纯文本 Char"/>
    <w:link w:val="15"/>
    <w:qFormat/>
    <w:uiPriority w:val="0"/>
    <w:rPr>
      <w:rFonts w:ascii="宋体" w:hAnsi="Courier New" w:cs="Times New Roman"/>
      <w:kern w:val="2"/>
      <w:sz w:val="21"/>
      <w:szCs w:val="24"/>
    </w:rPr>
  </w:style>
  <w:style w:type="character" w:customStyle="1" w:styleId="70">
    <w:name w:val="纯文本 Char1"/>
    <w:qFormat/>
    <w:uiPriority w:val="0"/>
    <w:rPr>
      <w:rFonts w:ascii="宋体" w:hAnsi="Courier New"/>
      <w:kern w:val="2"/>
      <w:sz w:val="21"/>
      <w:szCs w:val="24"/>
    </w:rPr>
  </w:style>
  <w:style w:type="paragraph" w:customStyle="1" w:styleId="71">
    <w:name w:val="Char1"/>
    <w:basedOn w:val="1"/>
    <w:qFormat/>
    <w:uiPriority w:val="0"/>
    <w:rPr>
      <w:rFonts w:ascii="Tahoma" w:hAnsi="Tahoma"/>
      <w:sz w:val="24"/>
      <w:szCs w:val="20"/>
    </w:rPr>
  </w:style>
  <w:style w:type="paragraph" w:customStyle="1" w:styleId="72">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73">
    <w:name w:val="正文2 Char Char"/>
    <w:link w:val="74"/>
    <w:qFormat/>
    <w:uiPriority w:val="0"/>
    <w:rPr>
      <w:kern w:val="2"/>
      <w:sz w:val="24"/>
    </w:rPr>
  </w:style>
  <w:style w:type="paragraph" w:customStyle="1" w:styleId="74">
    <w:name w:val="正文2"/>
    <w:basedOn w:val="1"/>
    <w:link w:val="73"/>
    <w:qFormat/>
    <w:uiPriority w:val="0"/>
    <w:pPr>
      <w:spacing w:before="156" w:line="360" w:lineRule="auto"/>
      <w:ind w:firstLine="510" w:firstLineChars="200"/>
    </w:pPr>
    <w:rPr>
      <w:sz w:val="24"/>
      <w:szCs w:val="20"/>
    </w:rPr>
  </w:style>
  <w:style w:type="character" w:customStyle="1" w:styleId="75">
    <w:name w:val="纯文本 Char_1"/>
    <w:link w:val="76"/>
    <w:qFormat/>
    <w:uiPriority w:val="0"/>
    <w:rPr>
      <w:rFonts w:ascii="宋体" w:hAnsi="Courier New"/>
      <w:szCs w:val="21"/>
    </w:rPr>
  </w:style>
  <w:style w:type="paragraph" w:customStyle="1" w:styleId="76">
    <w:name w:val="纯文本_1"/>
    <w:basedOn w:val="1"/>
    <w:link w:val="75"/>
    <w:qFormat/>
    <w:uiPriority w:val="0"/>
    <w:pPr>
      <w:widowControl/>
      <w:jc w:val="left"/>
    </w:pPr>
    <w:rPr>
      <w:rFonts w:ascii="宋体" w:hAnsi="Courier New"/>
      <w:kern w:val="0"/>
      <w:sz w:val="20"/>
      <w:szCs w:val="21"/>
    </w:rPr>
  </w:style>
  <w:style w:type="paragraph" w:customStyle="1" w:styleId="77">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78">
    <w:name w:val="标题 4 Char"/>
    <w:link w:val="9"/>
    <w:semiHidden/>
    <w:qFormat/>
    <w:uiPriority w:val="0"/>
    <w:rPr>
      <w:rFonts w:ascii="Calibri Light" w:hAnsi="Calibri Light" w:eastAsia="宋体" w:cs="Times New Roman"/>
      <w:b/>
      <w:bCs/>
      <w:kern w:val="2"/>
      <w:sz w:val="28"/>
      <w:szCs w:val="28"/>
    </w:rPr>
  </w:style>
  <w:style w:type="table" w:customStyle="1" w:styleId="79">
    <w:name w:val="网格型2"/>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0">
    <w:name w:val="正文缩进 Char"/>
    <w:link w:val="11"/>
    <w:qFormat/>
    <w:uiPriority w:val="0"/>
    <w:rPr>
      <w:kern w:val="2"/>
      <w:sz w:val="21"/>
    </w:rPr>
  </w:style>
  <w:style w:type="character" w:customStyle="1" w:styleId="81">
    <w:name w:val="正文首行缩进 2 Char"/>
    <w:basedOn w:val="53"/>
    <w:link w:val="2"/>
    <w:semiHidden/>
    <w:qFormat/>
    <w:uiPriority w:val="0"/>
    <w:rPr>
      <w:kern w:val="2"/>
      <w:sz w:val="21"/>
      <w:szCs w:val="24"/>
    </w:rPr>
  </w:style>
  <w:style w:type="paragraph" w:customStyle="1" w:styleId="82">
    <w:name w:val="_Style 78"/>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3">
    <w:name w:val="*正文"/>
    <w:basedOn w:val="1"/>
    <w:qFormat/>
    <w:uiPriority w:val="0"/>
    <w:pPr>
      <w:spacing w:line="360" w:lineRule="auto"/>
      <w:ind w:firstLine="200" w:firstLineChars="200"/>
    </w:pPr>
    <w:rPr>
      <w:rFonts w:ascii="宋体" w:hAnsi="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4.xml"/><Relationship Id="rId11" Type="http://schemas.openxmlformats.org/officeDocument/2006/relationships/customXml" Target="../customXml/item3.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2049"/>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3B516D-4F45-45EF-AEBD-2E97A121191C}">
  <ds:schemaRefs/>
</ds:datastoreItem>
</file>

<file path=customXml/itemProps3.xml><?xml version="1.0" encoding="utf-8"?>
<ds:datastoreItem xmlns:ds="http://schemas.openxmlformats.org/officeDocument/2006/customXml" ds:itemID="{DF014E98-0630-4A9C-A8CC-56CA6273334A}">
  <ds:schemaRefs/>
</ds:datastoreItem>
</file>

<file path=customXml/itemProps4.xml><?xml version="1.0" encoding="utf-8"?>
<ds:datastoreItem xmlns:ds="http://schemas.openxmlformats.org/officeDocument/2006/customXml" ds:itemID="{247AEB3A-9E77-4809-AAC3-7911E1BE1990}">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53</Pages>
  <Words>23588</Words>
  <Characters>24822</Characters>
  <Lines>197</Lines>
  <Paragraphs>55</Paragraphs>
  <TotalTime>1</TotalTime>
  <ScaleCrop>false</ScaleCrop>
  <LinksUpToDate>false</LinksUpToDate>
  <CharactersWithSpaces>25712</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2022-11-21T01:37:00Z</dcterms:created>
  <dc:creator>S-mile</dc:creator>
  <cp:lastModifiedBy>Nothing</cp:lastModifiedBy>
  <cp:lastPrinted>2022-11-17T08:44:00Z</cp:lastPrinted>
  <dcterms:modified xsi:type="dcterms:W3CDTF">2022-11-21T12:38:39Z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BBEA3AEBE5BC44879CE65A8D2940DFCA</vt:lpwstr>
  </property>
</Properties>
</file>