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bookmarkStart w:id="0" w:name="_Toc331502476"/>
      <w:bookmarkStart w:id="1" w:name="_Toc331502477"/>
    </w:p>
    <w:p>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p>
    <w:p>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政府采购电子招标文件</w:t>
      </w:r>
    </w:p>
    <w:p>
      <w:pPr>
        <w:shd w:val="clear"/>
        <w:wordWrap w:val="0"/>
        <w:ind w:firstLine="2400" w:firstLineChars="750"/>
        <w:jc w:val="left"/>
        <w:rPr>
          <w:rFonts w:hint="eastAsia" w:asciiTheme="minorEastAsia" w:hAnsiTheme="minorEastAsia" w:eastAsiaTheme="minorEastAsia" w:cstheme="minorEastAsia"/>
          <w:color w:val="auto"/>
          <w:sz w:val="32"/>
          <w:szCs w:val="32"/>
          <w:highlight w:val="none"/>
          <w:u w:val="single"/>
          <w:lang w:val="en-US" w:eastAsia="zh-CN"/>
        </w:rPr>
      </w:pPr>
      <w:r>
        <w:rPr>
          <w:rFonts w:hint="eastAsia" w:asciiTheme="minorEastAsia" w:hAnsiTheme="minorEastAsia" w:eastAsiaTheme="minorEastAsia" w:cstheme="minorEastAsia"/>
          <w:color w:val="auto"/>
          <w:sz w:val="32"/>
          <w:szCs w:val="32"/>
          <w:highlight w:val="none"/>
        </w:rPr>
        <w:t>招标编号:</w:t>
      </w:r>
      <w:r>
        <w:rPr>
          <w:rFonts w:hint="eastAsia" w:asciiTheme="minorEastAsia" w:hAnsiTheme="minorEastAsia" w:eastAsiaTheme="minorEastAsia" w:cstheme="minorEastAsia"/>
          <w:color w:val="auto"/>
          <w:sz w:val="32"/>
          <w:szCs w:val="32"/>
          <w:highlight w:val="none"/>
          <w:u w:val="single"/>
          <w:lang w:eastAsia="zh-CN"/>
        </w:rPr>
        <w:t>JJLQ2023-017</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sz w:val="36"/>
          <w:highlight w:val="none"/>
        </w:rPr>
        <w:t>（线上电子招投标）</w:t>
      </w:r>
    </w:p>
    <w:p>
      <w:pPr>
        <w:shd w:val="clea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32"/>
          <w:szCs w:val="32"/>
          <w:highlight w:val="none"/>
        </w:rPr>
      </w:pP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sz w:val="30"/>
          <w:szCs w:val="30"/>
          <w:highlight w:val="none"/>
        </w:rPr>
        <w:t>采购项目</w:t>
      </w:r>
      <w:r>
        <w:rPr>
          <w:rFonts w:hint="eastAsia" w:asciiTheme="minorEastAsia" w:hAnsiTheme="minorEastAsia" w:eastAsiaTheme="minorEastAsia" w:cstheme="minorEastAsia"/>
          <w:color w:val="auto"/>
          <w:sz w:val="30"/>
          <w:szCs w:val="30"/>
          <w:highlight w:val="none"/>
          <w:lang w:eastAsia="zh-CN"/>
        </w:rPr>
        <w:t>：飞龙湖生态区总设计师选聘</w:t>
      </w: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val="en-US" w:eastAsia="zh-CN"/>
        </w:rPr>
      </w:pPr>
      <w:r>
        <w:rPr>
          <w:rFonts w:hint="eastAsia" w:asciiTheme="minorEastAsia" w:hAnsiTheme="minorEastAsia" w:eastAsiaTheme="minorEastAsia" w:cstheme="minorEastAsia"/>
          <w:color w:val="auto"/>
          <w:kern w:val="0"/>
          <w:sz w:val="30"/>
          <w:szCs w:val="30"/>
          <w:highlight w:val="none"/>
          <w:lang w:val="en-US" w:eastAsia="zh-CN"/>
        </w:rPr>
        <w:t xml:space="preserve">          </w:t>
      </w: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 w:val="30"/>
          <w:szCs w:val="30"/>
          <w:highlight w:val="none"/>
        </w:rPr>
        <w:t>采 购 人：</w:t>
      </w:r>
      <w:r>
        <w:rPr>
          <w:rFonts w:hint="eastAsia" w:asciiTheme="minorEastAsia" w:hAnsiTheme="minorEastAsia" w:eastAsiaTheme="minorEastAsia" w:cstheme="minorEastAsia"/>
          <w:color w:val="auto"/>
          <w:kern w:val="0"/>
          <w:sz w:val="30"/>
          <w:szCs w:val="30"/>
          <w:highlight w:val="none"/>
          <w:lang w:eastAsia="zh-CN"/>
        </w:rPr>
        <w:t>台州市路桥区飞龙湖生态区建设发展中心</w:t>
      </w:r>
      <w:r>
        <w:rPr>
          <w:rFonts w:hint="eastAsia" w:asciiTheme="minorEastAsia" w:hAnsiTheme="minorEastAsia" w:eastAsiaTheme="minorEastAsia" w:cstheme="minorEastAsia"/>
          <w:color w:val="auto"/>
          <w:kern w:val="0"/>
          <w:sz w:val="30"/>
          <w:szCs w:val="30"/>
          <w:highlight w:val="none"/>
        </w:rPr>
        <w:t>（盖章）</w:t>
      </w: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r>
        <w:rPr>
          <w:rFonts w:hint="eastAsia" w:asciiTheme="minorEastAsia" w:hAnsiTheme="minorEastAsia" w:eastAsiaTheme="minorEastAsia" w:cstheme="minorEastAsia"/>
          <w:color w:val="auto"/>
          <w:kern w:val="0"/>
          <w:sz w:val="30"/>
          <w:szCs w:val="30"/>
          <w:highlight w:val="none"/>
          <w:lang w:eastAsia="zh-CN"/>
        </w:rPr>
        <w:t>采购组织机构：建经投资咨询有限公司（盖章）</w:t>
      </w:r>
    </w:p>
    <w:p>
      <w:pPr>
        <w:pStyle w:val="96"/>
        <w:shd w:val="clear"/>
        <w:rPr>
          <w:rFonts w:hint="eastAsia" w:asciiTheme="minorEastAsia" w:hAnsiTheme="minorEastAsia" w:eastAsiaTheme="minorEastAsia" w:cstheme="minorEastAsia"/>
          <w:highlight w:val="none"/>
        </w:rPr>
      </w:pP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highlight w:val="none"/>
        </w:rPr>
        <w:t>二○二</w:t>
      </w:r>
      <w:r>
        <w:rPr>
          <w:rFonts w:hint="eastAsia" w:asciiTheme="minorEastAsia" w:hAnsiTheme="minorEastAsia" w:eastAsiaTheme="minorEastAsia" w:cstheme="minorEastAsia"/>
          <w:color w:val="auto"/>
          <w:kern w:val="0"/>
          <w:sz w:val="28"/>
          <w:highlight w:val="none"/>
          <w:lang w:val="en-US" w:eastAsia="zh-CN"/>
        </w:rPr>
        <w:t>三</w:t>
      </w:r>
      <w:r>
        <w:rPr>
          <w:rFonts w:hint="eastAsia" w:asciiTheme="minorEastAsia" w:hAnsiTheme="minorEastAsia" w:eastAsiaTheme="minorEastAsia" w:cstheme="minorEastAsia"/>
          <w:color w:val="auto"/>
          <w:kern w:val="0"/>
          <w:sz w:val="28"/>
          <w:highlight w:val="none"/>
        </w:rPr>
        <w:t>年</w:t>
      </w:r>
      <w:r>
        <w:rPr>
          <w:rFonts w:hint="eastAsia" w:asciiTheme="minorEastAsia" w:hAnsiTheme="minorEastAsia" w:eastAsiaTheme="minorEastAsia" w:cstheme="minorEastAsia"/>
          <w:color w:val="auto"/>
          <w:kern w:val="0"/>
          <w:sz w:val="28"/>
          <w:highlight w:val="none"/>
          <w:lang w:val="en-US" w:eastAsia="zh-CN"/>
        </w:rPr>
        <w:t xml:space="preserve"> </w:t>
      </w:r>
    </w:p>
    <w:p>
      <w:pPr>
        <w:shd w:val="clear"/>
        <w:ind w:left="643" w:hanging="643"/>
        <w:jc w:val="center"/>
        <w:rPr>
          <w:rFonts w:hint="eastAsia" w:asciiTheme="minorEastAsia" w:hAnsiTheme="minorEastAsia" w:eastAsiaTheme="minorEastAsia" w:cstheme="minorEastAsia"/>
          <w:b/>
          <w:color w:val="auto"/>
          <w:sz w:val="32"/>
          <w:szCs w:val="32"/>
          <w:highlight w:val="none"/>
        </w:rPr>
      </w:pPr>
    </w:p>
    <w:p>
      <w:pPr>
        <w:shd w:val="clear"/>
        <w:ind w:left="643" w:hanging="643"/>
        <w:jc w:val="center"/>
        <w:rPr>
          <w:rFonts w:hint="eastAsia" w:asciiTheme="minorEastAsia" w:hAnsiTheme="minorEastAsia" w:eastAsiaTheme="minorEastAsia" w:cstheme="minorEastAsia"/>
          <w:b/>
          <w:color w:val="auto"/>
          <w:sz w:val="32"/>
          <w:szCs w:val="32"/>
          <w:highlight w:val="none"/>
        </w:rPr>
        <w:sectPr>
          <w:headerReference r:id="rId6" w:type="first"/>
          <w:footerReference r:id="rId7" w:type="first"/>
          <w:headerReference r:id="rId5" w:type="default"/>
          <w:pgSz w:w="11906" w:h="16838"/>
          <w:pgMar w:top="1247" w:right="1417" w:bottom="1474" w:left="1417" w:header="851" w:footer="896" w:gutter="0"/>
          <w:cols w:space="0" w:num="1"/>
          <w:titlePg/>
          <w:rtlGutter w:val="0"/>
          <w:docGrid w:type="lines" w:linePitch="312" w:charSpace="0"/>
        </w:sectPr>
      </w:pPr>
    </w:p>
    <w:p>
      <w:pPr>
        <w:shd w:val="clear"/>
        <w:ind w:left="643" w:hanging="64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pPr>
        <w:shd w:val="clear"/>
        <w:ind w:firstLine="480" w:firstLineChars="200"/>
        <w:rPr>
          <w:rFonts w:hint="eastAsia" w:asciiTheme="minorEastAsia" w:hAnsiTheme="minorEastAsia" w:eastAsiaTheme="minorEastAsia" w:cstheme="minorEastAsia"/>
          <w:color w:val="auto"/>
          <w:sz w:val="24"/>
          <w:highlight w:val="none"/>
        </w:rPr>
      </w:pPr>
    </w:p>
    <w:p>
      <w:pPr>
        <w:pStyle w:val="379"/>
        <w:shd w:val="clear"/>
        <w:ind w:firstLine="56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\f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lang w:val="en-US" w:eastAsia="zh-CN"/>
        </w:rPr>
        <w:t xml:space="preserve"> </w:t>
      </w:r>
    </w:p>
    <w:p>
      <w:pPr>
        <w:pStyle w:val="379"/>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第二部分    </w:t>
      </w:r>
      <w:r>
        <w:rPr>
          <w:rFonts w:hint="eastAsia" w:asciiTheme="minorEastAsia" w:hAnsiTheme="minorEastAsia" w:eastAsiaTheme="minorEastAsia" w:cstheme="minorEastAsia"/>
          <w:color w:val="auto"/>
          <w:sz w:val="28"/>
          <w:szCs w:val="28"/>
          <w:highlight w:val="none"/>
          <w:lang w:eastAsia="zh-CN"/>
        </w:rPr>
        <w:t>项目需求</w:t>
      </w:r>
    </w:p>
    <w:p>
      <w:pPr>
        <w:pStyle w:val="379"/>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第三部分    投标人须知</w:t>
      </w:r>
    </w:p>
    <w:p>
      <w:pPr>
        <w:pStyle w:val="379"/>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第四部分    投标文件格式</w:t>
      </w:r>
    </w:p>
    <w:p>
      <w:pPr>
        <w:pStyle w:val="379"/>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第五部分    采购合同</w:t>
      </w:r>
    </w:p>
    <w:p>
      <w:pPr>
        <w:pStyle w:val="379"/>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第六部分    评标办法</w:t>
      </w:r>
    </w:p>
    <w:p>
      <w:pPr>
        <w:pStyle w:val="379"/>
        <w:shd w:val="clear"/>
        <w:ind w:firstLine="560"/>
        <w:rPr>
          <w:rFonts w:hint="eastAsia" w:asciiTheme="minorEastAsia" w:hAnsiTheme="minorEastAsia" w:eastAsiaTheme="minorEastAsia" w:cstheme="minorEastAsia"/>
          <w:color w:val="auto"/>
          <w:sz w:val="28"/>
          <w:szCs w:val="28"/>
          <w:highlight w:val="none"/>
        </w:rPr>
        <w:sectPr>
          <w:footerReference r:id="rId9" w:type="first"/>
          <w:footerReference r:id="rId8"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rPr>
        <w:fldChar w:fldCharType="end"/>
      </w:r>
    </w:p>
    <w:p>
      <w:pPr>
        <w:pStyle w:val="2"/>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第一部分  </w:t>
      </w:r>
      <w:bookmarkEnd w:id="0"/>
      <w:r>
        <w:rPr>
          <w:rFonts w:hint="eastAsia" w:asciiTheme="minorEastAsia" w:hAnsiTheme="minorEastAsia" w:eastAsiaTheme="minorEastAsia" w:cstheme="minorEastAsia"/>
          <w:color w:val="auto"/>
          <w:sz w:val="36"/>
          <w:szCs w:val="36"/>
          <w:highlight w:val="none"/>
        </w:rPr>
        <w:t>招标公告</w:t>
      </w:r>
    </w:p>
    <w:p>
      <w:pPr>
        <w:pStyle w:val="72"/>
        <w:keepNext w:val="0"/>
        <w:keepLines w:val="0"/>
        <w:pageBreakBefore w:val="0"/>
        <w:shd w:val="clear"/>
        <w:kinsoku/>
        <w:wordWrap/>
        <w:topLinePunct w:val="0"/>
        <w:bidi w:val="0"/>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val="0"/>
          <w:color w:val="auto"/>
          <w:kern w:val="2"/>
          <w:sz w:val="21"/>
          <w:szCs w:val="21"/>
          <w:highlight w:val="none"/>
        </w:rPr>
        <w:t>根据《中华人民共和国政府采购法》</w:t>
      </w:r>
      <w:r>
        <w:rPr>
          <w:rFonts w:hint="eastAsia" w:asciiTheme="minorEastAsia" w:hAnsiTheme="minorEastAsia" w:eastAsiaTheme="minorEastAsia" w:cstheme="minorEastAsia"/>
          <w:b w:val="0"/>
          <w:color w:val="auto"/>
          <w:kern w:val="2"/>
          <w:sz w:val="21"/>
          <w:szCs w:val="21"/>
          <w:highlight w:val="none"/>
          <w:lang w:eastAsia="zh-CN"/>
        </w:rPr>
        <w:t>、</w:t>
      </w:r>
      <w:r>
        <w:rPr>
          <w:rFonts w:hint="eastAsia" w:asciiTheme="minorEastAsia" w:hAnsiTheme="minorEastAsia" w:eastAsiaTheme="minorEastAsia" w:cstheme="minorEastAsia"/>
          <w:b w:val="0"/>
          <w:color w:val="auto"/>
          <w:kern w:val="2"/>
          <w:sz w:val="21"/>
          <w:szCs w:val="21"/>
          <w:highlight w:val="none"/>
        </w:rPr>
        <w:t>《政府采购货物和服务招标投标管理办法（财政部第87号令）》等有关规定，</w:t>
      </w:r>
      <w:r>
        <w:rPr>
          <w:rFonts w:hint="eastAsia" w:asciiTheme="minorEastAsia" w:hAnsiTheme="minorEastAsia" w:eastAsiaTheme="minorEastAsia" w:cstheme="minorEastAsia"/>
          <w:b w:val="0"/>
          <w:color w:val="auto"/>
          <w:kern w:val="2"/>
          <w:sz w:val="21"/>
          <w:szCs w:val="21"/>
          <w:highlight w:val="none"/>
          <w:u w:val="single"/>
          <w:lang w:eastAsia="zh-CN"/>
        </w:rPr>
        <w:t>建经投资咨询有限公司</w:t>
      </w:r>
      <w:r>
        <w:rPr>
          <w:rFonts w:hint="eastAsia" w:asciiTheme="minorEastAsia" w:hAnsiTheme="minorEastAsia" w:eastAsiaTheme="minorEastAsia" w:cstheme="minorEastAsia"/>
          <w:b w:val="0"/>
          <w:color w:val="auto"/>
          <w:kern w:val="2"/>
          <w:sz w:val="21"/>
          <w:szCs w:val="21"/>
          <w:highlight w:val="none"/>
        </w:rPr>
        <w:t>受</w:t>
      </w:r>
      <w:r>
        <w:rPr>
          <w:rFonts w:hint="eastAsia" w:asciiTheme="minorEastAsia" w:hAnsiTheme="minorEastAsia" w:eastAsiaTheme="minorEastAsia" w:cstheme="minorEastAsia"/>
          <w:b w:val="0"/>
          <w:color w:val="auto"/>
          <w:kern w:val="2"/>
          <w:sz w:val="21"/>
          <w:szCs w:val="21"/>
          <w:highlight w:val="none"/>
          <w:u w:val="single"/>
          <w:lang w:eastAsia="zh-CN"/>
        </w:rPr>
        <w:t>台州市路桥区飞龙湖生态区建设发展中心</w:t>
      </w:r>
      <w:r>
        <w:rPr>
          <w:rFonts w:hint="eastAsia" w:asciiTheme="minorEastAsia" w:hAnsiTheme="minorEastAsia" w:eastAsiaTheme="minorEastAsia" w:cstheme="minorEastAsia"/>
          <w:b w:val="0"/>
          <w:color w:val="auto"/>
          <w:kern w:val="2"/>
          <w:sz w:val="21"/>
          <w:szCs w:val="21"/>
          <w:highlight w:val="none"/>
        </w:rPr>
        <w:t>委托，就</w:t>
      </w:r>
      <w:r>
        <w:rPr>
          <w:rFonts w:hint="eastAsia" w:asciiTheme="minorEastAsia" w:hAnsiTheme="minorEastAsia" w:eastAsiaTheme="minorEastAsia" w:cstheme="minorEastAsia"/>
          <w:b w:val="0"/>
          <w:color w:val="auto"/>
          <w:sz w:val="21"/>
          <w:szCs w:val="21"/>
          <w:highlight w:val="none"/>
          <w:u w:val="single"/>
          <w:lang w:eastAsia="zh-CN"/>
        </w:rPr>
        <w:t>飞龙湖生态区总设计师选聘</w:t>
      </w:r>
      <w:r>
        <w:rPr>
          <w:rFonts w:hint="eastAsia" w:asciiTheme="minorEastAsia" w:hAnsiTheme="minorEastAsia" w:eastAsiaTheme="minorEastAsia" w:cstheme="minorEastAsia"/>
          <w:b w:val="0"/>
          <w:color w:val="auto"/>
          <w:kern w:val="2"/>
          <w:sz w:val="21"/>
          <w:szCs w:val="21"/>
          <w:highlight w:val="none"/>
        </w:rPr>
        <w:t>进行公开招标，欢迎合格供应商前来投标。</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招标编号：JJLQ2023-017</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二、项目名称：飞龙湖生态区总设计师选聘</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、采购组织类型：</w:t>
      </w:r>
      <w:r>
        <w:rPr>
          <w:rFonts w:hint="eastAsia" w:asciiTheme="minorEastAsia" w:hAnsiTheme="minorEastAsia" w:eastAsiaTheme="minorEastAsia" w:cstheme="minorEastAsia"/>
          <w:color w:val="auto"/>
          <w:sz w:val="21"/>
          <w:szCs w:val="21"/>
          <w:highlight w:val="none"/>
          <w:lang w:val="en-US" w:eastAsia="zh-CN"/>
        </w:rPr>
        <w:t>公开招标</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采购内容：</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default"/>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预算价：675万元/3年（</w:t>
      </w:r>
      <w:r>
        <w:rPr>
          <w:rFonts w:hint="eastAsia" w:asciiTheme="minorEastAsia" w:hAnsiTheme="minorEastAsia" w:eastAsiaTheme="minorEastAsia" w:cstheme="minorEastAsia"/>
          <w:color w:val="auto"/>
          <w:sz w:val="21"/>
          <w:szCs w:val="21"/>
          <w:highlight w:val="none"/>
          <w:lang w:val="en-US" w:eastAsia="zh-CN"/>
        </w:rPr>
        <w:t>225万元/年）；</w:t>
      </w:r>
    </w:p>
    <w:tbl>
      <w:tblPr>
        <w:tblStyle w:val="76"/>
        <w:tblW w:w="54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3"/>
        <w:gridCol w:w="2083"/>
        <w:gridCol w:w="530"/>
        <w:gridCol w:w="524"/>
        <w:gridCol w:w="1738"/>
        <w:gridCol w:w="3739"/>
        <w:gridCol w:w="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11" w:type="pct"/>
            <w:noWrap w:val="0"/>
            <w:vAlign w:val="center"/>
          </w:tcPr>
          <w:p>
            <w:pPr>
              <w:pStyle w:val="695"/>
              <w:keepNext w:val="0"/>
              <w:keepLines w:val="0"/>
              <w:pageBreakBefore w:val="0"/>
              <w:shd w:val="clear"/>
              <w:kinsoku/>
              <w:wordWrap/>
              <w:topLinePunct w:val="0"/>
              <w:bidi w:val="0"/>
              <w:adjustRightInd w:val="0"/>
              <w:snapToGrid w:val="0"/>
              <w:spacing w:line="360" w:lineRule="auto"/>
              <w:ind w:left="49" w:right="120"/>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标段</w:t>
            </w:r>
          </w:p>
        </w:tc>
        <w:tc>
          <w:tcPr>
            <w:tcW w:w="1057"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标项内容</w:t>
            </w:r>
          </w:p>
        </w:tc>
        <w:tc>
          <w:tcPr>
            <w:tcW w:w="269"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shd w:val="clear" w:color="auto" w:fill="auto"/>
              </w:rPr>
              <w:t>数量</w:t>
            </w:r>
          </w:p>
        </w:tc>
        <w:tc>
          <w:tcPr>
            <w:tcW w:w="266"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单位</w:t>
            </w:r>
          </w:p>
        </w:tc>
        <w:tc>
          <w:tcPr>
            <w:tcW w:w="882"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最高投标限价</w:t>
            </w:r>
          </w:p>
        </w:tc>
        <w:tc>
          <w:tcPr>
            <w:tcW w:w="1897" w:type="pct"/>
            <w:noWrap w:val="0"/>
            <w:vAlign w:val="center"/>
          </w:tcPr>
          <w:p>
            <w:pPr>
              <w:shd w:val="clear"/>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服务期限</w:t>
            </w:r>
          </w:p>
        </w:tc>
        <w:tc>
          <w:tcPr>
            <w:tcW w:w="315"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311" w:type="pct"/>
            <w:noWrap w:val="0"/>
            <w:vAlign w:val="center"/>
          </w:tcPr>
          <w:p>
            <w:pPr>
              <w:pStyle w:val="695"/>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一</w:t>
            </w:r>
          </w:p>
        </w:tc>
        <w:tc>
          <w:tcPr>
            <w:tcW w:w="1057" w:type="pct"/>
            <w:noWrap w:val="0"/>
            <w:vAlign w:val="center"/>
          </w:tcPr>
          <w:p>
            <w:pPr>
              <w:pStyle w:val="695"/>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飞龙湖生态区总设计师选聘</w:t>
            </w:r>
          </w:p>
        </w:tc>
        <w:tc>
          <w:tcPr>
            <w:tcW w:w="269" w:type="pct"/>
            <w:noWrap w:val="0"/>
            <w:vAlign w:val="center"/>
          </w:tcPr>
          <w:p>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66" w:type="pct"/>
            <w:noWrap w:val="0"/>
            <w:vAlign w:val="center"/>
          </w:tcPr>
          <w:p>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项</w:t>
            </w:r>
          </w:p>
        </w:tc>
        <w:tc>
          <w:tcPr>
            <w:tcW w:w="882" w:type="pct"/>
            <w:tcBorders>
              <w:bottom w:val="single" w:color="auto" w:sz="4" w:space="0"/>
            </w:tcBorders>
            <w:noWrap w:val="0"/>
            <w:vAlign w:val="center"/>
          </w:tcPr>
          <w:p>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675万元/3年（</w:t>
            </w:r>
            <w:r>
              <w:rPr>
                <w:rFonts w:hint="eastAsia" w:asciiTheme="minorEastAsia" w:hAnsiTheme="minorEastAsia" w:eastAsiaTheme="minorEastAsia" w:cstheme="minorEastAsia"/>
                <w:color w:val="auto"/>
                <w:sz w:val="21"/>
                <w:szCs w:val="21"/>
                <w:highlight w:val="none"/>
                <w:lang w:val="en-US" w:eastAsia="zh-CN"/>
              </w:rPr>
              <w:t>225万元/年）</w:t>
            </w:r>
          </w:p>
        </w:tc>
        <w:tc>
          <w:tcPr>
            <w:tcW w:w="1897" w:type="pct"/>
            <w:tcBorders>
              <w:bottom w:val="single" w:color="auto" w:sz="4" w:space="0"/>
            </w:tcBorders>
            <w:noWrap w:val="0"/>
            <w:vAlign w:val="center"/>
          </w:tcPr>
          <w:p>
            <w:pPr>
              <w:shd w:val="clear"/>
              <w:spacing w:line="360" w:lineRule="auto"/>
              <w:jc w:val="lef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   合同签订之日起3年（一年一签）。第二年、第三年财政预算金额未达到原合同金额且中标供应商不同意按新的预算金额履行合同的或第二年、第三年财政预算未通过的或履约质量评估结果为不合格的，合同的约定自动失效 。</w:t>
            </w:r>
          </w:p>
        </w:tc>
        <w:tc>
          <w:tcPr>
            <w:tcW w:w="315" w:type="pct"/>
            <w:noWrap w:val="0"/>
            <w:vAlign w:val="center"/>
          </w:tcPr>
          <w:p>
            <w:pPr>
              <w:pStyle w:val="695"/>
              <w:keepNext w:val="0"/>
              <w:keepLines w:val="0"/>
              <w:pageBreakBefore w:val="0"/>
              <w:shd w:val="clear"/>
              <w:kinsoku/>
              <w:wordWrap/>
              <w:topLinePunct w:val="0"/>
              <w:bidi w:val="0"/>
              <w:adjustRightInd w:val="0"/>
              <w:snapToGrid w:val="0"/>
              <w:spacing w:before="1" w:line="240" w:lineRule="auto"/>
              <w:ind w:right="106"/>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 xml:space="preserve"> </w:t>
            </w:r>
          </w:p>
        </w:tc>
      </w:tr>
    </w:tbl>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、投标人应具备的资格要求</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总设计师：具有正高级职称（规划或建筑类）；</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 号】第七条规定：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一个标段</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 xml:space="preserve">公告发布时间 </w:t>
      </w:r>
      <w:r>
        <w:rPr>
          <w:rFonts w:hint="eastAsia" w:asciiTheme="minorEastAsia" w:hAnsiTheme="minorEastAsia" w:eastAsiaTheme="minorEastAsia" w:cstheme="minorEastAsia"/>
          <w:color w:val="auto"/>
          <w:sz w:val="21"/>
          <w:szCs w:val="21"/>
          <w:highlight w:val="none"/>
        </w:rPr>
        <w:t xml:space="preserve">至 </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供应商获取招标文件时建议提交的文件资料：无，按政釆云系统要求进行获取。</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pPr>
        <w:keepNext w:val="0"/>
        <w:keepLines w:val="0"/>
        <w:pageBreakBefore w:val="0"/>
        <w:widowControl w:val="0"/>
        <w:numPr>
          <w:ilvl w:val="0"/>
          <w:numId w:val="32"/>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1391370120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pPr>
        <w:pStyle w:val="72"/>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b/>
          <w:color w:val="auto"/>
          <w:sz w:val="21"/>
          <w:szCs w:val="21"/>
          <w:highlight w:val="none"/>
        </w:rPr>
        <w:t>。</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2"/>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（1）中小企是指在中华人民共和国境内依法设立，依据国务院批准的中小企业划分标准确定的中型企业、小型企业和微型企业，但与大企业的负责人为同一人，或者与大企业存在直接控股、管理关系的除外。</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（5）本项目采购标的对应中小企业划分标准所属行业为：</w:t>
      </w:r>
      <w:bookmarkStart w:id="26" w:name="_GoBack"/>
      <w:bookmarkEnd w:id="26"/>
      <w:r>
        <w:rPr>
          <w:rFonts w:hint="eastAsia" w:asciiTheme="minorEastAsia" w:hAnsiTheme="minorEastAsia" w:eastAsiaTheme="minorEastAsia" w:cstheme="minorEastAsia"/>
          <w:color w:val="auto"/>
          <w:sz w:val="21"/>
          <w:szCs w:val="21"/>
          <w:highlight w:val="none"/>
          <w:lang w:val="en-US" w:eastAsia="zh-CN"/>
        </w:rPr>
        <w:t>专业技术服务业。</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台州市路桥区飞龙湖生态区建设发展中心</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联系人：林女士        联系方式：0576-89220806 </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质疑联系人：郑女士    联系方式：0576-82988009 </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地址：台州市路桥区商城国际11楼</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建经投资咨询有限公司</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18968630753</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林炳洪</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13362681081（</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地址：台州市路桥区花鸟巷238号</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吴</w:t>
      </w:r>
      <w:r>
        <w:rPr>
          <w:rFonts w:hint="eastAsia" w:asciiTheme="minorEastAsia" w:hAnsiTheme="minorEastAsia" w:eastAsiaTheme="minorEastAsia" w:cstheme="minorEastAsia"/>
          <w:color w:val="auto"/>
          <w:sz w:val="21"/>
          <w:szCs w:val="21"/>
          <w:highlight w:val="none"/>
        </w:rPr>
        <w:t>女士</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pPr>
        <w:pStyle w:val="98"/>
        <w:keepNext w:val="0"/>
        <w:keepLines w:val="0"/>
        <w:pageBreakBefore w:val="0"/>
        <w:numPr>
          <w:ilvl w:val="0"/>
          <w:numId w:val="0"/>
        </w:numPr>
        <w:shd w:val="clear"/>
        <w:kinsoku/>
        <w:wordWrap/>
        <w:topLinePunct w:val="0"/>
        <w:bidi w:val="0"/>
        <w:adjustRightInd w:val="0"/>
        <w:snapToGrid w:val="0"/>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中标供应商如有融资需求，可使用以下银行的政采贷服务。</w:t>
      </w:r>
    </w:p>
    <w:tbl>
      <w:tblPr>
        <w:tblStyle w:val="76"/>
        <w:tblW w:w="10279" w:type="dxa"/>
        <w:jc w:val="center"/>
        <w:tblLayout w:type="fixed"/>
        <w:tblCellMar>
          <w:top w:w="0" w:type="dxa"/>
          <w:left w:w="0" w:type="dxa"/>
          <w:bottom w:w="0" w:type="dxa"/>
          <w:right w:w="0" w:type="dxa"/>
        </w:tblCellMar>
      </w:tblPr>
      <w:tblGrid>
        <w:gridCol w:w="568"/>
        <w:gridCol w:w="4762"/>
        <w:gridCol w:w="1649"/>
        <w:gridCol w:w="1655"/>
        <w:gridCol w:w="1645"/>
      </w:tblGrid>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序号</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银 行 名 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政采贷年利率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联系人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联系电话</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中国建设银行股份有限公司台州路桥支行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徐剑鸿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15167671223</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中国工商银行股份有限公司台州路桥支行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倪  昊</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15968680259</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中国农业银行股份有限公司台州路桥支行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丁道兵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13606668045</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车  斌</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13750661198</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台州银行股份有限公司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黄红芹</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13968689000</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6</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浙江泰隆商业银行股份有限公司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冯观凤</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17858683988</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7</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中国邮政储蓄银行股份有限公司台州市路桥区支行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4.35%起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沈丹华</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13306566969</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8</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交通银行股份有限公司台州路桥支行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刘鲁浙</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15968662111</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9</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兴业银行股份有限公司台州路桥支行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蒋  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13586088395</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10</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中信银行股份有限公司台州路桥支行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4.15%起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曹筱婕</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18105768199</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浙商银行股份有限公司台州路桥小微企业专营支行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6.75%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庄道勇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13867611023</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广发银行股份有限公司台州路桥小微企业专营支行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5.65%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林  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13858687790</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平安银行股份有限公司台州路桥小微企业专营支行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李俊丽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15906861025</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宁波银行股份有限公司台州路桥小微企业专营支行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李诚杰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13395745558</w:t>
            </w:r>
          </w:p>
        </w:tc>
      </w:tr>
      <w:tr>
        <w:tblPrEx>
          <w:tblCellMar>
            <w:top w:w="0" w:type="dxa"/>
            <w:left w:w="0" w:type="dxa"/>
            <w:bottom w:w="0" w:type="dxa"/>
            <w:right w:w="0" w:type="dxa"/>
          </w:tblCellMar>
        </w:tblPrEx>
        <w:trPr>
          <w:trHeight w:val="42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浙江台州路桥富民村镇银行股份有限公司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金根灵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13157608788</w:t>
            </w:r>
          </w:p>
        </w:tc>
      </w:tr>
    </w:tbl>
    <w:p>
      <w:pPr>
        <w:pStyle w:val="27"/>
        <w:keepNext w:val="0"/>
        <w:keepLines w:val="0"/>
        <w:pageBreakBefore w:val="0"/>
        <w:shd w:val="clear"/>
        <w:kinsoku/>
        <w:wordWrap/>
        <w:topLinePunct w:val="0"/>
        <w:bidi w:val="0"/>
        <w:adjustRightInd w:val="0"/>
        <w:snapToGrid w:val="0"/>
        <w:spacing w:before="10" w:line="360" w:lineRule="auto"/>
        <w:rPr>
          <w:rFonts w:hint="eastAsia" w:asciiTheme="minorEastAsia" w:hAnsiTheme="minorEastAsia" w:eastAsiaTheme="minorEastAsia" w:cstheme="minorEastAsia"/>
          <w:color w:val="auto"/>
          <w:sz w:val="24"/>
          <w:szCs w:val="24"/>
          <w:highlight w:val="none"/>
        </w:rPr>
      </w:pPr>
    </w:p>
    <w:p>
      <w:pPr>
        <w:pStyle w:val="98"/>
        <w:keepNext w:val="0"/>
        <w:keepLines w:val="0"/>
        <w:pageBreakBefore w:val="0"/>
        <w:numPr>
          <w:ilvl w:val="0"/>
          <w:numId w:val="0"/>
        </w:numPr>
        <w:shd w:val="clear"/>
        <w:kinsoku/>
        <w:wordWrap/>
        <w:topLinePunct w:val="0"/>
        <w:bidi w:val="0"/>
        <w:adjustRightInd w:val="0"/>
        <w:snapToGrid w:val="0"/>
        <w:spacing w:line="360" w:lineRule="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hd w:val="clear"/>
        <w:kinsoku/>
        <w:wordWrap/>
        <w:overflowPunct/>
        <w:topLinePunct w:val="0"/>
        <w:bidi w:val="0"/>
        <w:adjustRightInd w:val="0"/>
        <w:snapToGri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pStyle w:val="27"/>
        <w:shd w:val="clea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pPr>
        <w:pStyle w:val="27"/>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pPr>
        <w:pStyle w:val="2"/>
        <w:numPr>
          <w:ilvl w:val="0"/>
          <w:numId w:val="33"/>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eastAsia="zh-CN"/>
        </w:rPr>
        <w:t>项目需求</w:t>
      </w:r>
      <w:bookmarkStart w:id="4" w:name="_Toc13625"/>
      <w:bookmarkStart w:id="5" w:name="_Toc5143"/>
      <w:bookmarkStart w:id="6" w:name="_Toc3991"/>
      <w:bookmarkStart w:id="7" w:name="_Toc21169"/>
    </w:p>
    <w:p>
      <w:pPr>
        <w:pStyle w:val="2"/>
        <w:numPr>
          <w:ilvl w:val="0"/>
          <w:numId w:val="0"/>
        </w:numPr>
        <w:shd w:val="clear"/>
        <w:tabs>
          <w:tab w:val="clear" w:pos="432"/>
        </w:tabs>
        <w:spacing w:before="0" w:after="0" w:line="360" w:lineRule="auto"/>
        <w:ind w:left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一、</w:t>
      </w:r>
      <w:r>
        <w:rPr>
          <w:rFonts w:hint="eastAsia" w:asciiTheme="minorEastAsia" w:hAnsiTheme="minorEastAsia" w:eastAsiaTheme="minorEastAsia" w:cstheme="minorEastAsia"/>
          <w:sz w:val="21"/>
          <w:szCs w:val="21"/>
          <w:highlight w:val="none"/>
        </w:rPr>
        <w:t>采购项目一览表</w:t>
      </w:r>
    </w:p>
    <w:bookmarkEnd w:id="4"/>
    <w:bookmarkEnd w:id="5"/>
    <w:bookmarkEnd w:id="6"/>
    <w:bookmarkEnd w:id="7"/>
    <w:tbl>
      <w:tblPr>
        <w:tblStyle w:val="76"/>
        <w:tblW w:w="54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7"/>
        <w:gridCol w:w="2379"/>
        <w:gridCol w:w="835"/>
        <w:gridCol w:w="670"/>
        <w:gridCol w:w="1547"/>
        <w:gridCol w:w="3124"/>
        <w:gridCol w:w="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09" w:type="pct"/>
            <w:noWrap w:val="0"/>
            <w:vAlign w:val="center"/>
          </w:tcPr>
          <w:p>
            <w:pPr>
              <w:pStyle w:val="695"/>
              <w:keepNext w:val="0"/>
              <w:keepLines w:val="0"/>
              <w:pageBreakBefore w:val="0"/>
              <w:shd w:val="clear"/>
              <w:kinsoku/>
              <w:wordWrap/>
              <w:topLinePunct w:val="0"/>
              <w:bidi w:val="0"/>
              <w:adjustRightInd w:val="0"/>
              <w:snapToGrid w:val="0"/>
              <w:spacing w:line="360" w:lineRule="auto"/>
              <w:ind w:left="49" w:right="120"/>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序号</w:t>
            </w:r>
          </w:p>
        </w:tc>
        <w:tc>
          <w:tcPr>
            <w:tcW w:w="1210"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项目名称</w:t>
            </w:r>
          </w:p>
        </w:tc>
        <w:tc>
          <w:tcPr>
            <w:tcW w:w="425"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shd w:val="clear" w:color="auto" w:fill="auto"/>
              </w:rPr>
              <w:t>数量</w:t>
            </w:r>
          </w:p>
        </w:tc>
        <w:tc>
          <w:tcPr>
            <w:tcW w:w="341"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单位</w:t>
            </w:r>
          </w:p>
        </w:tc>
        <w:tc>
          <w:tcPr>
            <w:tcW w:w="1542" w:type="dxa"/>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最高投标限价</w:t>
            </w:r>
          </w:p>
        </w:tc>
        <w:tc>
          <w:tcPr>
            <w:tcW w:w="1589" w:type="pct"/>
            <w:noWrap w:val="0"/>
            <w:vAlign w:val="center"/>
          </w:tcPr>
          <w:p>
            <w:pPr>
              <w:shd w:val="clear"/>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服务期限</w:t>
            </w:r>
          </w:p>
        </w:tc>
        <w:tc>
          <w:tcPr>
            <w:tcW w:w="339"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309" w:type="pct"/>
            <w:noWrap w:val="0"/>
            <w:vAlign w:val="center"/>
          </w:tcPr>
          <w:p>
            <w:pPr>
              <w:pStyle w:val="695"/>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p>
        </w:tc>
        <w:tc>
          <w:tcPr>
            <w:tcW w:w="1210" w:type="pct"/>
            <w:noWrap w:val="0"/>
            <w:vAlign w:val="center"/>
          </w:tcPr>
          <w:p>
            <w:pPr>
              <w:pStyle w:val="695"/>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飞龙湖生态区总设计师选聘</w:t>
            </w:r>
          </w:p>
        </w:tc>
        <w:tc>
          <w:tcPr>
            <w:tcW w:w="425" w:type="pct"/>
            <w:noWrap w:val="0"/>
            <w:vAlign w:val="center"/>
          </w:tcPr>
          <w:p>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41" w:type="pct"/>
            <w:noWrap w:val="0"/>
            <w:vAlign w:val="center"/>
          </w:tcPr>
          <w:p>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项</w:t>
            </w:r>
          </w:p>
        </w:tc>
        <w:tc>
          <w:tcPr>
            <w:tcW w:w="1542" w:type="dxa"/>
            <w:tcBorders>
              <w:bottom w:val="single" w:color="auto" w:sz="4" w:space="0"/>
            </w:tcBorders>
            <w:noWrap w:val="0"/>
            <w:vAlign w:val="center"/>
          </w:tcPr>
          <w:p>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675万元/3年（</w:t>
            </w:r>
            <w:r>
              <w:rPr>
                <w:rFonts w:hint="eastAsia" w:asciiTheme="minorEastAsia" w:hAnsiTheme="minorEastAsia" w:eastAsiaTheme="minorEastAsia" w:cstheme="minorEastAsia"/>
                <w:color w:val="auto"/>
                <w:sz w:val="21"/>
                <w:szCs w:val="21"/>
                <w:highlight w:val="none"/>
                <w:lang w:val="en-US" w:eastAsia="zh-CN"/>
              </w:rPr>
              <w:t>225万元/年）</w:t>
            </w:r>
          </w:p>
        </w:tc>
        <w:tc>
          <w:tcPr>
            <w:tcW w:w="1589" w:type="pct"/>
            <w:tcBorders>
              <w:bottom w:val="single" w:color="auto" w:sz="4" w:space="0"/>
            </w:tcBorders>
            <w:noWrap w:val="0"/>
            <w:vAlign w:val="center"/>
          </w:tcPr>
          <w:p>
            <w:pPr>
              <w:shd w:val="clear"/>
              <w:spacing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合同签订之日起3年（一年一签）。第二年、第三年财政预算金额未达到原合同金额且中标供应商不同意按新的预算金额履行合同的或第二年、第三年财政预算未通过的或履约质量评估结果为不合格的，合同的约定自动失效 。</w:t>
            </w:r>
          </w:p>
        </w:tc>
        <w:tc>
          <w:tcPr>
            <w:tcW w:w="339" w:type="pct"/>
            <w:noWrap w:val="0"/>
            <w:vAlign w:val="center"/>
          </w:tcPr>
          <w:p>
            <w:pPr>
              <w:pStyle w:val="695"/>
              <w:keepNext w:val="0"/>
              <w:keepLines w:val="0"/>
              <w:pageBreakBefore w:val="0"/>
              <w:shd w:val="clear"/>
              <w:kinsoku/>
              <w:wordWrap/>
              <w:topLinePunct w:val="0"/>
              <w:bidi w:val="0"/>
              <w:adjustRightInd w:val="0"/>
              <w:snapToGrid w:val="0"/>
              <w:spacing w:before="1" w:line="240" w:lineRule="auto"/>
              <w:ind w:right="106"/>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二、项目概况</w:t>
      </w:r>
    </w:p>
    <w:p>
      <w:pPr>
        <w:widowControl w:val="0"/>
        <w:tabs>
          <w:tab w:val="left" w:pos="897"/>
        </w:tabs>
        <w:spacing w:line="360" w:lineRule="auto"/>
        <w:ind w:firstLine="420" w:firstLineChars="200"/>
        <w:jc w:val="both"/>
        <w:outlineLvl w:val="3"/>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1、项目名称：飞龙湖生态区总设计师选聘</w:t>
      </w:r>
    </w:p>
    <w:p>
      <w:pPr>
        <w:widowControl w:val="0"/>
        <w:tabs>
          <w:tab w:val="left" w:pos="897"/>
        </w:tabs>
        <w:spacing w:line="360" w:lineRule="auto"/>
        <w:ind w:firstLine="420" w:firstLineChars="200"/>
        <w:jc w:val="both"/>
        <w:outlineLvl w:val="3"/>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2、项目背景：</w:t>
      </w:r>
      <w:r>
        <w:rPr>
          <w:rFonts w:hint="eastAsia" w:asciiTheme="minorEastAsia" w:hAnsiTheme="minorEastAsia" w:eastAsiaTheme="minorEastAsia" w:cstheme="minorEastAsia"/>
          <w:b w:val="0"/>
          <w:bCs w:val="0"/>
          <w:kern w:val="2"/>
          <w:sz w:val="21"/>
          <w:szCs w:val="21"/>
          <w:highlight w:val="none"/>
          <w:lang w:val="en" w:eastAsia="zh-CN" w:bidi="ar-SA"/>
        </w:rPr>
        <w:t>为进一步</w:t>
      </w:r>
      <w:r>
        <w:rPr>
          <w:rFonts w:hint="eastAsia" w:asciiTheme="minorEastAsia" w:hAnsiTheme="minorEastAsia" w:eastAsiaTheme="minorEastAsia" w:cstheme="minorEastAsia"/>
          <w:b w:val="0"/>
          <w:bCs w:val="0"/>
          <w:kern w:val="2"/>
          <w:sz w:val="21"/>
          <w:szCs w:val="21"/>
          <w:highlight w:val="none"/>
          <w:lang w:val="en-US" w:eastAsia="zh-CN" w:bidi="ar-SA"/>
        </w:rPr>
        <w:t>加强飞龙湖生态区</w:t>
      </w:r>
      <w:r>
        <w:rPr>
          <w:rFonts w:hint="eastAsia" w:asciiTheme="minorEastAsia" w:hAnsiTheme="minorEastAsia" w:eastAsiaTheme="minorEastAsia" w:cstheme="minorEastAsia"/>
          <w:b w:val="0"/>
          <w:bCs w:val="0"/>
          <w:kern w:val="2"/>
          <w:sz w:val="21"/>
          <w:szCs w:val="21"/>
          <w:highlight w:val="none"/>
          <w:lang w:val="en" w:eastAsia="zh-CN" w:bidi="ar-SA"/>
        </w:rPr>
        <w:t>高起点规划、高标准建设、高水平管理、高效能运行，实现高质量发展，加强区域协同发展，探索与发挥全过程、伴随式、负责制总设计师在全局谋划、规划管理与建设实施环节的优势，聚焦重点片区和重大项目，高品质实施</w:t>
      </w:r>
      <w:r>
        <w:rPr>
          <w:rFonts w:hint="eastAsia" w:asciiTheme="minorEastAsia" w:hAnsiTheme="minorEastAsia" w:eastAsiaTheme="minorEastAsia" w:cstheme="minorEastAsia"/>
          <w:b w:val="0"/>
          <w:bCs w:val="0"/>
          <w:kern w:val="2"/>
          <w:sz w:val="21"/>
          <w:szCs w:val="21"/>
          <w:highlight w:val="none"/>
          <w:lang w:val="en-US" w:eastAsia="zh-CN" w:bidi="ar-SA"/>
        </w:rPr>
        <w:t>飞龙湖生态区</w:t>
      </w:r>
      <w:r>
        <w:rPr>
          <w:rFonts w:hint="eastAsia" w:asciiTheme="minorEastAsia" w:hAnsiTheme="minorEastAsia" w:eastAsiaTheme="minorEastAsia" w:cstheme="minorEastAsia"/>
          <w:b w:val="0"/>
          <w:bCs w:val="0"/>
          <w:kern w:val="2"/>
          <w:sz w:val="21"/>
          <w:szCs w:val="21"/>
          <w:highlight w:val="none"/>
          <w:lang w:val="en" w:eastAsia="zh-CN" w:bidi="ar-SA"/>
        </w:rPr>
        <w:t>的全面建设，根据《台州市人民政府办公室关于建立城市“两级+专项总师”制度的通知》（台政办便函〔2023〕6号），</w:t>
      </w:r>
      <w:r>
        <w:rPr>
          <w:rFonts w:hint="eastAsia" w:asciiTheme="minorEastAsia" w:hAnsiTheme="minorEastAsia" w:eastAsiaTheme="minorEastAsia" w:cstheme="minorEastAsia"/>
          <w:b w:val="0"/>
          <w:bCs w:val="0"/>
          <w:kern w:val="2"/>
          <w:sz w:val="21"/>
          <w:szCs w:val="21"/>
          <w:highlight w:val="none"/>
          <w:lang w:val="en-US" w:eastAsia="zh-CN" w:bidi="ar-SA"/>
        </w:rPr>
        <w:t>意向选聘一名</w:t>
      </w:r>
      <w:r>
        <w:rPr>
          <w:rFonts w:hint="eastAsia" w:asciiTheme="minorEastAsia" w:hAnsiTheme="minorEastAsia" w:eastAsiaTheme="minorEastAsia" w:cstheme="minorEastAsia"/>
          <w:b w:val="0"/>
          <w:bCs w:val="0"/>
          <w:kern w:val="2"/>
          <w:sz w:val="21"/>
          <w:szCs w:val="21"/>
          <w:highlight w:val="none"/>
          <w:lang w:val="en" w:eastAsia="zh-CN" w:bidi="ar-SA"/>
        </w:rPr>
        <w:t>飞龙湖生态区总设计师，</w:t>
      </w:r>
      <w:r>
        <w:rPr>
          <w:rFonts w:hint="eastAsia" w:asciiTheme="minorEastAsia" w:hAnsiTheme="minorEastAsia" w:eastAsiaTheme="minorEastAsia" w:cstheme="minorEastAsia"/>
          <w:b w:val="0"/>
          <w:bCs w:val="0"/>
          <w:kern w:val="2"/>
          <w:sz w:val="21"/>
          <w:szCs w:val="21"/>
          <w:highlight w:val="none"/>
          <w:lang w:val="en-US" w:eastAsia="zh-CN" w:bidi="ar-SA"/>
        </w:rPr>
        <w:t>并由其派驻技术团队提供驻场服务</w:t>
      </w:r>
      <w:r>
        <w:rPr>
          <w:rFonts w:hint="eastAsia" w:asciiTheme="minorEastAsia" w:hAnsiTheme="minorEastAsia" w:eastAsiaTheme="minorEastAsia" w:cstheme="minorEastAsia"/>
          <w:b w:val="0"/>
          <w:bCs w:val="0"/>
          <w:kern w:val="2"/>
          <w:sz w:val="21"/>
          <w:szCs w:val="21"/>
          <w:highlight w:val="none"/>
          <w:lang w:val="en" w:eastAsia="zh-CN" w:bidi="ar-SA"/>
        </w:rPr>
        <w:t>，通过长期跟踪规划建设，提供全过程、全系统、全方位的“规划、策划、实施管理等”总设计师（</w:t>
      </w:r>
      <w:r>
        <w:rPr>
          <w:rFonts w:hint="eastAsia" w:asciiTheme="minorEastAsia" w:hAnsiTheme="minorEastAsia" w:eastAsiaTheme="minorEastAsia" w:cstheme="minorEastAsia"/>
          <w:b w:val="0"/>
          <w:bCs w:val="0"/>
          <w:kern w:val="2"/>
          <w:sz w:val="21"/>
          <w:szCs w:val="21"/>
          <w:highlight w:val="none"/>
          <w:lang w:val="en-US" w:eastAsia="zh-CN" w:bidi="ar-SA"/>
        </w:rPr>
        <w:t>团队</w:t>
      </w:r>
      <w:r>
        <w:rPr>
          <w:rFonts w:hint="eastAsia" w:asciiTheme="minorEastAsia" w:hAnsiTheme="minorEastAsia" w:eastAsiaTheme="minorEastAsia" w:cstheme="minorEastAsia"/>
          <w:b w:val="0"/>
          <w:bCs w:val="0"/>
          <w:kern w:val="2"/>
          <w:sz w:val="21"/>
          <w:szCs w:val="21"/>
          <w:highlight w:val="none"/>
          <w:lang w:val="en" w:eastAsia="zh-CN" w:bidi="ar-SA"/>
        </w:rPr>
        <w:t>）</w:t>
      </w:r>
      <w:r>
        <w:rPr>
          <w:rFonts w:hint="eastAsia" w:asciiTheme="minorEastAsia" w:hAnsiTheme="minorEastAsia" w:eastAsiaTheme="minorEastAsia" w:cstheme="minorEastAsia"/>
          <w:b w:val="0"/>
          <w:bCs w:val="0"/>
          <w:kern w:val="2"/>
          <w:sz w:val="21"/>
          <w:szCs w:val="21"/>
          <w:highlight w:val="none"/>
          <w:lang w:val="en-US" w:eastAsia="zh-CN" w:bidi="ar-SA"/>
        </w:rPr>
        <w:t>咨询服务</w:t>
      </w:r>
      <w:r>
        <w:rPr>
          <w:rFonts w:hint="eastAsia" w:asciiTheme="minorEastAsia" w:hAnsiTheme="minorEastAsia" w:eastAsiaTheme="minorEastAsia" w:cstheme="minorEastAsia"/>
          <w:b w:val="0"/>
          <w:bCs w:val="0"/>
          <w:kern w:val="2"/>
          <w:sz w:val="21"/>
          <w:szCs w:val="21"/>
          <w:highlight w:val="none"/>
          <w:lang w:val="en" w:eastAsia="zh-CN" w:bidi="ar-SA"/>
        </w:rPr>
        <w:t>支持，有效保障城市</w:t>
      </w:r>
      <w:r>
        <w:rPr>
          <w:rFonts w:hint="eastAsia" w:asciiTheme="minorEastAsia" w:hAnsiTheme="minorEastAsia" w:eastAsiaTheme="minorEastAsia" w:cstheme="minorEastAsia"/>
          <w:b w:val="0"/>
          <w:bCs w:val="0"/>
          <w:kern w:val="2"/>
          <w:sz w:val="21"/>
          <w:szCs w:val="21"/>
          <w:highlight w:val="none"/>
          <w:lang w:val="en-US" w:eastAsia="zh-CN" w:bidi="ar-SA"/>
        </w:rPr>
        <w:t>规划</w:t>
      </w:r>
      <w:r>
        <w:rPr>
          <w:rFonts w:hint="eastAsia" w:asciiTheme="minorEastAsia" w:hAnsiTheme="minorEastAsia" w:eastAsiaTheme="minorEastAsia" w:cstheme="minorEastAsia"/>
          <w:b w:val="0"/>
          <w:bCs w:val="0"/>
          <w:kern w:val="2"/>
          <w:sz w:val="21"/>
          <w:szCs w:val="21"/>
          <w:highlight w:val="none"/>
          <w:lang w:val="en" w:eastAsia="zh-CN" w:bidi="ar-SA"/>
        </w:rPr>
        <w:t>的科学实施，提升城市空间建设品质，推动国土空间治理体系和治理能力现代化，切实推进生态文明建设。</w:t>
      </w:r>
    </w:p>
    <w:p>
      <w:pPr>
        <w:widowControl w:val="0"/>
        <w:tabs>
          <w:tab w:val="left" w:pos="897"/>
        </w:tabs>
        <w:spacing w:line="360" w:lineRule="auto"/>
        <w:ind w:firstLine="420" w:firstLineChars="200"/>
        <w:jc w:val="both"/>
        <w:outlineLvl w:val="3"/>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3、服务范围：飞龙湖生态区，面积：28平方公里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0"/>
        <w:textAlignment w:val="auto"/>
        <w:rPr>
          <w:rFonts w:hint="eastAsia" w:asciiTheme="minorEastAsia" w:hAnsiTheme="minorEastAsia" w:eastAsiaTheme="minorEastAsia" w:cstheme="minorEastAsia"/>
          <w:b/>
          <w:bCs/>
          <w:color w:val="auto"/>
          <w:sz w:val="21"/>
          <w:szCs w:val="21"/>
          <w:highlight w:val="none"/>
          <w:lang w:val="en-US" w:eastAsia="zh-CN"/>
        </w:rPr>
      </w:pPr>
      <w:bookmarkStart w:id="8" w:name="_Hlk151379654"/>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color w:val="auto"/>
          <w:sz w:val="21"/>
          <w:szCs w:val="21"/>
          <w:highlight w:val="none"/>
          <w:lang w:val="en-US" w:eastAsia="zh-CN"/>
        </w:rPr>
        <w:t>三、服务内容</w:t>
      </w:r>
    </w:p>
    <w:bookmarkEnd w:id="8"/>
    <w:p>
      <w:pPr>
        <w:widowControl w:val="0"/>
        <w:tabs>
          <w:tab w:val="left" w:pos="897"/>
        </w:tabs>
        <w:spacing w:line="360" w:lineRule="auto"/>
        <w:ind w:firstLine="420" w:firstLineChars="200"/>
        <w:jc w:val="both"/>
        <w:outlineLvl w:val="3"/>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根据《台州市人民政府办公室关于建立城市“两级+专项总师”制度的通知》（台政办便函〔2023〕6号）文件以及飞龙湖生态区规划建设管理的实际情况和发展需求，提供技术审查、技术咨询、平台建设、技术培训等全过程、伴随式的专业服务。以专家咨询、专题研讨、调查考察等方式为区域发展决策拓宽眼界和思维，推动规划意图的落实和管控一体化，注重协调性、动态性、前瞻性，高水平保障重点地区的规划建设。主要工作内容：</w:t>
      </w:r>
    </w:p>
    <w:p>
      <w:pPr>
        <w:pStyle w:val="92"/>
        <w:spacing w:line="360" w:lineRule="auto"/>
        <w:ind w:firstLine="404"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val="0"/>
          <w:bCs w:val="0"/>
          <w:kern w:val="2"/>
          <w:sz w:val="21"/>
          <w:szCs w:val="21"/>
          <w:highlight w:val="none"/>
          <w:lang w:val="en-US" w:eastAsia="zh-CN" w:bidi="ar-SA"/>
        </w:rPr>
        <w:t>加强飞龙湖生态区规划把控，对规划调整进行合理性评价，统筹协调区块内各类规划设计，在多专业、多主题、多部门、多项目之间系统调配开发资源；关注区块内建筑风貌塑造，参与共建、大型商业、高层办公等重要项目的前期策划，在规划条件出具及建筑方案设计阶段基于优化建议；基于城市和产业的发展规律，结合实践、组织等运营要素，以渐进规划的方式深度参与区块的开发建设和运营，提供全过程的技术咨询并做好跟踪服务。详细工作内容为：</w:t>
      </w:r>
    </w:p>
    <w:p>
      <w:pPr>
        <w:widowControl w:val="0"/>
        <w:tabs>
          <w:tab w:val="left" w:pos="897"/>
        </w:tabs>
        <w:spacing w:line="360" w:lineRule="auto"/>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1、组织技术审查</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针对飞龙湖生态区年度相关规划、年度建设项目清单以及采购人认为需交由总设计师（团队）组织技术审查的项目开展全过程的技术审查工作，参加评审会议并出具审查意见，提出优化建议。主要包括：</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（1）涉及到发展战略与方向、国土空间规划体系下的法定规划以及城乡规划编制计划中的相关规划，如发展战略规划、国土空间总体规划、各类专项规划、控制性详细规划、修建性详细规划等；</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（2）重点地区（段）以及重点地块的城市设计以及修建性详细规划；</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（3）涉及标志性项目和重要节点的公共建筑、景观、基础设施以及开发类项目的规划条件、策划以及方案设计；</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（4）重大项目的选址、重点地块土地出让与规划条件等。</w:t>
      </w:r>
    </w:p>
    <w:p>
      <w:pPr>
        <w:pStyle w:val="92"/>
        <w:spacing w:line="360" w:lineRule="auto"/>
        <w:ind w:firstLine="404"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（5）其他采购人认为有必要组织审查的项目及文件。</w:t>
      </w:r>
    </w:p>
    <w:p>
      <w:pPr>
        <w:widowControl w:val="0"/>
        <w:tabs>
          <w:tab w:val="left" w:pos="897"/>
        </w:tabs>
        <w:spacing w:line="360" w:lineRule="auto"/>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2、提供技术咨询</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b/>
          <w:bCs/>
          <w:kern w:val="2"/>
          <w:sz w:val="21"/>
          <w:szCs w:val="21"/>
          <w:highlight w:val="none"/>
          <w:lang w:val="en-US" w:eastAsia="zh-CN" w:bidi="ar-SA"/>
        </w:rPr>
        <w:t>协同编制年度规划与建设项目清单。</w:t>
      </w:r>
      <w:r>
        <w:rPr>
          <w:rFonts w:hint="eastAsia" w:asciiTheme="minorEastAsia" w:hAnsiTheme="minorEastAsia" w:eastAsiaTheme="minorEastAsia" w:cstheme="minorEastAsia"/>
          <w:kern w:val="2"/>
          <w:sz w:val="21"/>
          <w:szCs w:val="21"/>
          <w:highlight w:val="none"/>
          <w:lang w:val="en-US" w:eastAsia="zh-CN" w:bidi="ar-SA"/>
        </w:rPr>
        <w:t>总设计师（团队）配合采购人，结合飞龙湖生态区发展的实际情况，编制飞龙湖生态区年度规划与建设项目清单。</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b/>
          <w:bCs/>
          <w:kern w:val="2"/>
          <w:sz w:val="21"/>
          <w:szCs w:val="21"/>
          <w:highlight w:val="none"/>
          <w:lang w:val="en-US" w:eastAsia="zh-CN" w:bidi="ar-SA"/>
        </w:rPr>
        <w:t>组织重大项目前期研究与选址论证。</w:t>
      </w:r>
      <w:r>
        <w:rPr>
          <w:rFonts w:hint="eastAsia" w:asciiTheme="minorEastAsia" w:hAnsiTheme="minorEastAsia" w:eastAsiaTheme="minorEastAsia" w:cstheme="minorEastAsia"/>
          <w:kern w:val="2"/>
          <w:sz w:val="21"/>
          <w:szCs w:val="21"/>
          <w:highlight w:val="none"/>
          <w:lang w:val="en-US" w:eastAsia="zh-CN" w:bidi="ar-SA"/>
        </w:rPr>
        <w:t>针对飞龙湖生态区年度建设计划中的重点项目，总设计师（团队）配合采购人，在前期组织开展项目前期研究与选址论证工作，并形成书面的意见与建议。</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w:t>
      </w:r>
      <w:r>
        <w:rPr>
          <w:rFonts w:hint="eastAsia" w:asciiTheme="minorEastAsia" w:hAnsiTheme="minorEastAsia" w:eastAsiaTheme="minorEastAsia" w:cstheme="minorEastAsia"/>
          <w:b/>
          <w:bCs/>
          <w:kern w:val="2"/>
          <w:sz w:val="21"/>
          <w:szCs w:val="21"/>
          <w:highlight w:val="none"/>
          <w:lang w:val="en-US" w:eastAsia="zh-CN" w:bidi="ar-SA"/>
        </w:rPr>
        <w:t>组织重要规划前期研究。</w:t>
      </w:r>
      <w:r>
        <w:rPr>
          <w:rFonts w:hint="eastAsia" w:asciiTheme="minorEastAsia" w:hAnsiTheme="minorEastAsia" w:eastAsiaTheme="minorEastAsia" w:cstheme="minorEastAsia"/>
          <w:kern w:val="2"/>
          <w:sz w:val="21"/>
          <w:szCs w:val="21"/>
          <w:highlight w:val="none"/>
          <w:lang w:val="en-US" w:eastAsia="zh-CN" w:bidi="ar-SA"/>
        </w:rPr>
        <w:t>针对飞龙湖生态区确需开展编制的重要规划，总设计师（团队）配合采购人，</w:t>
      </w:r>
      <w:bookmarkStart w:id="9" w:name="_Hlk132534614"/>
      <w:r>
        <w:rPr>
          <w:rFonts w:hint="eastAsia" w:asciiTheme="minorEastAsia" w:hAnsiTheme="minorEastAsia" w:eastAsiaTheme="minorEastAsia" w:cstheme="minorEastAsia"/>
          <w:kern w:val="2"/>
          <w:sz w:val="21"/>
          <w:szCs w:val="21"/>
          <w:highlight w:val="none"/>
          <w:lang w:val="en-US" w:eastAsia="zh-CN" w:bidi="ar-SA"/>
        </w:rPr>
        <w:t>在前期组织开展研究工作，包括规划范围确定、功能定位策划、技术路线选择、重点问题聚焦等内容，并最终形成规划设计任务书</w:t>
      </w:r>
      <w:bookmarkEnd w:id="9"/>
      <w:r>
        <w:rPr>
          <w:rFonts w:hint="eastAsia" w:asciiTheme="minorEastAsia" w:hAnsiTheme="minorEastAsia" w:eastAsiaTheme="minorEastAsia" w:cstheme="minorEastAsia"/>
          <w:kern w:val="2"/>
          <w:sz w:val="21"/>
          <w:szCs w:val="21"/>
          <w:highlight w:val="none"/>
          <w:lang w:val="en-US" w:eastAsia="zh-CN" w:bidi="ar-SA"/>
        </w:rPr>
        <w:t>。</w:t>
      </w:r>
      <w:bookmarkStart w:id="10" w:name="_Hlk132534444"/>
    </w:p>
    <w:bookmarkEnd w:id="10"/>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w:t>
      </w:r>
      <w:r>
        <w:rPr>
          <w:rFonts w:hint="eastAsia" w:asciiTheme="minorEastAsia" w:hAnsiTheme="minorEastAsia" w:eastAsiaTheme="minorEastAsia" w:cstheme="minorEastAsia"/>
          <w:b/>
          <w:bCs/>
          <w:kern w:val="2"/>
          <w:sz w:val="21"/>
          <w:szCs w:val="21"/>
          <w:highlight w:val="none"/>
          <w:lang w:val="en-US" w:eastAsia="zh-CN" w:bidi="ar-SA"/>
        </w:rPr>
        <w:t>提供重点地块土地出让建议。</w:t>
      </w:r>
      <w:r>
        <w:rPr>
          <w:rFonts w:hint="eastAsia" w:asciiTheme="minorEastAsia" w:hAnsiTheme="minorEastAsia" w:eastAsiaTheme="minorEastAsia" w:cstheme="minorEastAsia"/>
          <w:kern w:val="2"/>
          <w:sz w:val="21"/>
          <w:szCs w:val="21"/>
          <w:highlight w:val="none"/>
          <w:lang w:val="en-US" w:eastAsia="zh-CN" w:bidi="ar-SA"/>
        </w:rPr>
        <w:t>针对年度重点建设计划中的重点地块，总设计师（团队）在土地出让前通过城市设计指引研究，向采购人及相关部门提供土地出让建议。</w:t>
      </w:r>
    </w:p>
    <w:p>
      <w:pPr>
        <w:widowControl w:val="0"/>
        <w:tabs>
          <w:tab w:val="left" w:pos="897"/>
        </w:tabs>
        <w:spacing w:line="360" w:lineRule="auto"/>
        <w:ind w:firstLine="422"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（5）提供规划动态管理与伴随式服务。</w:t>
      </w:r>
      <w:r>
        <w:rPr>
          <w:rFonts w:hint="eastAsia" w:asciiTheme="minorEastAsia" w:hAnsiTheme="minorEastAsia" w:eastAsiaTheme="minorEastAsia" w:cstheme="minorEastAsia"/>
          <w:kern w:val="2"/>
          <w:sz w:val="21"/>
          <w:szCs w:val="21"/>
          <w:highlight w:val="none"/>
          <w:lang w:val="en-US" w:eastAsia="zh-CN" w:bidi="ar-SA"/>
        </w:rPr>
        <w:t>配合采购人，对飞龙湖生态区开发的招商引资、整体合作开发及项目建设进行技术把控。</w:t>
      </w:r>
    </w:p>
    <w:p>
      <w:pPr>
        <w:widowControl w:val="0"/>
        <w:tabs>
          <w:tab w:val="left" w:pos="897"/>
        </w:tabs>
        <w:spacing w:line="360" w:lineRule="auto"/>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3、提供数字化城市管理平台建设技术支持</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响应浙江省大力推进数字化改革与省委实施“一号工程”的战略要求，推动建设数字化城市管理平台（CIM），全面提升智慧化城市管理水平。总设计师（团队）作为技术专家，将为飞龙湖生态区建设数字化城市管理平台提供全过程、全方位的技术支持。</w:t>
      </w:r>
    </w:p>
    <w:p>
      <w:pPr>
        <w:widowControl w:val="0"/>
        <w:tabs>
          <w:tab w:val="left" w:pos="897"/>
        </w:tabs>
        <w:spacing w:line="360" w:lineRule="auto"/>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4、提供技术培训</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协助采购人搭建开放的技术平台，并组织年度业务培训。通过座谈讲解、考察调研等形式，提升采购人的技术能力和管理水平。</w:t>
      </w:r>
    </w:p>
    <w:p>
      <w:pPr>
        <w:widowControl w:val="0"/>
        <w:tabs>
          <w:tab w:val="left" w:pos="897"/>
        </w:tabs>
        <w:spacing w:line="360" w:lineRule="auto"/>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kern w:val="2"/>
          <w:sz w:val="21"/>
          <w:szCs w:val="21"/>
          <w:highlight w:val="none"/>
          <w:lang w:val="en-US" w:eastAsia="zh-CN" w:bidi="ar-SA"/>
        </w:rPr>
        <w:t>四、人员需求</w:t>
      </w:r>
    </w:p>
    <w:p>
      <w:pPr>
        <w:widowControl w:val="0"/>
        <w:numPr>
          <w:ilvl w:val="0"/>
          <w:numId w:val="0"/>
        </w:numPr>
        <w:tabs>
          <w:tab w:val="left" w:pos="897"/>
        </w:tabs>
        <w:spacing w:line="360" w:lineRule="auto"/>
        <w:ind w:leftChars="0" w:firstLine="480" w:firstLineChars="200"/>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kern w:val="2"/>
          <w:sz w:val="21"/>
          <w:szCs w:val="21"/>
          <w:highlight w:val="none"/>
          <w:lang w:val="en-US" w:eastAsia="zh-CN" w:bidi="ar-SA"/>
        </w:rPr>
        <w:t>1、总设计师要求：</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人数：1人，须为具有行业影响力，熟悉台州市级情况的规划设计领军人物，担当飞龙湖生态区总设计师，在服务期内为重点区块规划建设提供咨询服务和技术支撑。每年提供线上及线下服务不少于48个工作日，提供跟踪式伴随式咨询服务。</w:t>
      </w:r>
    </w:p>
    <w:p>
      <w:pPr>
        <w:widowControl w:val="0"/>
        <w:numPr>
          <w:ilvl w:val="0"/>
          <w:numId w:val="0"/>
        </w:numPr>
        <w:tabs>
          <w:tab w:val="left" w:pos="897"/>
        </w:tabs>
        <w:spacing w:line="360" w:lineRule="auto"/>
        <w:ind w:leftChars="0" w:firstLine="480" w:firstLineChars="200"/>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kern w:val="2"/>
          <w:sz w:val="21"/>
          <w:szCs w:val="21"/>
          <w:highlight w:val="none"/>
          <w:lang w:val="en-US" w:eastAsia="zh-CN" w:bidi="ar-SA"/>
        </w:rPr>
        <w:t>2、派驻专业团队要求：</w:t>
      </w:r>
    </w:p>
    <w:p>
      <w:pPr>
        <w:numPr>
          <w:ilvl w:val="0"/>
          <w:numId w:val="0"/>
        </w:num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派驻团队人员要求：不少于3人（不含总设计师），须具有工程师及以上职称，人员须涵盖规划、建筑、景观等专业领域。每年提供驻场服务不少于150个工作日。</w:t>
      </w:r>
    </w:p>
    <w:p>
      <w:pPr>
        <w:widowControl w:val="0"/>
        <w:tabs>
          <w:tab w:val="left" w:pos="897"/>
        </w:tabs>
        <w:spacing w:line="360" w:lineRule="auto"/>
        <w:ind w:firstLine="480" w:firstLineChars="200"/>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kern w:val="2"/>
          <w:sz w:val="21"/>
          <w:szCs w:val="21"/>
          <w:highlight w:val="none"/>
          <w:lang w:val="en-US" w:eastAsia="zh-CN" w:bidi="ar-SA"/>
        </w:rPr>
        <w:t>3、其他重大事项、重要规划以及重点项目的交流要求：</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由采购人牵头，召开联席会议，针对飞龙湖生态区发展的重大事项、重要规划以及重点项目，进行研商与交流，原则上每年不少于4次。</w:t>
      </w:r>
    </w:p>
    <w:p>
      <w:pPr>
        <w:widowControl w:val="0"/>
        <w:tabs>
          <w:tab w:val="left" w:pos="897"/>
        </w:tabs>
        <w:spacing w:line="360" w:lineRule="auto"/>
        <w:jc w:val="both"/>
        <w:outlineLvl w:val="3"/>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 xml:space="preserve">   </w:t>
      </w: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kern w:val="2"/>
          <w:sz w:val="21"/>
          <w:szCs w:val="21"/>
          <w:highlight w:val="none"/>
          <w:lang w:val="en-US" w:eastAsia="zh-CN" w:bidi="ar-SA"/>
        </w:rPr>
        <w:t xml:space="preserve"> 五、考核评价</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1、总设计师（团队）的所有服务行为均应符合国家法律、法规，并承担法律责任，杜绝一切徇私舞弊与不公正行为。如有发现，采购人有权解除合同。</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2、总设计师（团队）年度服务合同期限届满前1个月内，由采购人完成履约质量评价，履约质量经评估须达到80分及以上为良好，60-80分为合格，60分以下为不合格。</w:t>
      </w:r>
    </w:p>
    <w:p>
      <w:pPr>
        <w:widowControl w:val="0"/>
        <w:tabs>
          <w:tab w:val="left" w:pos="897"/>
        </w:tabs>
        <w:spacing w:line="360" w:lineRule="auto"/>
        <w:ind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3、由采购人组织年度考核，评分表详见附件1（暂定表格，采购人有权对该表格进行修改，中标人不得拒绝）。</w:t>
      </w:r>
    </w:p>
    <w:p>
      <w:pPr>
        <w:spacing w:line="360" w:lineRule="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kern w:val="2"/>
          <w:sz w:val="21"/>
          <w:szCs w:val="21"/>
          <w:highlight w:val="none"/>
          <w:lang w:val="en-US" w:eastAsia="zh-CN" w:bidi="ar-SA"/>
        </w:rPr>
        <w:t>六、付款方式</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合同生效以及具备实施条件后7个工作日内支付本年度总金额的40%作为预付款，同时供应商提供本年度总金额的40%预付款保函（预付款保函时间为一年）。合同签订满6个月后，需在第6个月的25日前上报采购人，经采购人核实后在次月10日前（遇节假日顺延）支付本年度总金额20%，合同签订满10个月后，需在第10个月的25日前上报采购人，经采购人核实后在次月10日前（遇节假日顺延）支付本年度总金额20%。</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2、本年度合同期满后且根据年度履约质量评价情况，采购人支付本年度剩余费用：</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default" w:asciiTheme="minorEastAsia" w:hAnsiTheme="minorEastAsia" w:eastAsiaTheme="minorEastAsia" w:cstheme="minorEastAsia"/>
          <w:b w:val="0"/>
          <w:bCs w:val="0"/>
          <w:sz w:val="21"/>
          <w:szCs w:val="21"/>
          <w:highlight w:val="none"/>
          <w:lang w:val="en-US" w:eastAsia="zh-CN"/>
        </w:rPr>
        <w:t>①</w:t>
      </w:r>
      <w:r>
        <w:rPr>
          <w:rFonts w:hint="eastAsia" w:asciiTheme="minorEastAsia" w:hAnsiTheme="minorEastAsia" w:eastAsiaTheme="minorEastAsia" w:cstheme="minorEastAsia"/>
          <w:b w:val="0"/>
          <w:bCs w:val="0"/>
          <w:sz w:val="21"/>
          <w:szCs w:val="21"/>
          <w:highlight w:val="none"/>
          <w:lang w:val="en-US" w:eastAsia="zh-CN"/>
        </w:rPr>
        <w:t>评价结果为良好的，一次性付清余款，并续签下一年度合同；</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default" w:asciiTheme="minorEastAsia" w:hAnsiTheme="minorEastAsia" w:eastAsiaTheme="minorEastAsia" w:cstheme="minorEastAsia"/>
          <w:b w:val="0"/>
          <w:bCs w:val="0"/>
          <w:sz w:val="21"/>
          <w:szCs w:val="21"/>
          <w:highlight w:val="none"/>
          <w:lang w:val="en-US" w:eastAsia="zh-CN"/>
        </w:rPr>
        <w:t>②</w:t>
      </w:r>
      <w:r>
        <w:rPr>
          <w:rFonts w:hint="eastAsia" w:asciiTheme="minorEastAsia" w:hAnsiTheme="minorEastAsia" w:eastAsiaTheme="minorEastAsia" w:cstheme="minorEastAsia"/>
          <w:b w:val="0"/>
          <w:bCs w:val="0"/>
          <w:sz w:val="21"/>
          <w:szCs w:val="21"/>
          <w:highlight w:val="none"/>
          <w:lang w:val="en-US" w:eastAsia="zh-CN"/>
        </w:rPr>
        <w:t>评价结果为合格的，采购人支付本年度合同价的10%，剩余部分不再支付，并由双方协商确定是否续签下一年度合同；</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default" w:asciiTheme="minorEastAsia" w:hAnsiTheme="minorEastAsia" w:eastAsiaTheme="minorEastAsia" w:cstheme="minorEastAsia"/>
          <w:b w:val="0"/>
          <w:bCs w:val="0"/>
          <w:sz w:val="21"/>
          <w:szCs w:val="21"/>
          <w:highlight w:val="none"/>
          <w:lang w:val="en-US" w:eastAsia="zh-CN"/>
        </w:rPr>
        <w:t>③</w:t>
      </w:r>
      <w:r>
        <w:rPr>
          <w:rFonts w:hint="eastAsia" w:asciiTheme="minorEastAsia" w:hAnsiTheme="minorEastAsia" w:eastAsiaTheme="minorEastAsia" w:cstheme="minorEastAsia"/>
          <w:b w:val="0"/>
          <w:bCs w:val="0"/>
          <w:sz w:val="21"/>
          <w:szCs w:val="21"/>
          <w:highlight w:val="none"/>
          <w:lang w:val="en-US" w:eastAsia="zh-CN"/>
        </w:rPr>
        <w:t>评估结果为不合格的，不予支付剩余年度费用，不再签订下一年度合同。</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3、因供应商自身原因未及时上报费用的，责任由供应商自行承担。（按采购人要求开具发票）。</w:t>
      </w:r>
    </w:p>
    <w:p>
      <w:pPr>
        <w:spacing w:line="360" w:lineRule="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bCs/>
          <w:kern w:val="2"/>
          <w:sz w:val="21"/>
          <w:szCs w:val="21"/>
          <w:highlight w:val="none"/>
          <w:lang w:val="en-US" w:eastAsia="zh-CN" w:bidi="ar-SA"/>
        </w:rPr>
        <w:t>七、其他要求</w:t>
      </w:r>
    </w:p>
    <w:p>
      <w:pPr>
        <w:pageBreakBefore w:val="0"/>
        <w:widowControl w:val="0"/>
        <w:numPr>
          <w:ilvl w:val="0"/>
          <w:numId w:val="0"/>
        </w:numPr>
        <w:shd w:val="clear" w:color="auto" w:fill="auto"/>
        <w:kinsoku/>
        <w:wordWrap/>
        <w:overflowPunct/>
        <w:topLinePunct w:val="0"/>
        <w:autoSpaceDE/>
        <w:autoSpaceDN/>
        <w:bidi w:val="0"/>
        <w:spacing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cs="宋体"/>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供应商不得以任何理由在项目实施过程中调换总设计师；专业团队人员若因特殊情况或实际需要必须调换者，供应商必须事先向采购人提供书面请示报告并取得采购人的书面批准以后，才能派替换的专业团队人员进场（拟更换的总设计师及专业团队人员的相关证书、身份证（验证原件，提供复印件）及其工作经历与业绩等有关证明材料（不低于原专业团队人员资质要求）；擅自更换总设计师，采购人有权单方面解除合同，没收全部履约保证金并收取年度合同价的20%作为违约金。擅自更换专业团队人员，供应商需承担50000元/次·人的违约责任。均在下一次付款中直接扣除。</w:t>
      </w:r>
    </w:p>
    <w:p>
      <w:pPr>
        <w:pageBreakBefore w:val="0"/>
        <w:widowControl w:val="0"/>
        <w:numPr>
          <w:ilvl w:val="0"/>
          <w:numId w:val="0"/>
        </w:numPr>
        <w:shd w:val="clear" w:color="auto" w:fill="auto"/>
        <w:kinsoku/>
        <w:wordWrap/>
        <w:overflowPunct/>
        <w:topLinePunct w:val="0"/>
        <w:autoSpaceDE/>
        <w:autoSpaceDN/>
        <w:bidi w:val="0"/>
        <w:spacing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如专业团队人员不符合采购人管理要求，采购人可随时可以要求撤换，供应商应无条件执行，并在10日内完成人员调整，新调整的人员需要经采购人确认（不低于原专业团队人员资质要求）。如未及时撤换专业团队人员的，供应商需承担5000元/次的违约责任。如调整后仍不能胜任本岗位工作，供应商需承担10000元/次的违约责任，直至人员符合条件为止。均在下一次付款中直接扣除。</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3、供应商应当配合采购人的需求制定团队驻场人员考勤制度及考勤方式，严格按照采购人要求的考勤制度及考勤方式进行考勤，采购人可随时查看驻场人员的出勤记录。具体以采购人项目实施时要求为准</w:t>
      </w:r>
      <w:r>
        <w:rPr>
          <w:rFonts w:hint="eastAsia" w:asciiTheme="minorEastAsia" w:hAnsiTheme="minorEastAsia" w:eastAsiaTheme="minorEastAsia" w:cstheme="minorEastAsia"/>
          <w:color w:val="auto"/>
          <w:sz w:val="21"/>
          <w:szCs w:val="21"/>
          <w:highlight w:val="none"/>
          <w:lang w:val="en-US" w:eastAsia="zh-CN"/>
        </w:rPr>
        <w:t>。总设计师重要项目节点未到场或提供线上及线下跟踪服务不足</w:t>
      </w:r>
      <w:r>
        <w:rPr>
          <w:rFonts w:hint="eastAsia" w:asciiTheme="minorEastAsia" w:hAnsiTheme="minorEastAsia" w:eastAsiaTheme="minorEastAsia" w:cstheme="minorEastAsia"/>
          <w:color w:val="auto"/>
          <w:kern w:val="2"/>
          <w:sz w:val="21"/>
          <w:szCs w:val="21"/>
          <w:highlight w:val="none"/>
          <w:lang w:val="en-US" w:eastAsia="zh-CN" w:bidi="ar-SA"/>
        </w:rPr>
        <w:t>48个工作日的</w:t>
      </w:r>
      <w:r>
        <w:rPr>
          <w:rFonts w:hint="eastAsia" w:asciiTheme="minorEastAsia" w:hAnsiTheme="minorEastAsia" w:eastAsiaTheme="minorEastAsia" w:cstheme="minorEastAsia"/>
          <w:color w:val="auto"/>
          <w:sz w:val="21"/>
          <w:szCs w:val="21"/>
          <w:highlight w:val="none"/>
          <w:lang w:val="en-US" w:eastAsia="zh-CN"/>
        </w:rPr>
        <w:t>，视</w:t>
      </w:r>
      <w:r>
        <w:rPr>
          <w:rFonts w:hint="eastAsia" w:asciiTheme="minorEastAsia" w:hAnsiTheme="minorEastAsia" w:eastAsiaTheme="minorEastAsia" w:cstheme="minorEastAsia"/>
          <w:sz w:val="21"/>
          <w:szCs w:val="21"/>
          <w:highlight w:val="none"/>
          <w:lang w:val="en-US" w:eastAsia="zh-CN"/>
        </w:rPr>
        <w:t>为缺岗，需承担</w:t>
      </w:r>
      <w:r>
        <w:rPr>
          <w:rFonts w:hint="default" w:ascii="Times New Roman" w:hAnsi="Times New Roman" w:eastAsia="仿宋_GB2312" w:cs="Times New Roman"/>
          <w:highlight w:val="none"/>
          <w:vertAlign w:val="baseline"/>
          <w:lang w:val="en-US" w:eastAsia="zh-CN"/>
        </w:rPr>
        <w:t>7</w:t>
      </w:r>
      <w:r>
        <w:rPr>
          <w:rFonts w:hint="eastAsia" w:eastAsia="仿宋_GB2312" w:cs="Times New Roman"/>
          <w:highlight w:val="none"/>
          <w:vertAlign w:val="baseline"/>
          <w:lang w:val="en-US" w:eastAsia="zh-CN"/>
        </w:rPr>
        <w:t>40</w:t>
      </w:r>
      <w:r>
        <w:rPr>
          <w:rFonts w:hint="default" w:ascii="Times New Roman" w:hAnsi="Times New Roman" w:eastAsia="仿宋_GB2312" w:cs="Times New Roman"/>
          <w:highlight w:val="none"/>
          <w:vertAlign w:val="baseline"/>
          <w:lang w:val="en-US" w:eastAsia="zh-CN"/>
        </w:rPr>
        <w:t>0</w:t>
      </w:r>
      <w:r>
        <w:rPr>
          <w:rFonts w:hint="eastAsia" w:asciiTheme="minorEastAsia" w:hAnsiTheme="minorEastAsia" w:eastAsiaTheme="minorEastAsia" w:cstheme="minorEastAsia"/>
          <w:sz w:val="21"/>
          <w:szCs w:val="21"/>
          <w:highlight w:val="none"/>
          <w:lang w:val="en-US" w:eastAsia="zh-CN"/>
        </w:rPr>
        <w:t>元/日·人的违约责任，此事件一年内发生三次的，采购人有权单方面解除合同，没收全部履约保证金并收取年度合同价的20%作为违约金。</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其他专业团队人员每年提供驻场服务不足150个工作日的，视为缺岗，需承担4300元/日·人的违约责任，此事件一年内发生十五次的，采购人有权单方面解除合同，没收全部履约保证金并收取年度合同价的20%作为违约金。</w:t>
      </w:r>
    </w:p>
    <w:p>
      <w:pPr>
        <w:pageBreakBefore w:val="0"/>
        <w:widowControl w:val="0"/>
        <w:numPr>
          <w:ilvl w:val="0"/>
          <w:numId w:val="0"/>
        </w:numPr>
        <w:shd w:val="clear" w:color="auto" w:fill="auto"/>
        <w:kinsoku/>
        <w:wordWrap/>
        <w:overflowPunct/>
        <w:topLinePunct w:val="0"/>
        <w:autoSpaceDE/>
        <w:autoSpaceDN/>
        <w:bidi w:val="0"/>
        <w:spacing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以上扣款均在下一次付款中直接扣除。</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4、未经过采购人同意擅自减少专业团队人员的，每发现一次扣除4300元/日·人，此事件一年内发生三次的，采购人有权单方面解除合同，没收全部履约保证金并收取年度合同价的20%作为违约金。</w:t>
      </w:r>
    </w:p>
    <w:p>
      <w:pPr>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宋体" w:hAnsi="宋体" w:eastAsia="宋体" w:cs="宋体"/>
          <w:sz w:val="21"/>
          <w:szCs w:val="21"/>
          <w:highlight w:val="none"/>
          <w:lang w:val="en-US" w:eastAsia="zh-CN"/>
        </w:rPr>
        <w:t>根据项目实际进展需要确保项目相应专业人员配套齐全、安排充足</w:t>
      </w:r>
      <w:r>
        <w:rPr>
          <w:rFonts w:hint="eastAsia" w:asciiTheme="minorEastAsia" w:hAnsiTheme="minorEastAsia" w:eastAsiaTheme="minorEastAsia" w:cstheme="minorEastAsia"/>
          <w:sz w:val="21"/>
          <w:szCs w:val="21"/>
          <w:highlight w:val="none"/>
          <w:lang w:val="en-US" w:eastAsia="zh-CN"/>
        </w:rPr>
        <w:t>，采购人要求需增加人员，中标人不得拒绝，费用不另行增加。</w:t>
      </w:r>
    </w:p>
    <w:p>
      <w:pPr>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6、总设计师及团队驻场人员服务时长超出的，费用均不另行增加。</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7、团队驻场人员费用均按中级职称测算，实际到场人员若为高级工程师及以上职称，费用不另行增加。</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8、本合同为包干价合同，原则上费用不另行增加。如产生合同约定以外的工作，由双方协商解决。</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kern w:val="2"/>
          <w:sz w:val="21"/>
          <w:szCs w:val="21"/>
          <w:highlight w:val="none"/>
          <w:lang w:val="en-US" w:eastAsia="zh-CN" w:bidi="ar-SA"/>
        </w:rPr>
        <w:t>如有转让和未经采购人同意的分包行为，采购人有权解除合同，没收履约保证金并要求供应商按合同总额的20%承担违约责任。</w:t>
      </w:r>
      <w:r>
        <w:rPr>
          <w:rFonts w:hint="eastAsia" w:asciiTheme="minorEastAsia" w:hAnsiTheme="minorEastAsia" w:eastAsiaTheme="minorEastAsia" w:cstheme="minorEastAsia"/>
          <w:b w:val="0"/>
          <w:bCs w:val="0"/>
          <w:sz w:val="21"/>
          <w:szCs w:val="21"/>
          <w:highlight w:val="none"/>
          <w:lang w:val="en-US" w:eastAsia="zh-CN"/>
        </w:rPr>
        <w:br w:type="page"/>
      </w:r>
    </w:p>
    <w:p>
      <w:pPr>
        <w:pStyle w:val="16"/>
        <w:rPr>
          <w:rFonts w:hint="default"/>
          <w:highlight w:val="none"/>
          <w:lang w:val="en-US"/>
        </w:rPr>
      </w:pPr>
      <w:r>
        <w:rPr>
          <w:rFonts w:hint="eastAsia" w:ascii="仿宋_GB2312" w:hAnsi="仿宋_GB2312" w:eastAsia="仿宋_GB2312" w:cs="仿宋_GB2312"/>
          <w:b w:val="0"/>
          <w:bCs w:val="0"/>
          <w:sz w:val="24"/>
          <w:szCs w:val="24"/>
          <w:highlight w:val="none"/>
          <w:lang w:val="en-US" w:eastAsia="zh-CN"/>
        </w:rPr>
        <w:t>附件1</w:t>
      </w:r>
    </w:p>
    <w:tbl>
      <w:tblPr>
        <w:tblStyle w:val="76"/>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4"/>
        <w:gridCol w:w="1644"/>
        <w:gridCol w:w="2215"/>
        <w:gridCol w:w="1966"/>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84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履约评分表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840" w:type="dxa"/>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采购人（盖章）：                 主要领导签字：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8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w:t>
            </w:r>
          </w:p>
        </w:tc>
        <w:tc>
          <w:tcPr>
            <w:tcW w:w="2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说明</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满分</w:t>
            </w:r>
          </w:p>
        </w:tc>
        <w:tc>
          <w:tcPr>
            <w:tcW w:w="1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2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（100分）</w:t>
            </w:r>
          </w:p>
        </w:tc>
        <w:tc>
          <w:tcPr>
            <w:tcW w:w="16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履职情况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（40分）</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整体谋划</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技术审查</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品质把控</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决策参谋</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工作成效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（30分）</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技术服务水平</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合理意见建议</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品质呈现效果</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工作态度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（15分）</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出勤、配合度</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满意度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（15分）</w:t>
            </w:r>
          </w:p>
        </w:tc>
        <w:tc>
          <w:tcPr>
            <w:tcW w:w="22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工作满意度</w:t>
            </w:r>
          </w:p>
        </w:tc>
        <w:tc>
          <w:tcPr>
            <w:tcW w:w="196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31"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2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auto"/>
                <w:sz w:val="24"/>
                <w:szCs w:val="24"/>
                <w:highlight w:val="none"/>
                <w:u w:val="none"/>
              </w:rPr>
            </w:pPr>
          </w:p>
        </w:tc>
      </w:tr>
    </w:tbl>
    <w:p>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sz w:val="21"/>
          <w:szCs w:val="21"/>
          <w:highlight w:val="none"/>
          <w:lang w:val="en-US" w:eastAsia="zh-CN"/>
        </w:rPr>
        <w:t>注：</w:t>
      </w:r>
      <w:r>
        <w:rPr>
          <w:rFonts w:hint="eastAsia" w:asciiTheme="minorEastAsia" w:hAnsiTheme="minorEastAsia" w:eastAsiaTheme="minorEastAsia" w:cstheme="minorEastAsia"/>
          <w:bCs/>
          <w:sz w:val="21"/>
          <w:szCs w:val="21"/>
          <w:highlight w:val="none"/>
          <w:lang w:val="en-US" w:eastAsia="zh-CN"/>
        </w:rPr>
        <w:t>本表为暂定表格，采购人有权对该表格进行修改，供应商不得拒绝。</w:t>
      </w:r>
    </w:p>
    <w:p>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pPr>
        <w:pStyle w:val="2"/>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第三部分 投标人须知</w:t>
      </w:r>
      <w:bookmarkEnd w:id="1"/>
    </w:p>
    <w:p>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bookmarkStart w:id="11" w:name="_Toc331502478"/>
      <w:r>
        <w:rPr>
          <w:rFonts w:hint="eastAsia" w:asciiTheme="minorEastAsia" w:hAnsiTheme="minorEastAsia" w:eastAsiaTheme="minorEastAsia" w:cstheme="minorEastAsia"/>
          <w:b/>
          <w:bCs/>
          <w:color w:val="auto"/>
          <w:kern w:val="2"/>
          <w:sz w:val="32"/>
          <w:szCs w:val="32"/>
          <w:highlight w:val="none"/>
        </w:rPr>
        <w:t>前附表</w:t>
      </w:r>
      <w:bookmarkEnd w:id="11"/>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bookmarkStart w:id="12" w:name="_Hlt74730295"/>
            <w:bookmarkEnd w:id="12"/>
            <w:bookmarkStart w:id="13" w:name="_Hlt74714665"/>
            <w:bookmarkEnd w:id="13"/>
            <w:bookmarkStart w:id="14" w:name="_Toc91899872"/>
            <w:bookmarkStart w:id="15" w:name="_Hlt74730208"/>
            <w:bookmarkStart w:id="16" w:name="_Hlt74730112"/>
            <w:bookmarkStart w:id="17" w:name="_Toc331502480"/>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pPr>
              <w:shd w:val="clear"/>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：飞龙湖生态区总设计师选聘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pPr>
              <w:keepNext w:val="0"/>
              <w:keepLines w:val="0"/>
              <w:suppressLineNumbers w:val="0"/>
              <w:shd w:val="clear"/>
              <w:snapToGrid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1、本项目投标应以</w:t>
            </w:r>
            <w:r>
              <w:rPr>
                <w:rFonts w:hint="eastAsia" w:asciiTheme="minorEastAsia" w:hAnsiTheme="minorEastAsia" w:eastAsiaTheme="minorEastAsia" w:cstheme="minorEastAsia"/>
                <w:color w:val="auto"/>
                <w:sz w:val="21"/>
                <w:szCs w:val="21"/>
                <w:highlight w:val="none"/>
                <w:lang w:val="en-US" w:eastAsia="zh-CN"/>
              </w:rPr>
              <w:t>人民币</w:t>
            </w:r>
            <w:r>
              <w:rPr>
                <w:rFonts w:hint="eastAsia" w:asciiTheme="minorEastAsia" w:hAnsiTheme="minorEastAsia" w:eastAsiaTheme="minorEastAsia" w:cstheme="minorEastAsia"/>
                <w:color w:val="auto"/>
                <w:sz w:val="21"/>
                <w:szCs w:val="21"/>
                <w:highlight w:val="none"/>
              </w:rPr>
              <w:t>报价。</w:t>
            </w:r>
          </w:p>
          <w:p>
            <w:pPr>
              <w:pStyle w:val="27"/>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2、详细报价要求详见</w:t>
            </w:r>
            <w:r>
              <w:rPr>
                <w:rFonts w:hint="eastAsia" w:asciiTheme="minorEastAsia" w:hAnsiTheme="minorEastAsia" w:eastAsiaTheme="minorEastAsia" w:cstheme="minorEastAsia"/>
                <w:color w:val="auto"/>
                <w:sz w:val="21"/>
                <w:szCs w:val="21"/>
                <w:highlight w:val="none"/>
                <w:lang w:eastAsia="zh-CN"/>
              </w:rPr>
              <w:t>项目需求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未按要求报价</w:t>
            </w:r>
            <w:r>
              <w:rPr>
                <w:rFonts w:hint="eastAsia" w:asciiTheme="minorEastAsia" w:hAnsiTheme="minorEastAsia" w:eastAsiaTheme="minorEastAsia" w:cstheme="minorEastAsia"/>
                <w:color w:val="auto"/>
                <w:sz w:val="21"/>
                <w:szCs w:val="21"/>
                <w:highlight w:val="none"/>
              </w:rPr>
              <w:t>的，按无效标处理；</w:t>
            </w:r>
          </w:p>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本项目实行电子投标，供应商应准备电子投标文件、备份投标文件（电子备份投标文件</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其中备份投标文件为自愿提供，非实质性要求，因电子投标文件无法读取的后果由投标人自行承担）：</w:t>
            </w:r>
          </w:p>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1、电子投标文件：</w:t>
            </w:r>
            <w:r>
              <w:rPr>
                <w:rFonts w:hint="eastAsia" w:asciiTheme="minorEastAsia" w:hAnsiTheme="minorEastAsia" w:eastAsiaTheme="minorEastAsia" w:cstheme="minorEastAsia"/>
                <w:highlight w:val="none"/>
                <w:lang w:val="zh-CN"/>
              </w:rPr>
              <w:t>按政府采购云平台供应商项目采购</w:t>
            </w:r>
            <w:r>
              <w:rPr>
                <w:rFonts w:hint="eastAsia" w:asciiTheme="minorEastAsia" w:hAnsiTheme="minorEastAsia" w:eastAsiaTheme="minorEastAsia" w:cstheme="minorEastAsia"/>
                <w:highlight w:val="none"/>
              </w:rPr>
              <w:t>--电子招投标操作指南（</w:t>
            </w:r>
            <w:r>
              <w:rPr>
                <w:rFonts w:hint="eastAsia" w:asciiTheme="minorEastAsia" w:hAnsiTheme="minorEastAsia" w:eastAsiaTheme="minorEastAsia" w:cstheme="minorEastAsia"/>
                <w:highlight w:val="none"/>
                <w:lang w:val="zh-CN"/>
              </w:rPr>
              <w:t>网址</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"https://help.zcy.gov.cn/web/site_2/2018/12-28/2573.html）及本采购文件要求制作"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lang w:eastAsia="zh-CN"/>
              </w:rPr>
              <w:t>https://service.zcygov.cn/#/help/superior</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t>及本项目招标文件要求编制</w:t>
            </w:r>
            <w:r>
              <w:rPr>
                <w:rFonts w:hint="eastAsia" w:asciiTheme="minorEastAsia" w:hAnsiTheme="minorEastAsia" w:eastAsiaTheme="minorEastAsia" w:cstheme="minorEastAsia"/>
                <w:highlight w:val="none"/>
                <w:lang w:val="zh-CN"/>
              </w:rPr>
              <w:t>、加密并递交</w:t>
            </w:r>
            <w:r>
              <w:rPr>
                <w:rFonts w:hint="eastAsia" w:asciiTheme="minorEastAsia" w:hAnsiTheme="minorEastAsia" w:eastAsiaTheme="minorEastAsia" w:cstheme="minorEastAsia"/>
                <w:highlight w:val="none"/>
              </w:rPr>
              <w:t>。</w:t>
            </w:r>
          </w:p>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highlight w:val="none"/>
                <w:lang w:eastAsia="zh-CN"/>
              </w:rPr>
              <w:t>1391370120</w:t>
            </w:r>
            <w:r>
              <w:rPr>
                <w:rFonts w:hint="eastAsia" w:asciiTheme="minorEastAsia" w:hAnsiTheme="minorEastAsia" w:eastAsiaTheme="minorEastAsia" w:cstheme="minorEastAsia"/>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pPr>
              <w:pStyle w:val="68"/>
              <w:keepNext w:val="0"/>
              <w:keepLines w:val="0"/>
              <w:widowControl/>
              <w:suppressLineNumbers w:val="0"/>
              <w:shd w:val="clear"/>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履约保证金的收取:履约保证金按合同总金额的 </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 xml:space="preserve"> %计收。履约保证金交至</w:t>
            </w:r>
            <w:r>
              <w:rPr>
                <w:rFonts w:hint="eastAsia" w:asciiTheme="minorEastAsia" w:hAnsiTheme="minorEastAsia" w:eastAsiaTheme="minorEastAsia" w:cstheme="minorEastAsia"/>
                <w:color w:val="auto"/>
                <w:sz w:val="21"/>
                <w:szCs w:val="21"/>
                <w:highlight w:val="none"/>
                <w:lang w:eastAsia="zh-CN"/>
              </w:rPr>
              <w:t>台州市路桥区飞龙湖生态区建设发展中心</w:t>
            </w:r>
            <w:r>
              <w:rPr>
                <w:rFonts w:hint="eastAsia" w:asciiTheme="minorEastAsia" w:hAnsiTheme="minorEastAsia" w:eastAsiaTheme="minorEastAsia" w:cstheme="minorEastAsia"/>
                <w:color w:val="auto"/>
                <w:sz w:val="21"/>
                <w:szCs w:val="21"/>
                <w:highlight w:val="none"/>
              </w:rPr>
              <w:t>账户，提交形式为现金转账或汇款或</w:t>
            </w:r>
            <w:r>
              <w:rPr>
                <w:rFonts w:hint="eastAsia" w:asciiTheme="minorEastAsia" w:hAnsiTheme="minorEastAsia" w:eastAsiaTheme="minorEastAsia" w:cstheme="minorEastAsia"/>
                <w:color w:val="auto"/>
                <w:sz w:val="21"/>
                <w:szCs w:val="21"/>
                <w:highlight w:val="none"/>
                <w:lang w:val="en-US" w:eastAsia="zh-CN"/>
              </w:rPr>
              <w:t>银行保函或保险</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pPr>
              <w:pStyle w:val="68"/>
              <w:keepNext w:val="0"/>
              <w:keepLines w:val="0"/>
              <w:widowControl/>
              <w:suppressLineNumbers w:val="0"/>
              <w:shd w:val="clear"/>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本项目为服务项目，不执行节能产品、环保产品政策。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解释：本招标文件的解释权属于</w:t>
            </w:r>
            <w:r>
              <w:rPr>
                <w:rFonts w:hint="eastAsia" w:asciiTheme="minorEastAsia" w:hAnsiTheme="minorEastAsia" w:eastAsiaTheme="minorEastAsia" w:cstheme="minorEastAsia"/>
                <w:highlight w:val="none"/>
                <w:lang w:eastAsia="zh-CN"/>
              </w:rPr>
              <w:t>采购人</w:t>
            </w:r>
            <w:r>
              <w:rPr>
                <w:rFonts w:hint="eastAsia" w:asciiTheme="minorEastAsia" w:hAnsiTheme="minorEastAsia" w:eastAsiaTheme="minorEastAsia" w:cstheme="minorEastAsia"/>
                <w:highlight w:val="none"/>
              </w:rPr>
              <w:t>或招标代理单位。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服务期限： 详见项目需求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23</w:t>
            </w:r>
          </w:p>
        </w:tc>
        <w:tc>
          <w:tcPr>
            <w:tcW w:w="8371" w:type="dxa"/>
            <w:tcBorders>
              <w:top w:val="single" w:color="auto" w:sz="4" w:space="0"/>
              <w:left w:val="single" w:color="auto" w:sz="4" w:space="0"/>
              <w:bottom w:val="single" w:color="auto" w:sz="4" w:space="0"/>
            </w:tcBorders>
            <w:vAlign w:val="center"/>
          </w:tcPr>
          <w:p>
            <w:pPr>
              <w:shd w:val="clear"/>
              <w:snapToGrid w:val="0"/>
              <w:spacing w:line="24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1、本项目不提供样品，无现场演示。</w:t>
            </w:r>
          </w:p>
          <w:p>
            <w:p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pPr>
              <w:shd w:val="clear"/>
              <w:snapToGrid w:val="0"/>
              <w:spacing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 《小微企业声明函》。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pPr>
              <w:numPr>
                <w:ilvl w:val="0"/>
                <w:numId w:val="0"/>
              </w:num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本项目所有投标人均可不参加本项目现场开标。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w:t>
            </w:r>
          </w:p>
        </w:tc>
        <w:tc>
          <w:tcPr>
            <w:tcW w:w="8371" w:type="dxa"/>
            <w:tcBorders>
              <w:top w:val="single" w:color="auto" w:sz="4" w:space="0"/>
              <w:left w:val="single" w:color="auto" w:sz="4" w:space="0"/>
              <w:bottom w:val="single" w:color="auto" w:sz="4" w:space="0"/>
            </w:tcBorders>
            <w:vAlign w:val="center"/>
          </w:tcPr>
          <w:p>
            <w:pPr>
              <w:numPr>
                <w:ilvl w:val="0"/>
                <w:numId w:val="0"/>
              </w:numPr>
              <w:shd w:val="clear"/>
              <w:snapToGrid w:val="0"/>
              <w:spacing w:line="24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本项目推荐1名中标候选人</w:t>
            </w:r>
          </w:p>
        </w:tc>
      </w:tr>
    </w:tbl>
    <w:p>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pPr>
        <w:shd w:val="clear"/>
        <w:rPr>
          <w:rFonts w:hint="eastAsia" w:asciiTheme="minorEastAsia" w:hAnsiTheme="minorEastAsia" w:eastAsiaTheme="minorEastAsia" w:cstheme="minorEastAsia"/>
          <w:highlight w:val="none"/>
        </w:rPr>
      </w:pPr>
    </w:p>
    <w:p>
      <w:pPr>
        <w:shd w:val="clear"/>
        <w:rPr>
          <w:rFonts w:hint="eastAsia" w:asciiTheme="minorEastAsia" w:hAnsiTheme="minorEastAsia" w:eastAsiaTheme="minorEastAsia" w:cstheme="minorEastAsia"/>
          <w:highlight w:val="none"/>
        </w:rPr>
      </w:pPr>
    </w:p>
    <w:p>
      <w:pPr>
        <w:shd w:val="clea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br w:type="page"/>
      </w:r>
    </w:p>
    <w:p>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t>一、总则</w:t>
      </w:r>
    </w:p>
    <w:p>
      <w:pPr>
        <w:pStyle w:val="37"/>
        <w:shd w:val="clear"/>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台州市路桥区飞龙湖生态区建设发展中心</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飞龙湖生态区总设计师选聘</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 。</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不论投标结果如何，投标人均应自行承担所有与投标有关的全部费用（招标文件有相反规定除外）。</w:t>
      </w:r>
    </w:p>
    <w:p>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本项目代理服务费</w:t>
      </w:r>
      <w:r>
        <w:rPr>
          <w:rFonts w:hint="eastAsia" w:asciiTheme="minorEastAsia" w:hAnsiTheme="minorEastAsia" w:eastAsiaTheme="minorEastAsia" w:cstheme="minorEastAsia"/>
          <w:color w:val="auto"/>
          <w:sz w:val="21"/>
          <w:szCs w:val="21"/>
          <w:highlight w:val="none"/>
        </w:rPr>
        <w:t>根据发改局《关于进一步放开建设项目专业服务价格的通知》（发改价格[2015]299 号）规定的标准，</w:t>
      </w:r>
      <w:r>
        <w:rPr>
          <w:rFonts w:hint="eastAsia" w:asciiTheme="minorEastAsia" w:hAnsiTheme="minorEastAsia" w:eastAsiaTheme="minorEastAsia" w:cstheme="minorEastAsia"/>
          <w:color w:val="auto"/>
          <w:sz w:val="21"/>
          <w:szCs w:val="21"/>
          <w:highlight w:val="none"/>
          <w:lang w:val="en-US" w:eastAsia="zh-CN"/>
        </w:rPr>
        <w:t>本项目</w:t>
      </w:r>
      <w:r>
        <w:rPr>
          <w:rFonts w:hint="eastAsia" w:asciiTheme="minorEastAsia" w:hAnsiTheme="minorEastAsia" w:eastAsiaTheme="minorEastAsia" w:cstheme="minorEastAsia"/>
          <w:color w:val="auto"/>
          <w:sz w:val="21"/>
          <w:szCs w:val="21"/>
          <w:highlight w:val="none"/>
        </w:rPr>
        <w:t>按照30900</w:t>
      </w:r>
      <w:r>
        <w:rPr>
          <w:rFonts w:hint="eastAsia" w:asciiTheme="minorEastAsia" w:hAnsiTheme="minorEastAsia" w:eastAsiaTheme="minorEastAsia" w:cstheme="minorEastAsia"/>
          <w:color w:val="auto"/>
          <w:sz w:val="21"/>
          <w:szCs w:val="21"/>
          <w:highlight w:val="none"/>
          <w:lang w:val="en-US" w:eastAsia="zh-CN"/>
        </w:rPr>
        <w:t>元</w:t>
      </w:r>
      <w:r>
        <w:rPr>
          <w:rFonts w:hint="eastAsia" w:asciiTheme="minorEastAsia" w:hAnsiTheme="minorEastAsia" w:eastAsiaTheme="minorEastAsia" w:cstheme="minorEastAsia"/>
          <w:color w:val="auto"/>
          <w:sz w:val="21"/>
          <w:szCs w:val="21"/>
          <w:highlight w:val="none"/>
        </w:rPr>
        <w:t>向中标</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收取代理服务</w:t>
      </w:r>
      <w:r>
        <w:rPr>
          <w:rFonts w:hint="eastAsia" w:asciiTheme="minorEastAsia" w:hAnsiTheme="minorEastAsia" w:eastAsiaTheme="minorEastAsia" w:cstheme="minorEastAsia"/>
          <w:color w:val="auto"/>
          <w:sz w:val="21"/>
          <w:szCs w:val="21"/>
          <w:highlight w:val="none"/>
          <w:lang w:val="en-US" w:eastAsia="zh-CN"/>
        </w:rPr>
        <w:t>费（收后不退）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采购代理服务费须包含在总报价中，由采购代理机构在签发中标通知书</w:t>
      </w:r>
      <w:r>
        <w:rPr>
          <w:rFonts w:hint="eastAsia" w:asciiTheme="minorEastAsia" w:hAnsiTheme="minorEastAsia" w:eastAsiaTheme="minorEastAsia" w:cstheme="minorEastAsia"/>
          <w:color w:val="auto"/>
          <w:sz w:val="21"/>
          <w:szCs w:val="21"/>
          <w:highlight w:val="none"/>
          <w:lang w:eastAsia="zh-CN"/>
        </w:rPr>
        <w:t>前</w:t>
      </w:r>
      <w:r>
        <w:rPr>
          <w:rFonts w:hint="eastAsia" w:asciiTheme="minorEastAsia" w:hAnsiTheme="minorEastAsia" w:eastAsiaTheme="minorEastAsia" w:cstheme="minorEastAsia"/>
          <w:color w:val="auto"/>
          <w:sz w:val="21"/>
          <w:szCs w:val="21"/>
          <w:highlight w:val="none"/>
          <w:lang w:val="en-US" w:eastAsia="zh-CN"/>
        </w:rPr>
        <w:t>向中标供应商</w:t>
      </w:r>
      <w:r>
        <w:rPr>
          <w:rFonts w:hint="eastAsia" w:asciiTheme="minorEastAsia" w:hAnsiTheme="minorEastAsia" w:eastAsiaTheme="minorEastAsia" w:cstheme="minorEastAsia"/>
          <w:color w:val="auto"/>
          <w:sz w:val="21"/>
          <w:szCs w:val="21"/>
          <w:highlight w:val="none"/>
        </w:rPr>
        <w:t>收取；本项目按</w:t>
      </w:r>
      <w:r>
        <w:rPr>
          <w:rFonts w:hint="eastAsia" w:asciiTheme="minorEastAsia" w:hAnsiTheme="minorEastAsia" w:eastAsiaTheme="minorEastAsia" w:cstheme="minorEastAsia"/>
          <w:b/>
          <w:bCs/>
          <w:color w:val="auto"/>
          <w:sz w:val="21"/>
          <w:szCs w:val="21"/>
          <w:highlight w:val="none"/>
          <w:u w:val="single"/>
          <w:lang w:val="en-US" w:eastAsia="zh-CN"/>
        </w:rPr>
        <w:t>服务</w:t>
      </w:r>
      <w:r>
        <w:rPr>
          <w:rFonts w:hint="eastAsia" w:asciiTheme="minorEastAsia" w:hAnsiTheme="minorEastAsia" w:eastAsiaTheme="minorEastAsia" w:cstheme="minorEastAsia"/>
          <w:b/>
          <w:bCs/>
          <w:color w:val="auto"/>
          <w:sz w:val="21"/>
          <w:szCs w:val="21"/>
          <w:highlight w:val="none"/>
          <w:u w:val="single"/>
        </w:rPr>
        <w:t>招标</w:t>
      </w:r>
      <w:r>
        <w:rPr>
          <w:rFonts w:hint="eastAsia" w:asciiTheme="minorEastAsia" w:hAnsiTheme="minorEastAsia" w:eastAsiaTheme="minorEastAsia" w:cstheme="minorEastAsia"/>
          <w:color w:val="auto"/>
          <w:sz w:val="21"/>
          <w:szCs w:val="21"/>
          <w:highlight w:val="none"/>
        </w:rPr>
        <w:t>类型收费。请投标人在投标报价时综合考虑，费用计入中标人投标费用内，</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不再支付该部分费用给中标人。</w:t>
      </w:r>
    </w:p>
    <w:p>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pPr>
              <w:pStyle w:val="695"/>
              <w:shd w:val="clear"/>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4144;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pPr>
              <w:pStyle w:val="695"/>
              <w:shd w:val="clear"/>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pPr>
              <w:pStyle w:val="695"/>
              <w:shd w:val="clear"/>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pPr>
              <w:pStyle w:val="695"/>
              <w:shd w:val="clear"/>
              <w:rPr>
                <w:rFonts w:hint="eastAsia" w:asciiTheme="minorEastAsia" w:hAnsiTheme="minorEastAsia" w:eastAsiaTheme="minorEastAsia" w:cstheme="minorEastAsia"/>
                <w:b/>
                <w:color w:val="auto"/>
                <w:sz w:val="21"/>
                <w:szCs w:val="21"/>
                <w:highlight w:val="none"/>
              </w:rPr>
            </w:pPr>
          </w:p>
          <w:p>
            <w:pPr>
              <w:pStyle w:val="695"/>
              <w:shd w:val="clear"/>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pPr>
              <w:pStyle w:val="695"/>
              <w:shd w:val="clear"/>
              <w:rPr>
                <w:rFonts w:hint="eastAsia" w:asciiTheme="minorEastAsia" w:hAnsiTheme="minorEastAsia" w:eastAsiaTheme="minorEastAsia" w:cstheme="minorEastAsia"/>
                <w:b/>
                <w:color w:val="auto"/>
                <w:sz w:val="21"/>
                <w:szCs w:val="21"/>
                <w:highlight w:val="none"/>
              </w:rPr>
            </w:pPr>
          </w:p>
          <w:p>
            <w:pPr>
              <w:pStyle w:val="695"/>
              <w:shd w:val="clear"/>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pPr>
              <w:pStyle w:val="695"/>
              <w:shd w:val="clear"/>
              <w:rPr>
                <w:rFonts w:hint="eastAsia" w:asciiTheme="minorEastAsia" w:hAnsiTheme="minorEastAsia" w:eastAsiaTheme="minorEastAsia" w:cstheme="minorEastAsia"/>
                <w:b/>
                <w:color w:val="auto"/>
                <w:sz w:val="21"/>
                <w:szCs w:val="21"/>
                <w:highlight w:val="none"/>
              </w:rPr>
            </w:pPr>
          </w:p>
          <w:p>
            <w:pPr>
              <w:pStyle w:val="695"/>
              <w:shd w:val="clear"/>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5"/>
              <w:shd w:val="clear"/>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pPr>
              <w:pStyle w:val="695"/>
              <w:shd w:val="clear"/>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pPr>
              <w:pStyle w:val="695"/>
              <w:shd w:val="clear"/>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pPr>
              <w:pStyle w:val="695"/>
              <w:shd w:val="clear"/>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5"/>
              <w:shd w:val="clear"/>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pPr>
              <w:pStyle w:val="695"/>
              <w:shd w:val="clear"/>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pPr>
              <w:pStyle w:val="695"/>
              <w:shd w:val="clear"/>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pPr>
              <w:pStyle w:val="695"/>
              <w:shd w:val="clear"/>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5"/>
              <w:shd w:val="clear"/>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pPr>
              <w:pStyle w:val="695"/>
              <w:shd w:val="clear"/>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pPr>
              <w:pStyle w:val="695"/>
              <w:shd w:val="clear"/>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1、基本资格要求：符合《中华人民共和国政府采购法》第二十二条规定的投标人资格条件。</w:t>
      </w:r>
    </w:p>
    <w:p>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pPr>
        <w:keepNext w:val="0"/>
        <w:keepLines w:val="0"/>
        <w:widowControl/>
        <w:suppressLineNumbers w:val="0"/>
        <w:shd w:val="clear"/>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（1）未被“信用中国”（www.creditchina.gov.cn）、中国政府采购网（www.ccgp.gov.cn）列入失信被执行人、重大税收违法案件当事人名单、政府采购严重违法失信行为记录名单。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b/>
          <w:bCs/>
          <w:color w:val="000000"/>
          <w:kern w:val="0"/>
          <w:sz w:val="21"/>
          <w:szCs w:val="21"/>
          <w:highlight w:val="none"/>
          <w:lang w:val="en-US" w:eastAsia="zh-CN" w:bidi="ar"/>
        </w:rPr>
        <w:t xml:space="preserve"> </w:t>
      </w:r>
    </w:p>
    <w:p>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 号】第七条规定：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1.本项目不允许转包。</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2.本项目允许分包，经采购人事先书面同意。</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pPr>
        <w:shd w:val="clea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pPr>
        <w:shd w:val="clea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kern w:val="0"/>
          <w:sz w:val="21"/>
          <w:szCs w:val="21"/>
          <w:highlight w:val="none"/>
        </w:rPr>
        <w:t>。</w:t>
      </w:r>
    </w:p>
    <w:p>
      <w:pPr>
        <w:shd w:val="clear"/>
        <w:tabs>
          <w:tab w:val="left" w:pos="8280"/>
        </w:tabs>
        <w:autoSpaceDE w:val="0"/>
        <w:autoSpaceDN w:val="0"/>
        <w:adjustRightInd w:val="0"/>
        <w:ind w:firstLine="480"/>
        <w:rPr>
          <w:rFonts w:hint="eastAsia" w:asciiTheme="minorEastAsia" w:hAnsiTheme="minorEastAsia" w:eastAsiaTheme="minorEastAsia" w:cstheme="minorEastAsia"/>
          <w:b w:val="0"/>
          <w:bCs/>
          <w:kern w:val="0"/>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本项目</w:t>
      </w:r>
      <w:r>
        <w:rPr>
          <w:rFonts w:hint="eastAsia" w:asciiTheme="minorEastAsia" w:hAnsiTheme="minorEastAsia" w:eastAsiaTheme="minorEastAsia" w:cstheme="minorEastAsia"/>
          <w:b/>
          <w:bCs w:val="0"/>
          <w:color w:val="auto"/>
          <w:sz w:val="21"/>
          <w:szCs w:val="21"/>
          <w:highlight w:val="none"/>
          <w:lang w:val="zh-CN"/>
        </w:rPr>
        <w:t>专门面向中小企业采购，</w:t>
      </w:r>
      <w:r>
        <w:rPr>
          <w:rFonts w:hint="eastAsia" w:asciiTheme="minorEastAsia" w:hAnsiTheme="minorEastAsia" w:eastAsiaTheme="minorEastAsia" w:cstheme="minorEastAsia"/>
          <w:b/>
          <w:bCs w:val="0"/>
          <w:color w:val="auto"/>
          <w:sz w:val="21"/>
          <w:szCs w:val="21"/>
          <w:highlight w:val="none"/>
          <w:lang w:val="en-US" w:eastAsia="zh-CN"/>
        </w:rPr>
        <w:t>价格评审得分不再进行扣除优惠评审</w:t>
      </w:r>
      <w:r>
        <w:rPr>
          <w:rFonts w:hint="eastAsia" w:asciiTheme="minorEastAsia" w:hAnsiTheme="minorEastAsia" w:eastAsiaTheme="minorEastAsia" w:cstheme="minorEastAsia"/>
          <w:b/>
          <w:bCs w:val="0"/>
          <w:color w:val="auto"/>
          <w:sz w:val="21"/>
          <w:szCs w:val="21"/>
          <w:highlight w:val="none"/>
          <w:lang w:val="zh-CN"/>
        </w:rPr>
        <w:t>。</w:t>
      </w:r>
    </w:p>
    <w:p>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8、关于联合体投标说明：本项目不接受联合体投标；</w:t>
      </w:r>
    </w:p>
    <w:p>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sz w:val="21"/>
          <w:szCs w:val="21"/>
          <w:highlight w:val="none"/>
        </w:rPr>
        <w:t>9、采用合同分包形式投标的</w:t>
      </w:r>
      <w:r>
        <w:rPr>
          <w:rFonts w:hint="eastAsia" w:asciiTheme="minorEastAsia" w:hAnsiTheme="minorEastAsia" w:eastAsiaTheme="minorEastAsia" w:cstheme="minorEastAsia"/>
          <w:bCs/>
          <w:kern w:val="0"/>
          <w:sz w:val="21"/>
          <w:szCs w:val="21"/>
          <w:highlight w:val="none"/>
        </w:rPr>
        <w:t>投标说明：本项目不接受</w:t>
      </w:r>
      <w:r>
        <w:rPr>
          <w:rFonts w:hint="eastAsia" w:asciiTheme="minorEastAsia" w:hAnsiTheme="minorEastAsia" w:eastAsiaTheme="minorEastAsia" w:cstheme="minorEastAsia"/>
          <w:sz w:val="21"/>
          <w:szCs w:val="21"/>
          <w:highlight w:val="none"/>
        </w:rPr>
        <w:t>采用合同分包形式投标</w:t>
      </w:r>
      <w:r>
        <w:rPr>
          <w:rFonts w:hint="eastAsia" w:asciiTheme="minorEastAsia" w:hAnsiTheme="minorEastAsia" w:eastAsiaTheme="minorEastAsia" w:cstheme="minorEastAsia"/>
          <w:bCs/>
          <w:kern w:val="0"/>
          <w:sz w:val="21"/>
          <w:szCs w:val="21"/>
          <w:highlight w:val="none"/>
        </w:rPr>
        <w:t>；</w:t>
      </w:r>
    </w:p>
    <w:p>
      <w:pPr>
        <w:shd w:val="clear"/>
        <w:tabs>
          <w:tab w:val="left" w:pos="8280"/>
        </w:tabs>
        <w:autoSpaceDE w:val="0"/>
        <w:autoSpaceDN w:val="0"/>
        <w:adjustRightInd w:val="0"/>
        <w:ind w:firstLine="48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 w:val="21"/>
          <w:szCs w:val="21"/>
          <w:highlight w:val="none"/>
        </w:rPr>
        <w:t>。</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 供应商的姓名或者名称、地址、邮编、联 系人及联系电话</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 质疑项目的名称、编号</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 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 事实依据</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 必要的法律依据</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 提出质疑的日期。</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质疑受理地点：</w:t>
      </w:r>
      <w:r>
        <w:rPr>
          <w:rFonts w:hint="eastAsia" w:asciiTheme="minorEastAsia" w:hAnsiTheme="minorEastAsia" w:eastAsiaTheme="minorEastAsia" w:cstheme="minorEastAsia"/>
          <w:color w:val="auto"/>
          <w:sz w:val="21"/>
          <w:szCs w:val="21"/>
          <w:highlight w:val="none"/>
          <w:lang w:eastAsia="zh-CN"/>
        </w:rPr>
        <w:t>路桥区</w:t>
      </w:r>
      <w:r>
        <w:rPr>
          <w:rFonts w:hint="eastAsia" w:asciiTheme="minorEastAsia" w:hAnsiTheme="minorEastAsia" w:eastAsiaTheme="minorEastAsia" w:cstheme="minorEastAsia"/>
          <w:color w:val="auto"/>
          <w:sz w:val="21"/>
          <w:szCs w:val="21"/>
          <w:highlight w:val="none"/>
          <w:lang w:val="en-US" w:eastAsia="zh-CN"/>
        </w:rPr>
        <w:t>花鸟巷238号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建经投资咨询有限公司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联系人：林炳洪，联系电话：13362681081。</w:t>
      </w:r>
    </w:p>
    <w:p>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pPr>
        <w:pStyle w:val="58"/>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pPr>
        <w:pStyle w:val="37"/>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pPr>
        <w:pStyle w:val="37"/>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pPr>
        <w:pStyle w:val="37"/>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rPr>
        <w:t>资格证明文件</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商务与技术文件</w:t>
      </w:r>
      <w:r>
        <w:rPr>
          <w:rFonts w:hint="eastAsia" w:asciiTheme="minorEastAsia" w:hAnsiTheme="minorEastAsia" w:eastAsiaTheme="minorEastAsia" w:cstheme="minorEastAsia"/>
          <w:b/>
          <w:bCs/>
          <w:color w:val="auto"/>
          <w:sz w:val="21"/>
          <w:szCs w:val="21"/>
          <w:highlight w:val="none"/>
          <w:u w:val="single"/>
          <w:lang w:eastAsia="zh-CN"/>
        </w:rPr>
        <w:t>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1、资格证明文件的组成：</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授权委托书（格式见附件）（若规定签字或盖章位置由法定代表人签字盖章的，则无需提供法定代表人授权书，仅提供法定代表人身份证明即可，法定代表人须与营业执照上载明的一致）；</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）企业营业执照或事业单位法人证书</w:t>
      </w:r>
      <w:r>
        <w:rPr>
          <w:rFonts w:hint="eastAsia" w:asciiTheme="minorEastAsia" w:hAnsiTheme="minorEastAsia" w:eastAsiaTheme="minorEastAsia" w:cstheme="minorEastAsia"/>
          <w:color w:val="auto"/>
          <w:sz w:val="21"/>
          <w:szCs w:val="21"/>
          <w:highlight w:val="none"/>
          <w:lang w:eastAsia="zh-CN"/>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总设计师相关证书；</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pPr>
        <w:shd w:val="clear"/>
        <w:snapToGrid w:val="0"/>
        <w:ind w:firstLine="411" w:firstLineChars="196"/>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（8）投标供应商没有失信记录承诺函（格式见附件）。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（9）《中小企业声明函》（格式见附件）、监狱企业的证明文件（如有，格式见附件）、残疾人福利性单位声明函（如有，格式见附件）。产品适用政府采购政策情况表（如有，格式见附件）。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2、商务与技术文件的组成：</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（1）诚信承诺书（格式见附件）</w:t>
      </w:r>
      <w:r>
        <w:rPr>
          <w:rFonts w:hint="eastAsia" w:asciiTheme="minorEastAsia" w:hAnsiTheme="minorEastAsia" w:eastAsiaTheme="minorEastAsia" w:cstheme="minorEastAsia"/>
          <w:color w:val="auto"/>
          <w:sz w:val="21"/>
          <w:szCs w:val="21"/>
          <w:highlight w:val="none"/>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项目实施人员汇总表（格式见附件）；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（3）技术条款偏离表（格式见附件）；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（4）商务需求响应表（格式见附件）；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（5）根据评标办法内容自拟格式编制其他相应内容。</w:t>
      </w:r>
    </w:p>
    <w:p>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（1）▲投标报价一览表（格式见附件）；</w:t>
      </w:r>
    </w:p>
    <w:p>
      <w:pPr>
        <w:keepNext w:val="0"/>
        <w:keepLines w:val="0"/>
        <w:pageBreakBefore w:val="0"/>
        <w:shd w:val="clear"/>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pPr>
        <w:shd w:val="clea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pPr>
        <w:shd w:val="clea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pPr>
        <w:numPr>
          <w:ilvl w:val="0"/>
          <w:numId w:val="0"/>
        </w:numPr>
        <w:shd w:val="clea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pPr>
        <w:shd w:val="clea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（1）投标文件包括“资格证明文件、商务与技术文件和报价文件”三部分。投标人应按“政府采购云平台”供应商项目采购-电子招投标操作指南（网址：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"mailto:1391370120@qq.com，以接收方邮箱收件箱所显示时间为准。"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Style w:val="88"/>
          <w:rFonts w:hint="eastAsia" w:asciiTheme="minorEastAsia" w:hAnsiTheme="minorEastAsia" w:eastAsiaTheme="minorEastAsia" w:cstheme="minorEastAsia"/>
          <w:b/>
          <w:bCs/>
          <w:color w:val="auto"/>
          <w:sz w:val="21"/>
          <w:szCs w:val="21"/>
          <w:highlight w:val="none"/>
          <w:lang w:val="en-US" w:eastAsia="zh-CN"/>
        </w:rPr>
        <w:t>1391370120@qq.com，以接收方邮箱收件箱所显示时间为准。</w:t>
      </w:r>
      <w:r>
        <w:rPr>
          <w:rFonts w:hint="eastAsia" w:asciiTheme="minorEastAsia" w:hAnsiTheme="minorEastAsia" w:eastAsiaTheme="minorEastAsia" w:cstheme="minorEastAsia"/>
          <w:b/>
          <w:bCs/>
          <w:color w:val="auto"/>
          <w:sz w:val="21"/>
          <w:szCs w:val="21"/>
          <w:highlight w:val="none"/>
          <w:u w:val="none"/>
          <w:lang w:val="en-US" w:eastAsia="zh-CN"/>
        </w:rPr>
        <w:fldChar w:fldCharType="end"/>
      </w:r>
    </w:p>
    <w:p>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投标文件的有效期</w:t>
      </w:r>
    </w:p>
    <w:p>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pPr>
        <w:shd w:val="clea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pPr>
        <w:shd w:val="clear"/>
        <w:snapToGrid w:val="0"/>
        <w:ind w:firstLine="420" w:firstLineChars="200"/>
        <w:jc w:val="left"/>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中标人应在中标通知书发出后30日内与采购人签订合同并在签订合同前提交履约保证金给采购人。</w:t>
      </w:r>
      <w:r>
        <w:rPr>
          <w:rFonts w:hint="eastAsia" w:asciiTheme="minorEastAsia" w:hAnsiTheme="minorEastAsia" w:eastAsiaTheme="minorEastAsia" w:cstheme="minorEastAsia"/>
          <w:b w:val="0"/>
          <w:bCs/>
          <w:color w:val="auto"/>
          <w:sz w:val="21"/>
          <w:szCs w:val="21"/>
          <w:highlight w:val="none"/>
          <w:lang w:val="en-US" w:eastAsia="zh-CN"/>
        </w:rPr>
        <w:t>如提供现金的，</w:t>
      </w:r>
      <w:r>
        <w:rPr>
          <w:rFonts w:hint="eastAsia" w:asciiTheme="minorEastAsia" w:hAnsiTheme="minorEastAsia" w:eastAsiaTheme="minorEastAsia" w:cstheme="minorEastAsia"/>
          <w:b w:val="0"/>
          <w:bCs/>
          <w:color w:val="auto"/>
          <w:sz w:val="21"/>
          <w:szCs w:val="21"/>
          <w:highlight w:val="none"/>
        </w:rPr>
        <w:t>履约保证金账户由招标人(采购人)提供。</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pPr>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pPr>
        <w:shd w:val="clea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pPr>
        <w:pStyle w:val="37"/>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7"/>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 开标程序：</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1391370120</w:t>
      </w:r>
      <w:r>
        <w:rPr>
          <w:rFonts w:hint="eastAsia" w:asciiTheme="minorEastAsia" w:hAnsiTheme="minorEastAsia" w:eastAsiaTheme="minorEastAsia" w:cstheme="minorEastAsia"/>
          <w:color w:val="auto"/>
          <w:kern w:val="0"/>
          <w:sz w:val="21"/>
          <w:szCs w:val="21"/>
          <w:highlight w:val="none"/>
          <w:shd w:val="clear" w:color="auto" w:fill="auto"/>
        </w:rPr>
        <w:t>@qq.com）。</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pPr>
        <w:pStyle w:val="37"/>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pPr>
        <w:pStyle w:val="37"/>
        <w:shd w:val="clear"/>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pPr>
        <w:pStyle w:val="37"/>
        <w:shd w:val="clea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p>
    <w:p>
      <w:pPr>
        <w:pStyle w:val="37"/>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pPr>
        <w:pStyle w:val="37"/>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pPr>
        <w:pStyle w:val="37"/>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pPr>
        <w:shd w:val="clea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pPr>
        <w:pStyle w:val="69"/>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pPr>
        <w:pStyle w:val="69"/>
        <w:shd w:val="clear"/>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pPr>
        <w:pStyle w:val="69"/>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pPr>
        <w:pStyle w:val="69"/>
        <w:shd w:val="clear"/>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pPr>
        <w:pStyle w:val="69"/>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pPr>
        <w:pStyle w:val="69"/>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heme="minorEastAsia" w:hAnsiTheme="minorEastAsia" w:eastAsiaTheme="minorEastAsia" w:cstheme="minorEastAsia"/>
          <w:b/>
          <w:bCs/>
          <w:color w:val="auto"/>
          <w:szCs w:val="21"/>
          <w:highlight w:val="none"/>
          <w:lang w:val="en-US" w:eastAsia="zh-CN"/>
        </w:rPr>
        <w:t>(授权的代表或法定代表人所留联系方式在30分钟内无法联系上的，可视作拒绝或放弃澄清或说明)</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文件进行复核，对于</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pPr>
        <w:shd w:val="clea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pPr>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pPr>
        <w:pStyle w:val="37"/>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pPr>
        <w:pStyle w:val="69"/>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资格证明文件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商务与技术文件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在资格证明文件或商务与技术文件中出现投标报价的，或者报价文件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pPr>
        <w:pStyle w:val="69"/>
        <w:keepNext w:val="0"/>
        <w:keepLines w:val="0"/>
        <w:pageBreakBefore w:val="0"/>
        <w:shd w:val="clear"/>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pPr>
        <w:pStyle w:val="69"/>
        <w:keepNext w:val="0"/>
        <w:keepLines w:val="0"/>
        <w:pageBreakBefore w:val="0"/>
        <w:shd w:val="clear"/>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pPr>
        <w:keepNext w:val="0"/>
        <w:keepLines w:val="0"/>
        <w:pageBreakBefore w:val="0"/>
        <w:shd w:val="clear"/>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投标人没有提供合法、有效的“授权委托书”或“法定代表人身份证明书”</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pPr>
        <w:pStyle w:val="69"/>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pPr>
        <w:pStyle w:val="69"/>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、投标人的电子投标文件无法按时解密且本项目未达到启动备份文件条件的</w:t>
      </w:r>
      <w:r>
        <w:rPr>
          <w:rFonts w:hint="eastAsia" w:asciiTheme="minorEastAsia" w:hAnsiTheme="minorEastAsia" w:eastAsiaTheme="minorEastAsia" w:cstheme="minorEastAsia"/>
          <w:color w:val="auto"/>
          <w:sz w:val="21"/>
          <w:szCs w:val="21"/>
          <w:highlight w:val="none"/>
          <w:lang w:eastAsia="zh-CN"/>
        </w:rPr>
        <w:t>；</w:t>
      </w:r>
    </w:p>
    <w:p>
      <w:pPr>
        <w:pStyle w:val="69"/>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、电子投标文件解密失败的，且未在规定时间内提交备份投标文件的；</w:t>
      </w:r>
    </w:p>
    <w:p>
      <w:pPr>
        <w:pStyle w:val="69"/>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pPr>
        <w:pStyle w:val="69"/>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商务与技术文件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（1）未采用人民币报价的；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（3）投标报价具有多个报价或有选择性的。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pPr>
        <w:pStyle w:val="69"/>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pPr>
        <w:pStyle w:val="69"/>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pPr>
        <w:pStyle w:val="69"/>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pPr>
        <w:pStyle w:val="69"/>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pPr>
        <w:pStyle w:val="69"/>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pPr>
        <w:shd w:val="clea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pPr>
        <w:pStyle w:val="37"/>
        <w:shd w:val="clear"/>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pPr>
        <w:pStyle w:val="37"/>
        <w:shd w:val="clear"/>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pPr>
        <w:pStyle w:val="69"/>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69"/>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pPr>
        <w:pStyle w:val="69"/>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pPr>
        <w:pStyle w:val="69"/>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pPr>
        <w:shd w:val="clea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pPr>
        <w:shd w:val="clea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pPr>
        <w:pStyle w:val="37"/>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pPr>
        <w:pStyle w:val="37"/>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pPr>
        <w:pStyle w:val="37"/>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pPr>
        <w:pStyle w:val="37"/>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7"/>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pPr>
        <w:pStyle w:val="69"/>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pPr>
        <w:pStyle w:val="69"/>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pPr>
        <w:pStyle w:val="37"/>
        <w:shd w:val="clear"/>
        <w:snapToGrid w:val="0"/>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）履约保证金</w:t>
      </w:r>
    </w:p>
    <w:p>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中标人应按招标文件确定的履约保证金和代理服务费的金额，交纳履约保证金和代理服务费。</w:t>
      </w:r>
    </w:p>
    <w:p>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签订合同后，如中标人不按双方合同约定履约</w:t>
      </w:r>
      <w:r>
        <w:rPr>
          <w:rFonts w:hint="eastAsia" w:asciiTheme="minorEastAsia" w:hAnsiTheme="minorEastAsia" w:eastAsiaTheme="minorEastAsia" w:cstheme="minorEastAsia"/>
          <w:b w:val="0"/>
          <w:bCs/>
          <w:color w:val="auto"/>
          <w:sz w:val="21"/>
          <w:szCs w:val="21"/>
          <w:highlight w:val="none"/>
          <w:lang w:val="en-US" w:eastAsia="zh-CN"/>
        </w:rPr>
        <w:t>或未按规定缴纳</w:t>
      </w:r>
      <w:r>
        <w:rPr>
          <w:rFonts w:hint="eastAsia" w:asciiTheme="minorEastAsia" w:hAnsiTheme="minorEastAsia" w:eastAsiaTheme="minorEastAsia" w:cstheme="minorEastAsia"/>
          <w:b w:val="0"/>
          <w:bCs/>
          <w:color w:val="auto"/>
          <w:sz w:val="21"/>
          <w:szCs w:val="21"/>
          <w:highlight w:val="none"/>
        </w:rPr>
        <w:t>履约保证金和代理服务费，则没收其全部履约保证金，履约保证金不足以赔偿损失的，按实际损失赔偿。</w:t>
      </w:r>
    </w:p>
    <w:p>
      <w:pPr>
        <w:shd w:val="clear"/>
        <w:snapToGrid w:val="0"/>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履约保证金在中标人按合同约定</w:t>
      </w:r>
      <w:r>
        <w:rPr>
          <w:rFonts w:hint="eastAsia" w:asciiTheme="minorEastAsia" w:hAnsiTheme="minorEastAsia" w:eastAsiaTheme="minorEastAsia" w:cstheme="minorEastAsia"/>
          <w:b w:val="0"/>
          <w:bCs/>
          <w:color w:val="auto"/>
          <w:sz w:val="21"/>
          <w:szCs w:val="21"/>
          <w:highlight w:val="none"/>
          <w:lang w:eastAsia="zh-CN"/>
        </w:rPr>
        <w:t>完成所有工作经采购人认可</w:t>
      </w:r>
      <w:r>
        <w:rPr>
          <w:rFonts w:hint="eastAsia" w:asciiTheme="minorEastAsia" w:hAnsiTheme="minorEastAsia" w:eastAsiaTheme="minorEastAsia" w:cstheme="minorEastAsia"/>
          <w:b w:val="0"/>
          <w:bCs/>
          <w:color w:val="auto"/>
          <w:sz w:val="21"/>
          <w:szCs w:val="21"/>
          <w:highlight w:val="none"/>
        </w:rPr>
        <w:t>后无息退还</w:t>
      </w:r>
      <w:r>
        <w:rPr>
          <w:rFonts w:hint="eastAsia" w:asciiTheme="minorEastAsia" w:hAnsiTheme="minorEastAsia" w:eastAsiaTheme="minorEastAsia" w:cstheme="minorEastAsia"/>
          <w:b w:val="0"/>
          <w:bCs/>
          <w:sz w:val="21"/>
          <w:szCs w:val="21"/>
          <w:highlight w:val="none"/>
        </w:rPr>
        <w:t>。</w:t>
      </w:r>
    </w:p>
    <w:p>
      <w:pPr>
        <w:pStyle w:val="37"/>
        <w:shd w:val="clear"/>
        <w:snapToGrid w:val="0"/>
        <w:spacing w:line="360" w:lineRule="auto"/>
        <w:ind w:firstLine="600" w:firstLineChars="250"/>
        <w:rPr>
          <w:rFonts w:hint="eastAsia" w:asciiTheme="minorEastAsia" w:hAnsiTheme="minorEastAsia" w:eastAsiaTheme="minorEastAsia" w:cstheme="minorEastAsia"/>
          <w:color w:val="auto"/>
          <w:sz w:val="24"/>
          <w:szCs w:val="24"/>
          <w:highlight w:val="none"/>
        </w:rPr>
      </w:pPr>
    </w:p>
    <w:bookmarkEnd w:id="14"/>
    <w:bookmarkEnd w:id="15"/>
    <w:bookmarkEnd w:id="16"/>
    <w:bookmarkEnd w:id="17"/>
    <w:p>
      <w:pPr>
        <w:shd w:val="clear"/>
        <w:rPr>
          <w:rFonts w:hint="eastAsia" w:asciiTheme="minorEastAsia" w:hAnsiTheme="minorEastAsia" w:eastAsiaTheme="minorEastAsia" w:cstheme="minorEastAsia"/>
          <w:color w:val="auto"/>
          <w:sz w:val="36"/>
          <w:szCs w:val="36"/>
          <w:highlight w:val="none"/>
        </w:rPr>
      </w:pPr>
      <w:bookmarkStart w:id="18" w:name="_Toc331502481"/>
      <w:r>
        <w:rPr>
          <w:rFonts w:hint="eastAsia" w:asciiTheme="minorEastAsia" w:hAnsiTheme="minorEastAsia" w:eastAsiaTheme="minorEastAsia" w:cstheme="minorEastAsia"/>
          <w:color w:val="auto"/>
          <w:sz w:val="36"/>
          <w:szCs w:val="36"/>
          <w:highlight w:val="none"/>
        </w:rPr>
        <w:br w:type="page"/>
      </w:r>
    </w:p>
    <w:p>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第四部分  投标文件有关格式和</w:t>
      </w:r>
      <w:bookmarkEnd w:id="18"/>
      <w:r>
        <w:rPr>
          <w:rFonts w:hint="eastAsia" w:asciiTheme="minorEastAsia" w:hAnsiTheme="minorEastAsia" w:eastAsiaTheme="minorEastAsia" w:cstheme="minorEastAsia"/>
          <w:color w:val="auto"/>
          <w:sz w:val="36"/>
          <w:szCs w:val="36"/>
          <w:highlight w:val="none"/>
        </w:rPr>
        <w:t>样式</w:t>
      </w:r>
    </w:p>
    <w:p>
      <w:pPr>
        <w:shd w:val="clear"/>
        <w:jc w:val="center"/>
        <w:rPr>
          <w:rFonts w:hint="eastAsia" w:asciiTheme="minorEastAsia" w:hAnsiTheme="minorEastAsia" w:eastAsiaTheme="minorEastAsia" w:cstheme="minorEastAsia"/>
          <w:color w:val="auto"/>
          <w:sz w:val="24"/>
          <w:highlight w:val="none"/>
        </w:rPr>
      </w:pPr>
      <w:bookmarkStart w:id="19" w:name="_关_于_资"/>
      <w:bookmarkEnd w:id="19"/>
      <w:bookmarkStart w:id="20" w:name="_Toc331502482"/>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highlight w:val="none"/>
        </w:rPr>
      </w:pPr>
    </w:p>
    <w:p>
      <w:pPr>
        <w:pStyle w:val="96"/>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bookmarkEnd w:id="20"/>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投标函</w:t>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eastAsia="zh-CN"/>
        </w:rPr>
        <w:t>台州市路桥区飞龙湖生态区建设发展中心</w:t>
      </w:r>
      <w:r>
        <w:rPr>
          <w:rFonts w:hint="eastAsia" w:asciiTheme="minorEastAsia" w:hAnsiTheme="minorEastAsia" w:eastAsiaTheme="minorEastAsia" w:cstheme="minorEastAsia"/>
          <w:sz w:val="21"/>
          <w:szCs w:val="21"/>
          <w:highlight w:val="none"/>
        </w:rPr>
        <w:t>：</w:t>
      </w:r>
    </w:p>
    <w:p>
      <w:pPr>
        <w:shd w:val="clear"/>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根据贵方为</w:t>
      </w:r>
      <w:r>
        <w:rPr>
          <w:rFonts w:hint="eastAsia" w:asciiTheme="minorEastAsia" w:hAnsiTheme="minorEastAsia" w:eastAsiaTheme="minorEastAsia" w:cstheme="minorEastAsia"/>
          <w:sz w:val="21"/>
          <w:szCs w:val="21"/>
          <w:highlight w:val="none"/>
          <w:u w:val="single"/>
          <w:lang w:eastAsia="zh-CN"/>
        </w:rPr>
        <w:t>飞龙湖生态区总设计师选聘</w:t>
      </w:r>
      <w:r>
        <w:rPr>
          <w:rFonts w:hint="eastAsia" w:asciiTheme="minorEastAsia" w:hAnsiTheme="minorEastAsia" w:eastAsiaTheme="minorEastAsia" w:cstheme="minorEastAsia"/>
          <w:sz w:val="21"/>
          <w:szCs w:val="21"/>
          <w:highlight w:val="none"/>
          <w:lang w:val="zh-CN"/>
        </w:rPr>
        <w:t>的招标文件（项目编号：</w:t>
      </w:r>
      <w:r>
        <w:rPr>
          <w:rFonts w:hint="eastAsia" w:asciiTheme="minorEastAsia" w:hAnsiTheme="minorEastAsia" w:eastAsiaTheme="minorEastAsia" w:cstheme="minorEastAsia"/>
          <w:sz w:val="21"/>
          <w:szCs w:val="21"/>
          <w:highlight w:val="none"/>
          <w:u w:val="single"/>
          <w:lang w:eastAsia="zh-CN"/>
        </w:rPr>
        <w:t>JJLQ2023-017</w:t>
      </w:r>
      <w:r>
        <w:rPr>
          <w:rFonts w:hint="eastAsia" w:asciiTheme="minorEastAsia" w:hAnsiTheme="minorEastAsia" w:eastAsiaTheme="minorEastAsia" w:cstheme="minorEastAsia"/>
          <w:sz w:val="21"/>
          <w:szCs w:val="21"/>
          <w:highlight w:val="none"/>
          <w:lang w:val="zh-CN"/>
        </w:rPr>
        <w:t>），签字代表</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（全名）经正式授权并代表投标人</w:t>
      </w:r>
      <w:r>
        <w:rPr>
          <w:rFonts w:hint="eastAsia" w:asciiTheme="minorEastAsia" w:hAnsiTheme="minorEastAsia" w:eastAsiaTheme="minorEastAsia" w:cstheme="minorEastAsia"/>
          <w:sz w:val="21"/>
          <w:szCs w:val="21"/>
          <w:highlight w:val="none"/>
          <w:u w:val="single"/>
          <w:lang w:val="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（投标人名称）处理有关本投标的一切事宜。</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在此提交的投标文件中，包括如下内容，并已分别单独密封装袋：</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要求编制的资格证明文件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商务与技术文件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我方己完全明白招标文件的所有条款要求，并重申以下几点：</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（一）本投标文件的有效期自投标截止日起</w:t>
      </w:r>
      <w:r>
        <w:rPr>
          <w:rFonts w:hint="eastAsia" w:asciiTheme="minorEastAsia" w:hAnsiTheme="minorEastAsia" w:eastAsiaTheme="minorEastAsia" w:cstheme="minorEastAsia"/>
          <w:b/>
          <w:sz w:val="21"/>
          <w:szCs w:val="21"/>
          <w:highlight w:val="none"/>
        </w:rPr>
        <w:t>90天内</w:t>
      </w:r>
      <w:r>
        <w:rPr>
          <w:rFonts w:hint="eastAsia" w:asciiTheme="minorEastAsia" w:hAnsiTheme="minorEastAsia" w:eastAsiaTheme="minorEastAsia" w:cstheme="minorEastAsia"/>
          <w:sz w:val="21"/>
          <w:szCs w:val="21"/>
          <w:highlight w:val="none"/>
        </w:rPr>
        <w:t>有效，如中标，有效期将延至合同终止日为止；</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（二）我方已详细研究了招标文件的所有内容包括修改书（如有）和所有已提供的参考资料以及有关附件，我方完全理解并同意放弃在此方面提出含糊意见或误解的一切权力；</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（三）我方明白并愿意在规定的开标时间之后，</w:t>
      </w:r>
      <w:r>
        <w:rPr>
          <w:rFonts w:hint="eastAsia" w:asciiTheme="minorEastAsia" w:hAnsiTheme="minorEastAsia" w:eastAsiaTheme="minorEastAsia" w:cstheme="minorEastAsia"/>
          <w:sz w:val="21"/>
          <w:szCs w:val="21"/>
          <w:highlight w:val="none"/>
          <w:lang w:val="en-US" w:eastAsia="zh-CN"/>
        </w:rPr>
        <w:t>不撤回投标文件</w:t>
      </w:r>
      <w:r>
        <w:rPr>
          <w:rFonts w:hint="eastAsia" w:asciiTheme="minorEastAsia" w:hAnsiTheme="minorEastAsia" w:eastAsiaTheme="minorEastAsia" w:cstheme="minorEastAsia"/>
          <w:sz w:val="21"/>
          <w:szCs w:val="21"/>
          <w:highlight w:val="none"/>
        </w:rPr>
        <w:t>；</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（四）我方同意提供按照贵方可能要求的与投标有关的一切数据或资料；</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（五）我方理解贵方不一定接受最低报价。</w:t>
      </w:r>
    </w:p>
    <w:p>
      <w:pPr>
        <w:shd w:val="clear"/>
        <w:spacing w:line="460" w:lineRule="exact"/>
        <w:ind w:firstLine="514" w:firstLineChars="245"/>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（六）我方如果中标，将保证履行招标文件以及招标文件修改书（如有）中的全部责任和义务，按质、按量、按期完成《合同书》中的全部任务。</w:t>
      </w:r>
    </w:p>
    <w:p>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p>
    <w:p>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p>
    <w:p>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法定代表人或其授权委托代理人（签字</w:t>
      </w:r>
      <w:r>
        <w:rPr>
          <w:rFonts w:hint="eastAsia" w:asciiTheme="minorEastAsia" w:hAnsiTheme="minorEastAsia" w:eastAsiaTheme="minorEastAsia" w:cstheme="minorEastAsia"/>
          <w:sz w:val="21"/>
          <w:szCs w:val="21"/>
          <w:highlight w:val="none"/>
          <w:lang w:val="en-US" w:eastAsia="zh-CN"/>
        </w:rPr>
        <w:t>或盖章</w:t>
      </w:r>
      <w:r>
        <w:rPr>
          <w:rFonts w:hint="eastAsia" w:asciiTheme="minorEastAsia" w:hAnsiTheme="minorEastAsia" w:eastAsiaTheme="minorEastAsia" w:cstheme="minorEastAsia"/>
          <w:sz w:val="21"/>
          <w:szCs w:val="21"/>
          <w:highlight w:val="none"/>
          <w:lang w:val="zh-CN"/>
        </w:rPr>
        <w:t xml:space="preserve">）:___________                     </w:t>
      </w:r>
    </w:p>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val="zh-CN"/>
        </w:rPr>
        <w:t>日期: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日</w:t>
      </w: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p>
    <w:p>
      <w:pPr>
        <w:shd w:val="clear"/>
        <w:jc w:val="center"/>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rPr>
        <w:t>投标报价一览表</w:t>
      </w:r>
    </w:p>
    <w:p>
      <w:pPr>
        <w:shd w:val="clear"/>
        <w:adjustRightInd w:val="0"/>
        <w:snapToGrid w:val="0"/>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项目名称：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shd w:val="clear"/>
        <w:ind w:right="349" w:rightChars="166"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项目编号：</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tbl>
      <w:tblPr>
        <w:tblStyle w:val="77"/>
        <w:tblW w:w="9662"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037"/>
        <w:gridCol w:w="2188"/>
        <w:gridCol w:w="2687"/>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975" w:type="dxa"/>
            <w:noWrap w:val="0"/>
            <w:vAlign w:val="center"/>
          </w:tcPr>
          <w:p>
            <w:pPr>
              <w:pStyle w:val="27"/>
              <w:shd w:val="clear"/>
              <w:jc w:val="cente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项目名称</w:t>
            </w:r>
          </w:p>
        </w:tc>
        <w:tc>
          <w:tcPr>
            <w:tcW w:w="2037" w:type="dxa"/>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最高投标限价</w:t>
            </w:r>
          </w:p>
        </w:tc>
        <w:tc>
          <w:tcPr>
            <w:tcW w:w="2188" w:type="dxa"/>
            <w:noWrap w:val="0"/>
            <w:vAlign w:val="center"/>
          </w:tcPr>
          <w:p>
            <w:pPr>
              <w:pStyle w:val="27"/>
              <w:shd w:val="clear"/>
              <w:jc w:val="cente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投标报价</w:t>
            </w:r>
          </w:p>
          <w:p>
            <w:pPr>
              <w:pStyle w:val="27"/>
              <w:shd w:val="clear"/>
              <w:jc w:val="cente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（①）</w:t>
            </w:r>
          </w:p>
        </w:tc>
        <w:tc>
          <w:tcPr>
            <w:tcW w:w="2687" w:type="dxa"/>
            <w:noWrap w:val="0"/>
            <w:vAlign w:val="center"/>
          </w:tcPr>
          <w:p>
            <w:pPr>
              <w:pStyle w:val="27"/>
              <w:shd w:val="clear"/>
              <w:jc w:val="cente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投标总报价</w:t>
            </w:r>
          </w:p>
          <w:p>
            <w:pPr>
              <w:pStyle w:val="27"/>
              <w:shd w:val="clear"/>
              <w:jc w:val="cente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w:t>
            </w:r>
            <w:r>
              <w:rPr>
                <w:rFonts w:hint="default" w:asciiTheme="minorEastAsia" w:hAnsiTheme="minorEastAsia" w:eastAsiaTheme="minorEastAsia" w:cstheme="minorEastAsia"/>
                <w:b/>
                <w:bCs/>
                <w:color w:val="auto"/>
                <w:kern w:val="2"/>
                <w:sz w:val="21"/>
                <w:szCs w:val="21"/>
                <w:highlight w:val="none"/>
                <w:shd w:val="clear" w:color="auto" w:fill="auto"/>
                <w:lang w:val="en-US" w:eastAsia="zh-CN" w:bidi="ar-SA"/>
              </w:rPr>
              <w:t>①</w:t>
            </w: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*3）</w:t>
            </w:r>
          </w:p>
        </w:tc>
        <w:tc>
          <w:tcPr>
            <w:tcW w:w="775" w:type="dxa"/>
            <w:noWrap w:val="0"/>
            <w:vAlign w:val="center"/>
          </w:tcPr>
          <w:p>
            <w:pPr>
              <w:pStyle w:val="27"/>
              <w:shd w:val="clear"/>
              <w:jc w:val="cente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975" w:type="dxa"/>
            <w:noWrap w:val="0"/>
            <w:vAlign w:val="center"/>
          </w:tcPr>
          <w:p>
            <w:pPr>
              <w:pStyle w:val="27"/>
              <w:shd w:val="clea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飞龙湖生态区总设计师选聘</w:t>
            </w:r>
          </w:p>
        </w:tc>
        <w:tc>
          <w:tcPr>
            <w:tcW w:w="2037" w:type="dxa"/>
            <w:noWrap w:val="0"/>
            <w:vAlign w:val="center"/>
          </w:tcPr>
          <w:p>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675万元/3年</w:t>
            </w:r>
          </w:p>
          <w:p>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lang w:val="en-US" w:eastAsia="zh-CN"/>
              </w:rPr>
              <w:t>225万元/年）</w:t>
            </w:r>
          </w:p>
        </w:tc>
        <w:tc>
          <w:tcPr>
            <w:tcW w:w="2188" w:type="dxa"/>
            <w:noWrap w:val="0"/>
            <w:vAlign w:val="center"/>
          </w:tcPr>
          <w:p>
            <w:pPr>
              <w:pStyle w:val="27"/>
              <w:shd w:val="clear"/>
              <w:jc w:val="both"/>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小写：</w:t>
            </w:r>
            <w:r>
              <w:rPr>
                <w:rFonts w:hint="eastAsia" w:asciiTheme="minorEastAsia" w:hAnsiTheme="minorEastAsia" w:eastAsiaTheme="minorEastAsia" w:cstheme="minorEastAsia"/>
                <w:sz w:val="21"/>
                <w:szCs w:val="21"/>
                <w:highlight w:val="none"/>
                <w:u w:val="single"/>
                <w:vertAlign w:val="baseline"/>
                <w:lang w:val="en-US" w:eastAsia="zh-CN"/>
              </w:rPr>
              <w:t xml:space="preserve">      </w:t>
            </w:r>
            <w:r>
              <w:rPr>
                <w:rFonts w:hint="eastAsia" w:asciiTheme="minorEastAsia" w:hAnsiTheme="minorEastAsia" w:eastAsiaTheme="minorEastAsia" w:cstheme="minorEastAsia"/>
                <w:sz w:val="21"/>
                <w:szCs w:val="21"/>
                <w:highlight w:val="none"/>
                <w:vertAlign w:val="baseline"/>
                <w:lang w:val="en-US" w:eastAsia="zh-CN"/>
              </w:rPr>
              <w:t xml:space="preserve"> </w:t>
            </w: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元/年</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pPr>
              <w:pStyle w:val="27"/>
              <w:shd w:val="clear"/>
              <w:spacing w:line="240" w:lineRule="auto"/>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大写：</w:t>
            </w:r>
          </w:p>
        </w:tc>
        <w:tc>
          <w:tcPr>
            <w:tcW w:w="2687" w:type="dxa"/>
            <w:noWrap w:val="0"/>
            <w:vAlign w:val="center"/>
          </w:tcPr>
          <w:p>
            <w:pPr>
              <w:pStyle w:val="27"/>
              <w:shd w:val="clear"/>
              <w:jc w:val="both"/>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小写：</w:t>
            </w:r>
            <w:r>
              <w:rPr>
                <w:rFonts w:hint="eastAsia" w:asciiTheme="minorEastAsia" w:hAnsiTheme="minorEastAsia" w:eastAsiaTheme="minorEastAsia" w:cstheme="minorEastAsia"/>
                <w:sz w:val="21"/>
                <w:szCs w:val="21"/>
                <w:highlight w:val="none"/>
                <w:u w:val="single"/>
                <w:vertAlign w:val="baseline"/>
                <w:lang w:val="en-US" w:eastAsia="zh-CN"/>
              </w:rPr>
              <w:t xml:space="preserve">         </w:t>
            </w:r>
            <w:r>
              <w:rPr>
                <w:rFonts w:hint="eastAsia" w:asciiTheme="minorEastAsia" w:hAnsiTheme="minorEastAsia" w:eastAsiaTheme="minorEastAsia" w:cstheme="minorEastAsia"/>
                <w:b/>
                <w:bCs/>
                <w:color w:val="auto"/>
                <w:kern w:val="2"/>
                <w:sz w:val="21"/>
                <w:szCs w:val="21"/>
                <w:highlight w:val="none"/>
                <w:shd w:val="clear" w:color="auto" w:fill="auto"/>
                <w:lang w:val="en-US" w:eastAsia="zh-CN" w:bidi="ar-SA"/>
              </w:rPr>
              <w:t>元/3年</w:t>
            </w:r>
          </w:p>
          <w:p>
            <w:pPr>
              <w:pStyle w:val="27"/>
              <w:shd w:val="clear"/>
              <w:jc w:val="both"/>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大写：</w:t>
            </w:r>
            <w:r>
              <w:rPr>
                <w:rFonts w:hint="eastAsia" w:asciiTheme="minorEastAsia" w:hAnsiTheme="minorEastAsia" w:eastAsiaTheme="minorEastAsia" w:cstheme="minorEastAsia"/>
                <w:sz w:val="21"/>
                <w:szCs w:val="21"/>
                <w:highlight w:val="none"/>
                <w:u w:val="single"/>
                <w:vertAlign w:val="baseline"/>
                <w:lang w:val="en-US" w:eastAsia="zh-CN"/>
              </w:rPr>
              <w:t xml:space="preserve">        </w:t>
            </w:r>
            <w:r>
              <w:rPr>
                <w:rFonts w:hint="eastAsia" w:asciiTheme="minorEastAsia" w:hAnsiTheme="minorEastAsia" w:eastAsiaTheme="minorEastAsia" w:cstheme="minorEastAsia"/>
                <w:sz w:val="21"/>
                <w:szCs w:val="21"/>
                <w:highlight w:val="none"/>
                <w:vertAlign w:val="baseline"/>
                <w:lang w:val="en-US" w:eastAsia="zh-CN"/>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 xml:space="preserve">        </w:t>
            </w:r>
          </w:p>
          <w:p>
            <w:pPr>
              <w:pStyle w:val="27"/>
              <w:shd w:val="clear"/>
              <w:spacing w:line="240" w:lineRule="auto"/>
              <w:jc w:val="left"/>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sz w:val="21"/>
                <w:szCs w:val="21"/>
                <w:highlight w:val="none"/>
                <w:u w:val="none"/>
                <w:vertAlign w:val="baseline"/>
                <w:lang w:val="en-US" w:eastAsia="zh-CN"/>
              </w:rPr>
              <w:t xml:space="preserve"> </w:t>
            </w:r>
          </w:p>
        </w:tc>
        <w:tc>
          <w:tcPr>
            <w:tcW w:w="775" w:type="dxa"/>
            <w:noWrap w:val="0"/>
            <w:vAlign w:val="center"/>
          </w:tcPr>
          <w:p>
            <w:pPr>
              <w:pStyle w:val="27"/>
              <w:shd w:val="clea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 xml:space="preserve"> </w:t>
            </w:r>
          </w:p>
        </w:tc>
      </w:tr>
    </w:tbl>
    <w:p>
      <w:pPr>
        <w:pStyle w:val="27"/>
        <w:shd w:val="clear"/>
        <w:rPr>
          <w:rFonts w:hint="eastAsia" w:asciiTheme="minorEastAsia" w:hAnsiTheme="minorEastAsia" w:eastAsiaTheme="minorEastAsia" w:cstheme="minorEastAsia"/>
          <w:sz w:val="21"/>
          <w:szCs w:val="21"/>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ind w:left="468" w:leftChars="220" w:hanging="6" w:hangingChars="3"/>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说明：</w:t>
      </w:r>
    </w:p>
    <w:p>
      <w:pPr>
        <w:keepNext w:val="0"/>
        <w:keepLines w:val="0"/>
        <w:widowControl/>
        <w:suppressLineNumbers w:val="0"/>
        <w:shd w:val="clear"/>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1.投标报价填写建议保留整数，投标报价一次性包干，结算时不再另行调整</w:t>
      </w:r>
      <w:r>
        <w:rPr>
          <w:rFonts w:hint="eastAsia" w:asciiTheme="minorEastAsia" w:hAnsiTheme="minorEastAsia" w:eastAsiaTheme="minorEastAsia" w:cstheme="minorEastAsia"/>
          <w:color w:val="000000"/>
          <w:kern w:val="0"/>
          <w:sz w:val="21"/>
          <w:szCs w:val="21"/>
          <w:highlight w:val="none"/>
          <w:lang w:val="zh-CN" w:eastAsia="zh-CN" w:bidi="ar"/>
        </w:rPr>
        <w:t>。</w:t>
      </w:r>
    </w:p>
    <w:p>
      <w:pPr>
        <w:keepNext w:val="0"/>
        <w:keepLines w:val="0"/>
        <w:widowControl/>
        <w:suppressLineNumbers w:val="0"/>
        <w:shd w:val="clear"/>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2.报价一经涂改，应在涂改处加盖单位公章，或者由法定代表人或授权委托代理人签字或盖章，否则其投标作无效标处理。</w:t>
      </w:r>
    </w:p>
    <w:p>
      <w:pPr>
        <w:shd w:val="clear"/>
        <w:spacing w:line="240" w:lineRule="auto"/>
        <w:jc w:val="left"/>
        <w:rPr>
          <w:rFonts w:hint="eastAsia" w:asciiTheme="minorEastAsia" w:hAnsiTheme="minorEastAsia" w:eastAsiaTheme="minorEastAsia" w:cstheme="minorEastAsia"/>
          <w:sz w:val="21"/>
          <w:szCs w:val="21"/>
          <w:highlight w:val="none"/>
        </w:rPr>
      </w:pPr>
    </w:p>
    <w:p>
      <w:pPr>
        <w:pStyle w:val="27"/>
        <w:shd w:val="clear"/>
        <w:rPr>
          <w:rFonts w:hint="eastAsia" w:asciiTheme="minorEastAsia" w:hAnsiTheme="minorEastAsia" w:eastAsiaTheme="minorEastAsia" w:cstheme="minorEastAsia"/>
          <w:highlight w:val="none"/>
        </w:rPr>
      </w:pPr>
    </w:p>
    <w:p>
      <w:pPr>
        <w:shd w:val="clear"/>
        <w:spacing w:line="240" w:lineRule="auto"/>
        <w:jc w:val="left"/>
        <w:rPr>
          <w:rFonts w:hint="eastAsia" w:asciiTheme="minorEastAsia" w:hAnsiTheme="minorEastAsia" w:eastAsiaTheme="minorEastAsia" w:cstheme="minorEastAsia"/>
          <w:sz w:val="21"/>
          <w:szCs w:val="21"/>
          <w:highlight w:val="none"/>
        </w:rPr>
      </w:pPr>
    </w:p>
    <w:p>
      <w:pPr>
        <w:shd w:val="clea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投标人全称（</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w:t>
      </w:r>
    </w:p>
    <w:p>
      <w:pPr>
        <w:shd w:val="clear"/>
        <w:spacing w:line="240" w:lineRule="auto"/>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法定代表人或其授权代理人（签字或盖章）：                                              </w:t>
      </w:r>
    </w:p>
    <w:p>
      <w:pPr>
        <w:shd w:val="clear"/>
        <w:ind w:firstLine="420" w:firstLineChars="200"/>
        <w:jc w:val="right"/>
        <w:rPr>
          <w:rFonts w:hint="eastAsia" w:asciiTheme="minorEastAsia" w:hAnsiTheme="minorEastAsia" w:eastAsiaTheme="minorEastAsia" w:cstheme="minorEastAsia"/>
          <w:sz w:val="21"/>
          <w:szCs w:val="21"/>
          <w:highlight w:val="none"/>
        </w:rPr>
      </w:pPr>
    </w:p>
    <w:p>
      <w:pPr>
        <w:shd w:val="clear"/>
        <w:ind w:firstLine="420" w:firstLineChars="200"/>
        <w:jc w:val="right"/>
        <w:rPr>
          <w:rFonts w:hint="eastAsia" w:asciiTheme="minorEastAsia" w:hAnsiTheme="minorEastAsia" w:eastAsiaTheme="minorEastAsia" w:cstheme="minorEastAsia"/>
          <w:sz w:val="21"/>
          <w:szCs w:val="21"/>
          <w:highlight w:val="none"/>
        </w:rPr>
      </w:pPr>
    </w:p>
    <w:p>
      <w:pPr>
        <w:shd w:val="clear"/>
        <w:ind w:firstLine="420" w:firstLineChars="200"/>
        <w:jc w:val="right"/>
        <w:rPr>
          <w:rFonts w:hint="eastAsia" w:asciiTheme="minorEastAsia" w:hAnsiTheme="minorEastAsia" w:eastAsiaTheme="minorEastAsia" w:cstheme="minorEastAsia"/>
          <w:sz w:val="21"/>
          <w:szCs w:val="21"/>
          <w:highlight w:val="none"/>
        </w:rPr>
        <w:sectPr>
          <w:headerReference r:id="rId10" w:type="default"/>
          <w:footerReference r:id="rId11"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sz w:val="21"/>
          <w:szCs w:val="21"/>
          <w:highlight w:val="none"/>
        </w:rPr>
        <w:t>日期：       年   月   日</w:t>
      </w:r>
    </w:p>
    <w:p>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  </w:t>
      </w: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p>
    <w:p>
      <w:pPr>
        <w:shd w:val="clea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诚信承诺书</w:t>
      </w:r>
    </w:p>
    <w:p>
      <w:pPr>
        <w:shd w:val="clear"/>
        <w:jc w:val="cente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eastAsia="zh-CN"/>
        </w:rPr>
        <w:t>台州市路桥区飞龙湖生态区建设发展中心</w:t>
      </w:r>
      <w:r>
        <w:rPr>
          <w:rFonts w:hint="eastAsia" w:asciiTheme="minorEastAsia" w:hAnsiTheme="minorEastAsia" w:eastAsiaTheme="minorEastAsia" w:cstheme="minorEastAsia"/>
          <w:sz w:val="21"/>
          <w:szCs w:val="21"/>
          <w:highlight w:val="none"/>
        </w:rPr>
        <w:t>：</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我方在参加贵单位的</w:t>
      </w:r>
      <w:r>
        <w:rPr>
          <w:rFonts w:hint="eastAsia" w:asciiTheme="minorEastAsia" w:hAnsiTheme="minorEastAsia" w:eastAsiaTheme="minorEastAsia" w:cstheme="minorEastAsia"/>
          <w:sz w:val="21"/>
          <w:szCs w:val="21"/>
          <w:highlight w:val="none"/>
          <w:u w:val="single"/>
          <w:lang w:eastAsia="zh-CN"/>
        </w:rPr>
        <w:t>飞龙湖生态区总设计师选聘</w:t>
      </w:r>
      <w:r>
        <w:rPr>
          <w:rFonts w:hint="eastAsia" w:asciiTheme="minorEastAsia" w:hAnsiTheme="minorEastAsia" w:eastAsiaTheme="minorEastAsia" w:cstheme="minorEastAsia"/>
          <w:sz w:val="21"/>
          <w:szCs w:val="21"/>
          <w:highlight w:val="none"/>
        </w:rPr>
        <w:t>项目的招投标活动中，郑重承诺如下：</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1、我方申报的所有资料都是真实、准确、完整的；</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2、我方无挂靠情形，保证不参与串标、围标及抬标；</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3、我方未处于被各级行政主管部门做出停止市场行为处罚的期限内；</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4、若我方中标，将严格按照规定及时与采购人签订合同；</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5、若我方中标，将严格按照招标文件要求及投标文件承诺的报价、质量、</w:t>
      </w:r>
      <w:r>
        <w:rPr>
          <w:rFonts w:hint="eastAsia" w:asciiTheme="minorEastAsia" w:hAnsiTheme="minorEastAsia" w:eastAsiaTheme="minorEastAsia" w:cstheme="minorEastAsia"/>
          <w:sz w:val="21"/>
          <w:szCs w:val="21"/>
          <w:highlight w:val="none"/>
          <w:lang w:val="en-US" w:eastAsia="zh-CN"/>
        </w:rPr>
        <w:t>服务期限</w:t>
      </w:r>
      <w:r>
        <w:rPr>
          <w:rFonts w:hint="eastAsia" w:asciiTheme="minorEastAsia" w:hAnsiTheme="minorEastAsia" w:eastAsiaTheme="minorEastAsia" w:cstheme="minorEastAsia"/>
          <w:sz w:val="21"/>
          <w:szCs w:val="21"/>
          <w:highlight w:val="none"/>
        </w:rPr>
        <w:t>、投标方案、总设计师等内容组织实施；</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特此承诺。</w:t>
      </w: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 xml:space="preserve">）：        </w:t>
      </w: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法定代表人或其授权委托代理人</w:t>
      </w:r>
      <w:r>
        <w:rPr>
          <w:rFonts w:hint="eastAsia" w:asciiTheme="minorEastAsia" w:hAnsiTheme="minorEastAsia" w:eastAsiaTheme="minorEastAsia" w:cstheme="minorEastAsia"/>
          <w:sz w:val="21"/>
          <w:szCs w:val="21"/>
          <w:highlight w:val="none"/>
        </w:rPr>
        <w:t xml:space="preserve">（签字或盖章）：     </w:t>
      </w: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3570" w:firstLineChars="170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        年    月    日</w:t>
      </w:r>
    </w:p>
    <w:p>
      <w:pPr>
        <w:shd w:val="clear"/>
        <w:ind w:firstLine="4440" w:firstLineChars="1850"/>
        <w:rPr>
          <w:rFonts w:hint="eastAsia" w:asciiTheme="minorEastAsia" w:hAnsiTheme="minorEastAsia" w:eastAsiaTheme="minorEastAsia" w:cstheme="minorEastAsia"/>
          <w:sz w:val="24"/>
          <w:highlight w:val="none"/>
        </w:rPr>
      </w:pPr>
    </w:p>
    <w:p>
      <w:pPr>
        <w:shd w:val="clear"/>
        <w:jc w:val="center"/>
        <w:rPr>
          <w:rFonts w:hint="eastAsia" w:asciiTheme="minorEastAsia" w:hAnsiTheme="minorEastAsia" w:eastAsiaTheme="minorEastAsia" w:cstheme="minorEastAsia"/>
          <w:sz w:val="24"/>
          <w:highlight w:val="none"/>
        </w:rPr>
      </w:pPr>
    </w:p>
    <w:p>
      <w:pPr>
        <w:shd w:val="clear"/>
        <w:jc w:val="center"/>
        <w:rPr>
          <w:rFonts w:hint="eastAsia" w:asciiTheme="minorEastAsia" w:hAnsiTheme="minorEastAsia" w:eastAsiaTheme="minorEastAsia" w:cstheme="minorEastAsia"/>
          <w:sz w:val="24"/>
          <w:highlight w:val="none"/>
        </w:rPr>
      </w:pPr>
    </w:p>
    <w:p>
      <w:pPr>
        <w:shd w:val="clear"/>
        <w:jc w:val="center"/>
        <w:rPr>
          <w:rFonts w:hint="eastAsia" w:asciiTheme="minorEastAsia" w:hAnsiTheme="minorEastAsia" w:eastAsiaTheme="minorEastAsia" w:cstheme="minorEastAsia"/>
          <w:sz w:val="24"/>
          <w:highlight w:val="none"/>
        </w:rPr>
      </w:pPr>
    </w:p>
    <w:p>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w:t>
      </w:r>
    </w:p>
    <w:p>
      <w:pPr>
        <w:shd w:val="clear"/>
        <w:snapToGrid w:val="0"/>
        <w:spacing w:before="156" w:beforeLines="50" w:after="50"/>
        <w:jc w:val="center"/>
        <w:rPr>
          <w:rFonts w:hint="eastAsia"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30"/>
          <w:highlight w:val="none"/>
        </w:rPr>
        <w:t>投标声明书</w:t>
      </w:r>
    </w:p>
    <w:p>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（招标采购单位名称）：</w:t>
      </w:r>
    </w:p>
    <w:p>
      <w:pPr>
        <w:shd w:val="clear"/>
        <w:snapToGrid w:val="0"/>
        <w:spacing w:before="156" w:beforeLines="50" w:after="50"/>
        <w:ind w:firstLine="630" w:firstLineChars="3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（投标人名称）系中华人民共和国合法企业，经营地址</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shd w:val="clear"/>
        <w:snapToGrid w:val="0"/>
        <w:spacing w:before="156" w:beforeLines="50" w:after="50"/>
        <w:ind w:firstLine="6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（姓名）系</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（投标人名称）的法定代表人，我方愿意参加贵方组织的</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项目的投标，为便于贵方公正、择优地确定中标人及其投标产品和服务，我方就本次投标有关事项郑重声明如下：</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不是采购人的附属机构；在获知本项目采购信息后，与采购人聘请的为此项目提供咨询服务的公司及其附属机构没有任何联系。</w:t>
      </w:r>
    </w:p>
    <w:p>
      <w:pPr>
        <w:shd w:val="clear"/>
        <w:spacing w:line="360" w:lineRule="auto"/>
        <w:ind w:firstLine="420" w:firstLineChars="200"/>
        <w:rPr>
          <w:rFonts w:hint="eastAsia" w:asciiTheme="minorEastAsia" w:hAnsiTheme="minorEastAsia" w:eastAsiaTheme="minorEastAsia" w:cstheme="minorEastAsia"/>
          <w:sz w:val="21"/>
          <w:szCs w:val="21"/>
          <w:highlight w:val="none"/>
          <w:lang w:val="af-ZA"/>
        </w:rPr>
      </w:pPr>
      <w:r>
        <w:rPr>
          <w:rFonts w:hint="eastAsia" w:asciiTheme="minorEastAsia" w:hAnsiTheme="minorEastAsia" w:eastAsiaTheme="minorEastAsia" w:cstheme="minorEastAsia"/>
          <w:sz w:val="21"/>
          <w:szCs w:val="21"/>
          <w:highlight w:val="none"/>
        </w:rPr>
        <w:t>4、我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保证，</w:t>
      </w:r>
      <w:r>
        <w:rPr>
          <w:rFonts w:hint="eastAsia" w:asciiTheme="minorEastAsia" w:hAnsiTheme="minorEastAsia" w:eastAsiaTheme="minorEastAsia" w:cstheme="minorEastAsia"/>
          <w:sz w:val="21"/>
          <w:szCs w:val="21"/>
          <w:highlight w:val="none"/>
          <w:lang w:val="af-ZA"/>
        </w:rPr>
        <w:t>采购人在中华人民共和国境内使用</w:t>
      </w: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af-ZA"/>
        </w:rPr>
        <w:t>5、我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lang w:val="af-ZA"/>
        </w:rPr>
        <w:t>严格履行政府采购合同，不降低合同约定的产品质量和服务，不擅自变更、中止、终止合同，或拒绝履行合同义务；</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6、以上事项如有虚假或隐瞒，我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愿意承担一切后果，并不再寻求任何旨在减轻或免除法律责任的辩解。</w:t>
      </w:r>
    </w:p>
    <w:p>
      <w:pPr>
        <w:shd w:val="clear"/>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本单位若违反以上承诺，将无条件接受项目主管部门和有关监督管理部门的调查，并愿意承担取消中标资格、没收履约保证金及限制在本地区参与投标等一切法律责任。</w:t>
      </w:r>
      <w:r>
        <w:rPr>
          <w:rFonts w:hint="eastAsia" w:asciiTheme="minorEastAsia" w:hAnsiTheme="minorEastAsia" w:eastAsiaTheme="minorEastAsia" w:cstheme="minorEastAsia"/>
          <w:sz w:val="21"/>
          <w:szCs w:val="21"/>
          <w:highlight w:val="none"/>
          <w:u w:val="single"/>
        </w:rPr>
        <w:t xml:space="preserve">          </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法定代表人</w:t>
      </w:r>
      <w:r>
        <w:rPr>
          <w:rFonts w:hint="eastAsia" w:asciiTheme="minorEastAsia" w:hAnsiTheme="minorEastAsia" w:eastAsiaTheme="minorEastAsia" w:cstheme="minorEastAsia"/>
          <w:sz w:val="21"/>
          <w:szCs w:val="21"/>
          <w:highlight w:val="none"/>
        </w:rPr>
        <w:t xml:space="preserve">（签字或盖章）： </w:t>
      </w:r>
    </w:p>
    <w:p>
      <w:pPr>
        <w:shd w:val="clear"/>
        <w:ind w:firstLine="420" w:firstLineChars="20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    月    日</w:t>
      </w:r>
    </w:p>
    <w:p>
      <w:pPr>
        <w:shd w:val="clear"/>
        <w:ind w:firstLine="480" w:firstLineChars="200"/>
        <w:rPr>
          <w:rFonts w:hint="eastAsia" w:asciiTheme="minorEastAsia" w:hAnsiTheme="minorEastAsia" w:eastAsiaTheme="minorEastAsia" w:cstheme="minorEastAsia"/>
          <w:sz w:val="24"/>
          <w:highlight w:val="none"/>
        </w:rPr>
      </w:pPr>
    </w:p>
    <w:p>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w:t>
      </w:r>
    </w:p>
    <w:p>
      <w:pPr>
        <w:shd w:val="clear"/>
        <w:snapToGrid w:val="0"/>
        <w:spacing w:before="156" w:beforeLines="50" w:after="50"/>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法定代表人授权委托书</w:t>
      </w:r>
    </w:p>
    <w:p>
      <w:pPr>
        <w:shd w:val="clear"/>
        <w:snapToGrid w:val="0"/>
        <w:spacing w:before="156" w:beforeLines="50" w:after="5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Cs/>
          <w:sz w:val="21"/>
          <w:szCs w:val="21"/>
          <w:highlight w:val="none"/>
        </w:rPr>
        <w:t>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（招标采购单位名称）</w:t>
      </w:r>
      <w:r>
        <w:rPr>
          <w:rFonts w:hint="eastAsia" w:asciiTheme="minorEastAsia" w:hAnsiTheme="minorEastAsia" w:eastAsiaTheme="minorEastAsia" w:cstheme="minorEastAsia"/>
          <w:b/>
          <w:bCs/>
          <w:sz w:val="21"/>
          <w:szCs w:val="21"/>
          <w:highlight w:val="none"/>
        </w:rPr>
        <w:t xml:space="preserve"> </w:t>
      </w:r>
      <w:r>
        <w:rPr>
          <w:rFonts w:hint="eastAsia" w:asciiTheme="minorEastAsia" w:hAnsiTheme="minorEastAsia" w:eastAsiaTheme="minorEastAsia" w:cstheme="minorEastAsia"/>
          <w:sz w:val="21"/>
          <w:szCs w:val="21"/>
          <w:highlight w:val="none"/>
        </w:rPr>
        <w:t>：</w:t>
      </w:r>
    </w:p>
    <w:p>
      <w:pPr>
        <w:shd w:val="clear"/>
        <w:snapToGrid w:val="0"/>
        <w:spacing w:before="156" w:beforeLines="50" w:after="50"/>
        <w:ind w:firstLine="630" w:firstLineChars="3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（姓名）系</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（投标人名称）的法定代表人，现授权委托本单位在职职工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（姓名）以我方的名义参加</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项目的投标活动，并代表我方全权办理针对上述项目的投标、开标、评标、签约等具体事务和签署相关文件。</w:t>
      </w:r>
    </w:p>
    <w:p>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我方对被授权人的签名事项负全部责任。</w:t>
      </w:r>
    </w:p>
    <w:p>
      <w:pPr>
        <w:shd w:val="clear"/>
        <w:snapToGrid w:val="0"/>
        <w:spacing w:before="156" w:beforeLines="50" w:after="50"/>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在撤销授权的书面通知以前，本授权书一直有效。</w:t>
      </w:r>
      <w:r>
        <w:rPr>
          <w:rFonts w:hint="eastAsia" w:asciiTheme="minorEastAsia" w:hAnsiTheme="minorEastAsia" w:eastAsiaTheme="minorEastAsia" w:cstheme="minorEastAsia"/>
          <w:sz w:val="21"/>
          <w:szCs w:val="21"/>
          <w:highlight w:val="none"/>
        </w:rPr>
        <w:t>被授权人在授权书有效期内签署的所有文件不因授权的撤销而失效。</w:t>
      </w:r>
    </w:p>
    <w:p>
      <w:pPr>
        <w:shd w:val="clear"/>
        <w:snapToGrid w:val="0"/>
        <w:spacing w:before="156" w:beforeLines="50" w:after="50"/>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被授权人无转委托权，特此委托。</w:t>
      </w:r>
    </w:p>
    <w:p>
      <w:pPr>
        <w:shd w:val="clear"/>
        <w:snapToGrid w:val="0"/>
        <w:spacing w:before="156" w:beforeLines="50" w:after="50"/>
        <w:rPr>
          <w:rFonts w:hint="eastAsia" w:asciiTheme="minorEastAsia" w:hAnsiTheme="minorEastAsia" w:eastAsiaTheme="minorEastAsia" w:cstheme="minorEastAsia"/>
          <w:sz w:val="21"/>
          <w:szCs w:val="21"/>
          <w:highlight w:val="none"/>
        </w:rPr>
      </w:pPr>
    </w:p>
    <w:p>
      <w:pPr>
        <w:shd w:val="clear"/>
        <w:snapToGrid w:val="0"/>
        <w:spacing w:before="156" w:beforeLines="50" w:after="5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被授权人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签字或盖章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法定代表人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签字或盖章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p>
    <w:p>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p>
    <w:p>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被授权人身份证号码：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shd w:val="clear"/>
        <w:snapToGrid w:val="0"/>
        <w:spacing w:before="156" w:beforeLines="50" w:after="5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pPr>
        <w:shd w:val="clear"/>
        <w:snapToGrid w:val="0"/>
        <w:spacing w:before="156" w:beforeLines="50" w:after="5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zh-CN"/>
        </w:rPr>
        <w:t>投标人</w:t>
      </w:r>
      <w:r>
        <w:rPr>
          <w:rFonts w:hint="eastAsia" w:asciiTheme="minorEastAsia" w:hAnsiTheme="minorEastAsia" w:eastAsiaTheme="minorEastAsia" w:cstheme="minorEastAsia"/>
          <w:sz w:val="21"/>
          <w:szCs w:val="21"/>
          <w:highlight w:val="none"/>
        </w:rPr>
        <w:t>名称（盖章）：</w:t>
      </w:r>
    </w:p>
    <w:p>
      <w:pPr>
        <w:shd w:val="clea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年    月    日</w:t>
      </w: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pStyle w:val="27"/>
        <w:shd w:val="clear"/>
        <w:rPr>
          <w:rFonts w:hint="eastAsia" w:asciiTheme="minorEastAsia" w:hAnsiTheme="minorEastAsia" w:eastAsiaTheme="minorEastAsia" w:cstheme="minorEastAsia"/>
          <w:sz w:val="21"/>
          <w:szCs w:val="21"/>
          <w:highlight w:val="none"/>
        </w:rPr>
      </w:pPr>
    </w:p>
    <w:p>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w:t>
      </w:r>
    </w:p>
    <w:p>
      <w:pPr>
        <w:shd w:val="clea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t>法定代表人身份证明书</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单位名称：</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单位性质：</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地　　址：</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电话号码：</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成立时间：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日</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经营期限：</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姓　　名：</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性别：</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年龄：</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w:t>
      </w:r>
      <w:r>
        <w:rPr>
          <w:rFonts w:hint="eastAsia" w:asciiTheme="minorEastAsia" w:hAnsiTheme="minorEastAsia" w:eastAsiaTheme="minorEastAsia" w:cstheme="minorEastAsia"/>
          <w:sz w:val="21"/>
          <w:szCs w:val="21"/>
          <w:highlight w:val="none"/>
          <w:u w:val="single"/>
        </w:rPr>
        <w:t>　　　　　　（投标人名称）　　　　　　　</w:t>
      </w:r>
      <w:r>
        <w:rPr>
          <w:rFonts w:hint="eastAsia" w:asciiTheme="minorEastAsia" w:hAnsiTheme="minorEastAsia" w:eastAsiaTheme="minorEastAsia" w:cstheme="minorEastAsia"/>
          <w:sz w:val="21"/>
          <w:szCs w:val="21"/>
          <w:highlight w:val="none"/>
        </w:rPr>
        <w:t>的法定代表人。</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特此证明。</w:t>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mc:AlternateContent>
          <mc:Choice Requires="wpc">
            <w:drawing>
              <wp:anchor distT="0" distB="0" distL="114300" distR="114300" simplePos="0" relativeHeight="251659264" behindDoc="1" locked="0" layoutInCell="1" allowOverlap="1">
                <wp:simplePos x="0" y="0"/>
                <wp:positionH relativeFrom="column">
                  <wp:posOffset>17780</wp:posOffset>
                </wp:positionH>
                <wp:positionV relativeFrom="paragraph">
                  <wp:posOffset>50800</wp:posOffset>
                </wp:positionV>
                <wp:extent cx="3429000" cy="2278380"/>
                <wp:effectExtent l="0" t="0" r="0" b="0"/>
                <wp:wrapNone/>
                <wp:docPr id="2" name="画布 5"/>
                <wp:cNvGraphicFramePr/>
                <a:graphic xmlns:a="http://schemas.openxmlformats.org/drawingml/2006/main">
                  <a:graphicData uri="http://schemas.microsoft.com/office/word/2010/wordprocessingCanvas">
                    <wpc:wpc>
                      <wpc:bg>
                        <a:noFill/>
                      </wpc:bg>
                      <wpc:whole>
                        <a:ln w="9525">
                          <a:noFill/>
                        </a:ln>
                      </wpc:whole>
                    </wpc:wpc>
                  </a:graphicData>
                </a:graphic>
              </wp:anchor>
            </w:drawing>
          </mc:Choice>
          <mc:Fallback>
            <w:pict>
              <v:group id="画布 5" o:spid="_x0000_s1026" o:spt="203" style="position:absolute;left:0pt;margin-left:1.4pt;margin-top:4pt;height:179.4pt;width:270pt;z-index:-251657216;mso-width-relative:page;mso-height-relative:page;" coordsize="3429000,2278380" editas="canvas"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Hjy&#10;UO/XAAAABwEAAA8AAAAAAAAAAQAgAAAAIgAAAGRycy9kb3ducmV2LnhtbFBLAQIUABQAAAAIAIdO&#10;4kBCetE/eQEAAA8DAAAOAAAAAAAAAAEAIAAAACYBAABkcnMvZTJvRG9jLnhtbFBLBQYAAAAABgAG&#10;AFkBAAARBQAAAAA=&#10;">
                <o:lock v:ext="edit" aspectratio="f"/>
                <v:shape id="画布 5" o:spid="_x0000_s1026" style="position:absolute;left:0;top:0;height:2278380;width:3429000;" filled="f" stroked="f" coordsize="21600,21600"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">
                  <v:fill on="f" focussize="0,0"/>
                  <v:stroke on="f"/>
                  <v:imagedata o:title=""/>
                  <o:lock v:ext="edit" aspectratio="f"/>
                </v:shape>
              </v:group>
            </w:pict>
          </mc:Fallback>
        </mc:AlternateContent>
      </w: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ind w:firstLine="1260" w:firstLineChars="600"/>
        <w:rPr>
          <w:rFonts w:hint="eastAsia" w:asciiTheme="minorEastAsia" w:hAnsiTheme="minorEastAsia" w:eastAsiaTheme="minorEastAsia" w:cstheme="minorEastAsia"/>
          <w:sz w:val="21"/>
          <w:szCs w:val="21"/>
          <w:highlight w:val="none"/>
        </w:rPr>
      </w:pPr>
    </w:p>
    <w:p>
      <w:pPr>
        <w:shd w:val="clear"/>
        <w:ind w:firstLine="1470" w:firstLineChars="7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r>
        <w:rPr>
          <w:rFonts w:hint="eastAsia" w:asciiTheme="minorEastAsia" w:hAnsiTheme="minorEastAsia" w:eastAsiaTheme="minorEastAsia" w:cstheme="minorEastAsia"/>
          <w:sz w:val="21"/>
          <w:szCs w:val="21"/>
          <w:highlight w:val="none"/>
          <w:lang w:val="en-US" w:eastAsia="zh-CN"/>
        </w:rPr>
        <w:t>正反面</w:t>
      </w:r>
      <w:r>
        <w:rPr>
          <w:rFonts w:hint="eastAsia" w:asciiTheme="minorEastAsia" w:hAnsiTheme="minorEastAsia" w:eastAsiaTheme="minorEastAsia" w:cstheme="minorEastAsia"/>
          <w:sz w:val="21"/>
          <w:szCs w:val="21"/>
          <w:highlight w:val="none"/>
        </w:rPr>
        <w:t>身份证</w:t>
      </w:r>
    </w:p>
    <w:p>
      <w:pPr>
        <w:shd w:val="clear"/>
        <w:rPr>
          <w:rFonts w:hint="eastAsia" w:asciiTheme="minorEastAsia" w:hAnsiTheme="minorEastAsia" w:eastAsiaTheme="minorEastAsia" w:cstheme="minorEastAsia"/>
          <w:sz w:val="21"/>
          <w:szCs w:val="21"/>
          <w:highlight w:val="none"/>
        </w:rPr>
      </w:pPr>
    </w:p>
    <w:p>
      <w:pPr>
        <w:shd w:val="clear"/>
        <w:ind w:firstLine="3150" w:firstLineChars="1500"/>
        <w:rPr>
          <w:rFonts w:hint="eastAsia" w:asciiTheme="minorEastAsia" w:hAnsiTheme="minorEastAsia" w:eastAsiaTheme="minorEastAsia" w:cstheme="minorEastAsia"/>
          <w:sz w:val="21"/>
          <w:szCs w:val="21"/>
          <w:highlight w:val="none"/>
        </w:rPr>
      </w:pPr>
    </w:p>
    <w:p>
      <w:pPr>
        <w:shd w:val="clear"/>
        <w:ind w:firstLine="3150" w:firstLineChars="1500"/>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ind w:firstLine="1890" w:firstLineChars="9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投  标  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盖章</w:t>
      </w:r>
    </w:p>
    <w:p>
      <w:pPr>
        <w:shd w:val="clear"/>
        <w:ind w:firstLine="3150" w:firstLineChars="1500"/>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sectPr>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sz w:val="21"/>
          <w:szCs w:val="21"/>
          <w:highlight w:val="none"/>
        </w:rPr>
        <w:t>日　期：</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日</w:t>
      </w:r>
    </w:p>
    <w:p>
      <w:pPr>
        <w:widowControl/>
        <w:shd w:val="clear"/>
        <w:jc w:val="left"/>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7、</w:t>
      </w:r>
    </w:p>
    <w:p>
      <w:pPr>
        <w:shd w:val="clear"/>
        <w:snapToGrid w:val="0"/>
        <w:spacing w:line="240" w:lineRule="auto"/>
        <w:rPr>
          <w:rFonts w:hint="eastAsia" w:asciiTheme="minorEastAsia" w:hAnsiTheme="minorEastAsia" w:eastAsiaTheme="minorEastAsia" w:cstheme="minorEastAsia"/>
          <w:sz w:val="24"/>
          <w:highlight w:val="none"/>
        </w:rPr>
      </w:pPr>
    </w:p>
    <w:p>
      <w:pPr>
        <w:shd w:val="clear"/>
        <w:spacing w:line="480" w:lineRule="auto"/>
        <w:jc w:val="center"/>
        <w:rPr>
          <w:rFonts w:hint="eastAsia" w:asciiTheme="minorEastAsia" w:hAnsiTheme="minorEastAsia" w:eastAsiaTheme="minorEastAsia" w:cstheme="minorEastAsia"/>
          <w:b/>
          <w:sz w:val="24"/>
          <w:highlight w:val="none"/>
        </w:rPr>
      </w:pPr>
      <w:bookmarkStart w:id="21" w:name="_Toc34814861"/>
      <w:bookmarkStart w:id="22" w:name="_Toc27119254"/>
      <w:bookmarkStart w:id="23" w:name="_Toc34826419"/>
      <w:bookmarkStart w:id="24" w:name="_Toc33194405"/>
      <w:r>
        <w:rPr>
          <w:rFonts w:hint="eastAsia" w:asciiTheme="minorEastAsia" w:hAnsiTheme="minorEastAsia" w:eastAsiaTheme="minorEastAsia" w:cstheme="minorEastAsia"/>
          <w:b/>
          <w:sz w:val="24"/>
          <w:highlight w:val="none"/>
        </w:rPr>
        <w:t>具有履行合同所必需的场地、设备和专业技术能力的承诺函</w:t>
      </w:r>
      <w:bookmarkEnd w:id="21"/>
      <w:bookmarkEnd w:id="22"/>
      <w:bookmarkEnd w:id="23"/>
      <w:bookmarkEnd w:id="24"/>
    </w:p>
    <w:p>
      <w:pPr>
        <w:shd w:val="clear"/>
        <w:snapToGrid w:val="0"/>
        <w:spacing w:line="480" w:lineRule="auto"/>
        <w:rPr>
          <w:rFonts w:hint="eastAsia" w:asciiTheme="minorEastAsia" w:hAnsiTheme="minorEastAsia" w:eastAsiaTheme="minorEastAsia" w:cstheme="minorEastAsia"/>
          <w:sz w:val="24"/>
          <w:highlight w:val="none"/>
        </w:rPr>
      </w:pPr>
    </w:p>
    <w:p>
      <w:pPr>
        <w:shd w:val="clear"/>
        <w:snapToGrid w:val="0"/>
        <w:spacing w:before="156" w:beforeLines="50" w:after="50"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u w:val="single"/>
        </w:rPr>
        <w:t>建经投资咨询有限公司</w:t>
      </w:r>
      <w:r>
        <w:rPr>
          <w:rFonts w:hint="eastAsia" w:asciiTheme="minorEastAsia" w:hAnsiTheme="minorEastAsia" w:eastAsiaTheme="minorEastAsia" w:cstheme="minorEastAsia"/>
          <w:kern w:val="0"/>
          <w:sz w:val="24"/>
          <w:highlight w:val="none"/>
        </w:rPr>
        <w:t>（采购代理机构名称）：</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我方</w:t>
      </w:r>
      <w:r>
        <w:rPr>
          <w:rFonts w:hint="eastAsia" w:asciiTheme="minorEastAsia" w:hAnsiTheme="minorEastAsia" w:eastAsiaTheme="minorEastAsia" w:cstheme="minorEastAsia"/>
          <w:kern w:val="0"/>
          <w:sz w:val="24"/>
          <w:highlight w:val="none"/>
          <w:u w:val="single"/>
        </w:rPr>
        <w:t xml:space="preserve"> （投标人名称）</w:t>
      </w:r>
      <w:r>
        <w:rPr>
          <w:rFonts w:hint="eastAsia" w:asciiTheme="minorEastAsia" w:hAnsiTheme="minorEastAsia" w:eastAsiaTheme="minorEastAsia" w:cstheme="minorEastAsia"/>
          <w:kern w:val="0"/>
          <w:sz w:val="24"/>
          <w:highlight w:val="none"/>
        </w:rPr>
        <w:t>承诺具有履行合同所必需的场地、设备和专业技术能力。如有虚假，采购人可取消我方任何资格（投标/中标/签订合同），我方对此无任何异议。</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zh-CN"/>
        </w:rPr>
        <w:t>投标人</w:t>
      </w:r>
      <w:r>
        <w:rPr>
          <w:rFonts w:hint="eastAsia" w:asciiTheme="minorEastAsia" w:hAnsiTheme="minorEastAsia" w:eastAsiaTheme="minorEastAsia" w:cstheme="minorEastAsia"/>
          <w:kern w:val="0"/>
          <w:sz w:val="24"/>
          <w:highlight w:val="none"/>
        </w:rPr>
        <w:t>名称（盖章） ：</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法定代表人或其授权委托代理人（签字或盖章）</w:t>
      </w:r>
      <w:r>
        <w:rPr>
          <w:rFonts w:hint="eastAsia" w:asciiTheme="minorEastAsia" w:hAnsiTheme="minorEastAsia" w:eastAsiaTheme="minorEastAsia" w:cstheme="minorEastAsia"/>
          <w:kern w:val="0"/>
          <w:sz w:val="24"/>
          <w:highlight w:val="none"/>
        </w:rPr>
        <w:t>：</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日期：     年  月  日</w:t>
      </w:r>
    </w:p>
    <w:p>
      <w:pPr>
        <w:widowControl/>
        <w:shd w:val="clear"/>
        <w:snapToGrid w:val="0"/>
        <w:spacing w:line="240" w:lineRule="auto"/>
        <w:ind w:firstLine="480" w:firstLineChars="200"/>
        <w:jc w:val="left"/>
        <w:rPr>
          <w:rFonts w:hint="eastAsia" w:asciiTheme="minorEastAsia" w:hAnsiTheme="minorEastAsia" w:eastAsiaTheme="minorEastAsia" w:cstheme="minorEastAsia"/>
          <w:kern w:val="0"/>
          <w:sz w:val="24"/>
          <w:highlight w:val="none"/>
        </w:rPr>
      </w:pPr>
    </w:p>
    <w:p>
      <w:pPr>
        <w:shd w:val="clear"/>
        <w:spacing w:line="240" w:lineRule="auto"/>
        <w:rPr>
          <w:rFonts w:hint="eastAsia" w:asciiTheme="minorEastAsia" w:hAnsiTheme="minorEastAsia" w:eastAsiaTheme="minorEastAsia" w:cstheme="minorEastAsia"/>
          <w:sz w:val="24"/>
          <w:highlight w:val="none"/>
        </w:rPr>
      </w:pPr>
    </w:p>
    <w:p>
      <w:pPr>
        <w:widowControl/>
        <w:shd w:val="clear"/>
        <w:spacing w:line="480" w:lineRule="auto"/>
        <w:jc w:val="left"/>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kern w:val="36"/>
          <w:sz w:val="24"/>
          <w:highlight w:val="none"/>
        </w:rPr>
        <w:br w:type="page"/>
      </w: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8、</w:t>
      </w:r>
    </w:p>
    <w:p>
      <w:pPr>
        <w:shd w:val="clear"/>
        <w:spacing w:line="480" w:lineRule="auto"/>
        <w:jc w:val="center"/>
        <w:rPr>
          <w:rFonts w:hint="eastAsia" w:asciiTheme="minorEastAsia" w:hAnsiTheme="minorEastAsia" w:eastAsiaTheme="minorEastAsia" w:cstheme="minorEastAsia"/>
          <w:b/>
          <w:kern w:val="36"/>
          <w:sz w:val="24"/>
          <w:highlight w:val="none"/>
        </w:rPr>
      </w:pPr>
      <w:r>
        <w:rPr>
          <w:rFonts w:hint="eastAsia" w:asciiTheme="minorEastAsia" w:hAnsiTheme="minorEastAsia" w:eastAsiaTheme="minorEastAsia" w:cstheme="minorEastAsia"/>
          <w:b/>
          <w:kern w:val="36"/>
          <w:sz w:val="24"/>
          <w:highlight w:val="none"/>
        </w:rPr>
        <w:t>依法缴纳税收和社会保障资金的承诺函</w:t>
      </w:r>
    </w:p>
    <w:p>
      <w:pPr>
        <w:shd w:val="clear"/>
        <w:spacing w:line="480" w:lineRule="auto"/>
        <w:rPr>
          <w:rFonts w:hint="eastAsia" w:asciiTheme="minorEastAsia" w:hAnsiTheme="minorEastAsia" w:eastAsiaTheme="minorEastAsia" w:cstheme="minorEastAsia"/>
          <w:b/>
          <w:kern w:val="0"/>
          <w:sz w:val="24"/>
          <w:highlight w:val="none"/>
          <w:u w:val="single"/>
        </w:rPr>
      </w:pPr>
    </w:p>
    <w:p>
      <w:pPr>
        <w:shd w:val="clear"/>
        <w:snapToGrid w:val="0"/>
        <w:spacing w:before="156" w:beforeLines="50" w:after="50"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u w:val="single"/>
        </w:rPr>
        <w:t>建经投资咨询有限公司</w:t>
      </w:r>
      <w:r>
        <w:rPr>
          <w:rFonts w:hint="eastAsia" w:asciiTheme="minorEastAsia" w:hAnsiTheme="minorEastAsia" w:eastAsiaTheme="minorEastAsia" w:cstheme="minorEastAsia"/>
          <w:kern w:val="0"/>
          <w:sz w:val="24"/>
          <w:highlight w:val="none"/>
        </w:rPr>
        <w:t>（采购代理机构名称）：</w:t>
      </w:r>
    </w:p>
    <w:p>
      <w:pPr>
        <w:shd w:val="clear"/>
        <w:spacing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我公司郑重声明，我公司严格依法缴纳税收和社会保障资金，本文件中所提供的相关材料均真实有效，不存在虚假、造假行为。如有违反，愿承担一切责任。</w:t>
      </w:r>
    </w:p>
    <w:p>
      <w:pPr>
        <w:shd w:val="clear"/>
        <w:spacing w:line="480" w:lineRule="auto"/>
        <w:ind w:firstLine="480" w:firstLineChars="200"/>
        <w:rPr>
          <w:rFonts w:hint="eastAsia" w:asciiTheme="minorEastAsia" w:hAnsiTheme="minorEastAsia" w:eastAsiaTheme="minorEastAsia" w:cstheme="minorEastAsia"/>
          <w:kern w:val="0"/>
          <w:sz w:val="24"/>
          <w:highlight w:val="none"/>
        </w:rPr>
      </w:pPr>
    </w:p>
    <w:p>
      <w:pPr>
        <w:shd w:val="clear"/>
        <w:spacing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zh-CN"/>
        </w:rPr>
        <w:t>投标人</w:t>
      </w:r>
      <w:r>
        <w:rPr>
          <w:rFonts w:hint="eastAsia" w:asciiTheme="minorEastAsia" w:hAnsiTheme="minorEastAsia" w:eastAsiaTheme="minorEastAsia" w:cstheme="minorEastAsia"/>
          <w:kern w:val="0"/>
          <w:sz w:val="24"/>
          <w:highlight w:val="none"/>
        </w:rPr>
        <w:t>名称（</w:t>
      </w:r>
      <w:r>
        <w:rPr>
          <w:rFonts w:hint="eastAsia" w:asciiTheme="minorEastAsia" w:hAnsiTheme="minorEastAsia" w:eastAsiaTheme="minorEastAsia" w:cstheme="minorEastAsia"/>
          <w:color w:val="auto"/>
          <w:spacing w:val="6"/>
          <w:sz w:val="24"/>
          <w:highlight w:val="none"/>
          <w:lang w:val="en-US" w:eastAsia="zh-CN"/>
        </w:rPr>
        <w:t>盖章</w:t>
      </w:r>
      <w:r>
        <w:rPr>
          <w:rFonts w:hint="eastAsia" w:asciiTheme="minorEastAsia" w:hAnsiTheme="minorEastAsia" w:eastAsiaTheme="minorEastAsia" w:cstheme="minorEastAsia"/>
          <w:kern w:val="0"/>
          <w:sz w:val="24"/>
          <w:highlight w:val="none"/>
        </w:rPr>
        <w:t>） ：</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法定代表人或其授权委托代理人（签字或盖章）</w:t>
      </w:r>
      <w:r>
        <w:rPr>
          <w:rFonts w:hint="eastAsia" w:asciiTheme="minorEastAsia" w:hAnsiTheme="minorEastAsia" w:eastAsiaTheme="minorEastAsia" w:cstheme="minorEastAsia"/>
          <w:kern w:val="0"/>
          <w:sz w:val="24"/>
          <w:highlight w:val="none"/>
        </w:rPr>
        <w:t>：</w:t>
      </w:r>
    </w:p>
    <w:p>
      <w:pPr>
        <w:widowControl/>
        <w:shd w:val="clear"/>
        <w:snapToGrid w:val="0"/>
        <w:spacing w:line="480" w:lineRule="auto"/>
        <w:ind w:firstLine="480" w:firstLineChars="200"/>
        <w:jc w:val="right"/>
        <w:rPr>
          <w:rFonts w:hint="eastAsia" w:asciiTheme="minorEastAsia" w:hAnsiTheme="minorEastAsia" w:eastAsiaTheme="minorEastAsia" w:cstheme="minorEastAsia"/>
          <w:kern w:val="0"/>
          <w:sz w:val="24"/>
          <w:highlight w:val="none"/>
        </w:rPr>
        <w:sectPr>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kern w:val="0"/>
          <w:sz w:val="24"/>
          <w:highlight w:val="none"/>
        </w:rPr>
        <w:t>日期：     年  月  日</w:t>
      </w:r>
    </w:p>
    <w:p>
      <w:pPr>
        <w:pStyle w:val="27"/>
        <w:shd w:val="clear"/>
        <w:spacing w:line="480" w:lineRule="auto"/>
        <w:rPr>
          <w:rFonts w:hint="eastAsia" w:asciiTheme="minorEastAsia" w:hAnsiTheme="minorEastAsia" w:eastAsiaTheme="minorEastAsia" w:cstheme="minorEastAsia"/>
          <w:b/>
          <w:bCs/>
          <w:szCs w:val="24"/>
          <w:highlight w:val="none"/>
          <w:lang w:eastAsia="zh-CN"/>
        </w:rPr>
      </w:pP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9、</w:t>
      </w:r>
    </w:p>
    <w:p>
      <w:pPr>
        <w:shd w:val="clear" w:color="auto"/>
        <w:snapToGrid w:val="0"/>
        <w:spacing w:line="480" w:lineRule="auto"/>
        <w:jc w:val="center"/>
        <w:rPr>
          <w:rFonts w:hint="eastAsia" w:asciiTheme="minorEastAsia" w:hAnsiTheme="minorEastAsia" w:eastAsiaTheme="minorEastAsia" w:cstheme="minorEastAsia"/>
          <w:b/>
          <w:kern w:val="36"/>
          <w:sz w:val="24"/>
          <w:highlight w:val="none"/>
        </w:rPr>
      </w:pPr>
      <w:r>
        <w:rPr>
          <w:rFonts w:hint="eastAsia" w:asciiTheme="minorEastAsia" w:hAnsiTheme="minorEastAsia" w:eastAsiaTheme="minorEastAsia" w:cstheme="minorEastAsia"/>
          <w:b/>
          <w:kern w:val="36"/>
          <w:sz w:val="24"/>
          <w:highlight w:val="none"/>
        </w:rPr>
        <w:t>投标供应商没有失信记录承诺函</w:t>
      </w:r>
    </w:p>
    <w:p>
      <w:pPr>
        <w:pStyle w:val="17"/>
        <w:shd w:val="clear"/>
        <w:spacing w:line="480" w:lineRule="auto"/>
        <w:rPr>
          <w:rFonts w:hint="eastAsia" w:asciiTheme="minorEastAsia" w:hAnsiTheme="minorEastAsia" w:eastAsiaTheme="minorEastAsia" w:cstheme="minorEastAsia"/>
          <w:highlight w:val="none"/>
        </w:rPr>
      </w:pPr>
    </w:p>
    <w:p>
      <w:pPr>
        <w:shd w:val="clear"/>
        <w:spacing w:line="480" w:lineRule="auto"/>
        <w:ind w:firstLine="484" w:firstLineChars="202"/>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建经投资咨询有限公司</w:t>
      </w:r>
      <w:r>
        <w:rPr>
          <w:rFonts w:hint="eastAsia" w:asciiTheme="minorEastAsia" w:hAnsiTheme="minorEastAsia" w:eastAsiaTheme="minorEastAsia" w:cstheme="minorEastAsia"/>
          <w:sz w:val="24"/>
          <w:highlight w:val="none"/>
        </w:rPr>
        <w:t>（采购代理机构名称）：</w:t>
      </w:r>
    </w:p>
    <w:p>
      <w:pPr>
        <w:shd w:val="clear"/>
        <w:spacing w:line="480" w:lineRule="auto"/>
        <w:ind w:firstLine="484" w:firstLineChars="202"/>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snapToGrid w:val="0"/>
        <w:spacing w:line="480" w:lineRule="auto"/>
        <w:rPr>
          <w:rFonts w:hint="eastAsia" w:asciiTheme="minorEastAsia" w:hAnsiTheme="minorEastAsia" w:eastAsiaTheme="minorEastAsia" w:cstheme="minorEastAsia"/>
          <w:sz w:val="24"/>
          <w:highlight w:val="none"/>
        </w:rPr>
      </w:pP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pPr>
        <w:shd w:val="clear"/>
        <w:spacing w:line="360" w:lineRule="auto"/>
        <w:ind w:left="42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lang w:val="en-US" w:eastAsia="zh-CN"/>
        </w:rPr>
        <w:t>盖章</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z w:val="24"/>
          <w:highlight w:val="none"/>
        </w:rPr>
        <w:t>：</w:t>
      </w:r>
    </w:p>
    <w:p>
      <w:pPr>
        <w:shd w:val="clear"/>
        <w:spacing w:line="360" w:lineRule="auto"/>
        <w:ind w:left="420"/>
        <w:rPr>
          <w:rFonts w:hint="eastAsia" w:asciiTheme="minorEastAsia" w:hAnsiTheme="minorEastAsia" w:eastAsiaTheme="minorEastAsia" w:cstheme="minorEastAsia"/>
          <w:color w:val="auto"/>
          <w:sz w:val="24"/>
          <w:highlight w:val="none"/>
        </w:rPr>
      </w:pPr>
    </w:p>
    <w:p>
      <w:pPr>
        <w:shd w:val="clea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w:t>
      </w:r>
      <w:r>
        <w:rPr>
          <w:rFonts w:hint="eastAsia" w:asciiTheme="minorEastAsia" w:hAnsiTheme="minorEastAsia" w:eastAsiaTheme="minorEastAsia" w:cstheme="minorEastAsia"/>
          <w:color w:val="auto"/>
          <w:sz w:val="24"/>
          <w:highlight w:val="none"/>
        </w:rPr>
        <w:t>(签字或盖章)：</w:t>
      </w:r>
    </w:p>
    <w:p>
      <w:pPr>
        <w:shd w:val="clear"/>
        <w:spacing w:line="360" w:lineRule="auto"/>
        <w:ind w:firstLine="435"/>
        <w:rPr>
          <w:rFonts w:hint="eastAsia" w:asciiTheme="minorEastAsia" w:hAnsiTheme="minorEastAsia" w:eastAsiaTheme="minorEastAsia" w:cstheme="minorEastAsia"/>
          <w:color w:val="auto"/>
          <w:sz w:val="24"/>
          <w:highlight w:val="none"/>
        </w:rPr>
      </w:pPr>
    </w:p>
    <w:p>
      <w:pPr>
        <w:shd w:val="clear"/>
        <w:spacing w:line="360" w:lineRule="auto"/>
        <w:ind w:firstLine="435"/>
        <w:jc w:val="center"/>
        <w:rPr>
          <w:rFonts w:hint="eastAsia" w:asciiTheme="minorEastAsia" w:hAnsiTheme="minorEastAsia" w:eastAsiaTheme="minorEastAsia" w:cstheme="minorEastAsia"/>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日        期：</w:t>
      </w:r>
    </w:p>
    <w:p>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w:t>
      </w:r>
    </w:p>
    <w:p>
      <w:pPr>
        <w:shd w:val="clea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kern w:val="2"/>
          <w:sz w:val="32"/>
          <w:szCs w:val="32"/>
          <w:highlight w:val="none"/>
          <w:lang w:val="en-US" w:eastAsia="zh-CN" w:bidi="ar-SA"/>
        </w:rPr>
        <w:t>商务需求响应表</w:t>
      </w:r>
    </w:p>
    <w:tbl>
      <w:tblPr>
        <w:tblStyle w:val="76"/>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ind w:left="152"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ind w:left="53" w:leftChars="25" w:firstLine="211"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pStyle w:val="37"/>
              <w:shd w:val="clear"/>
              <w:spacing w:line="300" w:lineRule="exact"/>
              <w:ind w:firstLine="392" w:firstLineChars="196"/>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服务期限</w:t>
            </w: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pStyle w:val="37"/>
              <w:shd w:val="clear"/>
              <w:spacing w:line="300" w:lineRule="exact"/>
              <w:ind w:firstLine="40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Cs w:val="21"/>
                <w:highlight w:val="none"/>
              </w:rPr>
              <w:t>付款方式</w:t>
            </w: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pStyle w:val="37"/>
              <w:shd w:val="clear"/>
              <w:spacing w:line="300" w:lineRule="exact"/>
              <w:ind w:firstLine="420" w:firstLineChars="200"/>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hd w:val="clear"/>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bl>
    <w:p>
      <w:pPr>
        <w:shd w:val="clear"/>
        <w:autoSpaceDE w:val="0"/>
        <w:autoSpaceDN w:val="0"/>
        <w:adjustRightInd w:val="0"/>
        <w:ind w:firstLine="5040" w:firstLineChars="2400"/>
        <w:rPr>
          <w:rFonts w:hint="eastAsia" w:asciiTheme="minorEastAsia" w:hAnsiTheme="minorEastAsia" w:eastAsiaTheme="minorEastAsia" w:cstheme="minorEastAsia"/>
          <w:kern w:val="0"/>
          <w:sz w:val="21"/>
          <w:szCs w:val="21"/>
          <w:highlight w:val="none"/>
          <w:lang w:val="zh-CN"/>
        </w:rPr>
      </w:pPr>
    </w:p>
    <w:p>
      <w:pPr>
        <w:shd w:val="clea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注：</w:t>
      </w:r>
      <w:r>
        <w:rPr>
          <w:rFonts w:hint="eastAsia" w:asciiTheme="minorEastAsia" w:hAnsiTheme="minorEastAsia" w:eastAsiaTheme="minorEastAsia" w:cstheme="minorEastAsia"/>
          <w:kern w:val="0"/>
          <w:sz w:val="21"/>
          <w:szCs w:val="21"/>
          <w:highlight w:val="none"/>
          <w:lang w:val="zh-CN" w:eastAsia="zh-CN"/>
        </w:rPr>
        <w:t>未填写的视为完全响应。</w:t>
      </w:r>
    </w:p>
    <w:p>
      <w:pPr>
        <w:shd w:val="clear"/>
        <w:autoSpaceDE w:val="0"/>
        <w:autoSpaceDN w:val="0"/>
        <w:adjustRightInd w:val="0"/>
        <w:ind w:firstLine="4410" w:firstLineChars="2100"/>
        <w:jc w:val="left"/>
        <w:rPr>
          <w:rFonts w:hint="eastAsia" w:asciiTheme="minorEastAsia" w:hAnsiTheme="minorEastAsia" w:eastAsiaTheme="minorEastAsia" w:cstheme="minorEastAsia"/>
          <w:kern w:val="0"/>
          <w:sz w:val="21"/>
          <w:szCs w:val="21"/>
          <w:highlight w:val="none"/>
          <w:lang w:val="zh-CN"/>
        </w:rPr>
      </w:pPr>
    </w:p>
    <w:p>
      <w:pPr>
        <w:shd w:val="clea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投标人名称（</w:t>
      </w:r>
      <w:r>
        <w:rPr>
          <w:rFonts w:hint="eastAsia" w:asciiTheme="minorEastAsia" w:hAnsiTheme="minorEastAsia" w:eastAsiaTheme="minorEastAsia" w:cstheme="minorEastAsia"/>
          <w:kern w:val="0"/>
          <w:sz w:val="21"/>
          <w:szCs w:val="21"/>
          <w:highlight w:val="none"/>
          <w:lang w:val="en-US" w:eastAsia="zh-CN"/>
        </w:rPr>
        <w:t>盖章</w:t>
      </w:r>
      <w:r>
        <w:rPr>
          <w:rFonts w:hint="eastAsia" w:asciiTheme="minorEastAsia" w:hAnsiTheme="minorEastAsia" w:eastAsiaTheme="minorEastAsia" w:cstheme="minorEastAsia"/>
          <w:kern w:val="0"/>
          <w:sz w:val="21"/>
          <w:szCs w:val="21"/>
          <w:highlight w:val="none"/>
          <w:lang w:val="zh-CN"/>
        </w:rPr>
        <w:t xml:space="preserve">）：     </w:t>
      </w:r>
    </w:p>
    <w:p>
      <w:pPr>
        <w:shd w:val="clear"/>
        <w:autoSpaceDE w:val="0"/>
        <w:autoSpaceDN w:val="0"/>
        <w:adjustRightIn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kern w:val="0"/>
          <w:sz w:val="21"/>
          <w:szCs w:val="21"/>
          <w:highlight w:val="none"/>
          <w:lang w:val="zh-CN"/>
        </w:rPr>
        <w:t xml:space="preserve"> </w:t>
      </w: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pPr>
        <w:shd w:val="clear"/>
        <w:autoSpaceDE w:val="0"/>
        <w:autoSpaceDN w:val="0"/>
        <w:adjustRightInd w:val="0"/>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 xml:space="preserve"> </w:t>
      </w:r>
    </w:p>
    <w:p>
      <w:pPr>
        <w:shd w:val="clea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kern w:val="0"/>
          <w:sz w:val="21"/>
          <w:szCs w:val="21"/>
          <w:highlight w:val="none"/>
          <w:lang w:val="zh-CN"/>
        </w:rPr>
        <w:t xml:space="preserve">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 日期：</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年  </w:t>
      </w:r>
      <w:r>
        <w:rPr>
          <w:rFonts w:hint="eastAsia" w:asciiTheme="minorEastAsia" w:hAnsiTheme="minorEastAsia" w:eastAsiaTheme="minorEastAsia" w:cstheme="minorEastAsia"/>
          <w:kern w:val="0"/>
          <w:sz w:val="21"/>
          <w:szCs w:val="21"/>
          <w:highlight w:val="none"/>
        </w:rPr>
        <w:t xml:space="preserve"> </w:t>
      </w:r>
      <w:r>
        <w:rPr>
          <w:rFonts w:hint="eastAsia" w:asciiTheme="minorEastAsia" w:hAnsiTheme="minorEastAsia" w:eastAsiaTheme="minorEastAsia" w:cstheme="minorEastAsia"/>
          <w:kern w:val="0"/>
          <w:sz w:val="21"/>
          <w:szCs w:val="21"/>
          <w:highlight w:val="none"/>
          <w:lang w:val="zh-CN"/>
        </w:rPr>
        <w:t>月   日</w:t>
      </w: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pStyle w:val="27"/>
        <w:shd w:val="clear"/>
        <w:rPr>
          <w:rFonts w:hint="eastAsia" w:asciiTheme="minorEastAsia" w:hAnsiTheme="minorEastAsia" w:eastAsiaTheme="minorEastAsia" w:cstheme="minorEastAsia"/>
          <w:highlight w:val="none"/>
        </w:rPr>
      </w:pPr>
    </w:p>
    <w:p>
      <w:pPr>
        <w:pStyle w:val="74"/>
        <w:shd w:val="clear"/>
        <w:rPr>
          <w:rFonts w:hint="eastAsia" w:asciiTheme="minorEastAsia" w:hAnsiTheme="minorEastAsia" w:eastAsiaTheme="minorEastAsia" w:cstheme="minorEastAsia"/>
          <w:highlight w:val="none"/>
        </w:rPr>
      </w:pPr>
    </w:p>
    <w:p>
      <w:pPr>
        <w:shd w:val="clear"/>
        <w:rPr>
          <w:rFonts w:hint="eastAsia" w:asciiTheme="minorEastAsia" w:hAnsiTheme="minorEastAsia" w:eastAsiaTheme="minorEastAsia" w:cstheme="minorEastAsia"/>
          <w:highlight w:val="none"/>
        </w:rPr>
      </w:pPr>
    </w:p>
    <w:p>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sz w:val="24"/>
          <w:highlight w:val="none"/>
        </w:rPr>
        <w:t>、</w:t>
      </w:r>
    </w:p>
    <w:p>
      <w:pPr>
        <w:pStyle w:val="72"/>
        <w:shd w:val="clear"/>
        <w:jc w:val="center"/>
        <w:rPr>
          <w:rFonts w:hint="eastAsia" w:asciiTheme="minorEastAsia" w:hAnsiTheme="minorEastAsia" w:eastAsiaTheme="minorEastAsia" w:cstheme="minorEastAsia"/>
          <w:b/>
          <w:bCs/>
          <w:color w:val="auto"/>
          <w:kern w:val="2"/>
          <w:sz w:val="36"/>
          <w:szCs w:val="36"/>
          <w:highlight w:val="none"/>
          <w:lang w:val="en-US" w:eastAsia="zh-CN" w:bidi="ar-SA"/>
        </w:rPr>
      </w:pPr>
      <w:r>
        <w:rPr>
          <w:rFonts w:hint="eastAsia" w:asciiTheme="minorEastAsia" w:hAnsiTheme="minorEastAsia" w:eastAsiaTheme="minorEastAsia" w:cstheme="minorEastAsia"/>
          <w:b/>
          <w:bCs/>
          <w:color w:val="auto"/>
          <w:kern w:val="2"/>
          <w:sz w:val="36"/>
          <w:szCs w:val="36"/>
          <w:highlight w:val="none"/>
          <w:lang w:val="en-US" w:eastAsia="zh-CN" w:bidi="ar-SA"/>
        </w:rPr>
        <w:t>项目实施人员汇总表</w:t>
      </w:r>
    </w:p>
    <w:p>
      <w:pPr>
        <w:shd w:val="clear"/>
        <w:spacing w:before="120" w:beforeLines="50" w:after="120" w:afterLines="50"/>
        <w:ind w:right="-1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（1）</w:t>
      </w:r>
      <w:r>
        <w:rPr>
          <w:rFonts w:hint="eastAsia" w:asciiTheme="minorEastAsia" w:hAnsiTheme="minorEastAsia" w:eastAsiaTheme="minorEastAsia" w:cstheme="minorEastAsia"/>
          <w:b/>
          <w:bCs/>
          <w:color w:val="auto"/>
          <w:sz w:val="36"/>
          <w:szCs w:val="36"/>
          <w:highlight w:val="none"/>
          <w:lang w:eastAsia="zh-CN"/>
        </w:rPr>
        <w:t>总设计师</w:t>
      </w:r>
      <w:r>
        <w:rPr>
          <w:rFonts w:hint="eastAsia" w:asciiTheme="minorEastAsia" w:hAnsiTheme="minorEastAsia" w:eastAsiaTheme="minorEastAsia" w:cstheme="minorEastAsia"/>
          <w:b/>
          <w:bCs/>
          <w:color w:val="auto"/>
          <w:sz w:val="36"/>
          <w:szCs w:val="36"/>
          <w:highlight w:val="none"/>
        </w:rPr>
        <w:t>情况表</w:t>
      </w:r>
    </w:p>
    <w:p>
      <w:pPr>
        <w:shd w:val="clea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名称</w:t>
      </w:r>
      <w:r>
        <w:rPr>
          <w:rFonts w:hint="eastAsia" w:asciiTheme="minorEastAsia" w:hAnsiTheme="minorEastAsia" w:eastAsiaTheme="minorEastAsia" w:cstheme="minorEastAsia"/>
          <w:color w:val="auto"/>
          <w:highlight w:val="none"/>
        </w:rPr>
        <w:t>：</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姓名</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noWrap w:val="0"/>
            <w:vAlign w:val="center"/>
          </w:tcPr>
          <w:p>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性别</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restart"/>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年龄</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职称</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资格</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专业</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联系电话</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拟在本项目中担任主要工作</w:t>
            </w:r>
          </w:p>
        </w:tc>
        <w:tc>
          <w:tcPr>
            <w:tcW w:w="7854" w:type="dxa"/>
            <w:gridSpan w:val="2"/>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bl>
    <w:p>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pPr>
        <w:shd w:val="clear"/>
        <w:spacing w:before="120" w:beforeLines="50" w:after="120" w:afterLines="50"/>
        <w:ind w:right="-1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    月    日</w:t>
      </w:r>
    </w:p>
    <w:p>
      <w:pPr>
        <w:pStyle w:val="72"/>
        <w:shd w:val="clear"/>
        <w:rPr>
          <w:rFonts w:hint="eastAsia" w:asciiTheme="minorEastAsia" w:hAnsiTheme="minorEastAsia" w:eastAsiaTheme="minorEastAsia" w:cstheme="minorEastAsia"/>
          <w:color w:val="auto"/>
          <w:highlight w:val="none"/>
        </w:rPr>
      </w:pPr>
    </w:p>
    <w:p>
      <w:pPr>
        <w:numPr>
          <w:ilvl w:val="0"/>
          <w:numId w:val="34"/>
        </w:numPr>
        <w:shd w:val="clear"/>
        <w:spacing w:before="240" w:beforeLines="100" w:after="120" w:afterLines="5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项目服务人员汇总表</w:t>
      </w:r>
    </w:p>
    <w:p>
      <w:pPr>
        <w:pStyle w:val="72"/>
        <w:numPr>
          <w:ilvl w:val="0"/>
          <w:numId w:val="0"/>
        </w:numPr>
        <w:shd w:val="clear"/>
        <w:jc w:val="both"/>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color w:val="auto"/>
          <w:highlight w:val="none"/>
          <w:lang w:val="en-US" w:eastAsia="zh-CN"/>
        </w:rPr>
        <w:t>项目名称</w:t>
      </w:r>
      <w:r>
        <w:rPr>
          <w:rFonts w:hint="eastAsia" w:asciiTheme="minorEastAsia" w:hAnsiTheme="minorEastAsia" w:eastAsiaTheme="minorEastAsia" w:cstheme="minorEastAsia"/>
          <w:b w:val="0"/>
          <w:bCs/>
          <w:color w:val="auto"/>
          <w:highlight w:val="none"/>
        </w:rPr>
        <w:t>：</w:t>
      </w:r>
    </w:p>
    <w:tbl>
      <w:tblPr>
        <w:tblStyle w:val="76"/>
        <w:tblpPr w:leftFromText="180" w:rightFromText="180" w:vertAnchor="text" w:horzAnchor="page" w:tblpX="1174" w:tblpY="425"/>
        <w:tblOverlap w:val="never"/>
        <w:tblW w:w="10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39"/>
        <w:gridCol w:w="1888"/>
        <w:gridCol w:w="758"/>
        <w:gridCol w:w="758"/>
        <w:gridCol w:w="758"/>
        <w:gridCol w:w="766"/>
        <w:gridCol w:w="165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82" w:type="dxa"/>
            <w:noWrap w:val="0"/>
            <w:vAlign w:val="center"/>
          </w:tcPr>
          <w:p>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序号</w:t>
            </w:r>
          </w:p>
        </w:tc>
        <w:tc>
          <w:tcPr>
            <w:tcW w:w="1639"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姓名</w:t>
            </w:r>
          </w:p>
        </w:tc>
        <w:tc>
          <w:tcPr>
            <w:tcW w:w="1888"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本项目主要工作</w:t>
            </w:r>
          </w:p>
        </w:tc>
        <w:tc>
          <w:tcPr>
            <w:tcW w:w="758"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年龄</w:t>
            </w:r>
          </w:p>
        </w:tc>
        <w:tc>
          <w:tcPr>
            <w:tcW w:w="758"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性别</w:t>
            </w:r>
          </w:p>
        </w:tc>
        <w:tc>
          <w:tcPr>
            <w:tcW w:w="758"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tc>
        <w:tc>
          <w:tcPr>
            <w:tcW w:w="766"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年限</w:t>
            </w:r>
          </w:p>
        </w:tc>
        <w:tc>
          <w:tcPr>
            <w:tcW w:w="1655"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职务</w:t>
            </w:r>
          </w:p>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和职称/认证</w:t>
            </w:r>
          </w:p>
        </w:tc>
        <w:tc>
          <w:tcPr>
            <w:tcW w:w="1409"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到现场服务</w:t>
            </w:r>
          </w:p>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总设计师</w:t>
            </w: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专业团队人员（驻场人员）</w:t>
            </w: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专业团队人员（驻场人员）</w:t>
            </w: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专业团队人员（驻场人员）</w:t>
            </w: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82"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c>
          <w:tcPr>
            <w:tcW w:w="163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66"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655"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40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bl>
    <w:p>
      <w:pPr>
        <w:shd w:val="clear"/>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                                                             </w:t>
      </w:r>
    </w:p>
    <w:p>
      <w:pPr>
        <w:spacing w:line="360" w:lineRule="exact"/>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highlight w:val="none"/>
        </w:rPr>
        <w:t>附注：</w:t>
      </w:r>
      <w:r>
        <w:rPr>
          <w:rFonts w:hint="eastAsia" w:ascii="宋体" w:hAnsi="宋体" w:eastAsia="宋体" w:cs="宋体"/>
          <w:color w:val="auto"/>
          <w:highlight w:val="none"/>
          <w:lang w:val="en-US" w:eastAsia="zh-CN"/>
        </w:rPr>
        <w:t>1、 总设计师及专业团队人员（不少于3名）均应列入</w:t>
      </w:r>
      <w:r>
        <w:rPr>
          <w:rFonts w:hint="eastAsia" w:ascii="宋体" w:hAnsi="宋体" w:cs="宋体"/>
          <w:color w:val="auto"/>
          <w:highlight w:val="none"/>
          <w:lang w:val="en-US" w:eastAsia="zh-CN"/>
        </w:rPr>
        <w:t>，并提供</w:t>
      </w:r>
      <w:r>
        <w:rPr>
          <w:rFonts w:hint="eastAsia" w:ascii="宋体" w:hAnsi="宋体" w:eastAsia="宋体" w:cs="宋体"/>
          <w:color w:val="auto"/>
          <w:highlight w:val="none"/>
          <w:lang w:val="en-US" w:eastAsia="zh-CN"/>
        </w:rPr>
        <w:t>相关人员证书证明材料</w:t>
      </w:r>
      <w:r>
        <w:rPr>
          <w:rFonts w:hint="eastAsia" w:ascii="宋体" w:hAnsi="宋体" w:cs="宋体"/>
          <w:color w:val="auto"/>
          <w:highlight w:val="none"/>
          <w:lang w:val="en-US" w:eastAsia="zh-CN"/>
        </w:rPr>
        <w:t>原件扫描件</w:t>
      </w:r>
      <w:r>
        <w:rPr>
          <w:rFonts w:hint="eastAsia" w:ascii="宋体" w:hAnsi="宋体" w:eastAsia="宋体" w:cs="宋体"/>
          <w:color w:val="auto"/>
          <w:highlight w:val="none"/>
          <w:lang w:val="en-US" w:eastAsia="zh-CN"/>
        </w:rPr>
        <w:t>及所有人员近三个月社保缴纳证明材料；</w:t>
      </w:r>
    </w:p>
    <w:p>
      <w:pPr>
        <w:spacing w:line="360" w:lineRule="exact"/>
        <w:ind w:firstLine="630" w:firstLineChars="3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2、列入本表人员如要更换，需经采购人同意，擅自更换或不到位属违约行为；</w:t>
      </w:r>
    </w:p>
    <w:p>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年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月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日</w:t>
      </w:r>
    </w:p>
    <w:p>
      <w:pPr>
        <w:shd w:val="clear"/>
        <w:snapToGrid w:val="0"/>
        <w:spacing w:before="50" w:after="50" w:line="360" w:lineRule="auto"/>
        <w:rPr>
          <w:rFonts w:hint="eastAsia" w:asciiTheme="minorEastAsia" w:hAnsiTheme="minorEastAsia" w:eastAsiaTheme="minorEastAsia" w:cstheme="minorEastAsia"/>
          <w:b w:val="0"/>
          <w:bCs/>
          <w:sz w:val="28"/>
          <w:highlight w:val="none"/>
        </w:rPr>
      </w:pPr>
    </w:p>
    <w:p>
      <w:pPr>
        <w:shd w:val="clear"/>
        <w:snapToGrid w:val="0"/>
        <w:spacing w:before="50" w:after="50" w:line="360" w:lineRule="auto"/>
        <w:rPr>
          <w:rFonts w:hint="eastAsia" w:asciiTheme="minorEastAsia" w:hAnsiTheme="minorEastAsia" w:eastAsiaTheme="minorEastAsia" w:cstheme="minorEastAsia"/>
          <w:b w:val="0"/>
          <w:bCs/>
          <w:sz w:val="28"/>
          <w:highlight w:val="none"/>
          <w:lang w:val="en-US" w:eastAsia="zh-CN"/>
        </w:rPr>
      </w:pPr>
      <w:r>
        <w:rPr>
          <w:rFonts w:hint="eastAsia" w:asciiTheme="minorEastAsia" w:hAnsiTheme="minorEastAsia" w:eastAsiaTheme="minorEastAsia" w:cstheme="minorEastAsia"/>
          <w:b w:val="0"/>
          <w:bCs/>
          <w:sz w:val="28"/>
          <w:highlight w:val="none"/>
        </w:rPr>
        <w:t>附件</w:t>
      </w:r>
      <w:r>
        <w:rPr>
          <w:rFonts w:hint="eastAsia" w:asciiTheme="minorEastAsia" w:hAnsiTheme="minorEastAsia" w:eastAsiaTheme="minorEastAsia" w:cstheme="minorEastAsia"/>
          <w:b w:val="0"/>
          <w:bCs/>
          <w:sz w:val="28"/>
          <w:highlight w:val="none"/>
          <w:lang w:val="en-US" w:eastAsia="zh-CN"/>
        </w:rPr>
        <w:t>12、</w:t>
      </w:r>
    </w:p>
    <w:p>
      <w:pPr>
        <w:pStyle w:val="3"/>
        <w:shd w:val="clear"/>
        <w:ind w:left="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技术条款</w:t>
      </w:r>
      <w:r>
        <w:rPr>
          <w:rFonts w:hint="eastAsia" w:asciiTheme="minorEastAsia" w:hAnsiTheme="minorEastAsia" w:eastAsiaTheme="minorEastAsia" w:cstheme="minorEastAsia"/>
          <w:highlight w:val="none"/>
        </w:rPr>
        <w:t>偏离表</w:t>
      </w:r>
    </w:p>
    <w:tbl>
      <w:tblPr>
        <w:tblStyle w:val="76"/>
        <w:tblW w:w="90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230"/>
        <w:gridCol w:w="3248"/>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noWrap w:val="0"/>
            <w:vAlign w:val="center"/>
          </w:tcPr>
          <w:p>
            <w:pPr>
              <w:pStyle w:val="695"/>
              <w:shd w:val="clear"/>
              <w:spacing w:before="1" w:line="440" w:lineRule="exact"/>
              <w:ind w:right="111"/>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序号</w:t>
            </w:r>
          </w:p>
        </w:tc>
        <w:tc>
          <w:tcPr>
            <w:tcW w:w="3230" w:type="dxa"/>
            <w:noWrap w:val="0"/>
            <w:vAlign w:val="center"/>
          </w:tcPr>
          <w:p>
            <w:pPr>
              <w:pStyle w:val="695"/>
              <w:shd w:val="clear"/>
              <w:ind w:left="82"/>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招标的要求</w:t>
            </w:r>
          </w:p>
        </w:tc>
        <w:tc>
          <w:tcPr>
            <w:tcW w:w="3248" w:type="dxa"/>
            <w:noWrap w:val="0"/>
            <w:vAlign w:val="center"/>
          </w:tcPr>
          <w:p>
            <w:pPr>
              <w:pStyle w:val="695"/>
              <w:shd w:val="clear"/>
              <w:ind w:left="81"/>
              <w:jc w:val="center"/>
              <w:rPr>
                <w:rFonts w:hint="eastAsia" w:asciiTheme="minorEastAsia" w:hAnsiTheme="minorEastAsia" w:eastAsiaTheme="minorEastAsia" w:cstheme="minorEastAsia"/>
                <w:b/>
                <w:sz w:val="21"/>
                <w:highlight w:val="none"/>
                <w:lang w:val="en-US" w:eastAsia="zh-CN"/>
              </w:rPr>
            </w:pPr>
            <w:r>
              <w:rPr>
                <w:rFonts w:hint="eastAsia" w:asciiTheme="minorEastAsia" w:hAnsiTheme="minorEastAsia" w:eastAsiaTheme="minorEastAsia" w:cstheme="minorEastAsia"/>
                <w:b/>
                <w:sz w:val="21"/>
                <w:highlight w:val="none"/>
              </w:rPr>
              <w:t>投标</w:t>
            </w:r>
            <w:r>
              <w:rPr>
                <w:rFonts w:hint="eastAsia" w:asciiTheme="minorEastAsia" w:hAnsiTheme="minorEastAsia" w:eastAsiaTheme="minorEastAsia" w:cstheme="minorEastAsia"/>
                <w:b/>
                <w:sz w:val="21"/>
                <w:highlight w:val="none"/>
                <w:lang w:val="en-US" w:eastAsia="zh-CN"/>
              </w:rPr>
              <w:t>承诺</w:t>
            </w:r>
          </w:p>
        </w:tc>
        <w:tc>
          <w:tcPr>
            <w:tcW w:w="1594" w:type="dxa"/>
            <w:noWrap w:val="0"/>
            <w:vAlign w:val="center"/>
          </w:tcPr>
          <w:p>
            <w:pPr>
              <w:pStyle w:val="695"/>
              <w:shd w:val="clear"/>
              <w:ind w:left="82"/>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46"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5"/>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5"/>
              <w:shd w:val="clear"/>
              <w:jc w:val="both"/>
              <w:rPr>
                <w:rFonts w:hint="eastAsia" w:asciiTheme="minorEastAsia" w:hAnsiTheme="minorEastAsia" w:eastAsiaTheme="minorEastAsia" w:cstheme="minorEastAsia"/>
                <w:sz w:val="20"/>
                <w:highlight w:val="none"/>
              </w:rPr>
            </w:pPr>
          </w:p>
        </w:tc>
      </w:tr>
    </w:tbl>
    <w:p>
      <w:pPr>
        <w:shd w:val="clear"/>
        <w:snapToGrid w:val="0"/>
        <w:spacing w:before="156" w:beforeLines="50" w:after="5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注：1、招标文件要求详见“</w:t>
      </w:r>
      <w:r>
        <w:rPr>
          <w:rFonts w:hint="eastAsia" w:asciiTheme="minorEastAsia" w:hAnsiTheme="minorEastAsia" w:eastAsiaTheme="minorEastAsia" w:cstheme="minorEastAsia"/>
          <w:sz w:val="24"/>
          <w:highlight w:val="none"/>
          <w:lang w:eastAsia="zh-CN"/>
        </w:rPr>
        <w:t>采购需求</w:t>
      </w:r>
      <w:r>
        <w:rPr>
          <w:rFonts w:hint="eastAsia" w:asciiTheme="minorEastAsia" w:hAnsiTheme="minorEastAsia" w:eastAsiaTheme="minorEastAsia" w:cstheme="minorEastAsia"/>
          <w:sz w:val="24"/>
          <w:highlight w:val="none"/>
        </w:rPr>
        <w:t>”中的各条款内容，以此类推完整填写“技术条款偏离表”；2、偏离情况应在本表空白处醒目地注明“正偏离或无偏离或负偏离”等字样。</w:t>
      </w:r>
      <w:r>
        <w:rPr>
          <w:rFonts w:hint="eastAsia" w:asciiTheme="minorEastAsia" w:hAnsiTheme="minorEastAsia" w:eastAsiaTheme="minorEastAsia" w:cstheme="minorEastAsia"/>
          <w:sz w:val="24"/>
          <w:highlight w:val="none"/>
          <w:lang w:val="en-US" w:eastAsia="zh-CN"/>
        </w:rPr>
        <w:t>3、表格可扩展。4、未填写的视为完全响应。</w:t>
      </w:r>
    </w:p>
    <w:p>
      <w:pPr>
        <w:shd w:val="clear"/>
        <w:snapToGrid w:val="0"/>
        <w:spacing w:before="156" w:beforeLines="50" w:after="50"/>
        <w:rPr>
          <w:rFonts w:hint="eastAsia" w:asciiTheme="minorEastAsia" w:hAnsiTheme="minorEastAsia" w:eastAsiaTheme="minorEastAsia" w:cstheme="minorEastAsia"/>
          <w:sz w:val="24"/>
          <w:highlight w:val="none"/>
        </w:rPr>
      </w:pPr>
    </w:p>
    <w:p>
      <w:pPr>
        <w:shd w:val="clear"/>
        <w:snapToGrid w:val="0"/>
        <w:spacing w:before="156" w:beforeLines="50" w:after="50"/>
        <w:rPr>
          <w:rFonts w:hint="eastAsia" w:asciiTheme="minorEastAsia" w:hAnsiTheme="minorEastAsia" w:eastAsiaTheme="minorEastAsia" w:cstheme="minorEastAsia"/>
          <w:sz w:val="24"/>
          <w:highlight w:val="none"/>
        </w:rPr>
      </w:pPr>
    </w:p>
    <w:p>
      <w:pPr>
        <w:shd w:val="clear"/>
        <w:snapToGrid w:val="0"/>
        <w:spacing w:before="156" w:beforeLines="50" w:after="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投标人全称（加盖公章）： </w:t>
      </w:r>
    </w:p>
    <w:p>
      <w:pPr>
        <w:shd w:val="clear"/>
        <w:snapToGrid w:val="0"/>
        <w:spacing w:before="156" w:beforeLines="50" w:after="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法定代表人或其委托代理人（签字或盖章）：</w:t>
      </w:r>
    </w:p>
    <w:p>
      <w:pPr>
        <w:pStyle w:val="74"/>
        <w:shd w:val="clear"/>
        <w:jc w:val="right"/>
        <w:rPr>
          <w:rFonts w:hint="eastAsia" w:asciiTheme="minorEastAsia" w:hAnsiTheme="minorEastAsia" w:eastAsiaTheme="minorEastAsia" w:cstheme="minorEastAsia"/>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日</w:t>
      </w:r>
    </w:p>
    <w:p>
      <w:pPr>
        <w:shd w:val="clea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w:t>
      </w:r>
    </w:p>
    <w:p>
      <w:pPr>
        <w:shd w:val="clea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 w:val="24"/>
          <w:szCs w:val="24"/>
          <w:highlight w:val="none"/>
          <w:u w:val="single"/>
        </w:rPr>
        <w:t>（单位名称）的（项目名称）</w:t>
      </w:r>
      <w:r>
        <w:rPr>
          <w:rFonts w:hint="eastAsia" w:asciiTheme="minorEastAsia" w:hAnsiTheme="minorEastAsia" w:eastAsiaTheme="minorEastAsia" w:cstheme="minorEastAsia"/>
          <w:color w:val="auto"/>
          <w:sz w:val="24"/>
          <w:szCs w:val="24"/>
          <w:highlight w:val="none"/>
        </w:rPr>
        <w:t>采购活动，服务全部由符合政策要求的中小企业承接。相关企业的具体情况如下：</w:t>
      </w:r>
    </w:p>
    <w:p>
      <w:pPr>
        <w:keepNext w:val="0"/>
        <w:keepLines w:val="0"/>
        <w:pageBreakBefore w:val="0"/>
        <w:widowControl w:val="0"/>
        <w:numPr>
          <w:ilvl w:val="0"/>
          <w:numId w:val="35"/>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sz w:val="24"/>
          <w:highlight w:val="none"/>
          <w:u w:val="single"/>
        </w:rPr>
        <w:t>（标的名称）</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eastAsia="zh-CN"/>
        </w:rPr>
        <w:t>专业技术服务业</w:t>
      </w:r>
      <w:r>
        <w:rPr>
          <w:rFonts w:hint="eastAsia" w:asciiTheme="minorEastAsia" w:hAnsiTheme="minorEastAsia" w:eastAsiaTheme="minorEastAsia" w:cstheme="minorEastAsia"/>
          <w:color w:val="auto"/>
          <w:sz w:val="24"/>
          <w:szCs w:val="24"/>
          <w:highlight w:val="none"/>
          <w:u w:val="single"/>
        </w:rPr>
        <w:t xml:space="preserve">）；承建（承接）企业为（企业名称），从业人员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人，营业收入为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万元，资产总额为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（中型企业、小型企业、微型企业）；</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pPr>
        <w:pStyle w:val="16"/>
        <w:shd w:val="clear"/>
        <w:rPr>
          <w:rFonts w:hint="eastAsia" w:asciiTheme="minorEastAsia" w:hAnsiTheme="minorEastAsia" w:eastAsiaTheme="minorEastAsia" w:cstheme="minorEastAsia"/>
          <w:color w:val="auto"/>
          <w:sz w:val="21"/>
          <w:szCs w:val="21"/>
          <w:highlight w:val="none"/>
        </w:rPr>
      </w:pPr>
    </w:p>
    <w:p>
      <w:pPr>
        <w:widowControl/>
        <w:shd w:val="clea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公章</w:t>
      </w:r>
      <w:r>
        <w:rPr>
          <w:rFonts w:hint="eastAsia" w:asciiTheme="minorEastAsia" w:hAnsiTheme="minorEastAsia" w:eastAsiaTheme="minorEastAsia" w:cstheme="minorEastAsia"/>
          <w:color w:val="auto"/>
          <w:kern w:val="0"/>
          <w:sz w:val="21"/>
          <w:szCs w:val="21"/>
          <w:highlight w:val="none"/>
        </w:rPr>
        <w:t xml:space="preserve">）： </w:t>
      </w:r>
    </w:p>
    <w:p>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日 期：</w:t>
      </w:r>
    </w:p>
    <w:p>
      <w:pPr>
        <w:widowControl/>
        <w:shd w:val="clear"/>
        <w:jc w:val="left"/>
        <w:rPr>
          <w:rFonts w:hint="eastAsia" w:asciiTheme="minorEastAsia" w:hAnsiTheme="minorEastAsia" w:eastAsiaTheme="minorEastAsia" w:cstheme="minorEastAsia"/>
          <w:b/>
          <w:color w:val="auto"/>
          <w:sz w:val="24"/>
          <w:szCs w:val="24"/>
          <w:highlight w:val="none"/>
          <w:lang w:val="en-GB"/>
        </w:rPr>
      </w:pPr>
    </w:p>
    <w:p>
      <w:pPr>
        <w:pStyle w:val="37"/>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pPr>
        <w:pStyle w:val="37"/>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pPr>
        <w:pStyle w:val="37"/>
        <w:shd w:val="clear"/>
        <w:snapToGrid w:val="0"/>
        <w:rPr>
          <w:rFonts w:hint="eastAsia" w:asciiTheme="minorEastAsia" w:hAnsiTheme="minorEastAsia" w:eastAsiaTheme="minorEastAsia" w:cstheme="minorEastAsia"/>
          <w:highlight w:val="none"/>
          <w:u w:val="single"/>
        </w:rPr>
      </w:pPr>
      <w:bookmarkStart w:id="25" w:name="_Hlk77602961"/>
      <w:r>
        <w:rPr>
          <w:rFonts w:hint="eastAsia" w:asciiTheme="minorEastAsia" w:hAnsiTheme="minorEastAsia" w:eastAsiaTheme="minorEastAsia" w:cstheme="minorEastAsia"/>
          <w:highlight w:val="none"/>
          <w:u w:val="single"/>
        </w:rPr>
        <w:t>填表说明：</w:t>
      </w:r>
    </w:p>
    <w:p>
      <w:pPr>
        <w:pStyle w:val="37"/>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1</w:t>
      </w:r>
      <w:r>
        <w:rPr>
          <w:rFonts w:hint="eastAsia" w:asciiTheme="minorEastAsia" w:hAnsiTheme="minorEastAsia" w:eastAsiaTheme="minorEastAsia" w:cstheme="minorEastAsia"/>
          <w:highlight w:val="none"/>
          <w:u w:val="single"/>
        </w:rPr>
        <w:t>、从业人员、营业收入、资产总额填报上一年度数据，无上一年度数据的新成立企业可不填报。</w:t>
      </w:r>
    </w:p>
    <w:p>
      <w:pPr>
        <w:pStyle w:val="37"/>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pPr>
        <w:pStyle w:val="37"/>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rPr>
        <w:t>http://202.106.1</w:t>
      </w: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u w:val="single"/>
        </w:rPr>
        <w:t>0.146/baosong/appweb/orgScale.html</w:t>
      </w:r>
    </w:p>
    <w:p>
      <w:pPr>
        <w:pStyle w:val="37"/>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3</w:t>
      </w:r>
      <w:r>
        <w:rPr>
          <w:rFonts w:hint="eastAsia" w:asciiTheme="minorEastAsia" w:hAnsiTheme="minorEastAsia" w:eastAsiaTheme="minorEastAsia" w:cstheme="minorEastAsia"/>
          <w:highlight w:val="none"/>
          <w:u w:val="single"/>
        </w:rPr>
        <w:t>、如国家对中小企业划型标准有新的规定的，从其规定。</w:t>
      </w:r>
    </w:p>
    <w:bookmarkEnd w:id="25"/>
    <w:p>
      <w:pPr>
        <w:shd w:val="clear"/>
        <w:rPr>
          <w:rFonts w:hint="eastAsia" w:asciiTheme="minorEastAsia" w:hAnsiTheme="minorEastAsia" w:eastAsiaTheme="minorEastAsia" w:cstheme="minorEastAsia"/>
          <w:highlight w:val="none"/>
          <w:lang w:eastAsia="zh-CN"/>
        </w:rPr>
        <w:sectPr>
          <w:footerReference r:id="rId14" w:type="first"/>
          <w:headerReference r:id="rId12" w:type="default"/>
          <w:footerReference r:id="rId13" w:type="default"/>
          <w:pgSz w:w="11906" w:h="16838"/>
          <w:pgMar w:top="1247" w:right="1417" w:bottom="1474" w:left="1417" w:header="851" w:footer="896" w:gutter="0"/>
          <w:pgNumType w:fmt="decimal"/>
          <w:cols w:space="0" w:num="1"/>
          <w:titlePg/>
          <w:rtlGutter w:val="0"/>
          <w:docGrid w:type="lines" w:linePitch="312" w:charSpace="0"/>
        </w:sectPr>
      </w:pPr>
    </w:p>
    <w:p>
      <w:pPr>
        <w:pStyle w:val="37"/>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pPr>
        <w:pStyle w:val="37"/>
        <w:shd w:val="clear"/>
        <w:spacing w:line="360" w:lineRule="auto"/>
        <w:jc w:val="cente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残疾人福利性单位声明函</w:t>
      </w:r>
    </w:p>
    <w:p>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p>
    <w:p>
      <w:pPr>
        <w:shd w:val="clear"/>
        <w:tabs>
          <w:tab w:val="left" w:pos="4860"/>
        </w:tabs>
        <w:spacing w:line="588" w:lineRule="exact"/>
        <w:ind w:right="156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pPr>
        <w:pStyle w:val="2"/>
        <w:numPr>
          <w:ilvl w:val="0"/>
          <w:numId w:val="0"/>
        </w:numPr>
        <w:shd w:val="clear"/>
        <w:ind w:leftChars="0"/>
        <w:rPr>
          <w:rFonts w:hint="eastAsia" w:asciiTheme="minorEastAsia" w:hAnsiTheme="minorEastAsia" w:eastAsiaTheme="minorEastAsia" w:cstheme="minorEastAsia"/>
          <w:color w:val="auto"/>
          <w:spacing w:val="6"/>
          <w:sz w:val="21"/>
          <w:szCs w:val="21"/>
          <w:highlight w:val="none"/>
        </w:rPr>
      </w:pPr>
    </w:p>
    <w:p>
      <w:pPr>
        <w:shd w:val="clear"/>
        <w:rPr>
          <w:rFonts w:hint="eastAsia" w:asciiTheme="minorEastAsia" w:hAnsiTheme="minorEastAsia" w:eastAsiaTheme="minorEastAsia" w:cstheme="minorEastAsia"/>
          <w:color w:val="auto"/>
          <w:spacing w:val="6"/>
          <w:sz w:val="21"/>
          <w:szCs w:val="21"/>
          <w:highlight w:val="none"/>
        </w:rPr>
      </w:pPr>
    </w:p>
    <w:p>
      <w:pPr>
        <w:widowControl/>
        <w:numPr>
          <w:ilvl w:val="0"/>
          <w:numId w:val="0"/>
        </w:numPr>
        <w:shd w:val="clea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监狱企业的证明文件（如有）</w:t>
      </w:r>
    </w:p>
    <w:p>
      <w:pPr>
        <w:pStyle w:val="27"/>
        <w:numPr>
          <w:ilvl w:val="0"/>
          <w:numId w:val="0"/>
        </w:numPr>
        <w:shd w:val="clear"/>
        <w:rPr>
          <w:rFonts w:hint="eastAsia" w:asciiTheme="minorEastAsia" w:hAnsiTheme="minorEastAsia" w:eastAsiaTheme="minorEastAsia" w:cstheme="minorEastAsia"/>
          <w:highlight w:val="none"/>
        </w:rPr>
      </w:pPr>
    </w:p>
    <w:p>
      <w:pPr>
        <w:pStyle w:val="16"/>
        <w:shd w:val="clear"/>
        <w:spacing w:line="360" w:lineRule="auto"/>
        <w:ind w:firstLine="44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pPr>
        <w:shd w:val="clear"/>
        <w:rPr>
          <w:rFonts w:hint="eastAsia" w:asciiTheme="minorEastAsia" w:hAnsiTheme="minorEastAsia" w:eastAsiaTheme="minorEastAsia" w:cstheme="minorEastAsia"/>
          <w:highlight w:val="none"/>
        </w:rPr>
      </w:pPr>
    </w:p>
    <w:p>
      <w:pPr>
        <w:shd w:val="clear"/>
        <w:tabs>
          <w:tab w:val="left" w:pos="4860"/>
        </w:tabs>
        <w:spacing w:line="588" w:lineRule="exact"/>
        <w:ind w:right="1560" w:firstLine="420"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pPr>
        <w:pStyle w:val="2"/>
        <w:shd w:val="clear"/>
        <w:rPr>
          <w:rFonts w:hint="eastAsia" w:asciiTheme="minorEastAsia" w:hAnsiTheme="minorEastAsia" w:eastAsiaTheme="minorEastAsia" w:cstheme="minorEastAsia"/>
          <w:highlight w:val="none"/>
        </w:rPr>
        <w:sectPr>
          <w:pgSz w:w="11906" w:h="16838"/>
          <w:pgMar w:top="1247" w:right="1417" w:bottom="1474" w:left="1417" w:header="851" w:footer="896" w:gutter="0"/>
          <w:cols w:space="0" w:num="1"/>
          <w:titlePg/>
          <w:rtlGutter w:val="0"/>
          <w:docGrid w:type="lines" w:linePitch="312" w:charSpace="0"/>
        </w:sectPr>
      </w:pPr>
    </w:p>
    <w:p>
      <w:pPr>
        <w:pStyle w:val="696"/>
        <w:shd w:val="clear"/>
        <w:snapToGrid w:val="0"/>
        <w:spacing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附件 </w:t>
      </w:r>
    </w:p>
    <w:p>
      <w:pPr>
        <w:pStyle w:val="292"/>
        <w:shd w:val="clear"/>
        <w:snapToGrid w:val="0"/>
        <w:spacing w:after="156" w:line="480" w:lineRule="exact"/>
        <w:ind w:firstLine="482" w:firstLineChars="200"/>
        <w:rPr>
          <w:rFonts w:hint="eastAsia" w:asciiTheme="minorEastAsia" w:hAnsiTheme="minorEastAsia" w:eastAsiaTheme="minorEastAsia" w:cstheme="minorEastAsia"/>
          <w:b/>
          <w:sz w:val="24"/>
          <w:szCs w:val="24"/>
          <w:highlight w:val="none"/>
          <w:lang w:val="en-GB"/>
        </w:rPr>
      </w:pPr>
      <w:r>
        <w:rPr>
          <w:rFonts w:hint="eastAsia" w:asciiTheme="minorEastAsia" w:hAnsiTheme="minorEastAsia" w:eastAsiaTheme="minorEastAsia" w:cstheme="minorEastAsia"/>
          <w:b/>
          <w:sz w:val="24"/>
          <w:szCs w:val="24"/>
          <w:highlight w:val="none"/>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sz w:val="24"/>
          <w:szCs w:val="24"/>
          <w:highlight w:val="none"/>
          <w:lang w:val="en-US" w:eastAsia="zh-CN"/>
        </w:rPr>
        <w:t>1391370120</w:t>
      </w:r>
      <w:r>
        <w:rPr>
          <w:rFonts w:hint="eastAsia" w:asciiTheme="minorEastAsia" w:hAnsiTheme="minorEastAsia" w:eastAsiaTheme="minorEastAsia" w:cstheme="minorEastAsia"/>
          <w:b/>
          <w:sz w:val="24"/>
          <w:szCs w:val="24"/>
          <w:highlight w:val="none"/>
        </w:rPr>
        <w:t>@qq.com)</w:t>
      </w:r>
    </w:p>
    <w:p>
      <w:pPr>
        <w:shd w:val="clear"/>
        <w:snapToGrid w:val="0"/>
        <w:spacing w:before="156" w:beforeLines="50" w:after="5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政府采购活动现场确认声明书</w:t>
      </w:r>
    </w:p>
    <w:p>
      <w:pPr>
        <w:pStyle w:val="292"/>
        <w:shd w:val="clear"/>
        <w:tabs>
          <w:tab w:val="left" w:pos="8231"/>
        </w:tabs>
        <w:snapToGrid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u w:val="single"/>
        </w:rPr>
        <w:t xml:space="preserve"> 建经投资咨询有限公司 </w:t>
      </w:r>
      <w:r>
        <w:rPr>
          <w:rFonts w:hint="eastAsia" w:asciiTheme="minorEastAsia" w:hAnsiTheme="minorEastAsia" w:eastAsiaTheme="minorEastAsia" w:cstheme="minorEastAsia"/>
          <w:sz w:val="24"/>
          <w:szCs w:val="24"/>
          <w:highlight w:val="none"/>
        </w:rPr>
        <w:t>（采购组织机构名称）：</w:t>
      </w:r>
      <w:r>
        <w:rPr>
          <w:rFonts w:hint="eastAsia" w:asciiTheme="minorEastAsia" w:hAnsiTheme="minorEastAsia" w:eastAsiaTheme="minorEastAsia" w:cstheme="minorEastAsia"/>
          <w:sz w:val="24"/>
          <w:szCs w:val="24"/>
          <w:highlight w:val="none"/>
        </w:rPr>
        <w:tab/>
      </w:r>
    </w:p>
    <w:p>
      <w:pPr>
        <w:pStyle w:val="292"/>
        <w:shd w:val="clear"/>
        <w:snapToGrid w:val="0"/>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本人经由</w:t>
      </w:r>
      <w:r>
        <w:rPr>
          <w:rFonts w:hint="eastAsia" w:asciiTheme="minorEastAsia" w:hAnsiTheme="minorEastAsia" w:eastAsiaTheme="minorEastAsia" w:cstheme="minorEastAsia"/>
          <w:spacing w:val="6"/>
          <w:sz w:val="24"/>
          <w:szCs w:val="24"/>
          <w:highlight w:val="none"/>
          <w:u w:val="single"/>
        </w:rPr>
        <w:t xml:space="preserve">                  （单位）</w:t>
      </w:r>
      <w:r>
        <w:rPr>
          <w:rFonts w:hint="eastAsia" w:asciiTheme="minorEastAsia" w:hAnsiTheme="minorEastAsia" w:eastAsiaTheme="minorEastAsia" w:cstheme="minorEastAsia"/>
          <w:spacing w:val="6"/>
          <w:sz w:val="24"/>
          <w:szCs w:val="24"/>
          <w:highlight w:val="none"/>
        </w:rPr>
        <w:t>负责人</w:t>
      </w:r>
      <w:r>
        <w:rPr>
          <w:rFonts w:hint="eastAsia" w:asciiTheme="minorEastAsia" w:hAnsiTheme="minorEastAsia" w:eastAsiaTheme="minorEastAsia" w:cstheme="minorEastAsia"/>
          <w:spacing w:val="6"/>
          <w:sz w:val="24"/>
          <w:szCs w:val="24"/>
          <w:highlight w:val="none"/>
          <w:u w:val="single"/>
        </w:rPr>
        <w:t xml:space="preserve">        （姓名）</w:t>
      </w:r>
      <w:r>
        <w:rPr>
          <w:rFonts w:hint="eastAsia" w:asciiTheme="minorEastAsia" w:hAnsiTheme="minorEastAsia" w:eastAsiaTheme="minorEastAsia" w:cstheme="minorEastAsia"/>
          <w:spacing w:val="6"/>
          <w:sz w:val="24"/>
          <w:szCs w:val="24"/>
          <w:highlight w:val="none"/>
        </w:rPr>
        <w:t>合法授权参加</w:t>
      </w:r>
      <w:r>
        <w:rPr>
          <w:rFonts w:hint="eastAsia" w:asciiTheme="minorEastAsia" w:hAnsiTheme="minorEastAsia" w:eastAsiaTheme="minorEastAsia" w:cstheme="minorEastAsia"/>
          <w:bCs/>
          <w:spacing w:val="6"/>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 xml:space="preserve">）政府采购活动，经与本单位法人代表（负责人）联系确认，现就有关公平竞争事项郑重声明如下： </w:t>
      </w:r>
    </w:p>
    <w:p>
      <w:pPr>
        <w:pStyle w:val="235"/>
        <w:numPr>
          <w:ilvl w:val="0"/>
          <w:numId w:val="36"/>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本单位与采购人之间 □不存在利害关系 □存在下列利害关系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pStyle w:val="235"/>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A.投资关系    B.行政隶属关系    C.业务指导关系</w:t>
      </w:r>
    </w:p>
    <w:p>
      <w:pPr>
        <w:pStyle w:val="235"/>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D.其他可能影响采购公正的利害关系</w:t>
      </w:r>
      <w:r>
        <w:rPr>
          <w:rFonts w:hint="eastAsia" w:asciiTheme="minorEastAsia" w:hAnsiTheme="minorEastAsia" w:eastAsiaTheme="minorEastAsia" w:cstheme="minorEastAsia"/>
          <w:sz w:val="24"/>
          <w:szCs w:val="24"/>
          <w:highlight w:val="none"/>
          <w:u w:val="single"/>
        </w:rPr>
        <w:t xml:space="preserve">（如有，请如实说明）                 </w:t>
      </w:r>
      <w:r>
        <w:rPr>
          <w:rFonts w:hint="eastAsia" w:asciiTheme="minorEastAsia" w:hAnsiTheme="minorEastAsia" w:eastAsiaTheme="minorEastAsia" w:cstheme="minorEastAsia"/>
          <w:sz w:val="24"/>
          <w:szCs w:val="24"/>
          <w:highlight w:val="none"/>
        </w:rPr>
        <w:t>。</w:t>
      </w:r>
    </w:p>
    <w:p>
      <w:pPr>
        <w:pStyle w:val="235"/>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 xml:space="preserve">  二、</w:t>
      </w:r>
      <w:r>
        <w:rPr>
          <w:rFonts w:hint="eastAsia" w:asciiTheme="minorEastAsia" w:hAnsiTheme="minorEastAsia" w:eastAsiaTheme="minorEastAsia" w:cstheme="minorEastAsia"/>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sz w:val="24"/>
          <w:szCs w:val="24"/>
          <w:highlight w:val="none"/>
          <w:u w:val="single"/>
        </w:rPr>
        <w:t xml:space="preserve">           （供应商名称）</w:t>
      </w:r>
      <w:r>
        <w:rPr>
          <w:rFonts w:hint="eastAsia" w:asciiTheme="minorEastAsia" w:hAnsiTheme="minorEastAsia" w:eastAsiaTheme="minorEastAsia" w:cstheme="minorEastAsia"/>
          <w:sz w:val="24"/>
          <w:szCs w:val="24"/>
          <w:highlight w:val="none"/>
        </w:rPr>
        <w:t>之间存在下列利害关系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pStyle w:val="29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A.法定代表人或负责人或实际控制人是同一人</w:t>
      </w:r>
    </w:p>
    <w:p>
      <w:pPr>
        <w:pStyle w:val="292"/>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B.法定代表人或负责人或实际控制人是夫妻关系</w:t>
      </w:r>
    </w:p>
    <w:p>
      <w:pPr>
        <w:pStyle w:val="292"/>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C.法定代表人或负责人或实际控制人是直系血亲关系</w:t>
      </w:r>
    </w:p>
    <w:p>
      <w:pPr>
        <w:pStyle w:val="292"/>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D.法定代表人或负责人或实际控制人存在三代以内旁系血亲关系</w:t>
      </w:r>
    </w:p>
    <w:p>
      <w:pPr>
        <w:pStyle w:val="29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E.法定代表人或负责人或实际控制人存在近姻亲关系</w:t>
      </w:r>
    </w:p>
    <w:p>
      <w:pPr>
        <w:pStyle w:val="29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F.法定代表人或负责人或实际控制人存在股份控制或实际控制关系</w:t>
      </w:r>
    </w:p>
    <w:p>
      <w:pPr>
        <w:pStyle w:val="29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G.存在共同直接或间接投资设立子公司、联营企业和合营企业情况</w:t>
      </w:r>
    </w:p>
    <w:p>
      <w:pPr>
        <w:pStyle w:val="29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H.存在分级代理或代销关系、同一生产制造商关系、管理关系、重要业务（占主营业务收入50%以上）或重要财务往来关系（如融资）等其他实质性控制关系</w:t>
      </w:r>
    </w:p>
    <w:p>
      <w:pPr>
        <w:pStyle w:val="292"/>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I.其他利害关系情况</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pStyle w:val="235"/>
        <w:numPr>
          <w:ilvl w:val="0"/>
          <w:numId w:val="37"/>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现已清楚知道并严格遵守政府采购法律法规和现场纪律。</w:t>
      </w:r>
    </w:p>
    <w:p>
      <w:pPr>
        <w:pStyle w:val="235"/>
        <w:numPr>
          <w:ilvl w:val="0"/>
          <w:numId w:val="37"/>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我发现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供应商之间存在或可能存在上述第二条第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项利害关系             （供应商代表签名）                         </w:t>
      </w:r>
    </w:p>
    <w:p>
      <w:pPr>
        <w:pStyle w:val="292"/>
        <w:shd w:val="clear"/>
        <w:snapToGrid w:val="0"/>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pPr>
        <w:pStyle w:val="27"/>
        <w:shd w:val="clear"/>
        <w:rPr>
          <w:rFonts w:hint="eastAsia" w:asciiTheme="minorEastAsia" w:hAnsiTheme="minorEastAsia" w:eastAsiaTheme="minorEastAsia" w:cstheme="minorEastAsia"/>
          <w:highlight w:val="none"/>
        </w:rPr>
        <w:sectPr>
          <w:pgSz w:w="11906" w:h="16838"/>
          <w:pgMar w:top="1247" w:right="1417" w:bottom="1474" w:left="1417" w:header="851" w:footer="896" w:gutter="0"/>
          <w:cols w:space="0" w:num="1"/>
          <w:titlePg/>
          <w:rtlGutter w:val="0"/>
          <w:docGrid w:type="lines" w:linePitch="312" w:charSpace="0"/>
        </w:sectPr>
      </w:pPr>
    </w:p>
    <w:p>
      <w:pPr>
        <w:jc w:val="center"/>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6"/>
          <w:szCs w:val="36"/>
          <w:highlight w:val="none"/>
        </w:rPr>
        <w:t>采购合同</w:t>
      </w:r>
    </w:p>
    <w:p>
      <w:pPr>
        <w:pStyle w:val="37"/>
        <w:snapToGrid w:val="0"/>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（此稿为合同样本，最终定稿待双方协商后定）</w:t>
      </w:r>
    </w:p>
    <w:p>
      <w:pPr>
        <w:widowControl/>
        <w:shd w:val="clear" w:color="auto" w:fill="FFFFFF"/>
        <w:spacing w:after="150"/>
        <w:ind w:firstLine="48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以下为成交后签定本项目合同的通用条款，成交供应商不得提出实质性的修改，关于专用条款将由采购人与成交供应商结合本项目具体情况协商后签订。</w:t>
      </w:r>
    </w:p>
    <w:p>
      <w:pPr>
        <w:pStyle w:val="37"/>
        <w:snapToGrid w:val="0"/>
        <w:spacing w:before="120" w:after="12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项目名称：                              项目编号：</w:t>
      </w:r>
    </w:p>
    <w:p>
      <w:pPr>
        <w:pStyle w:val="37"/>
        <w:snapToGrid w:val="0"/>
        <w:spacing w:before="120" w:after="12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甲方：（采购单位）                      所在地：</w:t>
      </w:r>
    </w:p>
    <w:p>
      <w:pPr>
        <w:pStyle w:val="37"/>
        <w:snapToGrid w:val="0"/>
        <w:spacing w:before="120" w:after="12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乙方：（中标供应商）                    所在地：</w:t>
      </w:r>
    </w:p>
    <w:p>
      <w:pPr>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为了明确甲、乙双方的权利和义务，履行各自的职责，高效优质地完成本项目。按照《中华人民共和国民法典》的有关规定，经甲乙双方在平等、自愿的基础上共同协商一致，现签订合同如下。</w:t>
      </w:r>
    </w:p>
    <w:p>
      <w:pPr>
        <w:widowControl/>
        <w:snapToGrid w:val="0"/>
        <w:spacing w:line="360" w:lineRule="auto"/>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一、服务内容及标准：</w:t>
      </w:r>
    </w:p>
    <w:p>
      <w:pPr>
        <w:widowControl/>
        <w:snapToGrid w:val="0"/>
        <w:spacing w:line="360" w:lineRule="auto"/>
        <w:jc w:val="left"/>
        <w:rPr>
          <w:rFonts w:hint="eastAsia" w:asciiTheme="minorEastAsia" w:hAnsiTheme="minorEastAsia" w:eastAsiaTheme="minorEastAsia" w:cstheme="minorEastAsia"/>
          <w:b w:val="0"/>
          <w:bCs w:val="0"/>
          <w:sz w:val="21"/>
          <w:szCs w:val="21"/>
          <w:highlight w:val="none"/>
          <w:lang w:val="en-US"/>
        </w:rPr>
      </w:pPr>
      <w:r>
        <w:rPr>
          <w:rFonts w:hint="eastAsia" w:asciiTheme="minorEastAsia" w:hAnsiTheme="minorEastAsia" w:eastAsiaTheme="minorEastAsia" w:cstheme="minorEastAsia"/>
          <w:b/>
          <w:bCs/>
          <w:sz w:val="21"/>
          <w:szCs w:val="21"/>
          <w:highlight w:val="none"/>
          <w:lang w:val="en-US" w:eastAsia="zh-CN"/>
        </w:rPr>
        <w:t>二、服务期限：</w:t>
      </w:r>
      <w:r>
        <w:rPr>
          <w:rFonts w:hint="eastAsia" w:asciiTheme="minorEastAsia" w:hAnsiTheme="minorEastAsia" w:eastAsiaTheme="minorEastAsia" w:cstheme="minorEastAsia"/>
          <w:color w:val="auto"/>
          <w:kern w:val="2"/>
          <w:sz w:val="21"/>
          <w:szCs w:val="21"/>
          <w:highlight w:val="none"/>
          <w:lang w:val="en-US" w:eastAsia="zh-CN" w:bidi="ar-SA"/>
        </w:rPr>
        <w:t xml:space="preserve"> </w:t>
      </w:r>
    </w:p>
    <w:p>
      <w:pPr>
        <w:widowControl/>
        <w:snapToGrid w:val="0"/>
        <w:spacing w:line="360" w:lineRule="auto"/>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三、合同价款：</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合同金额为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人民币元整（¥：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r>
        <w:rPr>
          <w:rFonts w:hint="eastAsia" w:asciiTheme="minorEastAsia" w:hAnsiTheme="minorEastAsia" w:eastAsiaTheme="minorEastAsia" w:cstheme="minorEastAsia"/>
          <w:sz w:val="21"/>
          <w:szCs w:val="21"/>
          <w:highlight w:val="none"/>
          <w:lang w:val="en-US" w:eastAsia="zh-CN"/>
        </w:rPr>
        <w:t>/年</w:t>
      </w:r>
      <w:r>
        <w:rPr>
          <w:rFonts w:hint="eastAsia" w:asciiTheme="minorEastAsia" w:hAnsiTheme="minorEastAsia" w:eastAsiaTheme="minorEastAsia" w:cstheme="minorEastAsia"/>
          <w:sz w:val="21"/>
          <w:szCs w:val="21"/>
          <w:highlight w:val="none"/>
        </w:rPr>
        <w:t>）</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包括</w:t>
      </w:r>
      <w:r>
        <w:rPr>
          <w:rFonts w:hint="eastAsia" w:asciiTheme="minorEastAsia" w:hAnsiTheme="minorEastAsia" w:eastAsiaTheme="minorEastAsia" w:cstheme="minorEastAsia"/>
          <w:sz w:val="21"/>
          <w:szCs w:val="21"/>
          <w:highlight w:val="none"/>
          <w:lang w:val="en-US" w:eastAsia="zh-CN"/>
        </w:rPr>
        <w:t>但不限于</w:t>
      </w:r>
      <w:r>
        <w:rPr>
          <w:rFonts w:hint="eastAsia" w:asciiTheme="minorEastAsia" w:hAnsiTheme="minorEastAsia" w:eastAsiaTheme="minorEastAsia" w:cstheme="minorEastAsia"/>
          <w:sz w:val="21"/>
          <w:szCs w:val="21"/>
          <w:highlight w:val="none"/>
        </w:rPr>
        <w:t>提供服务所需的一切人员工资、奖金、各种加班费、夜餐费、高温补贴、各种社会保险、餐饮与交通、专用设备及工具、器械、服装、安全、管理费用、税费、利润、完成合同所需的一切本身和不可或缺的所有工作开支、政策性文件规定即合同包含的所有风险、责任等各项全部费用（审查、汇报、印刷、邮寄等所有费用）。</w:t>
      </w:r>
    </w:p>
    <w:p>
      <w:pPr>
        <w:spacing w:line="360" w:lineRule="auto"/>
        <w:rPr>
          <w:rFonts w:hint="eastAsia" w:asciiTheme="minorEastAsia" w:hAnsiTheme="minorEastAsia" w:eastAsiaTheme="minorEastAsia" w:cstheme="minorEastAsia"/>
          <w:b/>
          <w:bCs/>
          <w:kern w:val="21"/>
          <w:sz w:val="21"/>
          <w:szCs w:val="21"/>
          <w:highlight w:val="none"/>
        </w:rPr>
      </w:pPr>
      <w:r>
        <w:rPr>
          <w:rFonts w:hint="eastAsia" w:asciiTheme="minorEastAsia" w:hAnsiTheme="minorEastAsia" w:eastAsiaTheme="minorEastAsia" w:cstheme="minorEastAsia"/>
          <w:b/>
          <w:bCs/>
          <w:kern w:val="21"/>
          <w:sz w:val="21"/>
          <w:szCs w:val="21"/>
          <w:highlight w:val="none"/>
          <w:lang w:val="en-US" w:eastAsia="zh-CN"/>
        </w:rPr>
        <w:t>四</w:t>
      </w:r>
      <w:r>
        <w:rPr>
          <w:rFonts w:hint="eastAsia" w:asciiTheme="minorEastAsia" w:hAnsiTheme="minorEastAsia" w:eastAsiaTheme="minorEastAsia" w:cstheme="minorEastAsia"/>
          <w:b/>
          <w:bCs/>
          <w:kern w:val="21"/>
          <w:sz w:val="21"/>
          <w:szCs w:val="21"/>
          <w:highlight w:val="none"/>
        </w:rPr>
        <w:t>、</w:t>
      </w:r>
      <w:r>
        <w:rPr>
          <w:rFonts w:hint="eastAsia" w:asciiTheme="minorEastAsia" w:hAnsiTheme="minorEastAsia" w:eastAsiaTheme="minorEastAsia" w:cstheme="minorEastAsia"/>
          <w:b/>
          <w:bCs/>
          <w:kern w:val="21"/>
          <w:sz w:val="21"/>
          <w:szCs w:val="21"/>
          <w:highlight w:val="none"/>
          <w:lang w:val="en-US" w:eastAsia="zh-CN"/>
        </w:rPr>
        <w:t>考核评价及</w:t>
      </w:r>
      <w:r>
        <w:rPr>
          <w:rFonts w:hint="eastAsia" w:asciiTheme="minorEastAsia" w:hAnsiTheme="minorEastAsia" w:eastAsiaTheme="minorEastAsia" w:cstheme="minorEastAsia"/>
          <w:b/>
          <w:bCs/>
          <w:kern w:val="21"/>
          <w:sz w:val="21"/>
          <w:szCs w:val="21"/>
          <w:highlight w:val="none"/>
        </w:rPr>
        <w:t>付款方式：</w:t>
      </w:r>
    </w:p>
    <w:p>
      <w:pPr>
        <w:adjustRightInd w:val="0"/>
        <w:spacing w:line="360" w:lineRule="auto"/>
        <w:ind w:firstLine="422" w:firstLineChars="200"/>
        <w:rPr>
          <w:rFonts w:hint="eastAsia"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val="en-US" w:eastAsia="zh-CN"/>
        </w:rPr>
        <w:t>1、考核评价：</w:t>
      </w:r>
    </w:p>
    <w:p>
      <w:pPr>
        <w:adjustRightInd w:val="0"/>
        <w:spacing w:line="360" w:lineRule="auto"/>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（1）总设计师（团队）的所有服务行为均应符合国家法律、法规，并承担法律责任，杜绝一切徇私舞弊与不公正行为。如有发现，采购人有权解除合同。</w:t>
      </w:r>
    </w:p>
    <w:p>
      <w:pPr>
        <w:adjustRightInd w:val="0"/>
        <w:spacing w:line="360" w:lineRule="auto"/>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（2）总设计师（团队）年度服务合同期限届满前1个月内，由甲方完成履约质量评价，履约质量经评估须达到80分及以上为良好，60-80分为合格，60分以下为不合格。</w:t>
      </w:r>
    </w:p>
    <w:p>
      <w:pPr>
        <w:adjustRightInd w:val="0"/>
        <w:spacing w:line="360" w:lineRule="auto"/>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（3）由甲方组织年度考核，评分表详见附件1（暂定表格，甲方有权对该表格进行修改，中标人不得拒绝）。</w:t>
      </w:r>
    </w:p>
    <w:p>
      <w:pPr>
        <w:ind w:firstLine="211" w:firstLineChars="100"/>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2、付款方式：</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合同生效以及具备实施条件后7个工作日内支付本年度总金额的40%作为预付款，同时乙方提供本年度总金额的40%预付款保函（预付款保函时间为一年）。合同签订满6个月后，需在第6个月的25日前上报甲方，经甲方核实后在次月10日前（遇节假日顺延）支付本年度总金额20%，合同签订满10个月后，需在第10个月的25日前上报甲方，经甲方核实后在次月10日前（遇节假日顺延）支付本年度总金额20%。</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2、本年度合同期满后且根据年度履约质量评价情况，甲方支付本年度剩余费用：</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default" w:asciiTheme="minorEastAsia" w:hAnsiTheme="minorEastAsia" w:eastAsiaTheme="minorEastAsia" w:cstheme="minorEastAsia"/>
          <w:b w:val="0"/>
          <w:bCs w:val="0"/>
          <w:sz w:val="21"/>
          <w:szCs w:val="21"/>
          <w:highlight w:val="none"/>
          <w:lang w:val="en-US" w:eastAsia="zh-CN"/>
        </w:rPr>
        <w:t>①</w:t>
      </w:r>
      <w:r>
        <w:rPr>
          <w:rFonts w:hint="eastAsia" w:asciiTheme="minorEastAsia" w:hAnsiTheme="minorEastAsia" w:eastAsiaTheme="minorEastAsia" w:cstheme="minorEastAsia"/>
          <w:b w:val="0"/>
          <w:bCs w:val="0"/>
          <w:sz w:val="21"/>
          <w:szCs w:val="21"/>
          <w:highlight w:val="none"/>
          <w:lang w:val="en-US" w:eastAsia="zh-CN"/>
        </w:rPr>
        <w:t>评价结果为良好的，一次性付清余款，并续签下一年度合同；</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default" w:asciiTheme="minorEastAsia" w:hAnsiTheme="minorEastAsia" w:eastAsiaTheme="minorEastAsia" w:cstheme="minorEastAsia"/>
          <w:b w:val="0"/>
          <w:bCs w:val="0"/>
          <w:sz w:val="21"/>
          <w:szCs w:val="21"/>
          <w:highlight w:val="none"/>
          <w:lang w:val="en-US" w:eastAsia="zh-CN"/>
        </w:rPr>
        <w:t>②</w:t>
      </w:r>
      <w:r>
        <w:rPr>
          <w:rFonts w:hint="eastAsia" w:asciiTheme="minorEastAsia" w:hAnsiTheme="minorEastAsia" w:eastAsiaTheme="minorEastAsia" w:cstheme="minorEastAsia"/>
          <w:b w:val="0"/>
          <w:bCs w:val="0"/>
          <w:sz w:val="21"/>
          <w:szCs w:val="21"/>
          <w:highlight w:val="none"/>
          <w:lang w:val="en-US" w:eastAsia="zh-CN"/>
        </w:rPr>
        <w:t>评价结果为合格的，甲方支付本年度合同价的10%，剩余部分不再支付，并由双方协商确定是否续签下一年度合同；</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default" w:asciiTheme="minorEastAsia" w:hAnsiTheme="minorEastAsia" w:eastAsiaTheme="minorEastAsia" w:cstheme="minorEastAsia"/>
          <w:b w:val="0"/>
          <w:bCs w:val="0"/>
          <w:sz w:val="21"/>
          <w:szCs w:val="21"/>
          <w:highlight w:val="none"/>
          <w:lang w:val="en-US" w:eastAsia="zh-CN"/>
        </w:rPr>
        <w:t>③</w:t>
      </w:r>
      <w:r>
        <w:rPr>
          <w:rFonts w:hint="eastAsia" w:asciiTheme="minorEastAsia" w:hAnsiTheme="minorEastAsia" w:eastAsiaTheme="minorEastAsia" w:cstheme="minorEastAsia"/>
          <w:b w:val="0"/>
          <w:bCs w:val="0"/>
          <w:sz w:val="21"/>
          <w:szCs w:val="21"/>
          <w:highlight w:val="none"/>
          <w:lang w:val="en-US" w:eastAsia="zh-CN"/>
        </w:rPr>
        <w:t>评估结果为不合格的，不予支付剩余年度费用，不再签订下一年度合同。</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3、因供应商自身原因未及时上报费用的，责任由乙方自行承担。（按甲方要求开具发票）。</w:t>
      </w:r>
    </w:p>
    <w:p>
      <w:pPr>
        <w:tabs>
          <w:tab w:val="left" w:pos="567"/>
        </w:tabs>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五</w:t>
      </w:r>
      <w:r>
        <w:rPr>
          <w:rFonts w:hint="eastAsia" w:asciiTheme="minorEastAsia" w:hAnsiTheme="minorEastAsia" w:eastAsiaTheme="minorEastAsia" w:cstheme="minorEastAsia"/>
          <w:b/>
          <w:sz w:val="21"/>
          <w:szCs w:val="21"/>
          <w:highlight w:val="none"/>
        </w:rPr>
        <w:t>、履约保证金：</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金额：签约合同价的1%。</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收取方式：网银、汇票、电汇、转账支付等非现金方式或银行、保险公司出具的保函形式；</w:t>
      </w:r>
    </w:p>
    <w:p>
      <w:pPr>
        <w:tabs>
          <w:tab w:val="left" w:pos="426"/>
        </w:tabs>
        <w:spacing w:line="360" w:lineRule="auto"/>
        <w:ind w:firstLine="420" w:firstLineChars="200"/>
        <w:rPr>
          <w:rFonts w:hint="eastAsia" w:asciiTheme="minorEastAsia" w:hAnsiTheme="minorEastAsia" w:eastAsiaTheme="minorEastAsia" w:cstheme="minorEastAsia"/>
          <w:color w:val="0D0D0D"/>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履约保证金的退还</w:t>
      </w:r>
      <w:r>
        <w:rPr>
          <w:rFonts w:hint="eastAsia" w:asciiTheme="minorEastAsia" w:hAnsiTheme="minorEastAsia" w:eastAsiaTheme="minorEastAsia" w:cstheme="minorEastAsia"/>
          <w:color w:val="0D0D0D"/>
          <w:sz w:val="21"/>
          <w:szCs w:val="21"/>
          <w:highlight w:val="none"/>
        </w:rPr>
        <w:t>：在合同履约到期且无异议情况下30日内无息退还。</w:t>
      </w:r>
    </w:p>
    <w:p>
      <w:pPr>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六</w:t>
      </w:r>
      <w:r>
        <w:rPr>
          <w:rFonts w:hint="eastAsia" w:asciiTheme="minorEastAsia" w:hAnsiTheme="minorEastAsia" w:eastAsiaTheme="minorEastAsia" w:cstheme="minorEastAsia"/>
          <w:b/>
          <w:sz w:val="21"/>
          <w:szCs w:val="21"/>
          <w:highlight w:val="none"/>
        </w:rPr>
        <w:t>、技术资料：</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乙方应按招标文件规定的时间向甲方提供有关技术资料。</w:t>
      </w:r>
    </w:p>
    <w:p>
      <w:pPr>
        <w:tabs>
          <w:tab w:val="left" w:pos="426"/>
        </w:tabs>
        <w:spacing w:line="360" w:lineRule="auto"/>
        <w:ind w:firstLine="420"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tabs>
          <w:tab w:val="left" w:pos="567"/>
        </w:tabs>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七</w:t>
      </w:r>
      <w:r>
        <w:rPr>
          <w:rFonts w:hint="eastAsia" w:asciiTheme="minorEastAsia" w:hAnsiTheme="minorEastAsia" w:eastAsiaTheme="minorEastAsia" w:cstheme="minorEastAsia"/>
          <w:b/>
          <w:sz w:val="21"/>
          <w:szCs w:val="21"/>
          <w:highlight w:val="none"/>
        </w:rPr>
        <w:t>、知识产权：</w:t>
      </w:r>
      <w:r>
        <w:rPr>
          <w:rFonts w:hint="eastAsia" w:asciiTheme="minorEastAsia" w:hAnsiTheme="minorEastAsia" w:eastAsiaTheme="minorEastAsia" w:cstheme="minorEastAsia"/>
          <w:bCs/>
          <w:sz w:val="21"/>
          <w:szCs w:val="21"/>
          <w:highlight w:val="none"/>
        </w:rPr>
        <w:t>乙方应保证提供服务过程中不会侵犯任何第三方的知识产权。</w:t>
      </w:r>
    </w:p>
    <w:p>
      <w:pPr>
        <w:spacing w:line="360" w:lineRule="auto"/>
        <w:rPr>
          <w:rFonts w:hint="eastAsia" w:asciiTheme="minorEastAsia" w:hAnsiTheme="minorEastAsia" w:eastAsiaTheme="minorEastAsia" w:cstheme="minorEastAsia"/>
          <w:color w:val="0D0D0D"/>
          <w:sz w:val="21"/>
          <w:szCs w:val="21"/>
          <w:highlight w:val="none"/>
          <w:lang w:val="zh-CN"/>
        </w:rPr>
      </w:pPr>
      <w:r>
        <w:rPr>
          <w:rFonts w:hint="eastAsia" w:asciiTheme="minorEastAsia" w:hAnsiTheme="minorEastAsia" w:eastAsiaTheme="minorEastAsia" w:cstheme="minorEastAsia"/>
          <w:b/>
          <w:bCs/>
          <w:sz w:val="21"/>
          <w:szCs w:val="21"/>
          <w:highlight w:val="none"/>
          <w:lang w:val="en-US" w:eastAsia="zh-CN"/>
        </w:rPr>
        <w:t>九</w:t>
      </w:r>
      <w:r>
        <w:rPr>
          <w:rFonts w:hint="eastAsia" w:asciiTheme="minorEastAsia" w:hAnsiTheme="minorEastAsia" w:eastAsiaTheme="minorEastAsia" w:cstheme="minorEastAsia"/>
          <w:b/>
          <w:bCs/>
          <w:sz w:val="21"/>
          <w:szCs w:val="21"/>
          <w:highlight w:val="none"/>
        </w:rPr>
        <w:t>、违约责任：</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本合同范围的服务，应由乙方直接供应，不得转让他人供应，否则，甲方有权解除合同，并追究乙方的违约责任。</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乙方提供的服务成果质量没有达到甲方要求的，乙方应负责免费提供后续服务。对达不到要求者，根据实际情况，经双方协商，可按以下办法处理：</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[1]重做：由乙方承担所发生的全部费用；</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[2]解除合同；</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[3]协商解决。</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乙方连续三次没有达到服务质量要求，甲方有权终止服务合同。</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合同生效后，乙方要求终止或解除合同，乙方应双倍返还甲方已支付的定金。</w:t>
      </w:r>
    </w:p>
    <w:p>
      <w:pPr>
        <w:pageBreakBefore w:val="0"/>
        <w:widowControl w:val="0"/>
        <w:numPr>
          <w:ilvl w:val="0"/>
          <w:numId w:val="0"/>
        </w:numPr>
        <w:shd w:val="clear" w:color="auto" w:fill="auto"/>
        <w:kinsoku/>
        <w:wordWrap/>
        <w:overflowPunct/>
        <w:topLinePunct w:val="0"/>
        <w:autoSpaceDE/>
        <w:autoSpaceDN/>
        <w:bidi w:val="0"/>
        <w:spacing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cs="宋体"/>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乙方不得以任何理由在项目实施过程中调换总设计师；专业团队人员若因特殊情况或实际需要必须调换者，乙方必须事先向甲方提供书面请示报告并取得甲方的书面批准以后，才能派替换的专业团队人员进场（拟更换的总设计师及专业团队人员的相关证书、身份证（验证原件，提供复印件）及其工作经历与业绩等有关证明材料（不低于原专业团队人员资质要求）；擅自更换总设计师，甲方有权单方面解除合同，没收全部履约保证金并收取年度合同价的20%作为违约金。擅自更换专业团队人员，乙方需承担50000元/次·人的违约责任。均在下一次付款中直接扣除。</w:t>
      </w:r>
    </w:p>
    <w:p>
      <w:pPr>
        <w:pageBreakBefore w:val="0"/>
        <w:widowControl w:val="0"/>
        <w:numPr>
          <w:ilvl w:val="0"/>
          <w:numId w:val="0"/>
        </w:numPr>
        <w:shd w:val="clear" w:color="auto" w:fill="auto"/>
        <w:kinsoku/>
        <w:wordWrap/>
        <w:overflowPunct/>
        <w:topLinePunct w:val="0"/>
        <w:autoSpaceDE/>
        <w:autoSpaceDN/>
        <w:bidi w:val="0"/>
        <w:spacing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如专业团队人员不符合甲方管理要求，甲方可随时可以要求撤换，乙方应无条件执行，并在10日内完成人员调整，新调整的人员需要经甲方确认（不低于原专业团队人员资质要求）。如未及时撤换专业团队人员的，乙方需承担5000元/次的违约责任。如调整后仍不能胜任本岗位工作，乙方需承担10000元/次的违约责任，直至人员符合条件为止。均在下一次付款中直接扣除。</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7、乙方应当配合甲方的需求制定团队驻场人员考勤制度及考勤方式，严格按照甲方要求的考勤制度及考勤方式进行考勤，甲方可随时查看驻场人员的出勤记录。具体以甲方项目实施时要求为准。</w:t>
      </w:r>
      <w:r>
        <w:rPr>
          <w:rFonts w:hint="eastAsia" w:asciiTheme="minorEastAsia" w:hAnsiTheme="minorEastAsia" w:eastAsiaTheme="minorEastAsia" w:cstheme="minorEastAsia"/>
          <w:color w:val="auto"/>
          <w:sz w:val="21"/>
          <w:szCs w:val="21"/>
          <w:highlight w:val="none"/>
          <w:lang w:val="en-US" w:eastAsia="zh-CN"/>
        </w:rPr>
        <w:t>总设计师重要项目节点未到场或提供线上及线下跟踪服务不足</w:t>
      </w:r>
      <w:r>
        <w:rPr>
          <w:rFonts w:hint="eastAsia" w:asciiTheme="minorEastAsia" w:hAnsiTheme="minorEastAsia" w:eastAsiaTheme="minorEastAsia" w:cstheme="minorEastAsia"/>
          <w:color w:val="auto"/>
          <w:kern w:val="2"/>
          <w:sz w:val="21"/>
          <w:szCs w:val="21"/>
          <w:highlight w:val="none"/>
          <w:lang w:val="en-US" w:eastAsia="zh-CN" w:bidi="ar-SA"/>
        </w:rPr>
        <w:t>48个工作日的</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视为缺岗，需承担</w:t>
      </w:r>
      <w:r>
        <w:rPr>
          <w:rFonts w:hint="default" w:ascii="Times New Roman" w:hAnsi="Times New Roman" w:eastAsia="仿宋_GB2312" w:cs="Times New Roman"/>
          <w:highlight w:val="none"/>
          <w:vertAlign w:val="baseline"/>
          <w:lang w:val="en-US" w:eastAsia="zh-CN"/>
        </w:rPr>
        <w:t>7</w:t>
      </w:r>
      <w:r>
        <w:rPr>
          <w:rFonts w:hint="eastAsia" w:eastAsia="仿宋_GB2312" w:cs="Times New Roman"/>
          <w:highlight w:val="none"/>
          <w:vertAlign w:val="baseline"/>
          <w:lang w:val="en-US" w:eastAsia="zh-CN"/>
        </w:rPr>
        <w:t>40</w:t>
      </w:r>
      <w:r>
        <w:rPr>
          <w:rFonts w:hint="default" w:ascii="Times New Roman" w:hAnsi="Times New Roman" w:eastAsia="仿宋_GB2312" w:cs="Times New Roman"/>
          <w:highlight w:val="none"/>
          <w:vertAlign w:val="baseline"/>
          <w:lang w:val="en-US" w:eastAsia="zh-CN"/>
        </w:rPr>
        <w:t>0</w:t>
      </w:r>
      <w:r>
        <w:rPr>
          <w:rFonts w:hint="eastAsia" w:asciiTheme="minorEastAsia" w:hAnsiTheme="minorEastAsia" w:eastAsiaTheme="minorEastAsia" w:cstheme="minorEastAsia"/>
          <w:sz w:val="21"/>
          <w:szCs w:val="21"/>
          <w:highlight w:val="none"/>
          <w:lang w:val="en-US" w:eastAsia="zh-CN"/>
        </w:rPr>
        <w:t>元/日·人的违约责任，此事件一年内发生三次的，甲方有权单方面解除合同，没收全部履约保证金并收取年度合同价的20%作为违约金。</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其他专业团队人员每年提供驻场服务不足150个工作日的，视为缺岗，需承担4300元/日·人的违约责任，此事件一年内发生十五次的，甲方有权单方面解除合同，没收全部履约保证金并收取年度合同价的20%作为违约金。</w:t>
      </w:r>
    </w:p>
    <w:p>
      <w:pPr>
        <w:pageBreakBefore w:val="0"/>
        <w:widowControl w:val="0"/>
        <w:numPr>
          <w:ilvl w:val="0"/>
          <w:numId w:val="0"/>
        </w:numPr>
        <w:shd w:val="clear" w:color="auto" w:fill="auto"/>
        <w:kinsoku/>
        <w:wordWrap/>
        <w:overflowPunct/>
        <w:topLinePunct w:val="0"/>
        <w:autoSpaceDE/>
        <w:autoSpaceDN/>
        <w:bidi w:val="0"/>
        <w:spacing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以上扣款均在下一次付款中直接扣除。</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8、未经过甲方同意擅自减少专业团队人员的，每发现一次扣除4300元/日·人，此事件一年内发生三次的，甲方有权单方面解除合同，没收全部履约保证金并收取年度合同价的20%作为违约金。</w:t>
      </w:r>
    </w:p>
    <w:p>
      <w:pPr>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r>
        <w:rPr>
          <w:rFonts w:hint="eastAsia" w:ascii="宋体" w:hAnsi="宋体" w:eastAsia="宋体" w:cs="宋体"/>
          <w:sz w:val="21"/>
          <w:szCs w:val="21"/>
          <w:highlight w:val="none"/>
          <w:lang w:val="en-US" w:eastAsia="zh-CN"/>
        </w:rPr>
        <w:t>根据项目实际进展需要确保项目相应专业人员配套齐全、安排充足</w:t>
      </w:r>
      <w:r>
        <w:rPr>
          <w:rFonts w:hint="eastAsia" w:asciiTheme="minorEastAsia" w:hAnsiTheme="minorEastAsia" w:eastAsiaTheme="minorEastAsia" w:cstheme="minorEastAsia"/>
          <w:sz w:val="21"/>
          <w:szCs w:val="21"/>
          <w:highlight w:val="none"/>
          <w:lang w:val="en-US" w:eastAsia="zh-CN"/>
        </w:rPr>
        <w:t>，甲方要求需增加人员，中标人不得拒绝，费用不另行增加。</w:t>
      </w:r>
    </w:p>
    <w:p>
      <w:pPr>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10、总设计师及团队驻场人员服务时长超出的，费用均不另行增加。</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11、团队驻场人员费用均按中级职称测算，实际到场人员若为高级工程师及以上职称，费用不另行增加。</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12、本合同为包干价合同，原则上费用不另行增加。如产生合同约定以外的工作，由双方协商解决。</w:t>
      </w:r>
    </w:p>
    <w:p>
      <w:pPr>
        <w:ind w:firstLine="420" w:firstLineChars="200"/>
        <w:rPr>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kern w:val="2"/>
          <w:sz w:val="21"/>
          <w:szCs w:val="21"/>
          <w:highlight w:val="none"/>
          <w:lang w:val="en-US" w:eastAsia="zh-CN" w:bidi="ar-SA"/>
        </w:rPr>
        <w:t>如有转让和未经甲方同意的分包行为，甲方有权解除合同，没收履约保证金并要求乙方按合同总额的20%承担违约责任。</w:t>
      </w:r>
    </w:p>
    <w:p>
      <w:pPr>
        <w:tabs>
          <w:tab w:val="left" w:pos="2279"/>
        </w:tabs>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十、保密义务：</w:t>
      </w:r>
      <w:r>
        <w:rPr>
          <w:rFonts w:hint="eastAsia" w:asciiTheme="minorEastAsia" w:hAnsiTheme="minorEastAsia" w:eastAsiaTheme="minorEastAsia" w:cstheme="minorEastAsia"/>
          <w:b/>
          <w:sz w:val="21"/>
          <w:szCs w:val="21"/>
          <w:highlight w:val="none"/>
        </w:rPr>
        <w:tab/>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乙方可仅为本合同目的向其确有知悉必要的员工披露甲方提供的保密资料，但同时须指示其员工遵守本条规定的保密及不披露义务。乙方应仅为本合同目的而复制和使用保密资料。</w:t>
      </w:r>
    </w:p>
    <w:p>
      <w:pP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一</w:t>
      </w:r>
      <w:r>
        <w:rPr>
          <w:rFonts w:hint="eastAsia" w:asciiTheme="minorEastAsia" w:hAnsiTheme="minorEastAsia" w:eastAsiaTheme="minorEastAsia" w:cstheme="minorEastAsia"/>
          <w:b/>
          <w:bCs/>
          <w:sz w:val="21"/>
          <w:szCs w:val="21"/>
          <w:highlight w:val="none"/>
        </w:rPr>
        <w:t>、转让和分包：</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本项目允许分包，经</w:t>
      </w:r>
      <w:r>
        <w:rPr>
          <w:rFonts w:hint="eastAsia" w:asciiTheme="minorEastAsia" w:hAnsiTheme="minorEastAsia" w:eastAsiaTheme="minorEastAsia" w:cstheme="minorEastAsia"/>
          <w:sz w:val="21"/>
          <w:szCs w:val="21"/>
          <w:highlight w:val="none"/>
        </w:rPr>
        <w:t>甲方事先书面同意。</w:t>
      </w:r>
    </w:p>
    <w:p>
      <w:pP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二</w:t>
      </w:r>
      <w:r>
        <w:rPr>
          <w:rFonts w:hint="eastAsia" w:asciiTheme="minorEastAsia" w:hAnsiTheme="minorEastAsia" w:eastAsiaTheme="minorEastAsia" w:cstheme="minorEastAsia"/>
          <w:b/>
          <w:bCs/>
          <w:sz w:val="21"/>
          <w:szCs w:val="21"/>
          <w:highlight w:val="none"/>
        </w:rPr>
        <w:t>、不可抗力事件处理：</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在合同有效期内，任何一方因不可抗力事件导致不能履行合同，则合同履行期可延长，其延长期与不可抗力影响期相同。</w:t>
      </w:r>
    </w:p>
    <w:p>
      <w:pPr>
        <w:tabs>
          <w:tab w:val="left" w:pos="426"/>
        </w:tabs>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不可抗力事件发生后，应立即通知对方</w:t>
      </w:r>
      <w:r>
        <w:rPr>
          <w:rFonts w:hint="eastAsia" w:asciiTheme="minorEastAsia" w:hAnsiTheme="minorEastAsia" w:eastAsiaTheme="minorEastAsia" w:cstheme="minorEastAsia"/>
          <w:bCs/>
          <w:sz w:val="21"/>
          <w:szCs w:val="21"/>
          <w:highlight w:val="none"/>
        </w:rPr>
        <w:t>，并寄送有关权威机构出具的证明。</w:t>
      </w:r>
    </w:p>
    <w:p>
      <w:pP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三</w:t>
      </w:r>
      <w:r>
        <w:rPr>
          <w:rFonts w:hint="eastAsia" w:asciiTheme="minorEastAsia" w:hAnsiTheme="minorEastAsia" w:eastAsiaTheme="minorEastAsia" w:cstheme="minorEastAsia"/>
          <w:b/>
          <w:bCs/>
          <w:sz w:val="21"/>
          <w:szCs w:val="21"/>
          <w:highlight w:val="none"/>
        </w:rPr>
        <w:t>、争议解决：</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双方因履行本合同而发生的争议，应协商、调解解决。协商、调解不成的，提交台州仲裁委员会仲裁。</w:t>
      </w:r>
    </w:p>
    <w:p>
      <w:pP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四</w:t>
      </w:r>
      <w:r>
        <w:rPr>
          <w:rFonts w:hint="eastAsia" w:asciiTheme="minorEastAsia" w:hAnsiTheme="minorEastAsia" w:eastAsiaTheme="minorEastAsia" w:cstheme="minorEastAsia"/>
          <w:b/>
          <w:bCs/>
          <w:sz w:val="21"/>
          <w:szCs w:val="21"/>
          <w:highlight w:val="none"/>
        </w:rPr>
        <w:t>、合同的签订和生效：</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合同经甲、乙双方法定代表人或委托代理人签字并加盖单位公章后生效。</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本合同未尽事宜，遵照《民法典》有关条文执行。</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本合同一式捌份，甲、乙双方各执叁份，代理公司贰份。本项目未尽事宜以投标文件、招标文件及澄清文件等为准。</w:t>
      </w:r>
    </w:p>
    <w:p>
      <w:pPr>
        <w:spacing w:line="31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pPr>
        <w:spacing w:line="440" w:lineRule="exact"/>
        <w:ind w:right="-42" w:rightChars="-2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zh-CN"/>
        </w:rPr>
        <w:t>甲方</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公章</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　　　　　　　　　　　　乙方</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公章</w:t>
      </w:r>
      <w:r>
        <w:rPr>
          <w:rFonts w:hint="eastAsia" w:asciiTheme="minorEastAsia" w:hAnsiTheme="minorEastAsia" w:eastAsiaTheme="minorEastAsia" w:cstheme="minorEastAsia"/>
          <w:color w:val="000000"/>
          <w:sz w:val="21"/>
          <w:szCs w:val="21"/>
          <w:highlight w:val="none"/>
        </w:rPr>
        <w:t>）</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法人或委托代理人签名：　　　　　　　法人或委托代理人签名：</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联系人：　　　　　　　　　　　　　　联系人：</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联系电话：　　　　　　　　　　　　　联系电话：</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开户账号：　　　　　　　　　　　　　开户账号：</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签订时间：     年    月    日</w:t>
      </w:r>
    </w:p>
    <w:p>
      <w:pPr>
        <w:adjustRightInd w:val="0"/>
        <w:rPr>
          <w:rFonts w:hint="eastAsia" w:asciiTheme="minorEastAsia" w:hAnsiTheme="minorEastAsia" w:eastAsiaTheme="minorEastAsia" w:cstheme="minorEastAsia"/>
          <w:bCs/>
          <w:sz w:val="21"/>
          <w:szCs w:val="21"/>
          <w:highlight w:val="none"/>
        </w:rPr>
      </w:pPr>
    </w:p>
    <w:p>
      <w:pPr>
        <w:adjustRightInd w:val="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见证方：</w:t>
      </w:r>
    </w:p>
    <w:p>
      <w:pPr>
        <w:adjustRightInd w:val="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见证日期：</w:t>
      </w:r>
    </w:p>
    <w:p>
      <w:pP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br w:type="page"/>
      </w:r>
    </w:p>
    <w:p>
      <w:pPr>
        <w:pStyle w:val="16"/>
        <w:rPr>
          <w:rFonts w:hint="default"/>
          <w:highlight w:val="none"/>
          <w:lang w:val="en-US"/>
        </w:rPr>
      </w:pPr>
      <w:r>
        <w:rPr>
          <w:rFonts w:hint="eastAsia" w:ascii="仿宋_GB2312" w:hAnsi="仿宋_GB2312" w:eastAsia="仿宋_GB2312" w:cs="仿宋_GB2312"/>
          <w:b w:val="0"/>
          <w:bCs w:val="0"/>
          <w:sz w:val="24"/>
          <w:szCs w:val="24"/>
          <w:highlight w:val="none"/>
          <w:lang w:val="en-US" w:eastAsia="zh-CN"/>
        </w:rPr>
        <w:t>附件1</w:t>
      </w:r>
    </w:p>
    <w:tbl>
      <w:tblPr>
        <w:tblStyle w:val="76"/>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4"/>
        <w:gridCol w:w="1644"/>
        <w:gridCol w:w="2215"/>
        <w:gridCol w:w="1966"/>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84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履约评分表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840" w:type="dxa"/>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采购人（盖章）：                 主要领导签字：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8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w:t>
            </w:r>
          </w:p>
        </w:tc>
        <w:tc>
          <w:tcPr>
            <w:tcW w:w="2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说明</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满分</w:t>
            </w:r>
          </w:p>
        </w:tc>
        <w:tc>
          <w:tcPr>
            <w:tcW w:w="1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2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（100分）</w:t>
            </w:r>
          </w:p>
        </w:tc>
        <w:tc>
          <w:tcPr>
            <w:tcW w:w="16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履职情况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（40分）</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整体谋划</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技术审查</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品质把控</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决策参谋</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工作成效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（30分）</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技术服务水平</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合理意见建议</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品质呈现效果</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工作态度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（15分）</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出勤、配合度</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28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4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满意度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（15分）</w:t>
            </w:r>
          </w:p>
        </w:tc>
        <w:tc>
          <w:tcPr>
            <w:tcW w:w="22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工作满意度</w:t>
            </w:r>
          </w:p>
        </w:tc>
        <w:tc>
          <w:tcPr>
            <w:tcW w:w="196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31"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2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auto"/>
                <w:sz w:val="24"/>
                <w:szCs w:val="24"/>
                <w:highlight w:val="none"/>
                <w:u w:val="none"/>
              </w:rPr>
            </w:pPr>
          </w:p>
        </w:tc>
      </w:tr>
    </w:tbl>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注：</w:t>
      </w:r>
      <w:r>
        <w:rPr>
          <w:rFonts w:hint="eastAsia" w:asciiTheme="minorEastAsia" w:hAnsiTheme="minorEastAsia" w:eastAsiaTheme="minorEastAsia" w:cstheme="minorEastAsia"/>
          <w:bCs/>
          <w:sz w:val="21"/>
          <w:szCs w:val="21"/>
          <w:highlight w:val="none"/>
          <w:lang w:val="en-US" w:eastAsia="zh-CN"/>
        </w:rPr>
        <w:t>本表为暂定表格，甲方有权对该表格进行修改，乙方不得拒绝。</w:t>
      </w:r>
      <w:r>
        <w:rPr>
          <w:rFonts w:hint="eastAsia" w:asciiTheme="minorEastAsia" w:hAnsiTheme="minorEastAsia" w:eastAsiaTheme="minorEastAsia" w:cstheme="minorEastAsia"/>
          <w:sz w:val="21"/>
          <w:szCs w:val="21"/>
          <w:highlight w:val="none"/>
        </w:rPr>
        <w:br w:type="page"/>
      </w:r>
    </w:p>
    <w:p>
      <w:pPr>
        <w:pStyle w:val="2"/>
        <w:numPr>
          <w:ilvl w:val="0"/>
          <w:numId w:val="0"/>
        </w:numPr>
        <w:shd w:val="clear"/>
        <w:spacing w:after="120"/>
        <w:jc w:val="center"/>
        <w:rPr>
          <w:rFonts w:hint="eastAsia" w:asciiTheme="minorEastAsia" w:hAnsiTheme="minorEastAsia" w:eastAsiaTheme="minorEastAsia" w:cstheme="minorEastAsia"/>
          <w:b w:val="0"/>
          <w:sz w:val="32"/>
          <w:highlight w:val="none"/>
        </w:rPr>
      </w:pPr>
      <w:r>
        <w:rPr>
          <w:rFonts w:hint="eastAsia" w:asciiTheme="minorEastAsia" w:hAnsiTheme="minorEastAsia" w:eastAsiaTheme="minorEastAsia" w:cstheme="minorEastAsia"/>
          <w:sz w:val="32"/>
          <w:highlight w:val="none"/>
        </w:rPr>
        <w:t>第六部分、评标办法</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一、总  则</w:t>
      </w:r>
    </w:p>
    <w:p>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二、评标组织</w:t>
      </w:r>
    </w:p>
    <w:p>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评标工作由评标委员会负责，评标全过程由有关部门指导监督。</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三、评标程序</w:t>
      </w:r>
    </w:p>
    <w:p>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评标委员会对合格投标人的</w:t>
      </w:r>
      <w:r>
        <w:rPr>
          <w:rFonts w:hint="eastAsia" w:asciiTheme="minorEastAsia" w:hAnsiTheme="minorEastAsia" w:eastAsiaTheme="minorEastAsia" w:cstheme="minorEastAsia"/>
          <w:sz w:val="21"/>
          <w:szCs w:val="21"/>
          <w:highlight w:val="none"/>
          <w:lang w:eastAsia="zh-CN"/>
        </w:rPr>
        <w:t>商务与技术文件</w:t>
      </w:r>
      <w:r>
        <w:rPr>
          <w:rFonts w:hint="eastAsia" w:asciiTheme="minorEastAsia" w:hAnsiTheme="minorEastAsia" w:eastAsiaTheme="minorEastAsia" w:cstheme="minorEastAsia"/>
          <w:sz w:val="21"/>
          <w:szCs w:val="21"/>
          <w:highlight w:val="none"/>
        </w:rPr>
        <w:t>进行评审；</w:t>
      </w:r>
      <w:r>
        <w:rPr>
          <w:rFonts w:hint="eastAsia" w:asciiTheme="minorEastAsia" w:hAnsiTheme="minorEastAsia" w:eastAsiaTheme="minorEastAsia" w:cstheme="minorEastAsia"/>
          <w:sz w:val="21"/>
          <w:szCs w:val="21"/>
          <w:highlight w:val="none"/>
          <w:lang w:eastAsia="zh-CN"/>
        </w:rPr>
        <w:t>商务与技术文件</w:t>
      </w:r>
      <w:r>
        <w:rPr>
          <w:rFonts w:hint="eastAsia" w:asciiTheme="minorEastAsia" w:hAnsiTheme="minorEastAsia" w:eastAsiaTheme="minorEastAsia" w:cstheme="minorEastAsia"/>
          <w:sz w:val="21"/>
          <w:szCs w:val="21"/>
          <w:highlight w:val="none"/>
        </w:rPr>
        <w:t>评审结束后即公布投标人技术资信得分情况，之后评审报价文件；对报价文件评审后，根据综合评审结果，提交评审报告。</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四、评标办法</w:t>
      </w:r>
    </w:p>
    <w:p>
      <w:pPr>
        <w:shd w:val="clear"/>
        <w:spacing w:line="460" w:lineRule="exact"/>
        <w:ind w:firstLine="514"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1、本次采购采用综合评分法，即投标人最大限度地满足招标文件实质性要求的基础上，按照招标文件的各项因素进行综合评审后，</w:t>
      </w:r>
      <w:r>
        <w:rPr>
          <w:rFonts w:hint="eastAsia" w:asciiTheme="minorEastAsia" w:hAnsiTheme="minorEastAsia" w:eastAsiaTheme="minorEastAsia" w:cstheme="minorEastAsia"/>
          <w:color w:val="FF0000"/>
          <w:spacing w:val="10"/>
          <w:szCs w:val="21"/>
          <w:highlight w:val="none"/>
        </w:rPr>
        <w:t>根据评标总分高低排定顺序，推荐第一名</w:t>
      </w:r>
      <w:r>
        <w:rPr>
          <w:rFonts w:hint="eastAsia" w:asciiTheme="minorEastAsia" w:hAnsiTheme="minorEastAsia" w:eastAsiaTheme="minorEastAsia" w:cstheme="minorEastAsia"/>
          <w:color w:val="FF0000"/>
          <w:spacing w:val="10"/>
          <w:szCs w:val="21"/>
          <w:highlight w:val="none"/>
          <w:lang w:val="en-US" w:eastAsia="zh-CN"/>
        </w:rPr>
        <w:t>为中标</w:t>
      </w:r>
      <w:r>
        <w:rPr>
          <w:rFonts w:hint="eastAsia" w:asciiTheme="minorEastAsia" w:hAnsiTheme="minorEastAsia" w:eastAsiaTheme="minorEastAsia" w:cstheme="minorEastAsia"/>
          <w:color w:val="FF0000"/>
          <w:sz w:val="21"/>
          <w:szCs w:val="21"/>
          <w:highlight w:val="none"/>
          <w:lang w:val="zh-CN"/>
        </w:rPr>
        <w:t>供应商</w:t>
      </w:r>
      <w:r>
        <w:rPr>
          <w:rFonts w:hint="eastAsia" w:asciiTheme="minorEastAsia" w:hAnsiTheme="minorEastAsia" w:eastAsiaTheme="minorEastAsia" w:cstheme="minorEastAsia"/>
          <w:sz w:val="21"/>
          <w:szCs w:val="21"/>
          <w:highlight w:val="none"/>
        </w:rPr>
        <w:t>。根据采购要求，</w:t>
      </w:r>
      <w:r>
        <w:rPr>
          <w:rFonts w:hint="eastAsia" w:asciiTheme="minorEastAsia" w:hAnsiTheme="minorEastAsia" w:eastAsiaTheme="minorEastAsia" w:cstheme="minorEastAsia"/>
          <w:b/>
          <w:sz w:val="21"/>
          <w:szCs w:val="21"/>
          <w:highlight w:val="none"/>
        </w:rPr>
        <w:t>总分设定为100分：其中</w:t>
      </w:r>
      <w:r>
        <w:rPr>
          <w:rFonts w:hint="eastAsia" w:asciiTheme="minorEastAsia" w:hAnsiTheme="minorEastAsia" w:eastAsiaTheme="minorEastAsia" w:cstheme="minorEastAsia"/>
          <w:b/>
          <w:sz w:val="21"/>
          <w:szCs w:val="21"/>
          <w:highlight w:val="none"/>
          <w:lang w:eastAsia="zh-CN"/>
        </w:rPr>
        <w:t>商务与技术文件</w:t>
      </w:r>
      <w:r>
        <w:rPr>
          <w:rFonts w:hint="eastAsia" w:asciiTheme="minorEastAsia" w:hAnsiTheme="minorEastAsia" w:eastAsiaTheme="minorEastAsia" w:cstheme="minorEastAsia"/>
          <w:b/>
          <w:sz w:val="21"/>
          <w:szCs w:val="21"/>
          <w:highlight w:val="none"/>
          <w:lang w:val="en-US" w:eastAsia="zh-CN"/>
        </w:rPr>
        <w:t>90</w:t>
      </w:r>
      <w:r>
        <w:rPr>
          <w:rFonts w:hint="eastAsia" w:asciiTheme="minorEastAsia" w:hAnsiTheme="minorEastAsia" w:eastAsiaTheme="minorEastAsia" w:cstheme="minorEastAsia"/>
          <w:b/>
          <w:sz w:val="21"/>
          <w:szCs w:val="21"/>
          <w:highlight w:val="none"/>
        </w:rPr>
        <w:t>分（权值</w:t>
      </w:r>
      <w:r>
        <w:rPr>
          <w:rFonts w:hint="eastAsia" w:asciiTheme="minorEastAsia" w:hAnsiTheme="minorEastAsia" w:eastAsiaTheme="minorEastAsia" w:cstheme="minorEastAsia"/>
          <w:b/>
          <w:sz w:val="21"/>
          <w:szCs w:val="21"/>
          <w:highlight w:val="none"/>
          <w:lang w:val="en-US" w:eastAsia="zh-CN"/>
        </w:rPr>
        <w:t>90</w:t>
      </w:r>
      <w:r>
        <w:rPr>
          <w:rFonts w:hint="eastAsia" w:asciiTheme="minorEastAsia" w:hAnsiTheme="minorEastAsia" w:eastAsiaTheme="minorEastAsia" w:cstheme="minorEastAsia"/>
          <w:b/>
          <w:sz w:val="21"/>
          <w:szCs w:val="21"/>
          <w:highlight w:val="none"/>
        </w:rPr>
        <w:t>%），报价评分</w:t>
      </w:r>
      <w:r>
        <w:rPr>
          <w:rFonts w:hint="eastAsia" w:asciiTheme="minorEastAsia" w:hAnsiTheme="minorEastAsia" w:eastAsiaTheme="minorEastAsia" w:cstheme="minorEastAsia"/>
          <w:b/>
          <w:sz w:val="21"/>
          <w:szCs w:val="21"/>
          <w:highlight w:val="none"/>
          <w:lang w:val="en-US" w:eastAsia="zh-CN"/>
        </w:rPr>
        <w:t>10</w:t>
      </w:r>
      <w:r>
        <w:rPr>
          <w:rFonts w:hint="eastAsia" w:asciiTheme="minorEastAsia" w:hAnsiTheme="minorEastAsia" w:eastAsiaTheme="minorEastAsia" w:cstheme="minorEastAsia"/>
          <w:b/>
          <w:sz w:val="21"/>
          <w:szCs w:val="21"/>
          <w:highlight w:val="none"/>
        </w:rPr>
        <w:t>分（权值</w:t>
      </w:r>
      <w:r>
        <w:rPr>
          <w:rFonts w:hint="eastAsia" w:asciiTheme="minorEastAsia" w:hAnsiTheme="minorEastAsia" w:eastAsiaTheme="minorEastAsia" w:cstheme="minorEastAsia"/>
          <w:b/>
          <w:sz w:val="21"/>
          <w:szCs w:val="21"/>
          <w:highlight w:val="none"/>
          <w:lang w:val="en-US" w:eastAsia="zh-CN"/>
        </w:rPr>
        <w:t>10</w:t>
      </w:r>
      <w:r>
        <w:rPr>
          <w:rFonts w:hint="eastAsia" w:asciiTheme="minorEastAsia" w:hAnsiTheme="minorEastAsia" w:eastAsiaTheme="minorEastAsia" w:cstheme="minorEastAsia"/>
          <w:b/>
          <w:sz w:val="21"/>
          <w:szCs w:val="21"/>
          <w:highlight w:val="none"/>
        </w:rPr>
        <w:t>%）。</w:t>
      </w:r>
    </w:p>
    <w:p>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2、投标文件递交截止时间止及评审期间，出现有效供应商不足3家情况的，此项目流标，重新组织招标。</w:t>
      </w:r>
    </w:p>
    <w:p>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五、评分细则</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各评委成员按下列评分项目进行评判。投标文件各项评分内容由评标委员会成员各自评分</w:t>
      </w:r>
      <w:r>
        <w:rPr>
          <w:rFonts w:hint="eastAsia" w:asciiTheme="minorEastAsia" w:hAnsiTheme="minorEastAsia" w:eastAsiaTheme="minorEastAsia" w:cstheme="minorEastAsia"/>
          <w:sz w:val="21"/>
          <w:szCs w:val="21"/>
          <w:highlight w:val="none"/>
          <w:lang w:eastAsia="zh-CN"/>
        </w:rPr>
        <w:t>（小数点后保留一位小数）</w:t>
      </w:r>
      <w:r>
        <w:rPr>
          <w:rFonts w:hint="eastAsia" w:asciiTheme="minorEastAsia" w:hAnsiTheme="minorEastAsia" w:eastAsiaTheme="minorEastAsia" w:cstheme="minorEastAsia"/>
          <w:sz w:val="21"/>
          <w:szCs w:val="21"/>
          <w:highlight w:val="none"/>
        </w:rPr>
        <w:t>。各评标委员会成员对各投标人的各项评分内容评分的算术平均值为各投标人技术资信分得分（小数点后保留2位，第三位四舍五入）。</w:t>
      </w:r>
    </w:p>
    <w:tbl>
      <w:tblPr>
        <w:tblStyle w:val="77"/>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4"/>
        <w:gridCol w:w="1310"/>
        <w:gridCol w:w="651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 w:hRule="atLeast"/>
        </w:trPr>
        <w:tc>
          <w:tcPr>
            <w:tcW w:w="1954" w:type="dxa"/>
            <w:gridSpan w:val="2"/>
            <w:shd w:val="clear" w:color="auto" w:fill="auto"/>
            <w:vAlign w:val="center"/>
          </w:tcPr>
          <w:p>
            <w:pPr>
              <w:pStyle w:val="96"/>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评审项目</w:t>
            </w:r>
          </w:p>
        </w:tc>
        <w:tc>
          <w:tcPr>
            <w:tcW w:w="6510" w:type="dxa"/>
            <w:shd w:val="clear" w:color="auto" w:fill="auto"/>
            <w:vAlign w:val="center"/>
          </w:tcPr>
          <w:p>
            <w:pPr>
              <w:pStyle w:val="96"/>
              <w:shd w:val="clear"/>
              <w:spacing w:line="360" w:lineRule="auto"/>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评审标准</w:t>
            </w:r>
          </w:p>
        </w:tc>
        <w:tc>
          <w:tcPr>
            <w:tcW w:w="1180" w:type="dxa"/>
            <w:shd w:val="clear" w:color="auto" w:fill="auto"/>
            <w:vAlign w:val="center"/>
          </w:tcPr>
          <w:p>
            <w:pPr>
              <w:pStyle w:val="96"/>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分</w:t>
            </w:r>
            <w:r>
              <w:rPr>
                <w:rFonts w:hint="eastAsia" w:asciiTheme="minorEastAsia" w:hAnsiTheme="minorEastAsia" w:eastAsiaTheme="minorEastAsia" w:cstheme="minorEastAsia"/>
                <w:color w:val="auto"/>
                <w:sz w:val="21"/>
                <w:szCs w:val="21"/>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4" w:type="dxa"/>
            <w:vMerge w:val="restart"/>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商务与技术文件得分</w:t>
            </w: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（90分）</w:t>
            </w:r>
          </w:p>
        </w:tc>
        <w:tc>
          <w:tcPr>
            <w:tcW w:w="1310" w:type="dxa"/>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项目业绩</w:t>
            </w:r>
          </w:p>
          <w:p>
            <w:pPr>
              <w:numPr>
                <w:ilvl w:val="0"/>
                <w:numId w:val="0"/>
              </w:numPr>
              <w:shd w:val="clear"/>
              <w:spacing w:line="360" w:lineRule="auto"/>
              <w:ind w:left="0" w:leftChars="0" w:firstLine="0" w:firstLineChars="0"/>
              <w:jc w:val="center"/>
              <w:rPr>
                <w:rFonts w:ascii="宋体" w:cs="宋体"/>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p>
        </w:tc>
        <w:tc>
          <w:tcPr>
            <w:tcW w:w="6510" w:type="dxa"/>
            <w:shd w:val="clear" w:color="auto" w:fill="auto"/>
            <w:vAlign w:val="center"/>
          </w:tcPr>
          <w:p>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投标人 2019 年 1 月 1 日至招标公告发布之日（以合同签订时间为准）承接过类似服务业绩的，每提供一个业绩的得1分，最高得1 分。 </w:t>
            </w:r>
          </w:p>
          <w:p>
            <w:pPr>
              <w:shd w:val="clear"/>
              <w:spacing w:line="360" w:lineRule="auto"/>
              <w:ind w:firstLine="420" w:firstLineChars="200"/>
              <w:jc w:val="left"/>
              <w:rPr>
                <w:rFonts w:hint="eastAsia"/>
                <w:highlight w:val="none"/>
                <w:lang w:val="en-US" w:eastAsia="zh-CN"/>
              </w:rPr>
            </w:pPr>
            <w:r>
              <w:rPr>
                <w:rFonts w:hint="eastAsia" w:asciiTheme="minorEastAsia" w:hAnsiTheme="minorEastAsia" w:eastAsiaTheme="minorEastAsia" w:cstheme="minorEastAsia"/>
                <w:sz w:val="21"/>
                <w:szCs w:val="21"/>
                <w:highlight w:val="none"/>
                <w:lang w:val="en-US" w:eastAsia="zh-CN"/>
              </w:rPr>
              <w:t>注：上述评分项需提供合同原件扫描件加盖公章编入投标文件，未提供或提供不全不得分。</w:t>
            </w:r>
          </w:p>
        </w:tc>
        <w:tc>
          <w:tcPr>
            <w:tcW w:w="1180" w:type="dxa"/>
            <w:shd w:val="clear" w:color="auto" w:fill="auto"/>
            <w:vAlign w:val="center"/>
          </w:tcPr>
          <w:p>
            <w:pPr>
              <w:pStyle w:val="27"/>
              <w:shd w:val="clear"/>
              <w:spacing w:line="360" w:lineRule="auto"/>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95"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restart"/>
            <w:shd w:val="clear" w:color="auto" w:fill="auto"/>
            <w:vAlign w:val="center"/>
          </w:tcPr>
          <w:p>
            <w:pPr>
              <w:shd w:val="clea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总设计师要求</w:t>
            </w:r>
          </w:p>
        </w:tc>
        <w:tc>
          <w:tcPr>
            <w:tcW w:w="6510" w:type="dxa"/>
            <w:shd w:val="clear" w:color="auto" w:fill="auto"/>
            <w:vAlign w:val="center"/>
          </w:tcPr>
          <w:p>
            <w:pPr>
              <w:shd w:val="clea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一、总设计师的资信情况：</w:t>
            </w:r>
          </w:p>
          <w:p>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1.具有院士或全国工程勘察设计大师的得2分；</w:t>
            </w:r>
          </w:p>
          <w:p>
            <w:pPr>
              <w:numPr>
                <w:ilvl w:val="0"/>
                <w:numId w:val="0"/>
              </w:num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2.具有注册城乡规划师的得2分；</w:t>
            </w:r>
          </w:p>
          <w:p>
            <w:pPr>
              <w:numPr>
                <w:ilvl w:val="0"/>
                <w:numId w:val="0"/>
              </w:num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3.具有一级注册建筑师的，得1分；</w:t>
            </w:r>
          </w:p>
          <w:p>
            <w:pPr>
              <w:numPr>
                <w:ilvl w:val="0"/>
                <w:numId w:val="0"/>
              </w:numPr>
              <w:shd w:val="clear"/>
              <w:spacing w:line="360" w:lineRule="auto"/>
              <w:ind w:firstLine="420" w:firstLineChars="200"/>
              <w:jc w:val="left"/>
              <w:rPr>
                <w:rFonts w:hint="default"/>
                <w:highlight w:val="none"/>
                <w:lang w:val="en-US" w:eastAsia="zh-CN"/>
              </w:rPr>
            </w:pPr>
            <w:r>
              <w:rPr>
                <w:rFonts w:hint="eastAsia" w:asciiTheme="minorEastAsia" w:hAnsiTheme="minorEastAsia" w:eastAsiaTheme="minorEastAsia" w:cstheme="minorEastAsia"/>
                <w:sz w:val="21"/>
                <w:szCs w:val="21"/>
                <w:highlight w:val="none"/>
                <w:lang w:val="en-US" w:eastAsia="zh-CN"/>
              </w:rPr>
              <w:t>注：上述评分项需提供相关资料（提供的资料中需体现出总设计师名字，如无法体现名字的须由相关单位予以盖章证明）原件扫描件及近三个月社保缴纳证明材料加盖公章编入投标文件，未提供或提供不全不得分。</w:t>
            </w:r>
          </w:p>
        </w:tc>
        <w:tc>
          <w:tcPr>
            <w:tcW w:w="1180" w:type="dxa"/>
            <w:shd w:val="clear" w:color="auto" w:fill="auto"/>
            <w:vAlign w:val="center"/>
          </w:tcPr>
          <w:p>
            <w:pPr>
              <w:pStyle w:val="27"/>
              <w:shd w:val="clear"/>
              <w:spacing w:line="360" w:lineRule="auto"/>
              <w:jc w:val="center"/>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center"/>
          </w:tcPr>
          <w:p>
            <w:pPr>
              <w:shd w:val="clear"/>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6510" w:type="dxa"/>
            <w:shd w:val="clear" w:color="auto" w:fill="auto"/>
            <w:vAlign w:val="center"/>
          </w:tcPr>
          <w:p>
            <w:pP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二、总设计师的荣誉情况：</w:t>
            </w:r>
          </w:p>
          <w:p>
            <w:pP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1.总设计师在城市规划或城市设计专业领域获得过国际级奖项的每个得4分；获得过国家级奖项的每个得3分；获得过省级奖项的每个得2分；获得市级奖项的每个得1分，不得累计得分，本项最高4分。</w:t>
            </w:r>
          </w:p>
          <w:p>
            <w:pP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2.总设计师获得过国家部委特聘专家的每个得3分，获得过省级部委特聘专家的每个得2分，获得过市级部委特聘专家的每个得1分；不得累计得分，本项最高3分。</w:t>
            </w:r>
          </w:p>
          <w:p>
            <w:pPr>
              <w:spacing w:line="360" w:lineRule="auto"/>
              <w:ind w:firstLine="420" w:firstLineChars="200"/>
              <w:jc w:val="left"/>
              <w:rPr>
                <w:rFonts w:hint="default"/>
                <w:highlight w:val="none"/>
                <w:lang w:val="en-US" w:eastAsia="zh-CN"/>
              </w:rPr>
            </w:pPr>
            <w:r>
              <w:rPr>
                <w:rFonts w:hint="default" w:asciiTheme="minorEastAsia" w:hAnsiTheme="minorEastAsia" w:eastAsiaTheme="minorEastAsia" w:cstheme="minorEastAsia"/>
                <w:b w:val="0"/>
                <w:bCs w:val="0"/>
                <w:kern w:val="2"/>
                <w:sz w:val="21"/>
                <w:szCs w:val="21"/>
                <w:highlight w:val="none"/>
                <w:lang w:val="en-US" w:eastAsia="zh-CN" w:bidi="ar-SA"/>
              </w:rPr>
              <w:t>注：上述评分项需提供相关资料（提供的资料中需体现出总设计师名字，如无法体现名字的须由相关单位予以盖章证明）原件扫描件及近三个月社保缴纳证明材料加盖公章编入投标文件，未提供或提供不全不得分。</w:t>
            </w:r>
          </w:p>
        </w:tc>
        <w:tc>
          <w:tcPr>
            <w:tcW w:w="1180" w:type="dxa"/>
            <w:shd w:val="clear" w:color="auto" w:fill="auto"/>
            <w:vAlign w:val="center"/>
          </w:tcPr>
          <w:p>
            <w:pPr>
              <w:pStyle w:val="27"/>
              <w:shd w:val="clear"/>
              <w:spacing w:line="360" w:lineRule="auto"/>
              <w:jc w:val="center"/>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hd w:val="clea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专业团队人员要求</w:t>
            </w:r>
          </w:p>
        </w:tc>
        <w:tc>
          <w:tcPr>
            <w:tcW w:w="6510" w:type="dxa"/>
            <w:shd w:val="clear" w:color="auto" w:fill="auto"/>
            <w:vAlign w:val="center"/>
          </w:tcPr>
          <w:p>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拟投入本项目的专业团队人员（除总设计师外）满足项目需求基本要求、整体能力情况及人员配置合理性等方面综合比较与评价打分：</w:t>
            </w:r>
          </w:p>
          <w:p>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1.完全满足本项目的专业团队人员要求基础上、团队人员结构科学合理，工作经验丰富，各专业人员配置优于本项目需求得7.1-10.0分；</w:t>
            </w:r>
          </w:p>
          <w:p>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2.完全满足本项目的专业团队人员要求基础上、团队人员结构较科学合理，工作经验较丰富，各专业人员配置较合理3.1-7.0分；</w:t>
            </w:r>
          </w:p>
          <w:p>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3.完全满足本项目的专业团队人员要求基础上、团队人员结构不够科学合理，工作经验不足，各专业人员配置基本满足0.1-3.0分；</w:t>
            </w:r>
            <w:r>
              <w:rPr>
                <w:rFonts w:hint="eastAsia" w:asciiTheme="minorEastAsia" w:hAnsiTheme="minorEastAsia" w:eastAsiaTheme="minorEastAsia" w:cstheme="minorEastAsia"/>
                <w:szCs w:val="21"/>
                <w:highlight w:val="none"/>
                <w:lang w:val="en-US" w:eastAsia="zh-Hans"/>
              </w:rPr>
              <w:t>缺项得0分。</w:t>
            </w:r>
          </w:p>
          <w:p>
            <w:pPr>
              <w:shd w:val="clear"/>
              <w:spacing w:line="360" w:lineRule="auto"/>
              <w:ind w:firstLine="420" w:firstLineChars="200"/>
              <w:jc w:val="left"/>
              <w:rPr>
                <w:rFonts w:hint="eastAsia"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注：上述评分项需提供相关资料证明材料原件扫描件及近三个月社保缴纳证明材料加盖公章编入投标文件，未提供或提供不全不得分。</w:t>
            </w:r>
          </w:p>
        </w:tc>
        <w:tc>
          <w:tcPr>
            <w:tcW w:w="1180" w:type="dxa"/>
            <w:shd w:val="clear" w:color="auto" w:fill="auto"/>
            <w:vAlign w:val="center"/>
          </w:tcPr>
          <w:p>
            <w:pPr>
              <w:pStyle w:val="27"/>
              <w:shd w:val="clear"/>
              <w:spacing w:line="360" w:lineRule="auto"/>
              <w:jc w:val="center"/>
              <w:rPr>
                <w:rFonts w:hint="default"/>
                <w:highlight w:val="none"/>
                <w:lang w:val="en-US" w:eastAsia="zh-CN"/>
              </w:rPr>
            </w:pPr>
            <w:r>
              <w:rPr>
                <w:rFonts w:hint="eastAsia" w:asciiTheme="minorEastAsia" w:hAnsiTheme="minorEastAsia" w:eastAsiaTheme="minorEastAsia" w:cstheme="minorEastAsia"/>
                <w:kern w:val="2"/>
                <w:sz w:val="21"/>
                <w:szCs w:val="21"/>
                <w:highlight w:val="none"/>
                <w:vertAlign w:val="baseline"/>
                <w:lang w:val="en-US" w:eastAsia="zh-CN" w:bidi="ar-S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w:t>
            </w:r>
          </w:p>
        </w:tc>
        <w:tc>
          <w:tcPr>
            <w:tcW w:w="6510" w:type="dxa"/>
            <w:shd w:val="clear" w:color="auto" w:fill="auto"/>
            <w:vAlign w:val="center"/>
          </w:tcPr>
          <w:p>
            <w:pPr>
              <w:keepNext w:val="0"/>
              <w:keepLines w:val="0"/>
              <w:pageBreakBefore w:val="0"/>
              <w:tabs>
                <w:tab w:val="left" w:pos="2061"/>
              </w:tabs>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背景</w:t>
            </w:r>
            <w:r>
              <w:rPr>
                <w:rFonts w:hint="eastAsia" w:ascii="宋体" w:hAnsi="宋体" w:eastAsia="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项目现状、</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需求理解是否准确、全面</w:t>
            </w:r>
            <w:r>
              <w:rPr>
                <w:rFonts w:hint="eastAsia" w:ascii="宋体" w:hAnsi="宋体" w:eastAsia="宋体" w:cs="宋体"/>
                <w:b w:val="0"/>
                <w:color w:val="auto"/>
                <w:sz w:val="21"/>
                <w:szCs w:val="21"/>
                <w:highlight w:val="none"/>
                <w:lang w:val="en-US" w:eastAsia="zh-CN"/>
              </w:rPr>
              <w:t>等情况进行打分。</w:t>
            </w:r>
          </w:p>
          <w:p>
            <w:pPr>
              <w:keepNext w:val="0"/>
              <w:keepLines w:val="0"/>
              <w:pageBreakBefore w:val="0"/>
              <w:tabs>
                <w:tab w:val="left" w:pos="2061"/>
              </w:tabs>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1.</w:t>
            </w:r>
            <w:r>
              <w:rPr>
                <w:rFonts w:hint="eastAsia" w:ascii="宋体" w:hAnsi="宋体" w:eastAsia="宋体" w:cs="宋体"/>
                <w:b w:val="0"/>
                <w:color w:val="auto"/>
                <w:sz w:val="21"/>
                <w:szCs w:val="21"/>
                <w:highlight w:val="none"/>
                <w:lang w:val="en-US" w:eastAsia="zh-CN"/>
              </w:rPr>
              <w:t>对本项目调查全面，项目背景、</w:t>
            </w:r>
            <w:r>
              <w:rPr>
                <w:rFonts w:hint="eastAsia" w:ascii="宋体" w:hAnsi="宋体" w:cs="宋体"/>
                <w:b w:val="0"/>
                <w:color w:val="auto"/>
                <w:sz w:val="21"/>
                <w:szCs w:val="21"/>
                <w:highlight w:val="none"/>
                <w:lang w:val="en-US" w:eastAsia="zh-CN"/>
              </w:rPr>
              <w:t>项目现状、项目需求理解准确、全面</w:t>
            </w:r>
            <w:r>
              <w:rPr>
                <w:rFonts w:hint="eastAsia" w:ascii="宋体" w:hAnsi="宋体" w:eastAsia="宋体" w:cs="宋体"/>
                <w:b w:val="0"/>
                <w:color w:val="auto"/>
                <w:sz w:val="21"/>
                <w:szCs w:val="21"/>
                <w:highlight w:val="none"/>
                <w:lang w:val="en-US" w:eastAsia="zh-CN"/>
              </w:rPr>
              <w:t>的得</w:t>
            </w:r>
            <w:r>
              <w:rPr>
                <w:rFonts w:hint="eastAsia" w:asciiTheme="minorEastAsia" w:hAnsiTheme="minorEastAsia" w:eastAsiaTheme="minorEastAsia" w:cstheme="minorEastAsia"/>
                <w:szCs w:val="21"/>
                <w:highlight w:val="none"/>
                <w:lang w:val="en-US" w:eastAsia="zh-CN"/>
              </w:rPr>
              <w:t>7</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10</w:t>
            </w:r>
            <w:r>
              <w:rPr>
                <w:rFonts w:hint="eastAsia" w:asciiTheme="minorEastAsia" w:hAnsiTheme="minorEastAsia" w:eastAsiaTheme="minorEastAsia" w:cstheme="minorEastAsia"/>
                <w:szCs w:val="21"/>
                <w:highlight w:val="none"/>
                <w:lang w:eastAsia="zh-Hans"/>
              </w:rPr>
              <w:t>.0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r>
              <w:rPr>
                <w:rFonts w:hint="eastAsia" w:ascii="宋体" w:hAnsi="宋体" w:eastAsia="宋体" w:cs="宋体"/>
                <w:b w:val="0"/>
                <w:color w:val="auto"/>
                <w:sz w:val="21"/>
                <w:szCs w:val="21"/>
                <w:highlight w:val="none"/>
                <w:lang w:val="en-US" w:eastAsia="zh-CN"/>
              </w:rPr>
              <w:t>对本项目调查</w:t>
            </w:r>
            <w:r>
              <w:rPr>
                <w:rFonts w:hint="eastAsia" w:ascii="宋体" w:hAnsi="宋体" w:cs="宋体"/>
                <w:b w:val="0"/>
                <w:color w:val="auto"/>
                <w:sz w:val="21"/>
                <w:szCs w:val="21"/>
                <w:highlight w:val="none"/>
                <w:lang w:val="en-US" w:eastAsia="zh-CN"/>
              </w:rPr>
              <w:t>较</w:t>
            </w:r>
            <w:r>
              <w:rPr>
                <w:rFonts w:hint="eastAsia" w:ascii="宋体" w:hAnsi="宋体" w:eastAsia="宋体" w:cs="宋体"/>
                <w:b w:val="0"/>
                <w:color w:val="auto"/>
                <w:sz w:val="21"/>
                <w:szCs w:val="21"/>
                <w:highlight w:val="none"/>
                <w:lang w:val="en-US" w:eastAsia="zh-CN"/>
              </w:rPr>
              <w:t>全面，项目背景、</w:t>
            </w:r>
            <w:r>
              <w:rPr>
                <w:rFonts w:hint="eastAsia" w:ascii="宋体" w:hAnsi="宋体" w:cs="宋体"/>
                <w:b w:val="0"/>
                <w:color w:val="auto"/>
                <w:sz w:val="21"/>
                <w:szCs w:val="21"/>
                <w:highlight w:val="none"/>
                <w:lang w:val="en-US" w:eastAsia="zh-CN"/>
              </w:rPr>
              <w:t>项目现状、项目需求理解较准确</w:t>
            </w:r>
            <w:r>
              <w:rPr>
                <w:rFonts w:hint="eastAsia" w:ascii="宋体" w:hAnsi="宋体" w:cs="宋体"/>
                <w:color w:val="auto"/>
                <w:spacing w:val="-4"/>
                <w:szCs w:val="21"/>
                <w:highlight w:val="none"/>
                <w:lang w:val="en-US" w:eastAsia="zh-CN"/>
              </w:rPr>
              <w:t>，较全面</w:t>
            </w:r>
            <w:r>
              <w:rPr>
                <w:rFonts w:hint="eastAsia" w:ascii="宋体" w:hAnsi="宋体" w:cs="宋体"/>
                <w:b w:val="0"/>
                <w:color w:val="auto"/>
                <w:sz w:val="21"/>
                <w:szCs w:val="20"/>
                <w:highlight w:val="none"/>
                <w:lang w:val="en-US" w:eastAsia="zh-CN"/>
              </w:rPr>
              <w:t>的</w:t>
            </w:r>
            <w:r>
              <w:rPr>
                <w:rFonts w:hint="eastAsia" w:ascii="宋体" w:hAnsi="宋体" w:eastAsia="宋体" w:cs="宋体"/>
                <w:b w:val="0"/>
                <w:color w:val="auto"/>
                <w:sz w:val="21"/>
                <w:szCs w:val="21"/>
                <w:highlight w:val="none"/>
                <w:lang w:val="en-US" w:eastAsia="zh-CN"/>
              </w:rPr>
              <w:t>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.1-</w:t>
            </w:r>
            <w:r>
              <w:rPr>
                <w:rFonts w:hint="eastAsia" w:ascii="宋体" w:hAnsi="宋体" w:cs="宋体"/>
                <w:b w:val="0"/>
                <w:color w:val="auto"/>
                <w:sz w:val="21"/>
                <w:szCs w:val="21"/>
                <w:highlight w:val="none"/>
                <w:lang w:val="en-US" w:eastAsia="zh-CN"/>
              </w:rPr>
              <w:t>7.0</w:t>
            </w:r>
            <w:r>
              <w:rPr>
                <w:rFonts w:hint="eastAsia" w:ascii="宋体" w:hAnsi="宋体" w:eastAsia="宋体" w:cs="宋体"/>
                <w:b w:val="0"/>
                <w:color w:val="auto"/>
                <w:sz w:val="21"/>
                <w:szCs w:val="21"/>
                <w:highlight w:val="none"/>
                <w:lang w:val="en-US" w:eastAsia="zh-CN"/>
              </w:rPr>
              <w:t>分；</w:t>
            </w:r>
          </w:p>
          <w:p>
            <w:pPr>
              <w:widowControl/>
              <w:spacing w:line="360" w:lineRule="auto"/>
              <w:ind w:firstLine="420" w:firstLineChars="200"/>
              <w:jc w:val="left"/>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3.</w:t>
            </w:r>
            <w:r>
              <w:rPr>
                <w:rFonts w:hint="eastAsia" w:ascii="宋体" w:hAnsi="宋体" w:eastAsia="宋体" w:cs="宋体"/>
                <w:b w:val="0"/>
                <w:color w:val="auto"/>
                <w:sz w:val="21"/>
                <w:szCs w:val="21"/>
                <w:highlight w:val="none"/>
                <w:lang w:val="en-US" w:eastAsia="zh-CN"/>
              </w:rPr>
              <w:t>对本项目调查不够全面，项目背景、</w:t>
            </w:r>
            <w:r>
              <w:rPr>
                <w:rFonts w:hint="eastAsia" w:ascii="宋体" w:hAnsi="宋体" w:cs="宋体"/>
                <w:b w:val="0"/>
                <w:color w:val="auto"/>
                <w:sz w:val="21"/>
                <w:szCs w:val="21"/>
                <w:highlight w:val="none"/>
                <w:lang w:val="en-US" w:eastAsia="zh-CN"/>
              </w:rPr>
              <w:t>项目现状、项目需求理解</w:t>
            </w:r>
            <w:r>
              <w:rPr>
                <w:rFonts w:hint="eastAsia" w:ascii="宋体" w:hAnsi="宋体" w:eastAsia="宋体" w:cs="宋体"/>
                <w:color w:val="auto"/>
                <w:spacing w:val="-4"/>
                <w:szCs w:val="21"/>
                <w:highlight w:val="none"/>
                <w:lang w:val="en-US" w:eastAsia="zh-CN"/>
              </w:rPr>
              <w:t>不够</w:t>
            </w:r>
            <w:r>
              <w:rPr>
                <w:rFonts w:hint="eastAsia" w:ascii="宋体" w:hAnsi="宋体" w:cs="宋体"/>
                <w:color w:val="auto"/>
                <w:spacing w:val="-4"/>
                <w:szCs w:val="21"/>
                <w:highlight w:val="none"/>
                <w:lang w:val="en-US" w:eastAsia="zh-CN"/>
              </w:rPr>
              <w:t>准确，</w:t>
            </w:r>
            <w:r>
              <w:rPr>
                <w:rFonts w:hint="eastAsia" w:ascii="宋体" w:hAnsi="宋体" w:eastAsia="宋体" w:cs="宋体"/>
                <w:b w:val="0"/>
                <w:color w:val="auto"/>
                <w:sz w:val="21"/>
                <w:szCs w:val="20"/>
                <w:highlight w:val="none"/>
              </w:rPr>
              <w:t>不</w:t>
            </w:r>
            <w:r>
              <w:rPr>
                <w:rFonts w:hint="eastAsia" w:ascii="宋体" w:hAnsi="宋体" w:cs="宋体"/>
                <w:b w:val="0"/>
                <w:color w:val="auto"/>
                <w:sz w:val="21"/>
                <w:szCs w:val="20"/>
                <w:highlight w:val="none"/>
                <w:lang w:val="en-US" w:eastAsia="zh-CN"/>
              </w:rPr>
              <w:t>够</w:t>
            </w:r>
            <w:r>
              <w:rPr>
                <w:rFonts w:hint="eastAsia" w:ascii="宋体" w:hAnsi="宋体" w:eastAsia="宋体" w:cs="宋体"/>
                <w:b w:val="0"/>
                <w:color w:val="auto"/>
                <w:sz w:val="21"/>
                <w:szCs w:val="20"/>
                <w:highlight w:val="none"/>
              </w:rPr>
              <w:t>详尽</w:t>
            </w:r>
            <w:r>
              <w:rPr>
                <w:rFonts w:hint="eastAsia" w:ascii="宋体" w:hAnsi="宋体" w:cs="宋体"/>
                <w:b w:val="0"/>
                <w:color w:val="auto"/>
                <w:sz w:val="21"/>
                <w:szCs w:val="20"/>
                <w:highlight w:val="none"/>
                <w:lang w:val="en-US" w:eastAsia="zh-CN"/>
              </w:rPr>
              <w:t>的</w:t>
            </w:r>
            <w:r>
              <w:rPr>
                <w:rFonts w:hint="eastAsia" w:ascii="宋体" w:hAnsi="宋体" w:eastAsia="宋体" w:cs="宋体"/>
                <w:b w:val="0"/>
                <w:color w:val="auto"/>
                <w:sz w:val="21"/>
                <w:szCs w:val="21"/>
                <w:highlight w:val="none"/>
                <w:lang w:val="en-US" w:eastAsia="zh-CN"/>
              </w:rPr>
              <w:t>得</w:t>
            </w:r>
            <w:r>
              <w:rPr>
                <w:rFonts w:hint="eastAsia" w:ascii="宋体" w:hAnsi="宋体" w:cs="宋体"/>
                <w:b w:val="0"/>
                <w:color w:val="auto"/>
                <w:sz w:val="21"/>
                <w:szCs w:val="21"/>
                <w:highlight w:val="none"/>
                <w:lang w:val="en-US" w:eastAsia="zh-CN"/>
              </w:rPr>
              <w:t>0</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3.0</w:t>
            </w:r>
            <w:r>
              <w:rPr>
                <w:rFonts w:hint="eastAsia" w:ascii="宋体" w:hAnsi="宋体" w:eastAsia="宋体" w:cs="宋体"/>
                <w:b w:val="0"/>
                <w:color w:val="auto"/>
                <w:sz w:val="21"/>
                <w:szCs w:val="21"/>
                <w:highlight w:val="none"/>
                <w:lang w:val="en-US" w:eastAsia="zh-CN"/>
              </w:rPr>
              <w:t>分；</w:t>
            </w:r>
          </w:p>
          <w:p>
            <w:pPr>
              <w:widowControl/>
              <w:spacing w:line="360" w:lineRule="auto"/>
              <w:ind w:firstLine="420" w:firstLineChars="200"/>
              <w:jc w:val="left"/>
              <w:rPr>
                <w:rFonts w:hint="eastAsia" w:ascii="宋体" w:cs="宋体"/>
                <w:b/>
                <w:kern w:val="0"/>
                <w:szCs w:val="21"/>
                <w:highlight w:val="none"/>
              </w:rPr>
            </w:pPr>
            <w:r>
              <w:rPr>
                <w:rFonts w:hint="eastAsia" w:asciiTheme="minorEastAsia" w:hAnsiTheme="minorEastAsia" w:eastAsiaTheme="minorEastAsia" w:cstheme="minorEastAsia"/>
                <w:szCs w:val="21"/>
                <w:highlight w:val="none"/>
                <w:lang w:val="en-US" w:eastAsia="zh-Hans"/>
              </w:rPr>
              <w:t>缺项得0分。</w:t>
            </w:r>
          </w:p>
        </w:tc>
        <w:tc>
          <w:tcPr>
            <w:tcW w:w="1180" w:type="dxa"/>
            <w:shd w:val="clear" w:color="auto" w:fill="auto"/>
            <w:vAlign w:val="center"/>
          </w:tcPr>
          <w:p>
            <w:pPr>
              <w:pStyle w:val="27"/>
              <w:shd w:val="clear"/>
              <w:spacing w:line="360" w:lineRule="auto"/>
              <w:jc w:val="center"/>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numPr>
                <w:ilvl w:val="0"/>
                <w:numId w:val="0"/>
              </w:numPr>
              <w:shd w:val="clear"/>
              <w:spacing w:line="360" w:lineRule="auto"/>
              <w:ind w:left="0" w:leftChars="0"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项目重难点</w:t>
            </w:r>
          </w:p>
        </w:tc>
        <w:tc>
          <w:tcPr>
            <w:tcW w:w="6510" w:type="dxa"/>
            <w:shd w:val="clear" w:color="auto" w:fill="auto"/>
            <w:vAlign w:val="center"/>
          </w:tcPr>
          <w:p>
            <w:pPr>
              <w:keepNext w:val="0"/>
              <w:keepLines w:val="0"/>
              <w:pageBreakBefore w:val="0"/>
              <w:widowControl/>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重难点把握</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能否</w:t>
            </w:r>
            <w:r>
              <w:rPr>
                <w:rFonts w:hint="eastAsia" w:ascii="宋体" w:hAnsi="宋体" w:eastAsia="宋体" w:cs="宋体"/>
                <w:b w:val="0"/>
                <w:color w:val="auto"/>
                <w:sz w:val="21"/>
                <w:szCs w:val="21"/>
                <w:highlight w:val="none"/>
              </w:rPr>
              <w:t>提供相关解决性方案</w:t>
            </w:r>
            <w:r>
              <w:rPr>
                <w:rFonts w:hint="eastAsia" w:ascii="宋体" w:hAnsi="宋体" w:eastAsia="宋体" w:cs="宋体"/>
                <w:b w:val="0"/>
                <w:color w:val="auto"/>
                <w:sz w:val="21"/>
                <w:szCs w:val="21"/>
                <w:highlight w:val="none"/>
                <w:lang w:val="en-US" w:eastAsia="zh-CN"/>
              </w:rPr>
              <w:t>等情况进行打分</w:t>
            </w:r>
            <w:r>
              <w:rPr>
                <w:rFonts w:hint="eastAsia" w:ascii="宋体" w:hAnsi="宋体" w:cs="宋体"/>
                <w:b w:val="0"/>
                <w:color w:val="auto"/>
                <w:sz w:val="21"/>
                <w:szCs w:val="21"/>
                <w:highlight w:val="none"/>
                <w:lang w:val="en-US" w:eastAsia="zh-CN"/>
              </w:rPr>
              <w:t>。</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1.</w:t>
            </w:r>
            <w:r>
              <w:rPr>
                <w:rFonts w:hint="eastAsia" w:ascii="宋体" w:hAnsi="宋体" w:eastAsia="宋体" w:cs="宋体"/>
                <w:b w:val="0"/>
                <w:color w:val="auto"/>
                <w:sz w:val="21"/>
                <w:szCs w:val="21"/>
                <w:highlight w:val="none"/>
                <w:lang w:val="en-US" w:eastAsia="zh-CN"/>
              </w:rPr>
              <w:t>对本项目</w:t>
            </w:r>
            <w:r>
              <w:rPr>
                <w:rFonts w:hint="eastAsia" w:ascii="宋体" w:hAnsi="宋体" w:eastAsia="宋体" w:cs="宋体"/>
                <w:b w:val="0"/>
                <w:color w:val="auto"/>
                <w:sz w:val="21"/>
                <w:szCs w:val="21"/>
                <w:highlight w:val="none"/>
              </w:rPr>
              <w:t>重难点把握</w:t>
            </w:r>
            <w:r>
              <w:rPr>
                <w:rFonts w:hint="eastAsia" w:ascii="宋体" w:hAnsi="宋体" w:cs="宋体"/>
                <w:b w:val="0"/>
                <w:color w:val="auto"/>
                <w:sz w:val="21"/>
                <w:szCs w:val="21"/>
                <w:highlight w:val="none"/>
                <w:lang w:val="en-US" w:eastAsia="zh-CN"/>
              </w:rPr>
              <w:t>准确</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解决性方案</w:t>
            </w:r>
            <w:r>
              <w:rPr>
                <w:rFonts w:hint="eastAsia" w:ascii="宋体" w:hAnsi="宋体" w:cs="宋体"/>
                <w:b w:val="0"/>
                <w:color w:val="auto"/>
                <w:sz w:val="21"/>
                <w:szCs w:val="21"/>
                <w:highlight w:val="none"/>
                <w:lang w:val="en-US" w:eastAsia="zh-CN"/>
              </w:rPr>
              <w:t>科学合理有效、具有实操性</w:t>
            </w:r>
            <w:r>
              <w:rPr>
                <w:rFonts w:hint="eastAsia" w:ascii="宋体" w:hAnsi="宋体" w:eastAsia="宋体" w:cs="宋体"/>
                <w:b w:val="0"/>
                <w:color w:val="auto"/>
                <w:sz w:val="21"/>
                <w:szCs w:val="21"/>
                <w:highlight w:val="none"/>
                <w:lang w:val="en-US" w:eastAsia="zh-CN"/>
              </w:rPr>
              <w:t>的得</w:t>
            </w:r>
            <w:r>
              <w:rPr>
                <w:rFonts w:hint="eastAsia" w:asciiTheme="minorEastAsia" w:hAnsiTheme="minorEastAsia" w:eastAsiaTheme="minorEastAsia" w:cstheme="minorEastAsia"/>
                <w:szCs w:val="21"/>
                <w:highlight w:val="none"/>
                <w:lang w:val="en-US" w:eastAsia="zh-CN"/>
              </w:rPr>
              <w:t>8</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11</w:t>
            </w:r>
            <w:r>
              <w:rPr>
                <w:rFonts w:hint="eastAsia" w:asciiTheme="minorEastAsia" w:hAnsiTheme="minorEastAsia" w:eastAsiaTheme="minorEastAsia" w:cstheme="minorEastAsia"/>
                <w:szCs w:val="21"/>
                <w:highlight w:val="none"/>
                <w:lang w:eastAsia="zh-Hans"/>
              </w:rPr>
              <w:t>.0</w:t>
            </w:r>
            <w:r>
              <w:rPr>
                <w:rFonts w:hint="eastAsia" w:ascii="宋体" w:hAnsi="宋体" w:eastAsia="宋体" w:cs="宋体"/>
                <w:b w:val="0"/>
                <w:color w:val="auto"/>
                <w:sz w:val="21"/>
                <w:szCs w:val="21"/>
                <w:highlight w:val="none"/>
                <w:lang w:val="en-US" w:eastAsia="zh-CN"/>
              </w:rPr>
              <w:t>分；</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r>
              <w:rPr>
                <w:rFonts w:hint="eastAsia" w:ascii="宋体" w:hAnsi="宋体" w:eastAsia="宋体" w:cs="宋体"/>
                <w:b w:val="0"/>
                <w:color w:val="auto"/>
                <w:sz w:val="21"/>
                <w:szCs w:val="21"/>
                <w:highlight w:val="none"/>
                <w:lang w:val="en-US" w:eastAsia="zh-CN"/>
              </w:rPr>
              <w:t>对本项目</w:t>
            </w:r>
            <w:r>
              <w:rPr>
                <w:rFonts w:hint="eastAsia" w:ascii="宋体" w:hAnsi="宋体" w:eastAsia="宋体" w:cs="宋体"/>
                <w:b w:val="0"/>
                <w:color w:val="auto"/>
                <w:sz w:val="21"/>
                <w:szCs w:val="21"/>
                <w:highlight w:val="none"/>
              </w:rPr>
              <w:t>重难点把握</w:t>
            </w:r>
            <w:r>
              <w:rPr>
                <w:rFonts w:hint="eastAsia" w:ascii="宋体" w:hAnsi="宋体" w:cs="宋体"/>
                <w:b w:val="0"/>
                <w:color w:val="auto"/>
                <w:sz w:val="21"/>
                <w:szCs w:val="21"/>
                <w:highlight w:val="none"/>
                <w:lang w:val="en-US" w:eastAsia="zh-CN"/>
              </w:rPr>
              <w:t>较准确</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解决性方案</w:t>
            </w:r>
            <w:r>
              <w:rPr>
                <w:rFonts w:hint="eastAsia" w:ascii="宋体" w:hAnsi="宋体" w:cs="宋体"/>
                <w:b w:val="0"/>
                <w:color w:val="auto"/>
                <w:sz w:val="21"/>
                <w:szCs w:val="21"/>
                <w:highlight w:val="none"/>
                <w:lang w:val="en-US" w:eastAsia="zh-CN"/>
              </w:rPr>
              <w:t>较科学合理可行，具有一定实操性</w:t>
            </w:r>
            <w:r>
              <w:rPr>
                <w:rFonts w:hint="eastAsia" w:ascii="宋体" w:hAnsi="宋体" w:cs="宋体"/>
                <w:b w:val="0"/>
                <w:color w:val="auto"/>
                <w:sz w:val="21"/>
                <w:szCs w:val="20"/>
                <w:highlight w:val="none"/>
                <w:lang w:val="en-US" w:eastAsia="zh-CN"/>
              </w:rPr>
              <w:t>的</w:t>
            </w:r>
            <w:r>
              <w:rPr>
                <w:rFonts w:hint="eastAsia" w:ascii="宋体" w:hAnsi="宋体" w:eastAsia="宋体" w:cs="宋体"/>
                <w:b w:val="0"/>
                <w:color w:val="auto"/>
                <w:sz w:val="21"/>
                <w:szCs w:val="21"/>
                <w:highlight w:val="none"/>
                <w:lang w:val="en-US" w:eastAsia="zh-CN"/>
              </w:rPr>
              <w:t>得</w:t>
            </w: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val="en-US" w:eastAsia="zh-CN"/>
              </w:rPr>
              <w:t>.1-</w:t>
            </w:r>
            <w:r>
              <w:rPr>
                <w:rFonts w:hint="eastAsia" w:ascii="宋体" w:hAnsi="宋体" w:cs="宋体"/>
                <w:b w:val="0"/>
                <w:color w:val="auto"/>
                <w:sz w:val="21"/>
                <w:szCs w:val="21"/>
                <w:highlight w:val="none"/>
                <w:lang w:val="en-US" w:eastAsia="zh-CN"/>
              </w:rPr>
              <w:t>8.0</w:t>
            </w:r>
            <w:r>
              <w:rPr>
                <w:rFonts w:hint="eastAsia" w:ascii="宋体" w:hAnsi="宋体" w:eastAsia="宋体" w:cs="宋体"/>
                <w:b w:val="0"/>
                <w:color w:val="auto"/>
                <w:sz w:val="21"/>
                <w:szCs w:val="21"/>
                <w:highlight w:val="none"/>
                <w:lang w:val="en-US" w:eastAsia="zh-CN"/>
              </w:rPr>
              <w:t>分；</w:t>
            </w:r>
          </w:p>
          <w:p>
            <w:pPr>
              <w:widowControl/>
              <w:spacing w:line="360" w:lineRule="auto"/>
              <w:ind w:firstLine="420" w:firstLineChars="200"/>
              <w:jc w:val="left"/>
              <w:rPr>
                <w:rFonts w:hint="eastAsia" w:asciiTheme="minorEastAsia" w:hAnsiTheme="minorEastAsia" w:eastAsiaTheme="minorEastAsia" w:cstheme="minorEastAsia"/>
                <w:szCs w:val="21"/>
                <w:highlight w:val="none"/>
                <w:lang w:val="en-US" w:eastAsia="zh-Hans"/>
              </w:rPr>
            </w:pPr>
            <w:r>
              <w:rPr>
                <w:rFonts w:hint="eastAsia" w:asciiTheme="minorEastAsia" w:hAnsiTheme="minorEastAsia" w:eastAsiaTheme="minorEastAsia" w:cstheme="minorEastAsia"/>
                <w:szCs w:val="21"/>
                <w:highlight w:val="none"/>
                <w:lang w:val="en-US" w:eastAsia="zh-CN"/>
              </w:rPr>
              <w:t>3.</w:t>
            </w:r>
            <w:r>
              <w:rPr>
                <w:rFonts w:hint="eastAsia" w:ascii="宋体" w:hAnsi="宋体" w:eastAsia="宋体" w:cs="宋体"/>
                <w:b w:val="0"/>
                <w:color w:val="auto"/>
                <w:sz w:val="21"/>
                <w:szCs w:val="21"/>
                <w:highlight w:val="none"/>
                <w:lang w:val="en-US" w:eastAsia="zh-CN"/>
              </w:rPr>
              <w:t>对本项目</w:t>
            </w:r>
            <w:r>
              <w:rPr>
                <w:rFonts w:hint="eastAsia" w:ascii="宋体" w:hAnsi="宋体" w:eastAsia="宋体" w:cs="宋体"/>
                <w:b w:val="0"/>
                <w:color w:val="auto"/>
                <w:sz w:val="21"/>
                <w:szCs w:val="21"/>
                <w:highlight w:val="none"/>
              </w:rPr>
              <w:t>重难点把握</w:t>
            </w:r>
            <w:r>
              <w:rPr>
                <w:rFonts w:hint="eastAsia" w:ascii="宋体" w:hAnsi="宋体" w:cs="宋体"/>
                <w:b w:val="0"/>
                <w:color w:val="auto"/>
                <w:sz w:val="21"/>
                <w:szCs w:val="21"/>
                <w:highlight w:val="none"/>
                <w:lang w:val="en-US" w:eastAsia="zh-CN"/>
              </w:rPr>
              <w:t>不够</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解决性方案</w:t>
            </w:r>
            <w:r>
              <w:rPr>
                <w:rFonts w:hint="eastAsia" w:ascii="宋体" w:hAnsi="宋体" w:cs="宋体"/>
                <w:b w:val="0"/>
                <w:color w:val="auto"/>
                <w:sz w:val="21"/>
                <w:szCs w:val="21"/>
                <w:highlight w:val="none"/>
                <w:lang w:val="en-US" w:eastAsia="zh-CN"/>
              </w:rPr>
              <w:t>不够科学合理可行、实操性不够</w:t>
            </w:r>
            <w:r>
              <w:rPr>
                <w:rFonts w:hint="eastAsia" w:ascii="宋体" w:hAnsi="宋体" w:cs="宋体"/>
                <w:b w:val="0"/>
                <w:color w:val="auto"/>
                <w:sz w:val="21"/>
                <w:szCs w:val="20"/>
                <w:highlight w:val="none"/>
                <w:lang w:val="en-US" w:eastAsia="zh-CN"/>
              </w:rPr>
              <w:t>的</w:t>
            </w:r>
            <w:r>
              <w:rPr>
                <w:rFonts w:hint="eastAsia" w:ascii="宋体" w:hAnsi="宋体" w:eastAsia="宋体" w:cs="宋体"/>
                <w:b w:val="0"/>
                <w:color w:val="auto"/>
                <w:sz w:val="21"/>
                <w:szCs w:val="21"/>
                <w:highlight w:val="none"/>
                <w:lang w:val="en-US" w:eastAsia="zh-CN"/>
              </w:rPr>
              <w:t>得</w:t>
            </w:r>
            <w:r>
              <w:rPr>
                <w:rFonts w:hint="eastAsia" w:ascii="宋体" w:hAnsi="宋体" w:cs="宋体"/>
                <w:b w:val="0"/>
                <w:color w:val="auto"/>
                <w:sz w:val="21"/>
                <w:szCs w:val="21"/>
                <w:highlight w:val="none"/>
                <w:lang w:val="en-US" w:eastAsia="zh-CN"/>
              </w:rPr>
              <w:t>0</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4.0</w:t>
            </w:r>
            <w:r>
              <w:rPr>
                <w:rFonts w:hint="eastAsia" w:ascii="宋体" w:hAnsi="宋体" w:eastAsia="宋体" w:cs="宋体"/>
                <w:b w:val="0"/>
                <w:color w:val="auto"/>
                <w:sz w:val="21"/>
                <w:szCs w:val="21"/>
                <w:highlight w:val="none"/>
                <w:lang w:val="en-US" w:eastAsia="zh-CN"/>
              </w:rPr>
              <w:t>分；</w:t>
            </w:r>
            <w:r>
              <w:rPr>
                <w:rFonts w:hint="eastAsia" w:asciiTheme="minorEastAsia" w:hAnsiTheme="minorEastAsia" w:eastAsiaTheme="minorEastAsia" w:cstheme="minorEastAsia"/>
                <w:sz w:val="21"/>
                <w:szCs w:val="21"/>
                <w:highlight w:val="none"/>
                <w:lang w:val="en-US" w:eastAsia="zh-Hans"/>
              </w:rPr>
              <w:t>缺项得0分。</w:t>
            </w:r>
          </w:p>
        </w:tc>
        <w:tc>
          <w:tcPr>
            <w:tcW w:w="1180" w:type="dxa"/>
            <w:shd w:val="clear" w:color="auto" w:fill="auto"/>
            <w:vAlign w:val="center"/>
          </w:tcPr>
          <w:p>
            <w:pPr>
              <w:pStyle w:val="27"/>
              <w:shd w:val="clear"/>
              <w:spacing w:line="360" w:lineRule="auto"/>
              <w:jc w:val="center"/>
              <w:rPr>
                <w:rFonts w:hint="eastAsia" w:asciiTheme="minorEastAsia" w:hAnsiTheme="minorEastAsia" w:eastAsiaTheme="minorEastAsia" w:cstheme="minorEastAsia"/>
                <w:kern w:val="2"/>
                <w:sz w:val="21"/>
                <w:szCs w:val="21"/>
                <w:highlight w:val="none"/>
                <w:vertAlign w:val="baseline"/>
                <w:lang w:val="en-US" w:eastAsia="zh-CN" w:bidi="ar-SA"/>
              </w:rPr>
            </w:pPr>
          </w:p>
          <w:p>
            <w:pPr>
              <w:pStyle w:val="27"/>
              <w:shd w:val="clear"/>
              <w:spacing w:line="360" w:lineRule="auto"/>
              <w:jc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top"/>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360" w:lineRule="auto"/>
              <w:ind w:left="0" w:leftChars="0" w:firstLine="0" w:firstLineChars="0"/>
              <w:jc w:val="center"/>
              <w:rPr>
                <w:rFonts w:ascii="宋体" w:cs="宋体"/>
                <w:kern w:val="0"/>
                <w:szCs w:val="21"/>
                <w:highlight w:val="none"/>
              </w:rPr>
            </w:pPr>
          </w:p>
          <w:p>
            <w:pPr>
              <w:numPr>
                <w:ilvl w:val="0"/>
                <w:numId w:val="0"/>
              </w:numPr>
              <w:shd w:val="clear"/>
              <w:spacing w:line="360" w:lineRule="auto"/>
              <w:ind w:left="0" w:leftChars="0" w:firstLine="0" w:firstLineChars="0"/>
              <w:jc w:val="center"/>
              <w:rPr>
                <w:rFonts w:ascii="宋体" w:cs="宋体"/>
                <w:kern w:val="0"/>
                <w:szCs w:val="21"/>
                <w:highlight w:val="none"/>
              </w:rPr>
            </w:pPr>
          </w:p>
          <w:p>
            <w:pPr>
              <w:numPr>
                <w:ilvl w:val="0"/>
                <w:numId w:val="0"/>
              </w:numPr>
              <w:shd w:val="clear"/>
              <w:spacing w:line="360" w:lineRule="auto"/>
              <w:ind w:left="0" w:leftChars="0" w:firstLine="0" w:firstLineChars="0"/>
              <w:jc w:val="center"/>
              <w:rPr>
                <w:rFonts w:ascii="宋体" w:cs="宋体"/>
                <w:kern w:val="0"/>
                <w:szCs w:val="21"/>
                <w:highlight w:val="none"/>
              </w:rPr>
            </w:pPr>
          </w:p>
          <w:p>
            <w:pPr>
              <w:numPr>
                <w:ilvl w:val="0"/>
                <w:numId w:val="0"/>
              </w:numPr>
              <w:shd w:val="clear"/>
              <w:spacing w:line="360" w:lineRule="auto"/>
              <w:ind w:left="0" w:leftChars="0" w:firstLine="0" w:firstLineChars="0"/>
              <w:jc w:val="center"/>
              <w:rPr>
                <w:rFonts w:ascii="宋体" w:cs="宋体"/>
                <w:kern w:val="0"/>
                <w:szCs w:val="21"/>
                <w:highlight w:val="none"/>
              </w:rPr>
            </w:pPr>
          </w:p>
          <w:p>
            <w:pPr>
              <w:numPr>
                <w:ilvl w:val="0"/>
                <w:numId w:val="0"/>
              </w:numPr>
              <w:shd w:val="clear"/>
              <w:spacing w:line="360" w:lineRule="auto"/>
              <w:ind w:left="0" w:leftChars="0" w:firstLine="0" w:firstLine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宋体" w:cs="宋体" w:eastAsiaTheme="minorEastAsia"/>
                <w:kern w:val="0"/>
                <w:szCs w:val="21"/>
                <w:highlight w:val="none"/>
                <w:lang w:val="en-US" w:eastAsia="zh-CN"/>
              </w:rPr>
              <w:t>项目进度安排</w:t>
            </w:r>
          </w:p>
        </w:tc>
        <w:tc>
          <w:tcPr>
            <w:tcW w:w="6510" w:type="dxa"/>
            <w:shd w:val="clear" w:color="auto" w:fill="auto"/>
            <w:vAlign w:val="top"/>
          </w:tcPr>
          <w:p>
            <w:pPr>
              <w:keepNext w:val="0"/>
              <w:keepLines w:val="0"/>
              <w:pageBreakBefore w:val="0"/>
              <w:tabs>
                <w:tab w:val="left" w:pos="2061"/>
              </w:tabs>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Hans"/>
              </w:rPr>
            </w:pPr>
            <w:r>
              <w:rPr>
                <w:rFonts w:hint="eastAsia" w:ascii="宋体" w:hAnsi="宋体" w:eastAsia="宋体" w:cs="宋体"/>
                <w:b w:val="0"/>
                <w:color w:val="auto"/>
                <w:sz w:val="21"/>
                <w:szCs w:val="21"/>
                <w:highlight w:val="none"/>
                <w:lang w:val="en-US" w:eastAsia="zh-CN"/>
              </w:rPr>
              <w:t>提出本次工作的进度计划，要求整体工作阶段及任务划分、进度计划安排合理、可行，关键时间节点把握科学准确，</w:t>
            </w:r>
            <w:r>
              <w:rPr>
                <w:rFonts w:hint="eastAsia" w:ascii="宋体" w:hAnsi="宋体" w:eastAsia="宋体" w:cs="宋体"/>
                <w:b w:val="0"/>
                <w:color w:val="auto"/>
                <w:sz w:val="21"/>
                <w:szCs w:val="21"/>
                <w:highlight w:val="none"/>
                <w:lang w:val="en-US" w:eastAsia="zh-Hans"/>
              </w:rPr>
              <w:t>由专家综合评定打分。</w:t>
            </w:r>
          </w:p>
          <w:p>
            <w:pPr>
              <w:keepNext w:val="0"/>
              <w:keepLines w:val="0"/>
              <w:pageBreakBefore w:val="0"/>
              <w:tabs>
                <w:tab w:val="left" w:pos="2061"/>
              </w:tabs>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1.本次工作内容、计划进度、整体工作阶段及任务划分、进度计划安排合理、可行，关键时间节点把握科学准确全程控制管理等方案详细可行的得</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9</w:t>
            </w:r>
            <w:r>
              <w:rPr>
                <w:rFonts w:hint="eastAsia" w:asciiTheme="minorEastAsia" w:hAnsiTheme="minorEastAsia" w:eastAsiaTheme="minorEastAsia" w:cstheme="minorEastAsia"/>
                <w:szCs w:val="21"/>
                <w:highlight w:val="none"/>
                <w:lang w:eastAsia="zh-Hans"/>
              </w:rPr>
              <w:t>.0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2.本次工作内容、计划进度、整体工作阶段及任务划分、进度计划安排</w:t>
            </w:r>
            <w:r>
              <w:rPr>
                <w:rFonts w:hint="eastAsia" w:ascii="宋体" w:hAnsi="宋体" w:cs="宋体"/>
                <w:b w:val="0"/>
                <w:color w:val="auto"/>
                <w:sz w:val="21"/>
                <w:szCs w:val="21"/>
                <w:highlight w:val="none"/>
                <w:lang w:val="en-US" w:eastAsia="zh-CN"/>
              </w:rPr>
              <w:t>较</w:t>
            </w:r>
            <w:r>
              <w:rPr>
                <w:rFonts w:hint="eastAsia" w:ascii="宋体" w:hAnsi="宋体" w:eastAsia="宋体" w:cs="宋体"/>
                <w:b w:val="0"/>
                <w:color w:val="auto"/>
                <w:sz w:val="21"/>
                <w:szCs w:val="21"/>
                <w:highlight w:val="none"/>
                <w:lang w:val="en-US" w:eastAsia="zh-CN"/>
              </w:rPr>
              <w:t>合理、可行，关键时间节点把握</w:t>
            </w:r>
            <w:r>
              <w:rPr>
                <w:rFonts w:hint="eastAsia" w:ascii="宋体" w:hAnsi="宋体" w:cs="宋体"/>
                <w:b w:val="0"/>
                <w:color w:val="auto"/>
                <w:sz w:val="21"/>
                <w:szCs w:val="21"/>
                <w:highlight w:val="none"/>
                <w:lang w:val="en-US" w:eastAsia="zh-CN"/>
              </w:rPr>
              <w:t>较</w:t>
            </w:r>
            <w:r>
              <w:rPr>
                <w:rFonts w:hint="eastAsia" w:ascii="宋体" w:hAnsi="宋体" w:eastAsia="宋体" w:cs="宋体"/>
                <w:b w:val="0"/>
                <w:color w:val="auto"/>
                <w:sz w:val="21"/>
                <w:szCs w:val="21"/>
                <w:highlight w:val="none"/>
                <w:lang w:val="en-US" w:eastAsia="zh-CN"/>
              </w:rPr>
              <w:t>科学准确全程控制管理等方案</w:t>
            </w:r>
            <w:r>
              <w:rPr>
                <w:rFonts w:hint="eastAsia" w:ascii="宋体" w:hAnsi="宋体" w:cs="宋体"/>
                <w:b w:val="0"/>
                <w:color w:val="auto"/>
                <w:sz w:val="21"/>
                <w:szCs w:val="21"/>
                <w:highlight w:val="none"/>
                <w:lang w:val="en-US" w:eastAsia="zh-CN"/>
              </w:rPr>
              <w:t>较</w:t>
            </w:r>
            <w:r>
              <w:rPr>
                <w:rFonts w:hint="eastAsia" w:ascii="宋体" w:hAnsi="宋体" w:eastAsia="宋体" w:cs="宋体"/>
                <w:b w:val="0"/>
                <w:color w:val="auto"/>
                <w:sz w:val="21"/>
                <w:szCs w:val="21"/>
                <w:highlight w:val="none"/>
                <w:lang w:val="en-US" w:eastAsia="zh-CN"/>
              </w:rPr>
              <w:t>详细可行的得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.1-</w:t>
            </w:r>
            <w:r>
              <w:rPr>
                <w:rFonts w:hint="eastAsia" w:ascii="宋体" w:hAnsi="宋体" w:cs="宋体"/>
                <w:b w:val="0"/>
                <w:color w:val="auto"/>
                <w:sz w:val="21"/>
                <w:szCs w:val="21"/>
                <w:highlight w:val="none"/>
                <w:lang w:val="en-US" w:eastAsia="zh-CN"/>
              </w:rPr>
              <w:t>6.0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3.本次工作内容、计划进度、整体工作阶段及任务划分、进度计划安排</w:t>
            </w:r>
            <w:r>
              <w:rPr>
                <w:rFonts w:hint="eastAsia" w:ascii="宋体" w:hAnsi="宋体" w:cs="宋体"/>
                <w:b w:val="0"/>
                <w:color w:val="auto"/>
                <w:sz w:val="21"/>
                <w:szCs w:val="21"/>
                <w:highlight w:val="none"/>
                <w:lang w:val="en-US" w:eastAsia="zh-CN"/>
              </w:rPr>
              <w:t>不够</w:t>
            </w:r>
            <w:r>
              <w:rPr>
                <w:rFonts w:hint="eastAsia" w:ascii="宋体" w:hAnsi="宋体" w:eastAsia="宋体" w:cs="宋体"/>
                <w:b w:val="0"/>
                <w:color w:val="auto"/>
                <w:sz w:val="21"/>
                <w:szCs w:val="21"/>
                <w:highlight w:val="none"/>
                <w:lang w:val="en-US" w:eastAsia="zh-CN"/>
              </w:rPr>
              <w:t>合理、可行，关键时间节点把握</w:t>
            </w:r>
            <w:r>
              <w:rPr>
                <w:rFonts w:hint="eastAsia" w:ascii="宋体" w:hAnsi="宋体" w:cs="宋体"/>
                <w:b w:val="0"/>
                <w:color w:val="auto"/>
                <w:sz w:val="21"/>
                <w:szCs w:val="21"/>
                <w:highlight w:val="none"/>
                <w:lang w:val="en-US" w:eastAsia="zh-CN"/>
              </w:rPr>
              <w:t>不够</w:t>
            </w:r>
            <w:r>
              <w:rPr>
                <w:rFonts w:hint="eastAsia" w:ascii="宋体" w:hAnsi="宋体" w:eastAsia="宋体" w:cs="宋体"/>
                <w:b w:val="0"/>
                <w:color w:val="auto"/>
                <w:sz w:val="21"/>
                <w:szCs w:val="21"/>
                <w:highlight w:val="none"/>
                <w:lang w:val="en-US" w:eastAsia="zh-CN"/>
              </w:rPr>
              <w:t>科学准确全程控制管理等方案</w:t>
            </w:r>
            <w:r>
              <w:rPr>
                <w:rFonts w:hint="eastAsia" w:ascii="宋体" w:hAnsi="宋体" w:cs="宋体"/>
                <w:b w:val="0"/>
                <w:color w:val="auto"/>
                <w:sz w:val="21"/>
                <w:szCs w:val="21"/>
                <w:highlight w:val="none"/>
                <w:lang w:val="en-US" w:eastAsia="zh-CN"/>
              </w:rPr>
              <w:t>不够</w:t>
            </w:r>
            <w:r>
              <w:rPr>
                <w:rFonts w:hint="eastAsia" w:ascii="宋体" w:hAnsi="宋体" w:eastAsia="宋体" w:cs="宋体"/>
                <w:b w:val="0"/>
                <w:color w:val="auto"/>
                <w:sz w:val="21"/>
                <w:szCs w:val="21"/>
                <w:highlight w:val="none"/>
                <w:lang w:val="en-US" w:eastAsia="zh-CN"/>
              </w:rPr>
              <w:t>详细可行的得</w:t>
            </w:r>
            <w:r>
              <w:rPr>
                <w:rFonts w:hint="eastAsia" w:ascii="宋体" w:hAnsi="宋体" w:cs="宋体"/>
                <w:b w:val="0"/>
                <w:color w:val="auto"/>
                <w:sz w:val="21"/>
                <w:szCs w:val="21"/>
                <w:highlight w:val="none"/>
                <w:lang w:val="en-US" w:eastAsia="zh-CN"/>
              </w:rPr>
              <w:t>0</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3.0</w:t>
            </w:r>
            <w:r>
              <w:rPr>
                <w:rFonts w:hint="eastAsia" w:ascii="宋体" w:hAnsi="宋体" w:eastAsia="宋体" w:cs="宋体"/>
                <w:b w:val="0"/>
                <w:color w:val="auto"/>
                <w:sz w:val="21"/>
                <w:szCs w:val="21"/>
                <w:highlight w:val="none"/>
                <w:lang w:val="en-US" w:eastAsia="zh-CN"/>
              </w:rPr>
              <w:t>分；缺项得0分。</w:t>
            </w:r>
          </w:p>
        </w:tc>
        <w:tc>
          <w:tcPr>
            <w:tcW w:w="1180" w:type="dxa"/>
            <w:shd w:val="clear" w:color="auto" w:fill="auto"/>
            <w:vAlign w:val="center"/>
          </w:tcPr>
          <w:p>
            <w:pPr>
              <w:shd w:val="clear"/>
              <w:spacing w:line="360" w:lineRule="auto"/>
              <w:jc w:val="center"/>
              <w:rPr>
                <w:rFonts w:hint="default"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60" w:lineRule="auto"/>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服务质量及后续保障</w:t>
            </w:r>
          </w:p>
        </w:tc>
        <w:tc>
          <w:tcPr>
            <w:tcW w:w="6510" w:type="dxa"/>
            <w:shd w:val="clear" w:color="auto" w:fill="auto"/>
            <w:vAlign w:val="center"/>
          </w:tcPr>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根据投标人针对本项目实施过程中服务质量及后续保障方案进行打分。</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1.本项目实施过程中服务质量及后续保障体系完善，符合实际需求，有成功应用经验的得6</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9</w:t>
            </w:r>
            <w:r>
              <w:rPr>
                <w:rFonts w:hint="eastAsia" w:asciiTheme="minorEastAsia" w:hAnsiTheme="minorEastAsia" w:eastAsiaTheme="minorEastAsia" w:cstheme="minorEastAsia"/>
                <w:szCs w:val="21"/>
                <w:highlight w:val="none"/>
                <w:lang w:eastAsia="zh-Hans"/>
              </w:rPr>
              <w:t>.0</w:t>
            </w:r>
            <w:r>
              <w:rPr>
                <w:rFonts w:hint="eastAsia" w:ascii="宋体" w:hAnsi="宋体" w:eastAsia="宋体" w:cs="宋体"/>
                <w:b w:val="0"/>
                <w:color w:val="auto"/>
                <w:sz w:val="21"/>
                <w:szCs w:val="21"/>
                <w:highlight w:val="none"/>
                <w:lang w:val="en-US" w:eastAsia="zh-CN"/>
              </w:rPr>
              <w:t>分</w:t>
            </w:r>
            <w:r>
              <w:rPr>
                <w:rFonts w:hint="eastAsia" w:asciiTheme="minorEastAsia" w:hAnsiTheme="minorEastAsia" w:eastAsiaTheme="minorEastAsia" w:cstheme="minorEastAsia"/>
                <w:szCs w:val="21"/>
                <w:highlight w:val="none"/>
                <w:lang w:val="en-US" w:eastAsia="zh-CN"/>
              </w:rPr>
              <w:t>；</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2.本项目实施过程中服务质量及后续保障体系较完善，较符合实际需求，有成功应用经验的得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.1-</w:t>
            </w:r>
            <w:r>
              <w:rPr>
                <w:rFonts w:hint="eastAsia" w:ascii="宋体" w:hAnsi="宋体" w:cs="宋体"/>
                <w:b w:val="0"/>
                <w:color w:val="auto"/>
                <w:sz w:val="21"/>
                <w:szCs w:val="21"/>
                <w:highlight w:val="none"/>
                <w:lang w:val="en-US" w:eastAsia="zh-CN"/>
              </w:rPr>
              <w:t>6.0</w:t>
            </w:r>
            <w:r>
              <w:rPr>
                <w:rFonts w:hint="eastAsia" w:ascii="宋体" w:hAnsi="宋体" w:eastAsia="宋体" w:cs="宋体"/>
                <w:b w:val="0"/>
                <w:color w:val="auto"/>
                <w:sz w:val="21"/>
                <w:szCs w:val="21"/>
                <w:highlight w:val="none"/>
                <w:lang w:val="en-US" w:eastAsia="zh-CN"/>
              </w:rPr>
              <w:t>分</w:t>
            </w:r>
            <w:r>
              <w:rPr>
                <w:rFonts w:hint="eastAsia" w:asciiTheme="minorEastAsia" w:hAnsiTheme="minorEastAsia" w:eastAsiaTheme="minorEastAsia" w:cstheme="minorEastAsia"/>
                <w:szCs w:val="21"/>
                <w:highlight w:val="none"/>
                <w:lang w:val="en-US" w:eastAsia="zh-CN"/>
              </w:rPr>
              <w:t>；</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3.本项目实施过程中服务质量及后续保障体系基本完善、基本符合实际需求，没有成功应用经验的得</w:t>
            </w:r>
            <w:r>
              <w:rPr>
                <w:rFonts w:hint="eastAsia" w:ascii="宋体" w:hAnsi="宋体" w:cs="宋体"/>
                <w:b w:val="0"/>
                <w:color w:val="auto"/>
                <w:sz w:val="21"/>
                <w:szCs w:val="21"/>
                <w:highlight w:val="none"/>
                <w:lang w:val="en-US" w:eastAsia="zh-CN"/>
              </w:rPr>
              <w:t>0</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3.0</w:t>
            </w:r>
            <w:r>
              <w:rPr>
                <w:rFonts w:hint="eastAsia" w:ascii="宋体" w:hAnsi="宋体" w:eastAsia="宋体" w:cs="宋体"/>
                <w:b w:val="0"/>
                <w:color w:val="auto"/>
                <w:sz w:val="21"/>
                <w:szCs w:val="21"/>
                <w:highlight w:val="none"/>
                <w:lang w:val="en-US" w:eastAsia="zh-CN"/>
              </w:rPr>
              <w:t>分</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eastAsia="zh-Hans"/>
              </w:rPr>
              <w:t>缺项得0分。</w:t>
            </w:r>
          </w:p>
        </w:tc>
        <w:tc>
          <w:tcPr>
            <w:tcW w:w="1180" w:type="dxa"/>
            <w:shd w:val="clear" w:color="auto" w:fill="auto"/>
            <w:vAlign w:val="center"/>
          </w:tcPr>
          <w:p>
            <w:pPr>
              <w:widowControl/>
              <w:spacing w:line="360" w:lineRule="auto"/>
              <w:jc w:val="center"/>
              <w:rPr>
                <w:rFonts w:hint="default" w:ascii="宋体" w:cs="宋体"/>
                <w:kern w:val="0"/>
                <w:szCs w:val="21"/>
                <w:highlight w:val="none"/>
                <w:lang w:val="en-US" w:eastAsia="zh-CN"/>
              </w:rPr>
            </w:pPr>
            <w:r>
              <w:rPr>
                <w:rFonts w:hint="eastAsia" w:ascii="宋体" w:cs="宋体"/>
                <w:kern w:val="0"/>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60" w:lineRule="auto"/>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eastAsia="zh-Hans"/>
              </w:rPr>
              <w:t>项目</w:t>
            </w:r>
            <w:r>
              <w:rPr>
                <w:rFonts w:hint="eastAsia" w:asciiTheme="minorEastAsia" w:hAnsiTheme="minorEastAsia" w:eastAsiaTheme="minorEastAsia" w:cstheme="minorEastAsia"/>
                <w:szCs w:val="21"/>
                <w:highlight w:val="none"/>
                <w:lang w:val="zh-CN" w:eastAsia="zh-Hans"/>
              </w:rPr>
              <w:t>合理化建议</w:t>
            </w:r>
          </w:p>
        </w:tc>
        <w:tc>
          <w:tcPr>
            <w:tcW w:w="6510" w:type="dxa"/>
            <w:shd w:val="clear" w:color="auto" w:fill="auto"/>
            <w:vAlign w:val="center"/>
          </w:tcPr>
          <w:p>
            <w:pPr>
              <w:spacing w:line="360" w:lineRule="auto"/>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eastAsia="zh-Hans"/>
              </w:rPr>
              <w:t>投标人提供的方案中具有其他合理化建议和特色亮点由专家综合评定打分。</w:t>
            </w:r>
          </w:p>
          <w:p>
            <w:pPr>
              <w:spacing w:line="360" w:lineRule="auto"/>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Hans"/>
              </w:rPr>
              <w:t>合理化建议和特色亮点逻辑清晰、内容完整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、针对性强的得</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9</w:t>
            </w:r>
            <w:r>
              <w:rPr>
                <w:rFonts w:hint="eastAsia" w:asciiTheme="minorEastAsia" w:hAnsiTheme="minorEastAsia" w:eastAsiaTheme="minorEastAsia" w:cstheme="minorEastAsia"/>
                <w:szCs w:val="21"/>
                <w:highlight w:val="none"/>
                <w:lang w:eastAsia="zh-Hans"/>
              </w:rPr>
              <w:t>.0分；</w:t>
            </w:r>
          </w:p>
          <w:p>
            <w:pPr>
              <w:spacing w:line="360" w:lineRule="auto"/>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eastAsia="zh-Hans"/>
              </w:rPr>
              <w:t>合理化建议和特色亮点逻辑</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具有一定</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强的得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.1-</w:t>
            </w:r>
            <w:r>
              <w:rPr>
                <w:rFonts w:hint="eastAsia" w:ascii="宋体" w:hAnsi="宋体" w:cs="宋体"/>
                <w:b w:val="0"/>
                <w:color w:val="auto"/>
                <w:sz w:val="21"/>
                <w:szCs w:val="21"/>
                <w:highlight w:val="none"/>
                <w:lang w:val="en-US" w:eastAsia="zh-CN"/>
              </w:rPr>
              <w:t>6.0</w:t>
            </w:r>
            <w:r>
              <w:rPr>
                <w:rFonts w:hint="eastAsia" w:asciiTheme="minorEastAsia" w:hAnsiTheme="minorEastAsia" w:eastAsiaTheme="minorEastAsia" w:cstheme="minorEastAsia"/>
                <w:szCs w:val="21"/>
                <w:highlight w:val="none"/>
                <w:lang w:eastAsia="zh-Hans"/>
              </w:rPr>
              <w:t>分；</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3.合理化建议和特色亮点</w:t>
            </w:r>
            <w:r>
              <w:rPr>
                <w:rFonts w:hint="eastAsia" w:asciiTheme="minorEastAsia" w:hAnsiTheme="minorEastAsia" w:eastAsiaTheme="minorEastAsia" w:cstheme="minorEastAsia"/>
                <w:szCs w:val="21"/>
                <w:highlight w:val="none"/>
                <w:lang w:eastAsia="zh-Hans"/>
              </w:rPr>
              <w:t>逻辑</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不具有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较差</w:t>
            </w:r>
            <w:r>
              <w:rPr>
                <w:rFonts w:hint="eastAsia" w:asciiTheme="minorEastAsia" w:hAnsiTheme="minorEastAsia" w:eastAsiaTheme="minorEastAsia" w:cstheme="minorEastAsia"/>
                <w:szCs w:val="21"/>
                <w:highlight w:val="none"/>
                <w:lang w:eastAsia="zh-Hans"/>
              </w:rPr>
              <w:t>的得</w:t>
            </w:r>
            <w:r>
              <w:rPr>
                <w:rFonts w:hint="eastAsia" w:ascii="宋体" w:hAnsi="宋体" w:cs="宋体"/>
                <w:b w:val="0"/>
                <w:color w:val="auto"/>
                <w:sz w:val="21"/>
                <w:szCs w:val="21"/>
                <w:highlight w:val="none"/>
                <w:lang w:val="en-US" w:eastAsia="zh-CN"/>
              </w:rPr>
              <w:t>0</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w:t>
            </w:r>
            <w:r>
              <w:rPr>
                <w:rFonts w:hint="eastAsia" w:ascii="宋体" w:hAnsi="宋体" w:cs="宋体"/>
                <w:b w:val="0"/>
                <w:color w:val="auto"/>
                <w:sz w:val="21"/>
                <w:szCs w:val="21"/>
                <w:highlight w:val="none"/>
                <w:lang w:val="en-US" w:eastAsia="zh-CN"/>
              </w:rPr>
              <w:t>3.0</w:t>
            </w:r>
            <w:r>
              <w:rPr>
                <w:rFonts w:hint="eastAsia" w:asciiTheme="minorEastAsia" w:hAnsiTheme="minorEastAsia" w:eastAsiaTheme="minorEastAsia" w:cstheme="minorEastAsia"/>
                <w:szCs w:val="21"/>
                <w:highlight w:val="none"/>
                <w:lang w:eastAsia="zh-Hans"/>
              </w:rPr>
              <w:t>分</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eastAsia="zh-Hans"/>
              </w:rPr>
              <w:t>缺项得0分。</w:t>
            </w:r>
          </w:p>
        </w:tc>
        <w:tc>
          <w:tcPr>
            <w:tcW w:w="1180" w:type="dxa"/>
            <w:shd w:val="clear" w:color="auto" w:fill="auto"/>
            <w:vAlign w:val="center"/>
          </w:tcPr>
          <w:p>
            <w:pPr>
              <w:spacing w:line="360" w:lineRule="auto"/>
              <w:jc w:val="center"/>
              <w:rPr>
                <w:rFonts w:hint="eastAsia" w:ascii="宋体" w:hAnsi="宋体" w:eastAsia="宋体" w:cs="宋体"/>
                <w:highlight w:val="none"/>
                <w:lang w:val="en-US" w:eastAsia="zh-CN"/>
              </w:rPr>
            </w:pPr>
            <w:r>
              <w:rPr>
                <w:rFonts w:hint="eastAsia" w:ascii="宋体" w:cs="宋体"/>
                <w:kern w:val="0"/>
                <w:szCs w:val="21"/>
                <w:highlight w:val="none"/>
                <w:lang w:val="en-US" w:eastAsia="zh-CN"/>
              </w:rPr>
              <w:t>0-9</w:t>
            </w:r>
            <w:r>
              <w:rPr>
                <w:rFonts w:hint="eastAsia" w:asci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60" w:lineRule="auto"/>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人员稳定方案</w:t>
            </w:r>
          </w:p>
        </w:tc>
        <w:tc>
          <w:tcPr>
            <w:tcW w:w="6510" w:type="dxa"/>
            <w:shd w:val="clear" w:color="auto" w:fill="auto"/>
            <w:vAlign w:val="center"/>
          </w:tcPr>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总设计师及专业团队人员</w:t>
            </w:r>
            <w:r>
              <w:rPr>
                <w:rFonts w:hint="eastAsia" w:asciiTheme="minorEastAsia" w:hAnsiTheme="minorEastAsia" w:eastAsiaTheme="minorEastAsia" w:cstheme="minorEastAsia"/>
                <w:bCs/>
                <w:color w:val="auto"/>
                <w:sz w:val="21"/>
                <w:szCs w:val="21"/>
                <w:highlight w:val="none"/>
              </w:rPr>
              <w:t>到位率和人员稳定性方面的保障措施</w:t>
            </w:r>
            <w:r>
              <w:rPr>
                <w:rFonts w:hint="eastAsia" w:asciiTheme="minorEastAsia" w:hAnsiTheme="minorEastAsia" w:eastAsiaTheme="minorEastAsia" w:cstheme="minorEastAsia"/>
                <w:bCs/>
                <w:color w:val="auto"/>
                <w:sz w:val="21"/>
                <w:szCs w:val="21"/>
                <w:highlight w:val="none"/>
                <w:lang w:val="en-US" w:eastAsia="zh-CN"/>
              </w:rPr>
              <w:t>方案由专家综合评定打分。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1.总设计师及专业团队人员</w:t>
            </w:r>
            <w:r>
              <w:rPr>
                <w:rFonts w:hint="eastAsia" w:asciiTheme="minorEastAsia" w:hAnsiTheme="minorEastAsia" w:eastAsiaTheme="minorEastAsia" w:cstheme="minorEastAsia"/>
                <w:bCs/>
                <w:color w:val="auto"/>
                <w:sz w:val="21"/>
                <w:szCs w:val="21"/>
                <w:highlight w:val="none"/>
              </w:rPr>
              <w:t>到位率和人员稳定性方面的保障措施方案完善、合理、</w:t>
            </w:r>
            <w:r>
              <w:rPr>
                <w:rFonts w:hint="eastAsia" w:asciiTheme="minorEastAsia" w:hAnsiTheme="minorEastAsia" w:eastAsiaTheme="minorEastAsia" w:cstheme="minorEastAsia"/>
                <w:bCs/>
                <w:color w:val="auto"/>
                <w:sz w:val="21"/>
                <w:szCs w:val="21"/>
                <w:highlight w:val="none"/>
                <w:lang w:val="en-US" w:eastAsia="zh-CN"/>
              </w:rPr>
              <w:t>科学可行的</w:t>
            </w:r>
            <w:r>
              <w:rPr>
                <w:rFonts w:hint="eastAsia" w:asciiTheme="minorEastAsia" w:hAnsiTheme="minorEastAsia" w:eastAsiaTheme="minorEastAsia" w:cstheme="minorEastAsia"/>
                <w:bCs/>
                <w:color w:val="auto"/>
                <w:sz w:val="21"/>
                <w:szCs w:val="21"/>
                <w:highlight w:val="none"/>
              </w:rPr>
              <w:t>得</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5.0</w:t>
            </w:r>
            <w:r>
              <w:rPr>
                <w:rFonts w:hint="eastAsia" w:asciiTheme="minorEastAsia" w:hAnsiTheme="minorEastAsia" w:eastAsiaTheme="minorEastAsia" w:cstheme="minorEastAsia"/>
                <w:szCs w:val="21"/>
                <w:highlight w:val="none"/>
                <w:lang w:eastAsia="zh-Hans"/>
              </w:rPr>
              <w:t>分</w:t>
            </w:r>
            <w:r>
              <w:rPr>
                <w:rFonts w:hint="eastAsia" w:asciiTheme="minorEastAsia" w:hAnsiTheme="minorEastAsia" w:eastAsiaTheme="minorEastAsia" w:cstheme="minorEastAsia"/>
                <w:bCs/>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2.总设计师及专业团队人员</w:t>
            </w:r>
            <w:r>
              <w:rPr>
                <w:rFonts w:hint="eastAsia" w:asciiTheme="minorEastAsia" w:hAnsiTheme="minorEastAsia" w:eastAsiaTheme="minorEastAsia" w:cstheme="minorEastAsia"/>
                <w:bCs/>
                <w:color w:val="auto"/>
                <w:sz w:val="21"/>
                <w:szCs w:val="21"/>
                <w:highlight w:val="none"/>
              </w:rPr>
              <w:t>到位率和人员稳定性方面的保障措施方案完善、合理、</w:t>
            </w:r>
            <w:r>
              <w:rPr>
                <w:rFonts w:hint="eastAsia" w:asciiTheme="minorEastAsia" w:hAnsiTheme="minorEastAsia" w:eastAsiaTheme="minorEastAsia" w:cstheme="minorEastAsia"/>
                <w:bCs/>
                <w:color w:val="auto"/>
                <w:sz w:val="21"/>
                <w:szCs w:val="21"/>
                <w:highlight w:val="none"/>
                <w:lang w:val="en-US" w:eastAsia="zh-CN"/>
              </w:rPr>
              <w:t>较科学可行的</w:t>
            </w:r>
            <w:r>
              <w:rPr>
                <w:rFonts w:hint="eastAsia" w:asciiTheme="minorEastAsia" w:hAnsiTheme="minorEastAsia" w:eastAsiaTheme="minorEastAsia" w:cstheme="minorEastAsia"/>
                <w:bCs/>
                <w:color w:val="auto"/>
                <w:sz w:val="21"/>
                <w:szCs w:val="21"/>
                <w:highlight w:val="none"/>
              </w:rPr>
              <w:t>得</w:t>
            </w:r>
            <w:r>
              <w:rPr>
                <w:rFonts w:hint="eastAsia" w:asciiTheme="minorEastAsia" w:hAnsiTheme="minorEastAsia" w:eastAsiaTheme="minorEastAsia" w:cstheme="minorEastAsia"/>
                <w:szCs w:val="21"/>
                <w:highlight w:val="none"/>
                <w:lang w:val="en-US" w:eastAsia="zh-CN"/>
              </w:rPr>
              <w:t>1.1-3.0</w:t>
            </w:r>
            <w:r>
              <w:rPr>
                <w:rFonts w:hint="eastAsia" w:asciiTheme="minorEastAsia" w:hAnsiTheme="minorEastAsia" w:eastAsiaTheme="minorEastAsia" w:cstheme="minorEastAsia"/>
                <w:szCs w:val="21"/>
                <w:highlight w:val="none"/>
                <w:lang w:eastAsia="zh-Hans"/>
              </w:rPr>
              <w:t>分</w:t>
            </w:r>
            <w:r>
              <w:rPr>
                <w:rFonts w:hint="eastAsia" w:asciiTheme="minorEastAsia" w:hAnsiTheme="minorEastAsia" w:eastAsiaTheme="minorEastAsia" w:cstheme="minorEastAsia"/>
                <w:bCs/>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3.总设计师及专业团队人员</w:t>
            </w:r>
            <w:r>
              <w:rPr>
                <w:rFonts w:hint="eastAsia" w:asciiTheme="minorEastAsia" w:hAnsiTheme="minorEastAsia" w:eastAsiaTheme="minorEastAsia" w:cstheme="minorEastAsia"/>
                <w:bCs/>
                <w:color w:val="auto"/>
                <w:sz w:val="21"/>
                <w:szCs w:val="21"/>
                <w:highlight w:val="none"/>
              </w:rPr>
              <w:t>到位率和人员稳定性方面的保障措施方案</w:t>
            </w:r>
            <w:r>
              <w:rPr>
                <w:rFonts w:hint="eastAsia" w:asciiTheme="minorEastAsia" w:hAnsiTheme="minorEastAsia" w:eastAsiaTheme="minorEastAsia" w:cstheme="minorEastAsia"/>
                <w:bCs/>
                <w:color w:val="auto"/>
                <w:sz w:val="21"/>
                <w:szCs w:val="21"/>
                <w:highlight w:val="none"/>
                <w:lang w:val="en-US" w:eastAsia="zh-CN"/>
              </w:rPr>
              <w:t>不够</w:t>
            </w:r>
            <w:r>
              <w:rPr>
                <w:rFonts w:hint="eastAsia" w:asciiTheme="minorEastAsia" w:hAnsiTheme="minorEastAsia" w:eastAsiaTheme="minorEastAsia" w:cstheme="minorEastAsia"/>
                <w:bCs/>
                <w:color w:val="auto"/>
                <w:sz w:val="21"/>
                <w:szCs w:val="21"/>
                <w:highlight w:val="none"/>
              </w:rPr>
              <w:t>完善、合理、</w:t>
            </w:r>
            <w:r>
              <w:rPr>
                <w:rFonts w:hint="eastAsia" w:asciiTheme="minorEastAsia" w:hAnsiTheme="minorEastAsia" w:eastAsiaTheme="minorEastAsia" w:cstheme="minorEastAsia"/>
                <w:bCs/>
                <w:color w:val="auto"/>
                <w:sz w:val="21"/>
                <w:szCs w:val="21"/>
                <w:highlight w:val="none"/>
                <w:lang w:val="en-US" w:eastAsia="zh-CN"/>
              </w:rPr>
              <w:t>不够科学可行的</w:t>
            </w:r>
            <w:r>
              <w:rPr>
                <w:rFonts w:hint="eastAsia" w:asciiTheme="minorEastAsia" w:hAnsiTheme="minorEastAsia" w:eastAsiaTheme="minorEastAsia" w:cstheme="minorEastAsia"/>
                <w:bCs/>
                <w:color w:val="auto"/>
                <w:sz w:val="21"/>
                <w:szCs w:val="21"/>
                <w:highlight w:val="none"/>
              </w:rPr>
              <w:t>得</w:t>
            </w:r>
            <w:r>
              <w:rPr>
                <w:rFonts w:hint="eastAsia" w:asciiTheme="minorEastAsia" w:hAnsiTheme="minorEastAsia" w:eastAsiaTheme="minorEastAsia" w:cstheme="minorEastAsia"/>
                <w:highlight w:val="none"/>
              </w:rPr>
              <w:t>0.1-</w:t>
            </w:r>
            <w:r>
              <w:rPr>
                <w:rFonts w:hint="eastAsia"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szCs w:val="21"/>
                <w:highlight w:val="none"/>
                <w:lang w:eastAsia="zh-Hans"/>
              </w:rPr>
              <w:t>分</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缺项得</w:t>
            </w:r>
            <w:r>
              <w:rPr>
                <w:rFonts w:hint="eastAsia" w:asciiTheme="minorEastAsia" w:hAnsiTheme="minorEastAsia" w:eastAsiaTheme="minorEastAsia" w:cstheme="minorEastAsia"/>
                <w:bCs/>
                <w:color w:val="auto"/>
                <w:sz w:val="21"/>
                <w:szCs w:val="21"/>
                <w:highlight w:val="none"/>
              </w:rPr>
              <w:t>0分。</w:t>
            </w:r>
          </w:p>
        </w:tc>
        <w:tc>
          <w:tcPr>
            <w:tcW w:w="1180" w:type="dxa"/>
            <w:shd w:val="clear" w:color="auto" w:fill="auto"/>
            <w:vAlign w:val="center"/>
          </w:tcPr>
          <w:p>
            <w:pPr>
              <w:spacing w:line="360" w:lineRule="auto"/>
              <w:jc w:val="center"/>
              <w:rPr>
                <w:rFonts w:hint="eastAsia" w:ascii="宋体" w:cs="宋体"/>
                <w:kern w:val="0"/>
                <w:szCs w:val="21"/>
                <w:highlight w:val="none"/>
                <w:lang w:val="en-US" w:eastAsia="zh-CN"/>
              </w:rPr>
            </w:pPr>
            <w:r>
              <w:rPr>
                <w:rFonts w:hint="eastAsia" w:ascii="宋体" w:cs="宋体"/>
                <w:kern w:val="0"/>
                <w:szCs w:val="21"/>
                <w:highlight w:val="none"/>
                <w:lang w:val="en-US" w:eastAsia="zh-CN"/>
              </w:rPr>
              <w:t>0-5</w:t>
            </w:r>
            <w:r>
              <w:rPr>
                <w:rFonts w:hint="eastAsia" w:asci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6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服务承诺</w:t>
            </w:r>
          </w:p>
        </w:tc>
        <w:tc>
          <w:tcPr>
            <w:tcW w:w="6510" w:type="dxa"/>
            <w:shd w:val="clear" w:color="auto" w:fill="auto"/>
            <w:vAlign w:val="center"/>
          </w:tcPr>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针对本项目投标人承诺提供服务的便利性、应急响应速度、服务方案、服务内容等方案进行横向对比打分；</w:t>
            </w:r>
          </w:p>
          <w:p>
            <w:pPr>
              <w:spacing w:line="360" w:lineRule="auto"/>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1.方案</w:t>
            </w:r>
            <w:r>
              <w:rPr>
                <w:rFonts w:hint="eastAsia" w:asciiTheme="minorEastAsia" w:hAnsiTheme="minorEastAsia" w:eastAsiaTheme="minorEastAsia" w:cstheme="minorEastAsia"/>
                <w:szCs w:val="21"/>
                <w:highlight w:val="none"/>
                <w:lang w:eastAsia="zh-Hans"/>
              </w:rPr>
              <w:t>逻辑清晰、内容完整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方案科学合理</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5.0</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szCs w:val="21"/>
                <w:highlight w:val="none"/>
                <w:lang w:eastAsia="zh-Hans"/>
              </w:rPr>
              <w:t>；</w:t>
            </w:r>
          </w:p>
          <w:p>
            <w:pPr>
              <w:spacing w:line="360" w:lineRule="auto"/>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eastAsia="zh-Hans"/>
              </w:rPr>
              <w:t>方案逻辑</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具有一定</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不够、方案较科学合理</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szCs w:val="21"/>
                <w:highlight w:val="none"/>
                <w:lang w:val="en-US" w:eastAsia="zh-CN"/>
              </w:rPr>
              <w:t>1.1-3.0</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szCs w:val="21"/>
                <w:highlight w:val="none"/>
                <w:lang w:eastAsia="zh-Hans"/>
              </w:rPr>
              <w:t>；</w:t>
            </w:r>
          </w:p>
          <w:p>
            <w:pPr>
              <w:spacing w:line="360" w:lineRule="auto"/>
              <w:ind w:firstLine="420" w:firstLineChars="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lang w:eastAsia="zh-Hans"/>
              </w:rPr>
              <w:t>方案逻辑</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不具有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较差</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highlight w:val="none"/>
              </w:rPr>
              <w:t>0.1-</w:t>
            </w:r>
            <w:r>
              <w:rPr>
                <w:rFonts w:hint="eastAsia"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szCs w:val="21"/>
                <w:highlight w:val="none"/>
                <w:lang w:val="en-US" w:eastAsia="zh-CN"/>
              </w:rPr>
              <w:t>分</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eastAsia="zh-Hans"/>
              </w:rPr>
              <w:t>缺项得0分。</w:t>
            </w:r>
          </w:p>
        </w:tc>
        <w:tc>
          <w:tcPr>
            <w:tcW w:w="1180" w:type="dxa"/>
            <w:shd w:val="clear" w:color="auto" w:fill="auto"/>
            <w:vAlign w:val="center"/>
          </w:tcPr>
          <w:p>
            <w:pPr>
              <w:spacing w:line="360" w:lineRule="auto"/>
              <w:jc w:val="center"/>
              <w:rPr>
                <w:rFonts w:hint="eastAsia" w:ascii="宋体" w:cs="宋体"/>
                <w:kern w:val="0"/>
                <w:szCs w:val="21"/>
                <w:highlight w:val="none"/>
                <w:lang w:val="en-US" w:eastAsia="zh-CN"/>
              </w:rPr>
            </w:pPr>
            <w:r>
              <w:rPr>
                <w:rFonts w:hint="eastAsia" w:ascii="宋体" w:cs="宋体"/>
                <w:kern w:val="0"/>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60" w:lineRule="auto"/>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提供培训方案</w:t>
            </w:r>
          </w:p>
        </w:tc>
        <w:tc>
          <w:tcPr>
            <w:tcW w:w="6510" w:type="dxa"/>
            <w:shd w:val="clear" w:color="auto" w:fill="auto"/>
            <w:vAlign w:val="center"/>
          </w:tcPr>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针对本项目投标人</w:t>
            </w:r>
            <w:r>
              <w:rPr>
                <w:rFonts w:hint="eastAsia" w:asciiTheme="minorEastAsia" w:hAnsiTheme="minorEastAsia" w:eastAsiaTheme="minorEastAsia" w:cstheme="minorEastAsia"/>
                <w:kern w:val="2"/>
                <w:sz w:val="21"/>
                <w:szCs w:val="21"/>
                <w:highlight w:val="none"/>
                <w:lang w:val="en-US" w:eastAsia="zh-CN" w:bidi="ar-SA"/>
              </w:rPr>
              <w:t>搭建开放的技术平台，并组织年度业务培训，通过座谈讲解、考察调研等形式制度</w:t>
            </w:r>
            <w:r>
              <w:rPr>
                <w:rFonts w:hint="eastAsia" w:asciiTheme="minorEastAsia" w:hAnsiTheme="minorEastAsia" w:eastAsiaTheme="minorEastAsia" w:cstheme="minorEastAsia"/>
                <w:szCs w:val="21"/>
                <w:highlight w:val="none"/>
                <w:lang w:val="en-US" w:eastAsia="zh-CN"/>
              </w:rPr>
              <w:t>等方案进行横向对比打分：</w:t>
            </w:r>
          </w:p>
          <w:p>
            <w:pPr>
              <w:spacing w:line="360" w:lineRule="auto"/>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1.方案</w:t>
            </w:r>
            <w:r>
              <w:rPr>
                <w:rFonts w:hint="eastAsia" w:asciiTheme="minorEastAsia" w:hAnsiTheme="minorEastAsia" w:eastAsiaTheme="minorEastAsia" w:cstheme="minorEastAsia"/>
                <w:szCs w:val="21"/>
                <w:highlight w:val="none"/>
                <w:lang w:eastAsia="zh-Hans"/>
              </w:rPr>
              <w:t>逻辑清晰、内容完整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方案科学合理</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5.0</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szCs w:val="21"/>
                <w:highlight w:val="none"/>
                <w:lang w:eastAsia="zh-Hans"/>
              </w:rPr>
              <w:t>；</w:t>
            </w:r>
          </w:p>
          <w:p>
            <w:pPr>
              <w:spacing w:line="360" w:lineRule="auto"/>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eastAsia="zh-Hans"/>
              </w:rPr>
              <w:t>方案逻辑</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具有一定</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不够、方案较科学合理</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szCs w:val="21"/>
                <w:highlight w:val="none"/>
                <w:lang w:val="en-US" w:eastAsia="zh-CN"/>
              </w:rPr>
              <w:t>1.1-3.0</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szCs w:val="21"/>
                <w:highlight w:val="none"/>
                <w:lang w:eastAsia="zh-Hans"/>
              </w:rPr>
              <w:t>；</w:t>
            </w:r>
          </w:p>
          <w:p>
            <w:pPr>
              <w:spacing w:line="360" w:lineRule="auto"/>
              <w:ind w:firstLine="420" w:firstLineChars="200"/>
              <w:rPr>
                <w:rFonts w:hint="default"/>
                <w:highlight w:val="none"/>
                <w:lang w:val="en-US" w:eastAsia="zh-CN"/>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lang w:eastAsia="zh-Hans"/>
              </w:rPr>
              <w:t>方案逻辑</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不具有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较差</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highlight w:val="none"/>
              </w:rPr>
              <w:t>0.1-</w:t>
            </w:r>
            <w:r>
              <w:rPr>
                <w:rFonts w:hint="eastAsia"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szCs w:val="21"/>
                <w:highlight w:val="none"/>
                <w:lang w:val="en-US" w:eastAsia="zh-CN"/>
              </w:rPr>
              <w:t>分</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eastAsia="zh-Hans"/>
              </w:rPr>
              <w:t>缺项得0分。</w:t>
            </w:r>
          </w:p>
        </w:tc>
        <w:tc>
          <w:tcPr>
            <w:tcW w:w="1180" w:type="dxa"/>
            <w:shd w:val="clear" w:color="auto" w:fill="auto"/>
            <w:vAlign w:val="center"/>
          </w:tcPr>
          <w:p>
            <w:pPr>
              <w:spacing w:line="360" w:lineRule="auto"/>
              <w:jc w:val="center"/>
              <w:rPr>
                <w:rFonts w:hint="default" w:ascii="宋体" w:cs="宋体"/>
                <w:kern w:val="0"/>
                <w:szCs w:val="21"/>
                <w:highlight w:val="none"/>
                <w:lang w:val="en-US" w:eastAsia="zh-CN"/>
              </w:rPr>
            </w:pPr>
            <w:r>
              <w:rPr>
                <w:rFonts w:hint="eastAsia" w:ascii="宋体" w:cs="宋体"/>
                <w:kern w:val="0"/>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4" w:type="dxa"/>
            <w:vMerge w:val="continue"/>
            <w:shd w:val="clear" w:color="auto" w:fill="auto"/>
            <w:vAlign w:val="center"/>
          </w:tcPr>
          <w:p>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6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保密方案</w:t>
            </w:r>
          </w:p>
        </w:tc>
        <w:tc>
          <w:tcPr>
            <w:tcW w:w="6510" w:type="dxa"/>
            <w:shd w:val="clear" w:color="auto" w:fill="auto"/>
            <w:vAlign w:val="center"/>
          </w:tcPr>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宋体" w:hAnsi="宋体"/>
                <w:b w:val="0"/>
                <w:bCs w:val="0"/>
                <w:color w:val="auto"/>
                <w:szCs w:val="21"/>
                <w:highlight w:val="none"/>
                <w:lang w:val="en-US" w:eastAsia="zh-CN"/>
              </w:rPr>
              <w:t>根据</w:t>
            </w:r>
            <w:r>
              <w:rPr>
                <w:rFonts w:ascii="宋体" w:hAnsi="宋体"/>
                <w:b w:val="0"/>
                <w:bCs w:val="0"/>
                <w:color w:val="auto"/>
                <w:szCs w:val="21"/>
                <w:highlight w:val="none"/>
              </w:rPr>
              <w:t>投标人针对</w:t>
            </w:r>
            <w:r>
              <w:rPr>
                <w:rFonts w:hint="eastAsia" w:ascii="宋体" w:hAnsi="宋体"/>
                <w:b w:val="0"/>
                <w:bCs w:val="0"/>
                <w:color w:val="auto"/>
                <w:szCs w:val="21"/>
                <w:highlight w:val="none"/>
                <w:lang w:val="en-US" w:eastAsia="zh-CN"/>
              </w:rPr>
              <w:t>本项目服务期间</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包括</w:t>
            </w:r>
            <w:r>
              <w:rPr>
                <w:rFonts w:hint="eastAsia" w:asciiTheme="minorEastAsia" w:hAnsiTheme="minorEastAsia" w:eastAsiaTheme="minorEastAsia" w:cstheme="minorEastAsia"/>
                <w:bCs/>
                <w:color w:val="auto"/>
                <w:sz w:val="21"/>
                <w:szCs w:val="21"/>
                <w:highlight w:val="none"/>
              </w:rPr>
              <w:t>是否有具体保密措施，使得</w:t>
            </w:r>
            <w:r>
              <w:rPr>
                <w:rFonts w:hint="eastAsia" w:asciiTheme="minorEastAsia" w:hAnsiTheme="minorEastAsia" w:eastAsiaTheme="minorEastAsia" w:cstheme="minorEastAsia"/>
                <w:bCs/>
                <w:color w:val="auto"/>
                <w:sz w:val="21"/>
                <w:szCs w:val="21"/>
                <w:highlight w:val="none"/>
                <w:lang w:val="en-US" w:eastAsia="zh-CN"/>
              </w:rPr>
              <w:t>工作中的所有数据、相关资料等</w:t>
            </w:r>
            <w:r>
              <w:rPr>
                <w:rFonts w:hint="eastAsia" w:asciiTheme="minorEastAsia" w:hAnsiTheme="minorEastAsia" w:eastAsiaTheme="minorEastAsia" w:cstheme="minorEastAsia"/>
                <w:bCs/>
                <w:color w:val="auto"/>
                <w:sz w:val="21"/>
                <w:szCs w:val="21"/>
                <w:highlight w:val="none"/>
              </w:rPr>
              <w:t>不被泄露等情况进行打分。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bCs/>
                <w:color w:val="auto"/>
                <w:sz w:val="21"/>
                <w:szCs w:val="21"/>
                <w:highlight w:val="none"/>
              </w:rPr>
              <w:t>详细阐述具体的保密措施，措施全面可行，能够确保</w:t>
            </w:r>
            <w:r>
              <w:rPr>
                <w:rFonts w:hint="eastAsia" w:asciiTheme="minorEastAsia" w:hAnsiTheme="minorEastAsia" w:eastAsiaTheme="minorEastAsia" w:cstheme="minorEastAsia"/>
                <w:bCs/>
                <w:color w:val="auto"/>
                <w:sz w:val="21"/>
                <w:szCs w:val="21"/>
                <w:highlight w:val="none"/>
                <w:lang w:val="en-US" w:eastAsia="zh-CN"/>
              </w:rPr>
              <w:t>相关</w:t>
            </w:r>
            <w:r>
              <w:rPr>
                <w:rFonts w:hint="eastAsia" w:asciiTheme="minorEastAsia" w:hAnsiTheme="minorEastAsia" w:eastAsiaTheme="minorEastAsia" w:cstheme="minorEastAsia"/>
                <w:bCs/>
                <w:color w:val="auto"/>
                <w:sz w:val="21"/>
                <w:szCs w:val="21"/>
                <w:highlight w:val="none"/>
              </w:rPr>
              <w:t>资料不被泄露的得</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4.0</w:t>
            </w:r>
            <w:r>
              <w:rPr>
                <w:rFonts w:hint="eastAsia" w:asciiTheme="minorEastAsia" w:hAnsiTheme="minorEastAsia" w:eastAsiaTheme="minorEastAsia" w:cstheme="minorEastAsia"/>
                <w:bCs/>
                <w:color w:val="auto"/>
                <w:sz w:val="21"/>
                <w:szCs w:val="21"/>
                <w:highlight w:val="none"/>
              </w:rPr>
              <w:t>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bCs/>
                <w:color w:val="auto"/>
                <w:sz w:val="21"/>
                <w:szCs w:val="21"/>
                <w:highlight w:val="none"/>
                <w:lang w:val="en-US" w:eastAsia="zh-CN"/>
              </w:rPr>
              <w:t>较</w:t>
            </w:r>
            <w:r>
              <w:rPr>
                <w:rFonts w:hint="eastAsia" w:asciiTheme="minorEastAsia" w:hAnsiTheme="minorEastAsia" w:eastAsiaTheme="minorEastAsia" w:cstheme="minorEastAsia"/>
                <w:bCs/>
                <w:color w:val="auto"/>
                <w:sz w:val="21"/>
                <w:szCs w:val="21"/>
                <w:highlight w:val="none"/>
              </w:rPr>
              <w:t>详细阐述保密措施，措施全面可行，能够确保</w:t>
            </w:r>
            <w:r>
              <w:rPr>
                <w:rFonts w:hint="eastAsia" w:asciiTheme="minorEastAsia" w:hAnsiTheme="minorEastAsia" w:eastAsiaTheme="minorEastAsia" w:cstheme="minorEastAsia"/>
                <w:bCs/>
                <w:color w:val="auto"/>
                <w:sz w:val="21"/>
                <w:szCs w:val="21"/>
                <w:highlight w:val="none"/>
                <w:lang w:val="en-US" w:eastAsia="zh-CN"/>
              </w:rPr>
              <w:t>相关</w:t>
            </w:r>
            <w:r>
              <w:rPr>
                <w:rFonts w:hint="eastAsia" w:asciiTheme="minorEastAsia" w:hAnsiTheme="minorEastAsia" w:eastAsiaTheme="minorEastAsia" w:cstheme="minorEastAsia"/>
                <w:bCs/>
                <w:color w:val="auto"/>
                <w:sz w:val="21"/>
                <w:szCs w:val="21"/>
                <w:highlight w:val="none"/>
              </w:rPr>
              <w:t>资料不被泄露的得</w:t>
            </w:r>
            <w:r>
              <w:rPr>
                <w:rFonts w:hint="eastAsia" w:asciiTheme="minorEastAsia" w:hAnsiTheme="minorEastAsia" w:eastAsiaTheme="minorEastAsia" w:cstheme="minorEastAsia"/>
                <w:szCs w:val="21"/>
                <w:highlight w:val="none"/>
                <w:lang w:val="en-US" w:eastAsia="zh-CN"/>
              </w:rPr>
              <w:t>2.1-3.0</w:t>
            </w:r>
            <w:r>
              <w:rPr>
                <w:rFonts w:hint="eastAsia" w:asciiTheme="minorEastAsia" w:hAnsiTheme="minorEastAsia" w:eastAsiaTheme="minorEastAsia" w:cstheme="minorEastAsia"/>
                <w:bCs/>
                <w:color w:val="auto"/>
                <w:sz w:val="21"/>
                <w:szCs w:val="21"/>
                <w:highlight w:val="none"/>
              </w:rPr>
              <w:t>分；</w:t>
            </w:r>
          </w:p>
          <w:p>
            <w:pPr>
              <w:spacing w:line="360" w:lineRule="auto"/>
              <w:ind w:firstLine="420" w:firstLineChars="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bCs/>
                <w:color w:val="auto"/>
                <w:sz w:val="21"/>
                <w:szCs w:val="21"/>
                <w:highlight w:val="none"/>
                <w:lang w:val="en-US" w:eastAsia="zh-CN"/>
              </w:rPr>
              <w:t>相关管理制度、</w:t>
            </w:r>
            <w:r>
              <w:rPr>
                <w:rFonts w:hint="eastAsia" w:asciiTheme="minorEastAsia" w:hAnsiTheme="minorEastAsia" w:eastAsiaTheme="minorEastAsia" w:cstheme="minorEastAsia"/>
                <w:bCs/>
                <w:color w:val="auto"/>
                <w:sz w:val="21"/>
                <w:szCs w:val="21"/>
                <w:highlight w:val="none"/>
              </w:rPr>
              <w:t>保密措施简单，缺乏可行性，不能保障服务质量的得</w:t>
            </w:r>
            <w:r>
              <w:rPr>
                <w:rFonts w:hint="eastAsia" w:asciiTheme="minorEastAsia" w:hAnsiTheme="minorEastAsia" w:eastAsiaTheme="minorEastAsia" w:cstheme="minorEastAsia"/>
                <w:highlight w:val="none"/>
              </w:rPr>
              <w:t>0.1-</w:t>
            </w:r>
            <w:r>
              <w:rPr>
                <w:rFonts w:hint="eastAsia" w:asciiTheme="minorEastAsia" w:hAnsiTheme="minorEastAsia" w:eastAsiaTheme="minorEastAsia" w:cstheme="minorEastAsia"/>
                <w:highlight w:val="none"/>
                <w:lang w:val="en-US" w:eastAsia="zh-CN"/>
              </w:rPr>
              <w:t>2.0</w:t>
            </w:r>
            <w:r>
              <w:rPr>
                <w:rFonts w:hint="eastAsia" w:asciiTheme="minorEastAsia" w:hAnsiTheme="minorEastAsia" w:eastAsiaTheme="minorEastAsia" w:cstheme="minorEastAsia"/>
                <w:szCs w:val="21"/>
                <w:highlight w:val="none"/>
                <w:lang w:val="en-US" w:eastAsia="zh-CN"/>
              </w:rPr>
              <w:t>分</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Hans"/>
              </w:rPr>
              <w:t>缺项得0分</w:t>
            </w:r>
            <w:r>
              <w:rPr>
                <w:rFonts w:hint="eastAsia" w:asciiTheme="minorEastAsia" w:hAnsiTheme="minorEastAsia" w:eastAsiaTheme="minorEastAsia" w:cstheme="minorEastAsia"/>
                <w:bCs/>
                <w:color w:val="auto"/>
                <w:sz w:val="21"/>
                <w:szCs w:val="21"/>
                <w:highlight w:val="none"/>
              </w:rPr>
              <w:t>。</w:t>
            </w:r>
          </w:p>
        </w:tc>
        <w:tc>
          <w:tcPr>
            <w:tcW w:w="1180" w:type="dxa"/>
            <w:shd w:val="clear" w:color="auto" w:fill="auto"/>
            <w:vAlign w:val="center"/>
          </w:tcPr>
          <w:p>
            <w:pPr>
              <w:spacing w:line="360" w:lineRule="auto"/>
              <w:jc w:val="center"/>
              <w:rPr>
                <w:rFonts w:hint="default" w:ascii="宋体" w:hAnsi="Times New Roman" w:eastAsia="宋体" w:cs="宋体"/>
                <w:kern w:val="0"/>
                <w:sz w:val="21"/>
                <w:szCs w:val="21"/>
                <w:highlight w:val="none"/>
                <w:lang w:val="en-US" w:eastAsia="zh-CN" w:bidi="ar-SA"/>
              </w:rPr>
            </w:pPr>
            <w:r>
              <w:rPr>
                <w:rFonts w:hint="eastAsia" w:ascii="宋体" w:cs="宋体"/>
                <w:kern w:val="0"/>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1954" w:type="dxa"/>
            <w:gridSpan w:val="2"/>
            <w:shd w:val="clear" w:color="auto" w:fill="auto"/>
          </w:tcPr>
          <w:p>
            <w:pPr>
              <w:keepNext w:val="0"/>
              <w:keepLines w:val="0"/>
              <w:widowControl/>
              <w:suppressLineNumbers w:val="0"/>
              <w:shd w:val="clear"/>
              <w:spacing w:line="36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pPr>
              <w:keepNext w:val="0"/>
              <w:keepLines w:val="0"/>
              <w:widowControl/>
              <w:suppressLineNumbers w:val="0"/>
              <w:shd w:val="clear"/>
              <w:spacing w:line="36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pPr>
              <w:keepNext w:val="0"/>
              <w:keepLines w:val="0"/>
              <w:widowControl/>
              <w:suppressLineNumbers w:val="0"/>
              <w:shd w:val="clear"/>
              <w:spacing w:line="36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pPr>
              <w:keepNext w:val="0"/>
              <w:keepLines w:val="0"/>
              <w:widowControl/>
              <w:suppressLineNumbers w:val="0"/>
              <w:shd w:val="clear"/>
              <w:spacing w:line="36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报价得分 （10 分）</w:t>
            </w:r>
          </w:p>
          <w:p>
            <w:pPr>
              <w:keepNext w:val="0"/>
              <w:keepLines w:val="0"/>
              <w:widowControl/>
              <w:suppressLineNumbers w:val="0"/>
              <w:shd w:val="clear"/>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p>
        </w:tc>
        <w:tc>
          <w:tcPr>
            <w:tcW w:w="6510" w:type="dxa"/>
            <w:shd w:val="clear" w:color="auto" w:fill="auto"/>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1、评标基准价的确定</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资格审查和商务与技术文件评审完后计算评标基准价。</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2、出现以下情况时，则该投标报价不再进入评标基准价的计算：</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（1）资格审查及商务与技术文件评审过程中已做无效标处理的；</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3、评标基准价的确定：满足招标文件要求且投标报价最低的投标报价为评标基准价。评标基准值按上述方法确定后，不再受其他任何因素的影响而改变。</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4、投标报价得分计算方法</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计算价格评分：价格分采用低价优先法计算，各有效投标人的评标价中，取有效报价中的最低报价为评标基准价，其价格分为满分。其他投标人的价格分统一按照下列公式计算：价格评分=（评标基准价／</w:t>
            </w:r>
            <w:r>
              <w:rPr>
                <w:rFonts w:hint="eastAsia" w:asciiTheme="minorEastAsia" w:hAnsiTheme="minorEastAsia" w:eastAsiaTheme="minorEastAsia" w:cstheme="minorEastAsia"/>
                <w:sz w:val="21"/>
                <w:szCs w:val="21"/>
                <w:highlight w:val="none"/>
                <w:vertAlign w:val="baseline"/>
                <w:lang w:val="en-US" w:eastAsia="zh-CN"/>
              </w:rPr>
              <w:t>投标报价</w:t>
            </w:r>
            <w:r>
              <w:rPr>
                <w:rFonts w:hint="eastAsia" w:asciiTheme="minorEastAsia" w:hAnsiTheme="minorEastAsia" w:eastAsiaTheme="minorEastAsia" w:cstheme="minorEastAsia"/>
                <w:sz w:val="21"/>
                <w:szCs w:val="21"/>
                <w:highlight w:val="none"/>
                <w:lang w:val="en-US" w:eastAsia="zh-CN"/>
              </w:rPr>
              <w:t>）×10%（小数点后保留2位，第三位四舍五入），投标报价超过上限价，按无效标处理。</w:t>
            </w:r>
          </w:p>
        </w:tc>
        <w:tc>
          <w:tcPr>
            <w:tcW w:w="1180" w:type="dxa"/>
            <w:shd w:val="clear" w:color="auto" w:fill="auto"/>
            <w:vAlign w:val="center"/>
          </w:tcPr>
          <w:p>
            <w:pPr>
              <w:pStyle w:val="96"/>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6"/>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6"/>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6"/>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6"/>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6"/>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6"/>
              <w:shd w:val="clear"/>
              <w:spacing w:line="360" w:lineRule="auto"/>
              <w:ind w:left="0" w:leftChars="0" w:firstLine="0" w:firstLineChars="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10分</w:t>
            </w:r>
          </w:p>
        </w:tc>
      </w:tr>
    </w:tbl>
    <w:p>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2、有效投标人的综合得分=商务与技术文件+报价文件得分。</w:t>
      </w:r>
    </w:p>
    <w:p>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3、评标委员会按综合得分从高到低顺序排列，在最大限度地满足采购文件实质性要求前提下，评标委员会按照采购文件中规定的各项因素进行综合评审后，以评标总得分最高的投标人为中标</w:t>
      </w:r>
      <w:r>
        <w:rPr>
          <w:rFonts w:hint="eastAsia" w:asciiTheme="minorEastAsia" w:hAnsiTheme="minorEastAsia" w:eastAsiaTheme="minorEastAsia" w:cstheme="minorEastAsia"/>
          <w:sz w:val="21"/>
          <w:szCs w:val="21"/>
          <w:highlight w:val="none"/>
          <w:lang w:val="zh-CN" w:eastAsia="zh-CN"/>
        </w:rPr>
        <w:t>供应商。</w:t>
      </w:r>
      <w:r>
        <w:rPr>
          <w:rFonts w:hint="eastAsia" w:asciiTheme="minorEastAsia" w:hAnsiTheme="minorEastAsia" w:eastAsiaTheme="minorEastAsia" w:cstheme="minorEastAsia"/>
          <w:sz w:val="21"/>
          <w:szCs w:val="21"/>
          <w:highlight w:val="none"/>
          <w:lang w:val="en-US" w:eastAsia="zh-CN"/>
        </w:rPr>
        <w:t>如综合得分相同，投标报价低者为先；如综合得分且投标报价相同的，由采购人抽签确定(抽签规则：采购人代表对进入抽签的各供应商依次抽取对应单位编号，再由采购人代表在上述对应单位编号中进行抽取，抽中的第一个编号所对应的供应商即为中标单位。）。</w:t>
      </w:r>
    </w:p>
    <w:p>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六、中标候选人放弃中标、因不可抗力提出不能履行合同，采购人可以确定排名次之的中标候选人为中标人。 评标办法的解释权归采购人。</w:t>
      </w:r>
    </w:p>
    <w:p>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七</w:t>
      </w:r>
      <w:r>
        <w:rPr>
          <w:rFonts w:hint="eastAsia" w:asciiTheme="minorEastAsia" w:hAnsiTheme="minorEastAsia" w:eastAsiaTheme="minorEastAsia" w:cstheme="minorEastAsia"/>
          <w:b/>
          <w:sz w:val="21"/>
          <w:szCs w:val="21"/>
          <w:highlight w:val="none"/>
        </w:rPr>
        <w:t>、确定中标人</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评标结束后，</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将在</w:t>
      </w:r>
      <w:r>
        <w:rPr>
          <w:rFonts w:hint="eastAsia" w:asciiTheme="minorEastAsia" w:hAnsiTheme="minorEastAsia" w:eastAsiaTheme="minorEastAsia" w:cstheme="minorEastAsia"/>
          <w:sz w:val="21"/>
          <w:szCs w:val="21"/>
          <w:highlight w:val="none"/>
          <w:lang w:eastAsia="zh-CN"/>
        </w:rPr>
        <w:t>发布招标</w:t>
      </w:r>
      <w:r>
        <w:rPr>
          <w:rFonts w:hint="eastAsia" w:asciiTheme="minorEastAsia" w:hAnsiTheme="minorEastAsia" w:eastAsiaTheme="minorEastAsia" w:cstheme="minorEastAsia"/>
          <w:sz w:val="21"/>
          <w:szCs w:val="21"/>
          <w:highlight w:val="none"/>
        </w:rPr>
        <w:t>公告</w:t>
      </w:r>
      <w:r>
        <w:rPr>
          <w:rFonts w:hint="eastAsia" w:asciiTheme="minorEastAsia" w:hAnsiTheme="minorEastAsia" w:eastAsiaTheme="minorEastAsia" w:cstheme="minorEastAsia"/>
          <w:sz w:val="21"/>
          <w:szCs w:val="21"/>
          <w:highlight w:val="none"/>
          <w:lang w:eastAsia="zh-CN"/>
        </w:rPr>
        <w:t>媒体发布</w:t>
      </w:r>
      <w:r>
        <w:rPr>
          <w:rFonts w:hint="eastAsia" w:asciiTheme="minorEastAsia" w:hAnsiTheme="minorEastAsia" w:eastAsiaTheme="minorEastAsia" w:cstheme="minorEastAsia"/>
          <w:sz w:val="21"/>
          <w:szCs w:val="21"/>
          <w:highlight w:val="none"/>
        </w:rPr>
        <w:t>中标结果，</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向中标人发出中标通知书。</w:t>
      </w:r>
    </w:p>
    <w:p>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八</w:t>
      </w:r>
      <w:r>
        <w:rPr>
          <w:rFonts w:hint="eastAsia" w:asciiTheme="minorEastAsia" w:hAnsiTheme="minorEastAsia" w:eastAsiaTheme="minorEastAsia" w:cstheme="minorEastAsia"/>
          <w:b/>
          <w:sz w:val="21"/>
          <w:szCs w:val="21"/>
          <w:highlight w:val="none"/>
        </w:rPr>
        <w:t>、投标人义务</w:t>
      </w:r>
    </w:p>
    <w:p>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rPr>
        <w:t>投标人应随时接受评标委员会的询标，解答包括有关的报价文件、技术资信问题等。评标结束，所有评标资料存招标机构备查。</w:t>
      </w:r>
    </w:p>
    <w:sectPr>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480"/>
      <w:jc w:val="center"/>
    </w:pPr>
    <w:r>
      <w:fldChar w:fldCharType="begin"/>
    </w:r>
    <w:r>
      <w:instrText xml:space="preserve">PAGE   \* MERGEFORMAT</w:instrText>
    </w:r>
    <w:r>
      <w:fldChar w:fldCharType="separate"/>
    </w:r>
    <w:r>
      <w:rPr>
        <w:lang w:val="zh-CN"/>
      </w:rPr>
      <w:t>20</w:t>
    </w:r>
    <w:r>
      <w:rPr>
        <w:lang w:val="zh-CN"/>
      </w:rPr>
      <w:fldChar w:fldCharType="end"/>
    </w:r>
  </w:p>
  <w:p>
    <w:pPr>
      <w:pStyle w:val="4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48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4FEB2"/>
    <w:multiLevelType w:val="singleLevel"/>
    <w:tmpl w:val="E384FEB2"/>
    <w:lvl w:ilvl="0" w:tentative="0">
      <w:start w:val="2"/>
      <w:numFmt w:val="chineseCounting"/>
      <w:suff w:val="space"/>
      <w:lvlText w:val="第%1部分"/>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600"/>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
    <w:nsid w:val="00000003"/>
    <w:multiLevelType w:val="multilevel"/>
    <w:tmpl w:val="00000003"/>
    <w:lvl w:ilvl="0" w:tentative="0">
      <w:start w:val="1"/>
      <w:numFmt w:val="decimal"/>
      <w:pStyle w:val="208"/>
      <w:lvlText w:val="%1"/>
      <w:lvlJc w:val="left"/>
      <w:pPr>
        <w:tabs>
          <w:tab w:val="left" w:pos="480"/>
        </w:tabs>
        <w:ind w:left="480" w:hanging="480"/>
      </w:pPr>
      <w:rPr>
        <w:rFonts w:hint="eastAsia" w:cs="Times New Roman"/>
        <w:sz w:val="44"/>
        <w:szCs w:val="44"/>
      </w:rPr>
    </w:lvl>
    <w:lvl w:ilvl="1" w:tentative="0">
      <w:start w:val="1"/>
      <w:numFmt w:val="decimal"/>
      <w:pStyle w:val="204"/>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
    <w:nsid w:val="00000006"/>
    <w:multiLevelType w:val="singleLevel"/>
    <w:tmpl w:val="00000006"/>
    <w:lvl w:ilvl="0" w:tentative="0">
      <w:start w:val="1"/>
      <w:numFmt w:val="decimal"/>
      <w:pStyle w:val="356"/>
      <w:lvlText w:val="%1."/>
      <w:lvlJc w:val="left"/>
      <w:pPr>
        <w:tabs>
          <w:tab w:val="left" w:pos="1620"/>
        </w:tabs>
        <w:ind w:left="1620" w:hanging="360"/>
      </w:pPr>
      <w:rPr>
        <w:rFonts w:cs="Times New Roman"/>
      </w:rPr>
    </w:lvl>
  </w:abstractNum>
  <w:abstractNum w:abstractNumId="4">
    <w:nsid w:val="00000008"/>
    <w:multiLevelType w:val="multilevel"/>
    <w:tmpl w:val="00000008"/>
    <w:lvl w:ilvl="0" w:tentative="0">
      <w:start w:val="1"/>
      <w:numFmt w:val="decimal"/>
      <w:pStyle w:val="493"/>
      <w:lvlText w:val="%1."/>
      <w:lvlJc w:val="left"/>
      <w:pPr>
        <w:tabs>
          <w:tab w:val="left" w:pos="720"/>
        </w:tabs>
        <w:ind w:left="720" w:hanging="720"/>
      </w:pPr>
      <w:rPr>
        <w:rFonts w:hint="default" w:cs="Times New Roman"/>
      </w:rPr>
    </w:lvl>
    <w:lvl w:ilvl="1" w:tentative="0">
      <w:start w:val="1"/>
      <w:numFmt w:val="decimal"/>
      <w:pStyle w:val="494"/>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9"/>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6">
    <w:nsid w:val="0000000B"/>
    <w:multiLevelType w:val="singleLevel"/>
    <w:tmpl w:val="0000000B"/>
    <w:lvl w:ilvl="0" w:tentative="0">
      <w:start w:val="1"/>
      <w:numFmt w:val="decimal"/>
      <w:pStyle w:val="531"/>
      <w:lvlText w:val="%1．"/>
      <w:lvlJc w:val="left"/>
      <w:pPr>
        <w:tabs>
          <w:tab w:val="left" w:pos="360"/>
        </w:tabs>
        <w:ind w:left="245" w:hanging="245"/>
      </w:pPr>
      <w:rPr>
        <w:rFonts w:ascii="Times New Roman" w:hAnsi="Times New Roman" w:eastAsia="Times New Roman" w:cs="Times New Roman"/>
      </w:rPr>
    </w:lvl>
  </w:abstractNum>
  <w:abstractNum w:abstractNumId="7">
    <w:nsid w:val="0000000C"/>
    <w:multiLevelType w:val="multilevel"/>
    <w:tmpl w:val="0000000C"/>
    <w:lvl w:ilvl="0" w:tentative="0">
      <w:start w:val="1"/>
      <w:numFmt w:val="bullet"/>
      <w:pStyle w:val="36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30"/>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9">
    <w:nsid w:val="0000000E"/>
    <w:multiLevelType w:val="multilevel"/>
    <w:tmpl w:val="0000000E"/>
    <w:lvl w:ilvl="0" w:tentative="0">
      <w:start w:val="0"/>
      <w:numFmt w:val="bullet"/>
      <w:pStyle w:val="608"/>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0F"/>
    <w:multiLevelType w:val="multilevel"/>
    <w:tmpl w:val="0000000F"/>
    <w:lvl w:ilvl="0" w:tentative="0">
      <w:start w:val="1"/>
      <w:numFmt w:val="decimal"/>
      <w:pStyle w:val="252"/>
      <w:suff w:val="space"/>
      <w:lvlText w:val="%1"/>
      <w:lvlJc w:val="left"/>
      <w:rPr>
        <w:rFonts w:hint="eastAsia" w:cs="Times New Roman"/>
      </w:rPr>
    </w:lvl>
    <w:lvl w:ilvl="1" w:tentative="0">
      <w:start w:val="1"/>
      <w:numFmt w:val="decimal"/>
      <w:pStyle w:val="249"/>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00000010"/>
    <w:multiLevelType w:val="multilevel"/>
    <w:tmpl w:val="00000010"/>
    <w:lvl w:ilvl="0" w:tentative="0">
      <w:start w:val="1"/>
      <w:numFmt w:val="bullet"/>
      <w:pStyle w:val="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502"/>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8"/>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3">
    <w:nsid w:val="00000013"/>
    <w:multiLevelType w:val="multilevel"/>
    <w:tmpl w:val="00000013"/>
    <w:lvl w:ilvl="0" w:tentative="0">
      <w:start w:val="1"/>
      <w:numFmt w:val="decimal"/>
      <w:pStyle w:val="241"/>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4">
    <w:nsid w:val="00000014"/>
    <w:multiLevelType w:val="singleLevel"/>
    <w:tmpl w:val="00000014"/>
    <w:lvl w:ilvl="0" w:tentative="0">
      <w:start w:val="1"/>
      <w:numFmt w:val="decimal"/>
      <w:pStyle w:val="15"/>
      <w:lvlText w:val="%1."/>
      <w:lvlJc w:val="left"/>
      <w:pPr>
        <w:tabs>
          <w:tab w:val="left" w:pos="360"/>
        </w:tabs>
        <w:ind w:left="360" w:hanging="360"/>
      </w:pPr>
      <w:rPr>
        <w:rFonts w:cs="Times New Roman"/>
      </w:rPr>
    </w:lvl>
  </w:abstractNum>
  <w:abstractNum w:abstractNumId="15">
    <w:nsid w:val="00000015"/>
    <w:multiLevelType w:val="multilevel"/>
    <w:tmpl w:val="00000015"/>
    <w:lvl w:ilvl="0" w:tentative="0">
      <w:start w:val="1"/>
      <w:numFmt w:val="decimal"/>
      <w:pStyle w:val="180"/>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6">
    <w:nsid w:val="00000017"/>
    <w:multiLevelType w:val="multilevel"/>
    <w:tmpl w:val="00000017"/>
    <w:lvl w:ilvl="0" w:tentative="0">
      <w:start w:val="1"/>
      <w:numFmt w:val="decimal"/>
      <w:pStyle w:val="537"/>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7">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500"/>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0000001A"/>
    <w:multiLevelType w:val="multilevel"/>
    <w:tmpl w:val="0000001A"/>
    <w:lvl w:ilvl="0" w:tentative="0">
      <w:start w:val="1"/>
      <w:numFmt w:val="lowerLetter"/>
      <w:pStyle w:val="519"/>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9">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0000001C"/>
    <w:multiLevelType w:val="multilevel"/>
    <w:tmpl w:val="0000001C"/>
    <w:lvl w:ilvl="0" w:tentative="0">
      <w:start w:val="1"/>
      <w:numFmt w:val="lowerLetter"/>
      <w:pStyle w:val="505"/>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1">
    <w:nsid w:val="0000001D"/>
    <w:multiLevelType w:val="multilevel"/>
    <w:tmpl w:val="0000001D"/>
    <w:lvl w:ilvl="0" w:tentative="0">
      <w:start w:val="1"/>
      <w:numFmt w:val="none"/>
      <w:pStyle w:val="188"/>
      <w:suff w:val="nothing"/>
      <w:lvlText w:val="%1"/>
      <w:lvlJc w:val="left"/>
      <w:rPr>
        <w:rFonts w:hint="default" w:ascii="Times New Roman" w:hAnsi="Times New Roman" w:cs="Times New Roman"/>
        <w:b/>
        <w:i w:val="0"/>
        <w:sz w:val="21"/>
      </w:rPr>
    </w:lvl>
    <w:lvl w:ilvl="1" w:tentative="0">
      <w:start w:val="1"/>
      <w:numFmt w:val="decimal"/>
      <w:pStyle w:val="190"/>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2">
    <w:nsid w:val="0000001F"/>
    <w:multiLevelType w:val="singleLevel"/>
    <w:tmpl w:val="0000001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23">
    <w:nsid w:val="00000021"/>
    <w:multiLevelType w:val="multilevel"/>
    <w:tmpl w:val="00000021"/>
    <w:lvl w:ilvl="0" w:tentative="0">
      <w:start w:val="1"/>
      <w:numFmt w:val="none"/>
      <w:pStyle w:val="515"/>
      <w:suff w:val="nothing"/>
      <w:lvlText w:val="%1"/>
      <w:lvlJc w:val="left"/>
      <w:rPr>
        <w:rFonts w:cs="Times New Roman"/>
      </w:rPr>
    </w:lvl>
    <w:lvl w:ilvl="1" w:tentative="0">
      <w:start w:val="1"/>
      <w:numFmt w:val="decimal"/>
      <w:pStyle w:val="507"/>
      <w:lvlText w:val="%1%2.0"/>
      <w:lvlJc w:val="left"/>
      <w:pPr>
        <w:tabs>
          <w:tab w:val="left" w:pos="576"/>
        </w:tabs>
        <w:ind w:left="576" w:hanging="576"/>
      </w:pPr>
      <w:rPr>
        <w:rFonts w:cs="Times New Roman"/>
      </w:rPr>
    </w:lvl>
    <w:lvl w:ilvl="2" w:tentative="0">
      <w:start w:val="1"/>
      <w:numFmt w:val="decimal"/>
      <w:pStyle w:val="508"/>
      <w:lvlText w:val="%1%2.%3"/>
      <w:lvlJc w:val="left"/>
      <w:pPr>
        <w:tabs>
          <w:tab w:val="left" w:pos="576"/>
        </w:tabs>
        <w:ind w:left="576" w:hanging="576"/>
      </w:pPr>
      <w:rPr>
        <w:rFonts w:cs="Times New Roman"/>
      </w:rPr>
    </w:lvl>
    <w:lvl w:ilvl="3" w:tentative="0">
      <w:start w:val="1"/>
      <w:numFmt w:val="lowerLetter"/>
      <w:pStyle w:val="509"/>
      <w:lvlText w:val="%1%4."/>
      <w:lvlJc w:val="left"/>
      <w:pPr>
        <w:tabs>
          <w:tab w:val="left" w:pos="720"/>
        </w:tabs>
        <w:ind w:left="360" w:hanging="360"/>
      </w:pPr>
      <w:rPr>
        <w:rFonts w:cs="Times New Roman"/>
      </w:rPr>
    </w:lvl>
    <w:lvl w:ilvl="4" w:tentative="0">
      <w:start w:val="1"/>
      <w:numFmt w:val="decimal"/>
      <w:pStyle w:val="510"/>
      <w:lvlText w:val="%5."/>
      <w:lvlJc w:val="left"/>
      <w:pPr>
        <w:tabs>
          <w:tab w:val="left" w:pos="720"/>
        </w:tabs>
        <w:ind w:left="720" w:hanging="360"/>
      </w:pPr>
      <w:rPr>
        <w:rFonts w:cs="Times New Roman"/>
      </w:rPr>
    </w:lvl>
    <w:lvl w:ilvl="5" w:tentative="0">
      <w:start w:val="1"/>
      <w:numFmt w:val="lowerLetter"/>
      <w:pStyle w:val="511"/>
      <w:lvlText w:val="%1(%6)"/>
      <w:lvlJc w:val="left"/>
      <w:pPr>
        <w:tabs>
          <w:tab w:val="left" w:pos="1440"/>
        </w:tabs>
        <w:ind w:left="720"/>
      </w:pPr>
      <w:rPr>
        <w:rFonts w:cs="Times New Roman"/>
      </w:rPr>
    </w:lvl>
    <w:lvl w:ilvl="6" w:tentative="0">
      <w:start w:val="1"/>
      <w:numFmt w:val="lowerRoman"/>
      <w:pStyle w:val="512"/>
      <w:lvlText w:val="(%7)"/>
      <w:lvlJc w:val="left"/>
      <w:pPr>
        <w:tabs>
          <w:tab w:val="left" w:pos="1800"/>
        </w:tabs>
        <w:ind w:left="1440" w:hanging="360"/>
      </w:pPr>
      <w:rPr>
        <w:rFonts w:cs="Times New Roman"/>
      </w:rPr>
    </w:lvl>
    <w:lvl w:ilvl="7" w:tentative="0">
      <w:start w:val="1"/>
      <w:numFmt w:val="decimal"/>
      <w:pStyle w:val="513"/>
      <w:lvlText w:val="(%8)"/>
      <w:lvlJc w:val="left"/>
      <w:pPr>
        <w:tabs>
          <w:tab w:val="left" w:pos="1800"/>
        </w:tabs>
        <w:ind w:left="1800" w:hanging="360"/>
      </w:pPr>
      <w:rPr>
        <w:rFonts w:cs="Times New Roman"/>
      </w:rPr>
    </w:lvl>
    <w:lvl w:ilvl="8" w:tentative="0">
      <w:start w:val="1"/>
      <w:numFmt w:val="lowerRoman"/>
      <w:pStyle w:val="514"/>
      <w:lvlText w:val="(%9)"/>
      <w:lvlJc w:val="left"/>
      <w:pPr>
        <w:tabs>
          <w:tab w:val="left" w:pos="2520"/>
        </w:tabs>
        <w:ind w:left="2160" w:hanging="360"/>
      </w:pPr>
      <w:rPr>
        <w:rFonts w:cs="Times New Roman"/>
      </w:rPr>
    </w:lvl>
  </w:abstractNum>
  <w:abstractNum w:abstractNumId="24">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5">
    <w:nsid w:val="00000024"/>
    <w:multiLevelType w:val="multilevel"/>
    <w:tmpl w:val="00000024"/>
    <w:lvl w:ilvl="0" w:tentative="0">
      <w:start w:val="1"/>
      <w:numFmt w:val="bullet"/>
      <w:pStyle w:val="53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28"/>
    <w:multiLevelType w:val="multilevel"/>
    <w:tmpl w:val="00000028"/>
    <w:lvl w:ilvl="0" w:tentative="0">
      <w:start w:val="1"/>
      <w:numFmt w:val="decimal"/>
      <w:pStyle w:val="196"/>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7">
    <w:nsid w:val="00000029"/>
    <w:multiLevelType w:val="multilevel"/>
    <w:tmpl w:val="00000029"/>
    <w:lvl w:ilvl="0" w:tentative="0">
      <w:start w:val="1"/>
      <w:numFmt w:val="decimal"/>
      <w:pStyle w:val="28"/>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8">
    <w:nsid w:val="0000002C"/>
    <w:multiLevelType w:val="multilevel"/>
    <w:tmpl w:val="0000002C"/>
    <w:lvl w:ilvl="0" w:tentative="0">
      <w:start w:val="1"/>
      <w:numFmt w:val="decimal"/>
      <w:pStyle w:val="369"/>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9">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3"/>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0">
    <w:nsid w:val="0E02BFB3"/>
    <w:multiLevelType w:val="singleLevel"/>
    <w:tmpl w:val="0E02BFB3"/>
    <w:lvl w:ilvl="0" w:tentative="0">
      <w:start w:val="1"/>
      <w:numFmt w:val="decimal"/>
      <w:suff w:val="space"/>
      <w:lvlText w:val="%1."/>
      <w:lvlJc w:val="left"/>
    </w:lvl>
  </w:abstractNum>
  <w:abstractNum w:abstractNumId="31">
    <w:nsid w:val="54F403B5"/>
    <w:multiLevelType w:val="singleLevel"/>
    <w:tmpl w:val="54F403B5"/>
    <w:lvl w:ilvl="0" w:tentative="0">
      <w:start w:val="1"/>
      <w:numFmt w:val="chineseCounting"/>
      <w:suff w:val="nothing"/>
      <w:lvlText w:val="%1、"/>
      <w:lvlJc w:val="left"/>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9C2244E"/>
    <w:multiLevelType w:val="multilevel"/>
    <w:tmpl w:val="59C2244E"/>
    <w:lvl w:ilvl="0" w:tentative="0">
      <w:start w:val="1"/>
      <w:numFmt w:val="decimal"/>
      <w:pStyle w:val="202"/>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4">
    <w:nsid w:val="60AE2CA3"/>
    <w:multiLevelType w:val="singleLevel"/>
    <w:tmpl w:val="60AE2CA3"/>
    <w:lvl w:ilvl="0" w:tentative="0">
      <w:start w:val="2"/>
      <w:numFmt w:val="decimal"/>
      <w:suff w:val="nothing"/>
      <w:lvlText w:val="（%1）"/>
      <w:lvlJc w:val="left"/>
    </w:lvl>
  </w:abstractNum>
  <w:abstractNum w:abstractNumId="35">
    <w:nsid w:val="625E924F"/>
    <w:multiLevelType w:val="singleLevel"/>
    <w:tmpl w:val="625E924F"/>
    <w:lvl w:ilvl="0" w:tentative="0">
      <w:start w:val="2"/>
      <w:numFmt w:val="decimal"/>
      <w:suff w:val="nothing"/>
      <w:lvlText w:val="%1、"/>
      <w:lvlJc w:val="left"/>
    </w:lvl>
  </w:abstractNum>
  <w:abstractNum w:abstractNumId="36">
    <w:nsid w:val="79189F0A"/>
    <w:multiLevelType w:val="singleLevel"/>
    <w:tmpl w:val="79189F0A"/>
    <w:lvl w:ilvl="0" w:tentative="0">
      <w:start w:val="5"/>
      <w:numFmt w:val="decimal"/>
      <w:suff w:val="nothing"/>
      <w:lvlText w:val="%1、"/>
      <w:lvlJc w:val="left"/>
    </w:lvl>
  </w:abstractNum>
  <w:num w:numId="1">
    <w:abstractNumId w:val="24"/>
  </w:num>
  <w:num w:numId="2">
    <w:abstractNumId w:val="19"/>
  </w:num>
  <w:num w:numId="3">
    <w:abstractNumId w:val="14"/>
  </w:num>
  <w:num w:numId="4">
    <w:abstractNumId w:val="22"/>
  </w:num>
  <w:num w:numId="5">
    <w:abstractNumId w:val="27"/>
  </w:num>
  <w:num w:numId="6">
    <w:abstractNumId w:val="11"/>
  </w:num>
  <w:num w:numId="7">
    <w:abstractNumId w:val="29"/>
  </w:num>
  <w:num w:numId="8">
    <w:abstractNumId w:val="15"/>
  </w:num>
  <w:num w:numId="9">
    <w:abstractNumId w:val="21"/>
  </w:num>
  <w:num w:numId="10">
    <w:abstractNumId w:val="26"/>
  </w:num>
  <w:num w:numId="11">
    <w:abstractNumId w:val="33"/>
  </w:num>
  <w:num w:numId="12">
    <w:abstractNumId w:val="2"/>
  </w:num>
  <w:num w:numId="13">
    <w:abstractNumId w:val="13"/>
  </w:num>
  <w:num w:numId="14">
    <w:abstractNumId w:val="10"/>
  </w:num>
  <w:num w:numId="15">
    <w:abstractNumId w:val="3"/>
  </w:num>
  <w:num w:numId="16">
    <w:abstractNumId w:val="7"/>
  </w:num>
  <w:num w:numId="17">
    <w:abstractNumId w:val="28"/>
  </w:num>
  <w:num w:numId="18">
    <w:abstractNumId w:val="4"/>
  </w:num>
  <w:num w:numId="19">
    <w:abstractNumId w:val="5"/>
  </w:num>
  <w:num w:numId="20">
    <w:abstractNumId w:val="17"/>
  </w:num>
  <w:num w:numId="21">
    <w:abstractNumId w:val="12"/>
  </w:num>
  <w:num w:numId="22">
    <w:abstractNumId w:val="20"/>
  </w:num>
  <w:num w:numId="23">
    <w:abstractNumId w:val="23"/>
  </w:num>
  <w:num w:numId="24">
    <w:abstractNumId w:val="18"/>
  </w:num>
  <w:num w:numId="25">
    <w:abstractNumId w:val="8"/>
  </w:num>
  <w:num w:numId="26">
    <w:abstractNumId w:val="6"/>
    <w:lvlOverride w:ilvl="0">
      <w:startOverride w:val="1"/>
    </w:lvlOverride>
  </w:num>
  <w:num w:numId="27">
    <w:abstractNumId w:val="25"/>
  </w:num>
  <w:num w:numId="28">
    <w:abstractNumId w:val="16"/>
  </w:num>
  <w:num w:numId="29">
    <w:abstractNumId w:val="1"/>
  </w:num>
  <w:num w:numId="30">
    <w:abstractNumId w:val="9"/>
  </w:num>
  <w:num w:numId="31">
    <w:abstractNumId w:val="36"/>
  </w:num>
  <w:num w:numId="32">
    <w:abstractNumId w:val="35"/>
  </w:num>
  <w:num w:numId="33">
    <w:abstractNumId w:val="0"/>
  </w:num>
  <w:num w:numId="34">
    <w:abstractNumId w:val="34"/>
  </w:num>
  <w:num w:numId="35">
    <w:abstractNumId w:val="30"/>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22F5D"/>
    <w:rsid w:val="002814B1"/>
    <w:rsid w:val="00310B0C"/>
    <w:rsid w:val="00325D15"/>
    <w:rsid w:val="00501FD2"/>
    <w:rsid w:val="006E2D5D"/>
    <w:rsid w:val="00823AB7"/>
    <w:rsid w:val="00A11CA9"/>
    <w:rsid w:val="00E1598F"/>
    <w:rsid w:val="01682B5C"/>
    <w:rsid w:val="01A30E5C"/>
    <w:rsid w:val="01AD174B"/>
    <w:rsid w:val="020170DE"/>
    <w:rsid w:val="0263128E"/>
    <w:rsid w:val="02AB3DFB"/>
    <w:rsid w:val="02FC432C"/>
    <w:rsid w:val="044445A6"/>
    <w:rsid w:val="046F46C7"/>
    <w:rsid w:val="04AD688B"/>
    <w:rsid w:val="04E26B3E"/>
    <w:rsid w:val="04F14CE6"/>
    <w:rsid w:val="0518245C"/>
    <w:rsid w:val="05265AFA"/>
    <w:rsid w:val="055558D3"/>
    <w:rsid w:val="0559570F"/>
    <w:rsid w:val="0586718C"/>
    <w:rsid w:val="05892753"/>
    <w:rsid w:val="059B7F92"/>
    <w:rsid w:val="05C16AE4"/>
    <w:rsid w:val="05EF077E"/>
    <w:rsid w:val="064B2580"/>
    <w:rsid w:val="06833D1C"/>
    <w:rsid w:val="07074284"/>
    <w:rsid w:val="07225B82"/>
    <w:rsid w:val="073F4C20"/>
    <w:rsid w:val="075868CC"/>
    <w:rsid w:val="08357CBD"/>
    <w:rsid w:val="08A91BB0"/>
    <w:rsid w:val="08AB6853"/>
    <w:rsid w:val="09105B46"/>
    <w:rsid w:val="09232761"/>
    <w:rsid w:val="092704E6"/>
    <w:rsid w:val="09580A74"/>
    <w:rsid w:val="09B03566"/>
    <w:rsid w:val="09CF49C7"/>
    <w:rsid w:val="09E01016"/>
    <w:rsid w:val="0A166BDB"/>
    <w:rsid w:val="0A193A65"/>
    <w:rsid w:val="0A3E54A5"/>
    <w:rsid w:val="0AE1568B"/>
    <w:rsid w:val="0AFB1FC0"/>
    <w:rsid w:val="0B4279C0"/>
    <w:rsid w:val="0B581F2E"/>
    <w:rsid w:val="0B906504"/>
    <w:rsid w:val="0BBC3E22"/>
    <w:rsid w:val="0BEA3594"/>
    <w:rsid w:val="0C3253B8"/>
    <w:rsid w:val="0C7A1FEE"/>
    <w:rsid w:val="0C836C8B"/>
    <w:rsid w:val="0CDF3565"/>
    <w:rsid w:val="0D7A65C0"/>
    <w:rsid w:val="0DD979BE"/>
    <w:rsid w:val="0DED554B"/>
    <w:rsid w:val="0DEF1F68"/>
    <w:rsid w:val="0EB3133C"/>
    <w:rsid w:val="0EF058CD"/>
    <w:rsid w:val="0EF525AC"/>
    <w:rsid w:val="0F1C53AD"/>
    <w:rsid w:val="1102722C"/>
    <w:rsid w:val="1156073D"/>
    <w:rsid w:val="11E550BF"/>
    <w:rsid w:val="11F50FEF"/>
    <w:rsid w:val="129272BC"/>
    <w:rsid w:val="12973BBA"/>
    <w:rsid w:val="1343695E"/>
    <w:rsid w:val="134F5DF8"/>
    <w:rsid w:val="13DE2E3D"/>
    <w:rsid w:val="13EF1C95"/>
    <w:rsid w:val="14043624"/>
    <w:rsid w:val="146029EE"/>
    <w:rsid w:val="14630D91"/>
    <w:rsid w:val="148023CF"/>
    <w:rsid w:val="14E8239F"/>
    <w:rsid w:val="14F94702"/>
    <w:rsid w:val="157C333C"/>
    <w:rsid w:val="15FA6925"/>
    <w:rsid w:val="1611078E"/>
    <w:rsid w:val="164F1ADC"/>
    <w:rsid w:val="168D067E"/>
    <w:rsid w:val="16CD7587"/>
    <w:rsid w:val="171C5CC3"/>
    <w:rsid w:val="172060D1"/>
    <w:rsid w:val="175C51BC"/>
    <w:rsid w:val="177511E7"/>
    <w:rsid w:val="17A6070F"/>
    <w:rsid w:val="184C55D6"/>
    <w:rsid w:val="18BA2FC2"/>
    <w:rsid w:val="18F86BFA"/>
    <w:rsid w:val="196E1476"/>
    <w:rsid w:val="19951D7E"/>
    <w:rsid w:val="1A143B2C"/>
    <w:rsid w:val="1A212320"/>
    <w:rsid w:val="1A743E61"/>
    <w:rsid w:val="1AA330CF"/>
    <w:rsid w:val="1AE462D0"/>
    <w:rsid w:val="1B59415F"/>
    <w:rsid w:val="1BA60B01"/>
    <w:rsid w:val="1BA93514"/>
    <w:rsid w:val="1C35743A"/>
    <w:rsid w:val="1C6012AB"/>
    <w:rsid w:val="1CAA2535"/>
    <w:rsid w:val="1CC5494E"/>
    <w:rsid w:val="1CEF35D1"/>
    <w:rsid w:val="1D3D556A"/>
    <w:rsid w:val="1D742EEF"/>
    <w:rsid w:val="1D8A3BBF"/>
    <w:rsid w:val="1DBA7A97"/>
    <w:rsid w:val="1E4A5725"/>
    <w:rsid w:val="1E9774BE"/>
    <w:rsid w:val="1ED53482"/>
    <w:rsid w:val="1ED67524"/>
    <w:rsid w:val="1FFF4924"/>
    <w:rsid w:val="20203AED"/>
    <w:rsid w:val="205A00E7"/>
    <w:rsid w:val="205F3E3A"/>
    <w:rsid w:val="20922DB2"/>
    <w:rsid w:val="20CC4073"/>
    <w:rsid w:val="21034FB5"/>
    <w:rsid w:val="210B760B"/>
    <w:rsid w:val="21366341"/>
    <w:rsid w:val="22101661"/>
    <w:rsid w:val="227B13F1"/>
    <w:rsid w:val="22BD7B49"/>
    <w:rsid w:val="22EE26E9"/>
    <w:rsid w:val="233126BC"/>
    <w:rsid w:val="23F933A6"/>
    <w:rsid w:val="24182D55"/>
    <w:rsid w:val="24373B16"/>
    <w:rsid w:val="24B50750"/>
    <w:rsid w:val="24BB306B"/>
    <w:rsid w:val="24EF4F40"/>
    <w:rsid w:val="250C5FA7"/>
    <w:rsid w:val="251F6FA3"/>
    <w:rsid w:val="252E3D36"/>
    <w:rsid w:val="25FC470C"/>
    <w:rsid w:val="261F3807"/>
    <w:rsid w:val="26375CDF"/>
    <w:rsid w:val="26D032B8"/>
    <w:rsid w:val="272F7091"/>
    <w:rsid w:val="28165D62"/>
    <w:rsid w:val="28535646"/>
    <w:rsid w:val="28BA32E0"/>
    <w:rsid w:val="28CA434D"/>
    <w:rsid w:val="29205FE3"/>
    <w:rsid w:val="2A5A22A7"/>
    <w:rsid w:val="2B015933"/>
    <w:rsid w:val="2B675D46"/>
    <w:rsid w:val="2BA03516"/>
    <w:rsid w:val="2C2476EA"/>
    <w:rsid w:val="2D054929"/>
    <w:rsid w:val="2D1D3EAC"/>
    <w:rsid w:val="2D5F048F"/>
    <w:rsid w:val="2DC27ECF"/>
    <w:rsid w:val="2E7E24F5"/>
    <w:rsid w:val="2E9C0C99"/>
    <w:rsid w:val="2F640A7D"/>
    <w:rsid w:val="2F837977"/>
    <w:rsid w:val="2F8F2ACB"/>
    <w:rsid w:val="2FA3072F"/>
    <w:rsid w:val="2FA630D2"/>
    <w:rsid w:val="2FB145FA"/>
    <w:rsid w:val="2FD52566"/>
    <w:rsid w:val="306525BC"/>
    <w:rsid w:val="30877EF4"/>
    <w:rsid w:val="30986EFA"/>
    <w:rsid w:val="314E1A65"/>
    <w:rsid w:val="31596CD5"/>
    <w:rsid w:val="31EE13E9"/>
    <w:rsid w:val="328C01C2"/>
    <w:rsid w:val="32BE2DB2"/>
    <w:rsid w:val="332605A0"/>
    <w:rsid w:val="33BF410F"/>
    <w:rsid w:val="340D68B4"/>
    <w:rsid w:val="341A467A"/>
    <w:rsid w:val="342153E0"/>
    <w:rsid w:val="343E20CB"/>
    <w:rsid w:val="34713F0B"/>
    <w:rsid w:val="34747D7B"/>
    <w:rsid w:val="34890EB6"/>
    <w:rsid w:val="34F939FA"/>
    <w:rsid w:val="366E64FF"/>
    <w:rsid w:val="36A20DF7"/>
    <w:rsid w:val="36A627A2"/>
    <w:rsid w:val="36B357B5"/>
    <w:rsid w:val="36D27571"/>
    <w:rsid w:val="36E3234C"/>
    <w:rsid w:val="373F73AF"/>
    <w:rsid w:val="37452986"/>
    <w:rsid w:val="377F02E7"/>
    <w:rsid w:val="37C14D20"/>
    <w:rsid w:val="38EF1572"/>
    <w:rsid w:val="38FB68BC"/>
    <w:rsid w:val="39453979"/>
    <w:rsid w:val="39B1263C"/>
    <w:rsid w:val="39D939E5"/>
    <w:rsid w:val="39DD13BB"/>
    <w:rsid w:val="39DE3CCA"/>
    <w:rsid w:val="3A5540C8"/>
    <w:rsid w:val="3A9756E5"/>
    <w:rsid w:val="3A9869E4"/>
    <w:rsid w:val="3AD37C55"/>
    <w:rsid w:val="3AE12510"/>
    <w:rsid w:val="3B24674A"/>
    <w:rsid w:val="3B345A5B"/>
    <w:rsid w:val="3B7250A6"/>
    <w:rsid w:val="3BE54651"/>
    <w:rsid w:val="3BFE5535"/>
    <w:rsid w:val="3C31128F"/>
    <w:rsid w:val="3C422951"/>
    <w:rsid w:val="3C463E89"/>
    <w:rsid w:val="3C5B18A3"/>
    <w:rsid w:val="3C820841"/>
    <w:rsid w:val="3CA10278"/>
    <w:rsid w:val="3CB21686"/>
    <w:rsid w:val="3CDB5695"/>
    <w:rsid w:val="3CE949E8"/>
    <w:rsid w:val="3CF50EFC"/>
    <w:rsid w:val="3D035E9B"/>
    <w:rsid w:val="3D4B7FB5"/>
    <w:rsid w:val="3D4D1310"/>
    <w:rsid w:val="3D6A2B17"/>
    <w:rsid w:val="3DD5509A"/>
    <w:rsid w:val="3DDA3A0D"/>
    <w:rsid w:val="3E3C0A74"/>
    <w:rsid w:val="3E640B14"/>
    <w:rsid w:val="3E68729F"/>
    <w:rsid w:val="3E6B41E7"/>
    <w:rsid w:val="3E727DFD"/>
    <w:rsid w:val="3E7737E6"/>
    <w:rsid w:val="3E9E3C42"/>
    <w:rsid w:val="3EF77818"/>
    <w:rsid w:val="3F22062B"/>
    <w:rsid w:val="3F230AA7"/>
    <w:rsid w:val="3F235EA4"/>
    <w:rsid w:val="3F2D31C1"/>
    <w:rsid w:val="3F3A5660"/>
    <w:rsid w:val="3F664A45"/>
    <w:rsid w:val="3FB134B1"/>
    <w:rsid w:val="3FDA4DAD"/>
    <w:rsid w:val="3FEA0364"/>
    <w:rsid w:val="3FF132B2"/>
    <w:rsid w:val="400619E3"/>
    <w:rsid w:val="401D3450"/>
    <w:rsid w:val="40C01A9B"/>
    <w:rsid w:val="41446784"/>
    <w:rsid w:val="416835BC"/>
    <w:rsid w:val="41771D01"/>
    <w:rsid w:val="41FC033A"/>
    <w:rsid w:val="424E1BB1"/>
    <w:rsid w:val="425C40F6"/>
    <w:rsid w:val="42DF2858"/>
    <w:rsid w:val="43087695"/>
    <w:rsid w:val="434B5213"/>
    <w:rsid w:val="43575935"/>
    <w:rsid w:val="43AE45DF"/>
    <w:rsid w:val="43AF70CA"/>
    <w:rsid w:val="43C50BD5"/>
    <w:rsid w:val="442347E8"/>
    <w:rsid w:val="4467266C"/>
    <w:rsid w:val="458052C7"/>
    <w:rsid w:val="45BA7DC0"/>
    <w:rsid w:val="46734EEB"/>
    <w:rsid w:val="468050F2"/>
    <w:rsid w:val="46A71700"/>
    <w:rsid w:val="46B7075B"/>
    <w:rsid w:val="4702616C"/>
    <w:rsid w:val="474B5FC3"/>
    <w:rsid w:val="47AB1A53"/>
    <w:rsid w:val="47CD0CE9"/>
    <w:rsid w:val="480621CB"/>
    <w:rsid w:val="48317CE8"/>
    <w:rsid w:val="48A23276"/>
    <w:rsid w:val="48B43671"/>
    <w:rsid w:val="48CC7CBB"/>
    <w:rsid w:val="490F5D4D"/>
    <w:rsid w:val="49724CD2"/>
    <w:rsid w:val="498830D0"/>
    <w:rsid w:val="4A1F2F5F"/>
    <w:rsid w:val="4A2A0AE9"/>
    <w:rsid w:val="4A4853D7"/>
    <w:rsid w:val="4A8227D3"/>
    <w:rsid w:val="4AB55081"/>
    <w:rsid w:val="4AB90F9C"/>
    <w:rsid w:val="4B716136"/>
    <w:rsid w:val="4BB73C19"/>
    <w:rsid w:val="4C2671E0"/>
    <w:rsid w:val="4CEE0089"/>
    <w:rsid w:val="4D5C23F6"/>
    <w:rsid w:val="4D7A1DD1"/>
    <w:rsid w:val="4E682EA3"/>
    <w:rsid w:val="4E7C569D"/>
    <w:rsid w:val="4EE4165B"/>
    <w:rsid w:val="4EF97AB3"/>
    <w:rsid w:val="4F363489"/>
    <w:rsid w:val="4F3E05BC"/>
    <w:rsid w:val="4F506937"/>
    <w:rsid w:val="4FA468C1"/>
    <w:rsid w:val="4FE74F27"/>
    <w:rsid w:val="5004288A"/>
    <w:rsid w:val="501A4743"/>
    <w:rsid w:val="50BF6371"/>
    <w:rsid w:val="50FE5901"/>
    <w:rsid w:val="51733692"/>
    <w:rsid w:val="5177264C"/>
    <w:rsid w:val="51982918"/>
    <w:rsid w:val="51E171AE"/>
    <w:rsid w:val="51F9433B"/>
    <w:rsid w:val="52310E4C"/>
    <w:rsid w:val="53275F83"/>
    <w:rsid w:val="53815F32"/>
    <w:rsid w:val="538422FC"/>
    <w:rsid w:val="539D310A"/>
    <w:rsid w:val="554F6049"/>
    <w:rsid w:val="559B472D"/>
    <w:rsid w:val="55AD0A9C"/>
    <w:rsid w:val="55E61F20"/>
    <w:rsid w:val="565D3B8A"/>
    <w:rsid w:val="575416C6"/>
    <w:rsid w:val="57792DCA"/>
    <w:rsid w:val="577B243E"/>
    <w:rsid w:val="57C71BE6"/>
    <w:rsid w:val="57D72CC2"/>
    <w:rsid w:val="57E86555"/>
    <w:rsid w:val="581016F4"/>
    <w:rsid w:val="58226081"/>
    <w:rsid w:val="58480F47"/>
    <w:rsid w:val="58BC16C5"/>
    <w:rsid w:val="58EC6BBD"/>
    <w:rsid w:val="592C1AAA"/>
    <w:rsid w:val="593D6EE9"/>
    <w:rsid w:val="594B1014"/>
    <w:rsid w:val="5A21417F"/>
    <w:rsid w:val="5A8A1FBA"/>
    <w:rsid w:val="5B0C47C2"/>
    <w:rsid w:val="5B7C5DC2"/>
    <w:rsid w:val="5BCA1815"/>
    <w:rsid w:val="5C051BBD"/>
    <w:rsid w:val="5C3518A0"/>
    <w:rsid w:val="5CC52489"/>
    <w:rsid w:val="5CEB159D"/>
    <w:rsid w:val="5CF502C2"/>
    <w:rsid w:val="5D14574C"/>
    <w:rsid w:val="5D6109D9"/>
    <w:rsid w:val="5D7A7717"/>
    <w:rsid w:val="5D886665"/>
    <w:rsid w:val="5DBD7EB8"/>
    <w:rsid w:val="5E784599"/>
    <w:rsid w:val="5EBB7BEA"/>
    <w:rsid w:val="5EBF0EC5"/>
    <w:rsid w:val="5ED84BDD"/>
    <w:rsid w:val="5F2177AA"/>
    <w:rsid w:val="5F217E4A"/>
    <w:rsid w:val="5F4527A3"/>
    <w:rsid w:val="5F596A63"/>
    <w:rsid w:val="5F636C82"/>
    <w:rsid w:val="5FC0446B"/>
    <w:rsid w:val="6058507D"/>
    <w:rsid w:val="607046D5"/>
    <w:rsid w:val="60732BDB"/>
    <w:rsid w:val="608A3A03"/>
    <w:rsid w:val="60E83D77"/>
    <w:rsid w:val="60EC5830"/>
    <w:rsid w:val="616D550B"/>
    <w:rsid w:val="61DF288D"/>
    <w:rsid w:val="630F26B0"/>
    <w:rsid w:val="637F5E9D"/>
    <w:rsid w:val="63810DB0"/>
    <w:rsid w:val="63F0026F"/>
    <w:rsid w:val="648A0D94"/>
    <w:rsid w:val="64990050"/>
    <w:rsid w:val="64B01B49"/>
    <w:rsid w:val="64F97D5F"/>
    <w:rsid w:val="65053A72"/>
    <w:rsid w:val="65320772"/>
    <w:rsid w:val="653363A2"/>
    <w:rsid w:val="65890555"/>
    <w:rsid w:val="65C27AD4"/>
    <w:rsid w:val="666C4AE3"/>
    <w:rsid w:val="66842C3B"/>
    <w:rsid w:val="670A5B23"/>
    <w:rsid w:val="673227BE"/>
    <w:rsid w:val="674B5231"/>
    <w:rsid w:val="67957627"/>
    <w:rsid w:val="68675CD6"/>
    <w:rsid w:val="68834213"/>
    <w:rsid w:val="68C5726A"/>
    <w:rsid w:val="695F7B33"/>
    <w:rsid w:val="697A4395"/>
    <w:rsid w:val="69AC7055"/>
    <w:rsid w:val="6AB130B3"/>
    <w:rsid w:val="6AB210D1"/>
    <w:rsid w:val="6AD73B91"/>
    <w:rsid w:val="6B0B0DDE"/>
    <w:rsid w:val="6B425E84"/>
    <w:rsid w:val="6B603A76"/>
    <w:rsid w:val="6BF72B20"/>
    <w:rsid w:val="6BFF6419"/>
    <w:rsid w:val="6C2E7A10"/>
    <w:rsid w:val="6C376B7B"/>
    <w:rsid w:val="6CB218EF"/>
    <w:rsid w:val="6D4A09F2"/>
    <w:rsid w:val="6EDB25B8"/>
    <w:rsid w:val="6F01232B"/>
    <w:rsid w:val="6F536E5D"/>
    <w:rsid w:val="6FAC7E0B"/>
    <w:rsid w:val="6FBE16A4"/>
    <w:rsid w:val="6FC0088D"/>
    <w:rsid w:val="70863518"/>
    <w:rsid w:val="70B37B3D"/>
    <w:rsid w:val="70F24F67"/>
    <w:rsid w:val="718F7D1C"/>
    <w:rsid w:val="71EA1747"/>
    <w:rsid w:val="724C52A4"/>
    <w:rsid w:val="724F1C7B"/>
    <w:rsid w:val="726C07DF"/>
    <w:rsid w:val="728D1592"/>
    <w:rsid w:val="72970D3A"/>
    <w:rsid w:val="729B0F70"/>
    <w:rsid w:val="73005225"/>
    <w:rsid w:val="73B429F2"/>
    <w:rsid w:val="73B97EDC"/>
    <w:rsid w:val="73D17F16"/>
    <w:rsid w:val="740006C1"/>
    <w:rsid w:val="744A2E4C"/>
    <w:rsid w:val="74583304"/>
    <w:rsid w:val="75637B60"/>
    <w:rsid w:val="75E73724"/>
    <w:rsid w:val="764A3287"/>
    <w:rsid w:val="7703171D"/>
    <w:rsid w:val="77D27668"/>
    <w:rsid w:val="78295EEB"/>
    <w:rsid w:val="7850370B"/>
    <w:rsid w:val="7863464A"/>
    <w:rsid w:val="78724DB3"/>
    <w:rsid w:val="78F10938"/>
    <w:rsid w:val="79544CB5"/>
    <w:rsid w:val="799F53FC"/>
    <w:rsid w:val="79A574C3"/>
    <w:rsid w:val="7A222B43"/>
    <w:rsid w:val="7A802A28"/>
    <w:rsid w:val="7AFA28C3"/>
    <w:rsid w:val="7B5A6B70"/>
    <w:rsid w:val="7C3E5392"/>
    <w:rsid w:val="7C5F4DD1"/>
    <w:rsid w:val="7CC95FCF"/>
    <w:rsid w:val="7D0F17D2"/>
    <w:rsid w:val="7D300E0F"/>
    <w:rsid w:val="7D3A2967"/>
    <w:rsid w:val="7D6B0AB9"/>
    <w:rsid w:val="7D766291"/>
    <w:rsid w:val="7DA64F30"/>
    <w:rsid w:val="7DC94321"/>
    <w:rsid w:val="7E0E3CFF"/>
    <w:rsid w:val="7E313DDB"/>
    <w:rsid w:val="7E8D2D1F"/>
    <w:rsid w:val="7EB47DF6"/>
    <w:rsid w:val="7F001BE0"/>
    <w:rsid w:val="7F1B694F"/>
    <w:rsid w:val="7F3E0DDC"/>
    <w:rsid w:val="7F476E45"/>
    <w:rsid w:val="7F805B09"/>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9"/>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00"/>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101"/>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102"/>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103"/>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104"/>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105"/>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106"/>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107"/>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semiHidden/>
    <w:qFormat/>
    <w:uiPriority w:val="99"/>
  </w:style>
  <w:style w:type="table" w:default="1" w:styleId="76">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widowControl/>
      <w:adjustRightInd w:val="0"/>
      <w:snapToGrid w:val="0"/>
      <w:ind w:left="1080" w:hanging="360"/>
      <w:jc w:val="left"/>
    </w:pPr>
    <w:rPr>
      <w:kern w:val="0"/>
      <w:sz w:val="24"/>
    </w:rPr>
  </w:style>
  <w:style w:type="paragraph" w:styleId="12">
    <w:name w:val="toc 7"/>
    <w:basedOn w:val="1"/>
    <w:next w:val="1"/>
    <w:qFormat/>
    <w:uiPriority w:val="99"/>
    <w:pPr>
      <w:ind w:left="2520" w:leftChars="1200"/>
    </w:pPr>
  </w:style>
  <w:style w:type="paragraph" w:styleId="13">
    <w:name w:val="table of authorities"/>
    <w:basedOn w:val="1"/>
    <w:next w:val="1"/>
    <w:qFormat/>
    <w:uiPriority w:val="99"/>
    <w:pPr>
      <w:spacing w:line="240" w:lineRule="auto"/>
      <w:ind w:left="420" w:leftChars="200"/>
    </w:pPr>
  </w:style>
  <w:style w:type="paragraph" w:styleId="14">
    <w:name w:val="index 8"/>
    <w:basedOn w:val="1"/>
    <w:next w:val="1"/>
    <w:qFormat/>
    <w:uiPriority w:val="99"/>
    <w:pPr>
      <w:widowControl/>
      <w:adjustRightInd w:val="0"/>
      <w:snapToGrid w:val="0"/>
      <w:ind w:left="1920" w:hanging="240"/>
      <w:jc w:val="left"/>
    </w:pPr>
    <w:rPr>
      <w:kern w:val="0"/>
      <w:sz w:val="24"/>
    </w:rPr>
  </w:style>
  <w:style w:type="paragraph" w:styleId="15">
    <w:name w:val="List Number"/>
    <w:basedOn w:val="1"/>
    <w:qFormat/>
    <w:uiPriority w:val="99"/>
    <w:pPr>
      <w:numPr>
        <w:ilvl w:val="0"/>
        <w:numId w:val="3"/>
      </w:numPr>
      <w:adjustRightInd w:val="0"/>
      <w:snapToGrid w:val="0"/>
      <w:ind w:hangingChars="200"/>
    </w:pPr>
    <w:rPr>
      <w:rFonts w:eastAsia="仿宋"/>
    </w:rPr>
  </w:style>
  <w:style w:type="paragraph" w:styleId="16">
    <w:name w:val="Normal Indent"/>
    <w:basedOn w:val="1"/>
    <w:next w:val="17"/>
    <w:link w:val="407"/>
    <w:qFormat/>
    <w:uiPriority w:val="99"/>
    <w:pPr>
      <w:widowControl/>
      <w:adjustRightInd w:val="0"/>
      <w:snapToGrid w:val="0"/>
      <w:spacing w:line="480" w:lineRule="exact"/>
      <w:ind w:firstLine="567"/>
    </w:pPr>
    <w:rPr>
      <w:rFonts w:ascii="宋体"/>
      <w:color w:val="000000"/>
      <w:kern w:val="28"/>
      <w:sz w:val="28"/>
      <w:szCs w:val="20"/>
    </w:rPr>
  </w:style>
  <w:style w:type="paragraph" w:styleId="17">
    <w:name w:val="Body Text Indent"/>
    <w:basedOn w:val="1"/>
    <w:next w:val="16"/>
    <w:link w:val="116"/>
    <w:qFormat/>
    <w:uiPriority w:val="99"/>
    <w:pPr>
      <w:spacing w:line="480" w:lineRule="exact"/>
      <w:ind w:firstLine="480" w:firstLineChars="200"/>
    </w:pPr>
    <w:rPr>
      <w:rFonts w:ascii="宋体" w:hAnsi="宋体"/>
      <w:kern w:val="0"/>
      <w:sz w:val="24"/>
    </w:rPr>
  </w:style>
  <w:style w:type="paragraph" w:styleId="18">
    <w:name w:val="caption"/>
    <w:basedOn w:val="1"/>
    <w:next w:val="1"/>
    <w:link w:val="610"/>
    <w:qFormat/>
    <w:uiPriority w:val="99"/>
    <w:rPr>
      <w:b/>
      <w:sz w:val="28"/>
      <w:szCs w:val="20"/>
    </w:rPr>
  </w:style>
  <w:style w:type="paragraph" w:styleId="19">
    <w:name w:val="index 5"/>
    <w:basedOn w:val="1"/>
    <w:next w:val="1"/>
    <w:qFormat/>
    <w:uiPriority w:val="99"/>
    <w:pPr>
      <w:widowControl/>
      <w:adjustRightInd w:val="0"/>
      <w:snapToGrid w:val="0"/>
      <w:ind w:left="1200" w:hanging="240"/>
      <w:jc w:val="left"/>
    </w:pPr>
    <w:rPr>
      <w:kern w:val="0"/>
      <w:sz w:val="24"/>
    </w:rPr>
  </w:style>
  <w:style w:type="paragraph" w:styleId="20">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1">
    <w:name w:val="Document Map"/>
    <w:basedOn w:val="1"/>
    <w:link w:val="113"/>
    <w:qFormat/>
    <w:uiPriority w:val="99"/>
    <w:pPr>
      <w:shd w:val="clear" w:color="auto" w:fill="000080"/>
    </w:pPr>
  </w:style>
  <w:style w:type="paragraph" w:styleId="22">
    <w:name w:val="toa heading"/>
    <w:basedOn w:val="1"/>
    <w:next w:val="1"/>
    <w:qFormat/>
    <w:uiPriority w:val="99"/>
    <w:pPr>
      <w:spacing w:before="120" w:line="240" w:lineRule="auto"/>
    </w:pPr>
    <w:rPr>
      <w:rFonts w:ascii="Arial" w:hAnsi="Arial" w:cs="Arial"/>
      <w:sz w:val="24"/>
    </w:rPr>
  </w:style>
  <w:style w:type="paragraph" w:styleId="23">
    <w:name w:val="annotation text"/>
    <w:basedOn w:val="1"/>
    <w:link w:val="108"/>
    <w:qFormat/>
    <w:uiPriority w:val="99"/>
    <w:pPr>
      <w:jc w:val="left"/>
    </w:pPr>
    <w:rPr>
      <w:kern w:val="0"/>
      <w:sz w:val="20"/>
    </w:rPr>
  </w:style>
  <w:style w:type="paragraph" w:styleId="24">
    <w:name w:val="index 6"/>
    <w:basedOn w:val="1"/>
    <w:next w:val="1"/>
    <w:qFormat/>
    <w:uiPriority w:val="99"/>
    <w:pPr>
      <w:widowControl/>
      <w:adjustRightInd w:val="0"/>
      <w:snapToGrid w:val="0"/>
      <w:ind w:left="1440" w:hanging="240"/>
      <w:jc w:val="left"/>
    </w:pPr>
    <w:rPr>
      <w:kern w:val="0"/>
      <w:sz w:val="24"/>
    </w:rPr>
  </w:style>
  <w:style w:type="paragraph" w:styleId="25">
    <w:name w:val="Salutation"/>
    <w:basedOn w:val="1"/>
    <w:next w:val="1"/>
    <w:link w:val="114"/>
    <w:qFormat/>
    <w:uiPriority w:val="99"/>
    <w:rPr>
      <w:rFonts w:ascii="仿宋_GB2312" w:eastAsia="仿宋_GB2312"/>
      <w:kern w:val="0"/>
      <w:sz w:val="28"/>
      <w:szCs w:val="20"/>
    </w:rPr>
  </w:style>
  <w:style w:type="paragraph" w:styleId="26">
    <w:name w:val="Body Text 3"/>
    <w:basedOn w:val="1"/>
    <w:link w:val="115"/>
    <w:qFormat/>
    <w:uiPriority w:val="99"/>
    <w:pPr>
      <w:jc w:val="center"/>
    </w:pPr>
    <w:rPr>
      <w:kern w:val="0"/>
      <w:sz w:val="20"/>
      <w:szCs w:val="20"/>
    </w:rPr>
  </w:style>
  <w:style w:type="paragraph" w:styleId="27">
    <w:name w:val="Body Text"/>
    <w:basedOn w:val="1"/>
    <w:next w:val="1"/>
    <w:link w:val="111"/>
    <w:qFormat/>
    <w:uiPriority w:val="99"/>
    <w:pPr>
      <w:autoSpaceDE w:val="0"/>
      <w:autoSpaceDN w:val="0"/>
      <w:adjustRightInd w:val="0"/>
    </w:pPr>
    <w:rPr>
      <w:rFonts w:ascii="宋体"/>
      <w:sz w:val="24"/>
      <w:szCs w:val="21"/>
      <w:lang w:val="zh-CN"/>
    </w:rPr>
  </w:style>
  <w:style w:type="paragraph" w:styleId="28">
    <w:name w:val="List Number 3"/>
    <w:basedOn w:val="1"/>
    <w:qFormat/>
    <w:uiPriority w:val="99"/>
    <w:pPr>
      <w:numPr>
        <w:ilvl w:val="0"/>
        <w:numId w:val="5"/>
      </w:numPr>
      <w:tabs>
        <w:tab w:val="left" w:pos="1200"/>
      </w:tabs>
      <w:spacing w:line="240" w:lineRule="auto"/>
    </w:pPr>
  </w:style>
  <w:style w:type="paragraph" w:styleId="29">
    <w:name w:val="List 2"/>
    <w:basedOn w:val="1"/>
    <w:qFormat/>
    <w:uiPriority w:val="99"/>
    <w:pPr>
      <w:tabs>
        <w:tab w:val="left" w:pos="420"/>
      </w:tabs>
      <w:spacing w:after="120" w:line="400" w:lineRule="exact"/>
    </w:pPr>
    <w:rPr>
      <w:szCs w:val="20"/>
    </w:rPr>
  </w:style>
  <w:style w:type="paragraph" w:styleId="30">
    <w:name w:val="List Continue"/>
    <w:basedOn w:val="1"/>
    <w:qFormat/>
    <w:uiPriority w:val="99"/>
    <w:pPr>
      <w:spacing w:after="120" w:line="240" w:lineRule="auto"/>
      <w:ind w:left="420" w:leftChars="200"/>
    </w:pPr>
    <w:rPr>
      <w:szCs w:val="20"/>
    </w:rPr>
  </w:style>
  <w:style w:type="paragraph" w:styleId="31">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3">
    <w:name w:val="HTML Address"/>
    <w:basedOn w:val="1"/>
    <w:link w:val="117"/>
    <w:qFormat/>
    <w:uiPriority w:val="99"/>
    <w:pPr>
      <w:widowControl/>
      <w:adjustRightInd w:val="0"/>
      <w:snapToGrid w:val="0"/>
      <w:jc w:val="left"/>
    </w:pPr>
    <w:rPr>
      <w:rFonts w:ascii="宋体" w:hAnsi="宋体" w:eastAsia="仿宋"/>
      <w:i/>
      <w:iCs/>
      <w:kern w:val="0"/>
      <w:sz w:val="24"/>
    </w:rPr>
  </w:style>
  <w:style w:type="paragraph" w:styleId="34">
    <w:name w:val="index 4"/>
    <w:basedOn w:val="1"/>
    <w:next w:val="1"/>
    <w:qFormat/>
    <w:uiPriority w:val="99"/>
    <w:pPr>
      <w:widowControl/>
      <w:adjustRightInd w:val="0"/>
      <w:snapToGrid w:val="0"/>
      <w:ind w:left="960" w:hanging="240"/>
      <w:jc w:val="left"/>
    </w:pPr>
    <w:rPr>
      <w:kern w:val="0"/>
      <w:sz w:val="24"/>
    </w:rPr>
  </w:style>
  <w:style w:type="paragraph" w:styleId="35">
    <w:name w:val="toc 5"/>
    <w:basedOn w:val="1"/>
    <w:next w:val="1"/>
    <w:qFormat/>
    <w:uiPriority w:val="99"/>
    <w:pPr>
      <w:ind w:left="1680" w:leftChars="800"/>
    </w:pPr>
  </w:style>
  <w:style w:type="paragraph" w:styleId="36">
    <w:name w:val="toc 3"/>
    <w:basedOn w:val="1"/>
    <w:next w:val="1"/>
    <w:qFormat/>
    <w:uiPriority w:val="99"/>
    <w:pPr>
      <w:tabs>
        <w:tab w:val="right" w:leader="dot" w:pos="8268"/>
      </w:tabs>
      <w:ind w:left="840" w:leftChars="400"/>
    </w:pPr>
    <w:rPr>
      <w:rFonts w:ascii="宋体" w:hAnsi="宋体"/>
    </w:rPr>
  </w:style>
  <w:style w:type="paragraph" w:styleId="37">
    <w:name w:val="Plain Text"/>
    <w:basedOn w:val="1"/>
    <w:next w:val="38"/>
    <w:link w:val="118"/>
    <w:qFormat/>
    <w:uiPriority w:val="99"/>
    <w:rPr>
      <w:rFonts w:ascii="宋体" w:hAnsi="Courier New"/>
      <w:kern w:val="0"/>
      <w:sz w:val="20"/>
      <w:szCs w:val="20"/>
    </w:rPr>
  </w:style>
  <w:style w:type="paragraph" w:styleId="38">
    <w:name w:val="Date"/>
    <w:basedOn w:val="1"/>
    <w:next w:val="1"/>
    <w:link w:val="119"/>
    <w:qFormat/>
    <w:uiPriority w:val="99"/>
    <w:pPr>
      <w:ind w:left="100" w:leftChars="2500"/>
    </w:pPr>
    <w:rPr>
      <w:rFonts w:ascii="宋体"/>
      <w:sz w:val="24"/>
      <w:szCs w:val="21"/>
      <w:lang w:val="zh-CN"/>
    </w:rPr>
  </w:style>
  <w:style w:type="paragraph" w:styleId="39">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0">
    <w:name w:val="toc 8"/>
    <w:basedOn w:val="1"/>
    <w:next w:val="1"/>
    <w:qFormat/>
    <w:uiPriority w:val="99"/>
    <w:pPr>
      <w:ind w:left="2940" w:leftChars="1400"/>
    </w:pPr>
  </w:style>
  <w:style w:type="paragraph" w:styleId="41">
    <w:name w:val="index 3"/>
    <w:basedOn w:val="1"/>
    <w:next w:val="1"/>
    <w:qFormat/>
    <w:uiPriority w:val="99"/>
    <w:pPr>
      <w:widowControl/>
      <w:adjustRightInd w:val="0"/>
      <w:snapToGrid w:val="0"/>
      <w:ind w:left="720" w:hanging="240"/>
      <w:jc w:val="left"/>
    </w:pPr>
    <w:rPr>
      <w:kern w:val="0"/>
      <w:sz w:val="24"/>
    </w:rPr>
  </w:style>
  <w:style w:type="paragraph" w:styleId="42">
    <w:name w:val="Body Text Indent 2"/>
    <w:basedOn w:val="1"/>
    <w:link w:val="120"/>
    <w:qFormat/>
    <w:uiPriority w:val="99"/>
    <w:pPr>
      <w:adjustRightInd w:val="0"/>
      <w:ind w:firstLine="601"/>
      <w:textAlignment w:val="baseline"/>
    </w:pPr>
    <w:rPr>
      <w:rFonts w:ascii="宋体"/>
      <w:kern w:val="0"/>
      <w:sz w:val="28"/>
      <w:szCs w:val="20"/>
    </w:rPr>
  </w:style>
  <w:style w:type="paragraph" w:styleId="43">
    <w:name w:val="endnote text"/>
    <w:basedOn w:val="1"/>
    <w:link w:val="121"/>
    <w:qFormat/>
    <w:uiPriority w:val="99"/>
    <w:pPr>
      <w:snapToGrid w:val="0"/>
      <w:spacing w:line="240" w:lineRule="auto"/>
      <w:jc w:val="left"/>
    </w:pPr>
  </w:style>
  <w:style w:type="paragraph" w:styleId="44">
    <w:name w:val="Balloon Text"/>
    <w:basedOn w:val="1"/>
    <w:link w:val="122"/>
    <w:qFormat/>
    <w:uiPriority w:val="99"/>
    <w:rPr>
      <w:kern w:val="0"/>
      <w:sz w:val="18"/>
      <w:szCs w:val="18"/>
    </w:rPr>
  </w:style>
  <w:style w:type="paragraph" w:styleId="45">
    <w:name w:val="footer"/>
    <w:basedOn w:val="1"/>
    <w:link w:val="123"/>
    <w:qFormat/>
    <w:uiPriority w:val="99"/>
    <w:pPr>
      <w:tabs>
        <w:tab w:val="center" w:pos="4153"/>
        <w:tab w:val="right" w:pos="8306"/>
      </w:tabs>
      <w:snapToGrid w:val="0"/>
      <w:jc w:val="left"/>
    </w:pPr>
    <w:rPr>
      <w:sz w:val="18"/>
      <w:szCs w:val="18"/>
    </w:rPr>
  </w:style>
  <w:style w:type="paragraph" w:styleId="46">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26"/>
    <w:qFormat/>
    <w:uiPriority w:val="99"/>
    <w:pPr>
      <w:adjustRightInd w:val="0"/>
      <w:spacing w:after="600" w:line="312" w:lineRule="atLeast"/>
      <w:jc w:val="center"/>
      <w:textAlignment w:val="baseline"/>
    </w:pPr>
    <w:rPr>
      <w:rFonts w:eastAsia="仿宋_GB2312"/>
      <w:kern w:val="0"/>
      <w:sz w:val="24"/>
      <w:szCs w:val="20"/>
    </w:rPr>
  </w:style>
  <w:style w:type="paragraph" w:styleId="48">
    <w:name w:val="toc 1"/>
    <w:basedOn w:val="1"/>
    <w:next w:val="1"/>
    <w:qFormat/>
    <w:uiPriority w:val="99"/>
  </w:style>
  <w:style w:type="paragraph" w:styleId="49">
    <w:name w:val="toc 4"/>
    <w:basedOn w:val="1"/>
    <w:next w:val="1"/>
    <w:qFormat/>
    <w:uiPriority w:val="99"/>
    <w:pPr>
      <w:ind w:left="1260" w:leftChars="600"/>
    </w:pPr>
  </w:style>
  <w:style w:type="paragraph" w:styleId="50">
    <w:name w:val="index heading"/>
    <w:basedOn w:val="1"/>
    <w:next w:val="51"/>
    <w:qFormat/>
    <w:uiPriority w:val="99"/>
    <w:pPr>
      <w:widowControl/>
      <w:adjustRightInd w:val="0"/>
      <w:snapToGrid w:val="0"/>
      <w:jc w:val="left"/>
    </w:pPr>
    <w:rPr>
      <w:kern w:val="0"/>
      <w:sz w:val="24"/>
    </w:rPr>
  </w:style>
  <w:style w:type="paragraph" w:styleId="51">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2">
    <w:name w:val="Subtitle"/>
    <w:basedOn w:val="1"/>
    <w:next w:val="1"/>
    <w:link w:val="127"/>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3">
    <w:name w:val="List Number 5"/>
    <w:basedOn w:val="1"/>
    <w:qFormat/>
    <w:uiPriority w:val="99"/>
    <w:pPr>
      <w:tabs>
        <w:tab w:val="left" w:pos="902"/>
      </w:tabs>
      <w:spacing w:line="400" w:lineRule="exact"/>
      <w:ind w:left="902" w:hanging="420"/>
    </w:pPr>
    <w:rPr>
      <w:sz w:val="24"/>
      <w:szCs w:val="20"/>
    </w:rPr>
  </w:style>
  <w:style w:type="paragraph" w:styleId="54">
    <w:name w:val="List"/>
    <w:basedOn w:val="1"/>
    <w:qFormat/>
    <w:uiPriority w:val="99"/>
    <w:pPr>
      <w:numPr>
        <w:ilvl w:val="0"/>
        <w:numId w:val="6"/>
      </w:numPr>
      <w:adjustRightInd w:val="0"/>
      <w:snapToGrid w:val="0"/>
      <w:jc w:val="left"/>
    </w:pPr>
    <w:rPr>
      <w:rFonts w:ascii="宋体" w:hAnsi="宋体"/>
      <w:sz w:val="24"/>
    </w:rPr>
  </w:style>
  <w:style w:type="paragraph" w:styleId="55">
    <w:name w:val="footnote text"/>
    <w:basedOn w:val="1"/>
    <w:qFormat/>
    <w:uiPriority w:val="0"/>
    <w:pPr>
      <w:snapToGrid w:val="0"/>
      <w:jc w:val="left"/>
    </w:pPr>
    <w:rPr>
      <w:rFonts w:eastAsia="FangSong_GB2312"/>
      <w:sz w:val="18"/>
      <w:szCs w:val="20"/>
    </w:rPr>
  </w:style>
  <w:style w:type="paragraph" w:styleId="56">
    <w:name w:val="toc 6"/>
    <w:basedOn w:val="1"/>
    <w:next w:val="1"/>
    <w:qFormat/>
    <w:uiPriority w:val="99"/>
    <w:pPr>
      <w:ind w:left="2100" w:leftChars="1000"/>
    </w:pPr>
  </w:style>
  <w:style w:type="paragraph" w:styleId="57">
    <w:name w:val="List 5"/>
    <w:basedOn w:val="1"/>
    <w:qFormat/>
    <w:uiPriority w:val="99"/>
    <w:pPr>
      <w:spacing w:line="240" w:lineRule="auto"/>
      <w:ind w:left="100" w:leftChars="800" w:hanging="200" w:hangingChars="200"/>
    </w:pPr>
    <w:rPr>
      <w:szCs w:val="20"/>
    </w:rPr>
  </w:style>
  <w:style w:type="paragraph" w:styleId="58">
    <w:name w:val="Body Text Indent 3"/>
    <w:basedOn w:val="1"/>
    <w:link w:val="128"/>
    <w:qFormat/>
    <w:uiPriority w:val="99"/>
    <w:pPr>
      <w:ind w:firstLine="420"/>
    </w:pPr>
    <w:rPr>
      <w:kern w:val="0"/>
      <w:sz w:val="24"/>
      <w:szCs w:val="20"/>
    </w:rPr>
  </w:style>
  <w:style w:type="paragraph" w:styleId="59">
    <w:name w:val="index 7"/>
    <w:basedOn w:val="1"/>
    <w:next w:val="1"/>
    <w:qFormat/>
    <w:uiPriority w:val="99"/>
    <w:pPr>
      <w:widowControl/>
      <w:adjustRightInd w:val="0"/>
      <w:snapToGrid w:val="0"/>
      <w:ind w:left="1680" w:hanging="240"/>
      <w:jc w:val="left"/>
    </w:pPr>
    <w:rPr>
      <w:kern w:val="0"/>
      <w:sz w:val="24"/>
    </w:rPr>
  </w:style>
  <w:style w:type="paragraph" w:styleId="60">
    <w:name w:val="index 9"/>
    <w:basedOn w:val="1"/>
    <w:next w:val="1"/>
    <w:qFormat/>
    <w:uiPriority w:val="99"/>
    <w:pPr>
      <w:widowControl/>
      <w:adjustRightInd w:val="0"/>
      <w:snapToGrid w:val="0"/>
      <w:ind w:left="2160" w:hanging="240"/>
      <w:jc w:val="left"/>
    </w:pPr>
    <w:rPr>
      <w:kern w:val="0"/>
      <w:sz w:val="24"/>
    </w:rPr>
  </w:style>
  <w:style w:type="paragraph" w:styleId="61">
    <w:name w:val="table of figures"/>
    <w:basedOn w:val="1"/>
    <w:next w:val="1"/>
    <w:qFormat/>
    <w:uiPriority w:val="99"/>
    <w:pPr>
      <w:widowControl/>
      <w:adjustRightInd w:val="0"/>
      <w:snapToGrid w:val="0"/>
      <w:ind w:left="480" w:hanging="480"/>
      <w:jc w:val="left"/>
    </w:pPr>
    <w:rPr>
      <w:kern w:val="0"/>
      <w:sz w:val="24"/>
    </w:rPr>
  </w:style>
  <w:style w:type="paragraph" w:styleId="62">
    <w:name w:val="toc 2"/>
    <w:basedOn w:val="1"/>
    <w:next w:val="1"/>
    <w:qFormat/>
    <w:uiPriority w:val="99"/>
    <w:pPr>
      <w:ind w:left="420" w:leftChars="200"/>
    </w:pPr>
  </w:style>
  <w:style w:type="paragraph" w:styleId="63">
    <w:name w:val="toc 9"/>
    <w:basedOn w:val="1"/>
    <w:next w:val="1"/>
    <w:qFormat/>
    <w:uiPriority w:val="99"/>
    <w:pPr>
      <w:ind w:left="3360" w:leftChars="1600"/>
    </w:pPr>
  </w:style>
  <w:style w:type="paragraph" w:styleId="64">
    <w:name w:val="Body Text 2"/>
    <w:basedOn w:val="1"/>
    <w:link w:val="129"/>
    <w:qFormat/>
    <w:uiPriority w:val="99"/>
    <w:pPr>
      <w:spacing w:after="120" w:line="480" w:lineRule="auto"/>
    </w:pPr>
  </w:style>
  <w:style w:type="paragraph" w:styleId="65">
    <w:name w:val="List 4"/>
    <w:basedOn w:val="1"/>
    <w:qFormat/>
    <w:uiPriority w:val="99"/>
    <w:pPr>
      <w:spacing w:line="240" w:lineRule="auto"/>
      <w:ind w:left="100" w:leftChars="600" w:hanging="200" w:hangingChars="200"/>
    </w:pPr>
    <w:rPr>
      <w:szCs w:val="20"/>
    </w:rPr>
  </w:style>
  <w:style w:type="paragraph" w:styleId="66">
    <w:name w:val="List Continue 2"/>
    <w:basedOn w:val="1"/>
    <w:qFormat/>
    <w:uiPriority w:val="99"/>
    <w:pPr>
      <w:spacing w:after="120" w:line="240" w:lineRule="auto"/>
      <w:ind w:left="840" w:leftChars="400"/>
    </w:pPr>
    <w:rPr>
      <w:szCs w:val="20"/>
    </w:rPr>
  </w:style>
  <w:style w:type="paragraph" w:styleId="67">
    <w:name w:val="Message Header"/>
    <w:basedOn w:val="1"/>
    <w:link w:val="130"/>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8">
    <w:name w:val="HTML Preformatted"/>
    <w:basedOn w:val="1"/>
    <w:link w:val="1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69">
    <w:name w:val="Normal (Web)"/>
    <w:basedOn w:val="1"/>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line="240" w:lineRule="auto"/>
      <w:ind w:left="1260" w:leftChars="600"/>
    </w:pPr>
    <w:rPr>
      <w:szCs w:val="20"/>
    </w:rPr>
  </w:style>
  <w:style w:type="paragraph" w:styleId="71">
    <w:name w:val="index 2"/>
    <w:basedOn w:val="1"/>
    <w:next w:val="1"/>
    <w:qFormat/>
    <w:uiPriority w:val="99"/>
    <w:pPr>
      <w:widowControl/>
      <w:adjustRightInd w:val="0"/>
      <w:snapToGrid w:val="0"/>
      <w:ind w:left="480" w:hanging="240"/>
      <w:jc w:val="left"/>
    </w:pPr>
    <w:rPr>
      <w:kern w:val="0"/>
      <w:sz w:val="24"/>
    </w:rPr>
  </w:style>
  <w:style w:type="paragraph" w:styleId="72">
    <w:name w:val="Title"/>
    <w:basedOn w:val="1"/>
    <w:next w:val="1"/>
    <w:link w:val="132"/>
    <w:qFormat/>
    <w:uiPriority w:val="99"/>
    <w:pPr>
      <w:widowControl/>
      <w:overflowPunct w:val="0"/>
      <w:autoSpaceDE w:val="0"/>
      <w:autoSpaceDN w:val="0"/>
      <w:adjustRightInd w:val="0"/>
      <w:jc w:val="center"/>
      <w:textAlignment w:val="baseline"/>
    </w:pPr>
    <w:rPr>
      <w:b/>
      <w:kern w:val="0"/>
      <w:sz w:val="24"/>
      <w:szCs w:val="20"/>
    </w:rPr>
  </w:style>
  <w:style w:type="paragraph" w:styleId="73">
    <w:name w:val="annotation subject"/>
    <w:basedOn w:val="23"/>
    <w:next w:val="23"/>
    <w:link w:val="109"/>
    <w:qFormat/>
    <w:uiPriority w:val="99"/>
    <w:rPr>
      <w:b/>
      <w:bCs/>
    </w:rPr>
  </w:style>
  <w:style w:type="paragraph" w:styleId="74">
    <w:name w:val="Body Text First Indent"/>
    <w:basedOn w:val="27"/>
    <w:next w:val="56"/>
    <w:link w:val="112"/>
    <w:qFormat/>
    <w:uiPriority w:val="99"/>
    <w:pPr>
      <w:ind w:firstLine="420"/>
    </w:pPr>
    <w:rPr>
      <w:kern w:val="0"/>
      <w:szCs w:val="20"/>
    </w:rPr>
  </w:style>
  <w:style w:type="paragraph" w:styleId="75">
    <w:name w:val="Body Text First Indent 2"/>
    <w:basedOn w:val="17"/>
    <w:link w:val="124"/>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Elegant"/>
    <w:basedOn w:val="76"/>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0">
    <w:name w:val="Table Grid 8"/>
    <w:basedOn w:val="76"/>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qFormat/>
    <w:uiPriority w:val="99"/>
    <w:rPr>
      <w:rFonts w:cs="Times New Roman"/>
      <w:b/>
    </w:rPr>
  </w:style>
  <w:style w:type="character" w:styleId="83">
    <w:name w:val="endnote reference"/>
    <w:basedOn w:val="81"/>
    <w:qFormat/>
    <w:uiPriority w:val="99"/>
    <w:rPr>
      <w:rFonts w:cs="Times New Roman"/>
      <w:vertAlign w:val="superscript"/>
    </w:rPr>
  </w:style>
  <w:style w:type="character" w:styleId="84">
    <w:name w:val="page number"/>
    <w:basedOn w:val="81"/>
    <w:qFormat/>
    <w:uiPriority w:val="99"/>
    <w:rPr>
      <w:rFonts w:cs="Times New Roman"/>
    </w:rPr>
  </w:style>
  <w:style w:type="character" w:styleId="85">
    <w:name w:val="FollowedHyperlink"/>
    <w:basedOn w:val="81"/>
    <w:qFormat/>
    <w:uiPriority w:val="99"/>
    <w:rPr>
      <w:rFonts w:cs="Times New Roman"/>
      <w:color w:val="954F72"/>
      <w:u w:val="single"/>
    </w:rPr>
  </w:style>
  <w:style w:type="character" w:styleId="86">
    <w:name w:val="Emphasis"/>
    <w:basedOn w:val="81"/>
    <w:qFormat/>
    <w:uiPriority w:val="99"/>
    <w:rPr>
      <w:rFonts w:cs="Times New Roman"/>
      <w:color w:val="CC0033"/>
    </w:rPr>
  </w:style>
  <w:style w:type="character" w:styleId="87">
    <w:name w:val="line number"/>
    <w:basedOn w:val="81"/>
    <w:qFormat/>
    <w:uiPriority w:val="99"/>
    <w:rPr>
      <w:rFonts w:cs="Times New Roman"/>
    </w:rPr>
  </w:style>
  <w:style w:type="character" w:styleId="88">
    <w:name w:val="Hyperlink"/>
    <w:basedOn w:val="81"/>
    <w:qFormat/>
    <w:uiPriority w:val="99"/>
    <w:rPr>
      <w:rFonts w:cs="Times New Roman"/>
      <w:color w:val="0000FF"/>
      <w:u w:val="single"/>
    </w:rPr>
  </w:style>
  <w:style w:type="character" w:styleId="89">
    <w:name w:val="HTML Code"/>
    <w:basedOn w:val="81"/>
    <w:qFormat/>
    <w:uiPriority w:val="99"/>
    <w:rPr>
      <w:rFonts w:ascii="黑体" w:hAnsi="Courier New" w:eastAsia="黑体" w:cs="Times New Roman"/>
      <w:sz w:val="20"/>
    </w:rPr>
  </w:style>
  <w:style w:type="character" w:styleId="90">
    <w:name w:val="annotation reference"/>
    <w:basedOn w:val="81"/>
    <w:qFormat/>
    <w:uiPriority w:val="99"/>
    <w:rPr>
      <w:rFonts w:cs="Times New Roman"/>
      <w:sz w:val="21"/>
    </w:rPr>
  </w:style>
  <w:style w:type="character" w:styleId="91">
    <w:name w:val="footnote reference"/>
    <w:basedOn w:val="81"/>
    <w:qFormat/>
    <w:uiPriority w:val="0"/>
    <w:rPr>
      <w:vertAlign w:val="superscript"/>
    </w:rPr>
  </w:style>
  <w:style w:type="paragraph" w:customStyle="1" w:styleId="92">
    <w:name w:val="正文首行缩进 21"/>
    <w:basedOn w:val="17"/>
    <w:next w:val="1"/>
    <w:qFormat/>
    <w:uiPriority w:val="0"/>
    <w:pPr>
      <w:widowControl w:val="0"/>
      <w:autoSpaceDN/>
      <w:adjustRightInd/>
      <w:spacing w:beforeAutospacing="0" w:line="240" w:lineRule="auto"/>
      <w:ind w:firstLine="0"/>
      <w:jc w:val="both"/>
      <w:textAlignment w:val="auto"/>
    </w:pPr>
    <w:rPr>
      <w:rFonts w:ascii="Times New Roman" w:hAnsi="Times New Roman" w:eastAsia="楷体_GB2312" w:cs="宋体"/>
      <w:spacing w:val="-4"/>
      <w:kern w:val="2"/>
      <w:sz w:val="24"/>
      <w:szCs w:val="21"/>
      <w:lang w:val="en-US" w:eastAsia="zh-CN" w:bidi="ar-SA"/>
    </w:rPr>
  </w:style>
  <w:style w:type="paragraph" w:customStyle="1" w:styleId="93">
    <w:name w:val="Body Text First Indent 21"/>
    <w:basedOn w:val="94"/>
    <w:qFormat/>
    <w:uiPriority w:val="0"/>
    <w:pPr>
      <w:ind w:firstLine="420"/>
    </w:pPr>
    <w:rPr>
      <w:rFonts w:cs="宋体"/>
    </w:rPr>
  </w:style>
  <w:style w:type="paragraph" w:customStyle="1" w:styleId="94">
    <w:name w:val="Body Text Indent1"/>
    <w:basedOn w:val="1"/>
    <w:next w:val="1"/>
    <w:qFormat/>
    <w:uiPriority w:val="0"/>
    <w:pPr>
      <w:spacing w:after="120"/>
      <w:ind w:left="420" w:leftChars="200"/>
    </w:pPr>
  </w:style>
  <w:style w:type="paragraph" w:customStyle="1" w:styleId="95">
    <w:name w:val="[Normal]"/>
    <w:qFormat/>
    <w:uiPriority w:val="0"/>
    <w:rPr>
      <w:rFonts w:ascii="宋体" w:hAnsi="宋体" w:eastAsia="宋体" w:cs="Times New Roman"/>
      <w:sz w:val="24"/>
      <w:szCs w:val="22"/>
      <w:lang w:val="zh-CN" w:eastAsia="zh-CN" w:bidi="ar-SA"/>
    </w:rPr>
  </w:style>
  <w:style w:type="paragraph" w:customStyle="1" w:styleId="96">
    <w:name w:val="BodyText1I2"/>
    <w:basedOn w:val="97"/>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7">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customStyle="1" w:styleId="98">
    <w:name w:val="正文（首行缩进2字符）"/>
    <w:basedOn w:val="1"/>
    <w:link w:val="652"/>
    <w:qFormat/>
    <w:uiPriority w:val="99"/>
    <w:pPr>
      <w:ind w:firstLine="480" w:firstLineChars="200"/>
    </w:pPr>
    <w:rPr>
      <w:sz w:val="24"/>
      <w:szCs w:val="20"/>
    </w:rPr>
  </w:style>
  <w:style w:type="character" w:customStyle="1" w:styleId="99">
    <w:name w:val="Heading 1 Char"/>
    <w:basedOn w:val="81"/>
    <w:link w:val="2"/>
    <w:qFormat/>
    <w:locked/>
    <w:uiPriority w:val="99"/>
    <w:rPr>
      <w:b/>
      <w:bCs/>
      <w:kern w:val="44"/>
      <w:sz w:val="44"/>
      <w:szCs w:val="44"/>
    </w:rPr>
  </w:style>
  <w:style w:type="character" w:customStyle="1" w:styleId="100">
    <w:name w:val="Heading 2 Char"/>
    <w:basedOn w:val="81"/>
    <w:link w:val="3"/>
    <w:qFormat/>
    <w:locked/>
    <w:uiPriority w:val="99"/>
    <w:rPr>
      <w:rFonts w:ascii="宋体" w:hAnsi="宋体" w:eastAsia="宋体"/>
      <w:b/>
      <w:sz w:val="30"/>
      <w:lang w:val="zh-CN"/>
    </w:rPr>
  </w:style>
  <w:style w:type="character" w:customStyle="1" w:styleId="101">
    <w:name w:val="Heading 3 Char"/>
    <w:basedOn w:val="81"/>
    <w:link w:val="4"/>
    <w:qFormat/>
    <w:locked/>
    <w:uiPriority w:val="99"/>
    <w:rPr>
      <w:b/>
      <w:kern w:val="2"/>
      <w:sz w:val="32"/>
    </w:rPr>
  </w:style>
  <w:style w:type="character" w:customStyle="1" w:styleId="102">
    <w:name w:val="Heading 4 Char"/>
    <w:basedOn w:val="81"/>
    <w:link w:val="5"/>
    <w:qFormat/>
    <w:locked/>
    <w:uiPriority w:val="99"/>
    <w:rPr>
      <w:rFonts w:ascii="Arial" w:hAnsi="Arial"/>
      <w:bCs/>
      <w:sz w:val="28"/>
      <w:szCs w:val="28"/>
      <w:lang w:val="zh-CN"/>
    </w:rPr>
  </w:style>
  <w:style w:type="character" w:customStyle="1" w:styleId="103">
    <w:name w:val="Heading 5 Char"/>
    <w:basedOn w:val="81"/>
    <w:link w:val="6"/>
    <w:qFormat/>
    <w:locked/>
    <w:uiPriority w:val="99"/>
    <w:rPr>
      <w:b/>
      <w:bCs/>
      <w:sz w:val="28"/>
      <w:szCs w:val="28"/>
    </w:rPr>
  </w:style>
  <w:style w:type="character" w:customStyle="1" w:styleId="104">
    <w:name w:val="Heading 6 Char"/>
    <w:basedOn w:val="81"/>
    <w:link w:val="7"/>
    <w:qFormat/>
    <w:locked/>
    <w:uiPriority w:val="99"/>
    <w:rPr>
      <w:rFonts w:ascii="Arial" w:hAnsi="Arial" w:eastAsia="黑体"/>
      <w:b/>
      <w:bCs/>
      <w:sz w:val="24"/>
      <w:szCs w:val="24"/>
    </w:rPr>
  </w:style>
  <w:style w:type="character" w:customStyle="1" w:styleId="105">
    <w:name w:val="Heading 7 Char"/>
    <w:basedOn w:val="81"/>
    <w:link w:val="8"/>
    <w:qFormat/>
    <w:locked/>
    <w:uiPriority w:val="99"/>
    <w:rPr>
      <w:b/>
      <w:bCs/>
      <w:sz w:val="24"/>
      <w:szCs w:val="24"/>
    </w:rPr>
  </w:style>
  <w:style w:type="character" w:customStyle="1" w:styleId="106">
    <w:name w:val="Heading 8 Char"/>
    <w:basedOn w:val="81"/>
    <w:link w:val="9"/>
    <w:qFormat/>
    <w:locked/>
    <w:uiPriority w:val="99"/>
    <w:rPr>
      <w:rFonts w:ascii="Arial" w:hAnsi="Arial" w:eastAsia="黑体"/>
      <w:sz w:val="24"/>
      <w:szCs w:val="24"/>
    </w:rPr>
  </w:style>
  <w:style w:type="character" w:customStyle="1" w:styleId="107">
    <w:name w:val="Heading 9 Char"/>
    <w:basedOn w:val="81"/>
    <w:link w:val="10"/>
    <w:qFormat/>
    <w:locked/>
    <w:uiPriority w:val="99"/>
    <w:rPr>
      <w:rFonts w:ascii="Arial" w:hAnsi="Arial" w:eastAsia="黑体"/>
      <w:szCs w:val="21"/>
    </w:rPr>
  </w:style>
  <w:style w:type="character" w:customStyle="1" w:styleId="108">
    <w:name w:val="Comment Text Char"/>
    <w:basedOn w:val="81"/>
    <w:link w:val="23"/>
    <w:qFormat/>
    <w:locked/>
    <w:uiPriority w:val="99"/>
    <w:rPr>
      <w:rFonts w:ascii="Times New Roman" w:hAnsi="Times New Roman" w:eastAsia="宋体"/>
      <w:sz w:val="24"/>
    </w:rPr>
  </w:style>
  <w:style w:type="character" w:customStyle="1" w:styleId="109">
    <w:name w:val="Comment Subject Char"/>
    <w:basedOn w:val="110"/>
    <w:link w:val="73"/>
    <w:qFormat/>
    <w:locked/>
    <w:uiPriority w:val="99"/>
    <w:rPr>
      <w:b/>
      <w:bCs/>
    </w:rPr>
  </w:style>
  <w:style w:type="character" w:customStyle="1" w:styleId="110">
    <w:name w:val="批注文字 Char"/>
    <w:basedOn w:val="81"/>
    <w:qFormat/>
    <w:uiPriority w:val="99"/>
    <w:rPr>
      <w:rFonts w:ascii="Times New Roman" w:hAnsi="Times New Roman" w:eastAsia="宋体" w:cs="Times New Roman"/>
      <w:sz w:val="24"/>
      <w:szCs w:val="24"/>
    </w:rPr>
  </w:style>
  <w:style w:type="character" w:customStyle="1" w:styleId="111">
    <w:name w:val="Body Text Char"/>
    <w:basedOn w:val="81"/>
    <w:link w:val="27"/>
    <w:qFormat/>
    <w:locked/>
    <w:uiPriority w:val="99"/>
    <w:rPr>
      <w:rFonts w:ascii="宋体" w:hAnsi="Times New Roman" w:eastAsia="宋体" w:cs="Times New Roman"/>
      <w:sz w:val="21"/>
      <w:szCs w:val="21"/>
      <w:lang w:val="zh-CN"/>
    </w:rPr>
  </w:style>
  <w:style w:type="character" w:customStyle="1" w:styleId="112">
    <w:name w:val="Body Text First Indent Char"/>
    <w:basedOn w:val="111"/>
    <w:link w:val="74"/>
    <w:qFormat/>
    <w:locked/>
    <w:uiPriority w:val="99"/>
    <w:rPr>
      <w:sz w:val="20"/>
    </w:rPr>
  </w:style>
  <w:style w:type="character" w:customStyle="1" w:styleId="113">
    <w:name w:val="Document Map Char"/>
    <w:basedOn w:val="81"/>
    <w:link w:val="21"/>
    <w:qFormat/>
    <w:locked/>
    <w:uiPriority w:val="99"/>
    <w:rPr>
      <w:rFonts w:ascii="Times New Roman" w:hAnsi="Times New Roman" w:eastAsia="宋体" w:cs="Times New Roman"/>
      <w:sz w:val="24"/>
      <w:szCs w:val="24"/>
      <w:shd w:val="clear" w:color="auto" w:fill="000080"/>
    </w:rPr>
  </w:style>
  <w:style w:type="character" w:customStyle="1" w:styleId="114">
    <w:name w:val="Salutation Char"/>
    <w:basedOn w:val="81"/>
    <w:link w:val="25"/>
    <w:qFormat/>
    <w:locked/>
    <w:uiPriority w:val="99"/>
    <w:rPr>
      <w:rFonts w:ascii="仿宋_GB2312" w:hAnsi="Times New Roman" w:eastAsia="仿宋_GB2312"/>
      <w:sz w:val="20"/>
    </w:rPr>
  </w:style>
  <w:style w:type="character" w:customStyle="1" w:styleId="115">
    <w:name w:val="Body Text 3 Char"/>
    <w:basedOn w:val="81"/>
    <w:link w:val="26"/>
    <w:qFormat/>
    <w:locked/>
    <w:uiPriority w:val="99"/>
    <w:rPr>
      <w:rFonts w:ascii="Times New Roman" w:hAnsi="Times New Roman" w:eastAsia="宋体"/>
      <w:sz w:val="20"/>
    </w:rPr>
  </w:style>
  <w:style w:type="character" w:customStyle="1" w:styleId="116">
    <w:name w:val="Body Text Indent Char"/>
    <w:basedOn w:val="81"/>
    <w:link w:val="17"/>
    <w:qFormat/>
    <w:locked/>
    <w:uiPriority w:val="99"/>
    <w:rPr>
      <w:rFonts w:ascii="宋体" w:hAnsi="宋体" w:eastAsia="宋体"/>
      <w:sz w:val="24"/>
    </w:rPr>
  </w:style>
  <w:style w:type="character" w:customStyle="1" w:styleId="117">
    <w:name w:val="HTML Address Char"/>
    <w:basedOn w:val="81"/>
    <w:link w:val="33"/>
    <w:qFormat/>
    <w:locked/>
    <w:uiPriority w:val="99"/>
    <w:rPr>
      <w:rFonts w:ascii="宋体" w:hAnsi="宋体" w:eastAsia="仿宋" w:cs="Times New Roman"/>
      <w:i/>
      <w:iCs/>
      <w:sz w:val="24"/>
      <w:szCs w:val="24"/>
    </w:rPr>
  </w:style>
  <w:style w:type="character" w:customStyle="1" w:styleId="118">
    <w:name w:val="Plain Text Char"/>
    <w:basedOn w:val="81"/>
    <w:link w:val="37"/>
    <w:qFormat/>
    <w:locked/>
    <w:uiPriority w:val="99"/>
    <w:rPr>
      <w:rFonts w:ascii="宋体" w:hAnsi="Courier New" w:eastAsia="宋体"/>
      <w:sz w:val="20"/>
    </w:rPr>
  </w:style>
  <w:style w:type="character" w:customStyle="1" w:styleId="119">
    <w:name w:val="Date Char"/>
    <w:basedOn w:val="81"/>
    <w:link w:val="38"/>
    <w:qFormat/>
    <w:locked/>
    <w:uiPriority w:val="99"/>
    <w:rPr>
      <w:rFonts w:ascii="宋体" w:hAnsi="Times New Roman" w:eastAsia="宋体" w:cs="Times New Roman"/>
      <w:sz w:val="21"/>
      <w:szCs w:val="21"/>
      <w:lang w:val="zh-CN"/>
    </w:rPr>
  </w:style>
  <w:style w:type="character" w:customStyle="1" w:styleId="120">
    <w:name w:val="Body Text Indent 2 Char"/>
    <w:basedOn w:val="81"/>
    <w:link w:val="42"/>
    <w:qFormat/>
    <w:locked/>
    <w:uiPriority w:val="99"/>
    <w:rPr>
      <w:rFonts w:ascii="宋体" w:hAnsi="Times New Roman" w:eastAsia="宋体"/>
      <w:kern w:val="0"/>
      <w:sz w:val="20"/>
    </w:rPr>
  </w:style>
  <w:style w:type="character" w:customStyle="1" w:styleId="121">
    <w:name w:val="Endnote Text Char"/>
    <w:basedOn w:val="81"/>
    <w:link w:val="43"/>
    <w:qFormat/>
    <w:locked/>
    <w:uiPriority w:val="99"/>
    <w:rPr>
      <w:rFonts w:cs="Times New Roman"/>
      <w:kern w:val="2"/>
      <w:sz w:val="24"/>
      <w:szCs w:val="24"/>
    </w:rPr>
  </w:style>
  <w:style w:type="character" w:customStyle="1" w:styleId="122">
    <w:name w:val="Balloon Text Char"/>
    <w:basedOn w:val="81"/>
    <w:link w:val="44"/>
    <w:qFormat/>
    <w:locked/>
    <w:uiPriority w:val="99"/>
    <w:rPr>
      <w:rFonts w:ascii="Times New Roman" w:hAnsi="Times New Roman" w:eastAsia="宋体"/>
      <w:sz w:val="18"/>
    </w:rPr>
  </w:style>
  <w:style w:type="character" w:customStyle="1" w:styleId="123">
    <w:name w:val="Footer Char"/>
    <w:basedOn w:val="81"/>
    <w:link w:val="45"/>
    <w:qFormat/>
    <w:locked/>
    <w:uiPriority w:val="99"/>
    <w:rPr>
      <w:rFonts w:cs="Times New Roman"/>
      <w:sz w:val="18"/>
      <w:szCs w:val="18"/>
    </w:rPr>
  </w:style>
  <w:style w:type="character" w:customStyle="1" w:styleId="124">
    <w:name w:val="Body Text First Indent 2 Char"/>
    <w:basedOn w:val="116"/>
    <w:link w:val="75"/>
    <w:qFormat/>
    <w:locked/>
    <w:uiPriority w:val="99"/>
    <w:rPr>
      <w:rFonts w:ascii="Calibri" w:hAnsi="Calibri" w:eastAsia="仿宋" w:cs="Times New Roman"/>
      <w:kern w:val="2"/>
      <w:sz w:val="22"/>
      <w:szCs w:val="22"/>
    </w:rPr>
  </w:style>
  <w:style w:type="character" w:customStyle="1" w:styleId="125">
    <w:name w:val="Header Char"/>
    <w:basedOn w:val="81"/>
    <w:link w:val="46"/>
    <w:qFormat/>
    <w:locked/>
    <w:uiPriority w:val="99"/>
    <w:rPr>
      <w:rFonts w:cs="Times New Roman"/>
      <w:sz w:val="18"/>
      <w:szCs w:val="18"/>
    </w:rPr>
  </w:style>
  <w:style w:type="character" w:customStyle="1" w:styleId="126">
    <w:name w:val="Signature Char"/>
    <w:basedOn w:val="81"/>
    <w:link w:val="47"/>
    <w:qFormat/>
    <w:locked/>
    <w:uiPriority w:val="99"/>
    <w:rPr>
      <w:rFonts w:ascii="Times New Roman" w:hAnsi="Times New Roman" w:eastAsia="仿宋_GB2312"/>
      <w:kern w:val="0"/>
      <w:sz w:val="20"/>
    </w:rPr>
  </w:style>
  <w:style w:type="character" w:customStyle="1" w:styleId="127">
    <w:name w:val="Subtitle Char"/>
    <w:basedOn w:val="81"/>
    <w:link w:val="52"/>
    <w:qFormat/>
    <w:locked/>
    <w:uiPriority w:val="99"/>
    <w:rPr>
      <w:rFonts w:ascii="Cambria" w:hAnsi="Cambria" w:eastAsia="宋体"/>
      <w:b/>
      <w:kern w:val="28"/>
      <w:sz w:val="32"/>
    </w:rPr>
  </w:style>
  <w:style w:type="character" w:customStyle="1" w:styleId="128">
    <w:name w:val="Body Text Indent 3 Char"/>
    <w:basedOn w:val="81"/>
    <w:link w:val="58"/>
    <w:qFormat/>
    <w:locked/>
    <w:uiPriority w:val="99"/>
    <w:rPr>
      <w:rFonts w:ascii="Times New Roman" w:hAnsi="Times New Roman" w:eastAsia="宋体"/>
      <w:sz w:val="20"/>
    </w:rPr>
  </w:style>
  <w:style w:type="character" w:customStyle="1" w:styleId="129">
    <w:name w:val="Body Text 2 Char"/>
    <w:basedOn w:val="81"/>
    <w:link w:val="64"/>
    <w:qFormat/>
    <w:locked/>
    <w:uiPriority w:val="99"/>
    <w:rPr>
      <w:rFonts w:ascii="Times New Roman" w:hAnsi="Times New Roman" w:eastAsia="宋体" w:cs="Times New Roman"/>
      <w:sz w:val="24"/>
      <w:szCs w:val="24"/>
    </w:rPr>
  </w:style>
  <w:style w:type="character" w:customStyle="1" w:styleId="130">
    <w:name w:val="Message Header Char"/>
    <w:basedOn w:val="81"/>
    <w:link w:val="67"/>
    <w:qFormat/>
    <w:locked/>
    <w:uiPriority w:val="99"/>
    <w:rPr>
      <w:rFonts w:ascii="Arial" w:hAnsi="Arial" w:cs="Times New Roman"/>
      <w:kern w:val="2"/>
      <w:sz w:val="24"/>
      <w:shd w:val="pct20" w:color="auto" w:fill="auto"/>
    </w:rPr>
  </w:style>
  <w:style w:type="character" w:customStyle="1" w:styleId="131">
    <w:name w:val="HTML Preformatted Char"/>
    <w:basedOn w:val="81"/>
    <w:link w:val="68"/>
    <w:qFormat/>
    <w:locked/>
    <w:uiPriority w:val="99"/>
    <w:rPr>
      <w:rFonts w:ascii="Arial" w:hAnsi="Arial" w:cs="Arial"/>
      <w:sz w:val="24"/>
      <w:szCs w:val="24"/>
    </w:rPr>
  </w:style>
  <w:style w:type="character" w:customStyle="1" w:styleId="132">
    <w:name w:val="Title Char"/>
    <w:basedOn w:val="81"/>
    <w:link w:val="72"/>
    <w:qFormat/>
    <w:locked/>
    <w:uiPriority w:val="99"/>
    <w:rPr>
      <w:rFonts w:ascii="Times New Roman" w:hAnsi="Times New Roman" w:eastAsia="宋体" w:cs="Times New Roman"/>
      <w:b/>
      <w:kern w:val="0"/>
      <w:sz w:val="20"/>
      <w:szCs w:val="20"/>
    </w:rPr>
  </w:style>
  <w:style w:type="paragraph" w:customStyle="1" w:styleId="133">
    <w:name w:val="样式 标题 5 + 右侧:  -0.18 字符"/>
    <w:basedOn w:val="1"/>
    <w:qFormat/>
    <w:uiPriority w:val="99"/>
    <w:pPr>
      <w:numPr>
        <w:ilvl w:val="4"/>
        <w:numId w:val="7"/>
      </w:numPr>
    </w:pPr>
  </w:style>
  <w:style w:type="paragraph" w:customStyle="1" w:styleId="134">
    <w:name w:val="正文文字表格居中"/>
    <w:basedOn w:val="1"/>
    <w:next w:val="64"/>
    <w:qFormat/>
    <w:uiPriority w:val="99"/>
    <w:pPr>
      <w:snapToGrid w:val="0"/>
    </w:pPr>
    <w:rPr>
      <w:rFonts w:ascii="宋体"/>
      <w:b/>
      <w:sz w:val="24"/>
      <w:szCs w:val="20"/>
    </w:rPr>
  </w:style>
  <w:style w:type="paragraph" w:customStyle="1" w:styleId="13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6">
    <w:name w:val="正文2"/>
    <w:basedOn w:val="1"/>
    <w:link w:val="417"/>
    <w:qFormat/>
    <w:uiPriority w:val="99"/>
    <w:pPr>
      <w:spacing w:before="156"/>
      <w:ind w:firstLine="510" w:firstLineChars="200"/>
    </w:pPr>
    <w:rPr>
      <w:kern w:val="0"/>
      <w:sz w:val="24"/>
      <w:szCs w:val="20"/>
    </w:rPr>
  </w:style>
  <w:style w:type="paragraph" w:customStyle="1" w:styleId="137">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9">
    <w:name w:val="正文缩进1"/>
    <w:basedOn w:val="1"/>
    <w:next w:val="17"/>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40">
    <w:name w:val="Test2"/>
    <w:basedOn w:val="3"/>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41">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4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3">
    <w:name w:val="Char2"/>
    <w:basedOn w:val="1"/>
    <w:qFormat/>
    <w:uiPriority w:val="99"/>
    <w:rPr>
      <w:rFonts w:ascii="仿宋_GB2312" w:eastAsia="仿宋_GB2312"/>
      <w:b/>
      <w:sz w:val="32"/>
      <w:szCs w:val="32"/>
    </w:rPr>
  </w:style>
  <w:style w:type="paragraph" w:customStyle="1" w:styleId="1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5">
    <w:name w:val="Char1"/>
    <w:basedOn w:val="1"/>
    <w:qFormat/>
    <w:uiPriority w:val="99"/>
    <w:rPr>
      <w:rFonts w:ascii="仿宋_GB2312" w:eastAsia="仿宋_GB2312"/>
      <w:b/>
      <w:sz w:val="32"/>
      <w:szCs w:val="32"/>
    </w:rPr>
  </w:style>
  <w:style w:type="paragraph" w:customStyle="1" w:styleId="146">
    <w:name w:val="Char"/>
    <w:basedOn w:val="1"/>
    <w:qFormat/>
    <w:uiPriority w:val="99"/>
    <w:rPr>
      <w:rFonts w:ascii="仿宋_GB2312" w:eastAsia="仿宋_GB2312"/>
      <w:b/>
      <w:sz w:val="32"/>
      <w:szCs w:val="32"/>
    </w:rPr>
  </w:style>
  <w:style w:type="paragraph" w:customStyle="1" w:styleId="147">
    <w:name w:val="Char Char1 Char Char Char"/>
    <w:basedOn w:val="1"/>
    <w:qFormat/>
    <w:uiPriority w:val="99"/>
    <w:rPr>
      <w:rFonts w:ascii="仿宋_GB2312" w:eastAsia="仿宋_GB2312"/>
      <w:b/>
      <w:sz w:val="32"/>
      <w:szCs w:val="32"/>
    </w:rPr>
  </w:style>
  <w:style w:type="paragraph" w:customStyle="1" w:styleId="148">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9">
    <w:name w:val="Char Char Char Char"/>
    <w:basedOn w:val="1"/>
    <w:qFormat/>
    <w:uiPriority w:val="99"/>
    <w:rPr>
      <w:rFonts w:ascii="Tahoma" w:hAnsi="Tahoma"/>
      <w:sz w:val="24"/>
      <w:szCs w:val="20"/>
    </w:rPr>
  </w:style>
  <w:style w:type="paragraph" w:customStyle="1" w:styleId="150">
    <w:name w:val="Char Char1"/>
    <w:basedOn w:val="1"/>
    <w:qFormat/>
    <w:uiPriority w:val="99"/>
    <w:pPr>
      <w:widowControl/>
      <w:spacing w:after="160" w:line="240" w:lineRule="exact"/>
      <w:jc w:val="left"/>
    </w:pPr>
    <w:rPr>
      <w:rFonts w:eastAsia="仿宋_GB2312"/>
      <w:sz w:val="28"/>
    </w:rPr>
  </w:style>
  <w:style w:type="paragraph" w:customStyle="1" w:styleId="15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52">
    <w:name w:val="Char31"/>
    <w:basedOn w:val="1"/>
    <w:qFormat/>
    <w:uiPriority w:val="99"/>
    <w:rPr>
      <w:rFonts w:ascii="仿宋_GB2312" w:eastAsia="仿宋_GB2312"/>
      <w:b/>
      <w:sz w:val="32"/>
      <w:szCs w:val="32"/>
    </w:rPr>
  </w:style>
  <w:style w:type="paragraph" w:customStyle="1" w:styleId="153">
    <w:name w:val="Char Char1 Char1"/>
    <w:basedOn w:val="1"/>
    <w:qFormat/>
    <w:uiPriority w:val="99"/>
    <w:rPr>
      <w:rFonts w:ascii="仿宋_GB2312" w:eastAsia="仿宋_GB2312"/>
      <w:b/>
      <w:sz w:val="32"/>
      <w:szCs w:val="32"/>
    </w:rPr>
  </w:style>
  <w:style w:type="paragraph" w:customStyle="1" w:styleId="154">
    <w:name w:val="Table Text"/>
    <w:basedOn w:val="1"/>
    <w:link w:val="429"/>
    <w:qFormat/>
    <w:uiPriority w:val="99"/>
    <w:pPr>
      <w:widowControl/>
      <w:spacing w:before="60" w:after="60"/>
      <w:jc w:val="left"/>
    </w:pPr>
    <w:rPr>
      <w:kern w:val="0"/>
      <w:sz w:val="24"/>
    </w:rPr>
  </w:style>
  <w:style w:type="paragraph" w:customStyle="1" w:styleId="155">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6">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7">
    <w:name w:val="样式 正文文本缩进 2 + 仿宋_GB2312 黑色 行距: 1.5 倍行距"/>
    <w:basedOn w:val="42"/>
    <w:qFormat/>
    <w:uiPriority w:val="99"/>
    <w:pPr>
      <w:adjustRightInd/>
      <w:ind w:firstLine="560" w:firstLineChars="200"/>
      <w:textAlignment w:val="auto"/>
    </w:pPr>
    <w:rPr>
      <w:rFonts w:hAnsi="宋体" w:cs="宋体"/>
      <w:color w:val="000000"/>
      <w:kern w:val="2"/>
      <w:sz w:val="24"/>
    </w:rPr>
  </w:style>
  <w:style w:type="paragraph" w:customStyle="1" w:styleId="158">
    <w:name w:val="正文（标题三）"/>
    <w:basedOn w:val="1"/>
    <w:qFormat/>
    <w:uiPriority w:val="99"/>
    <w:pPr>
      <w:ind w:firstLine="200" w:firstLineChars="200"/>
    </w:pPr>
    <w:rPr>
      <w:sz w:val="24"/>
    </w:rPr>
  </w:style>
  <w:style w:type="paragraph" w:customStyle="1" w:styleId="159">
    <w:name w:val="Char2 Char Char Char"/>
    <w:basedOn w:val="1"/>
    <w:qFormat/>
    <w:uiPriority w:val="99"/>
    <w:rPr>
      <w:rFonts w:ascii="仿宋_GB2312" w:eastAsia="仿宋_GB2312"/>
      <w:b/>
      <w:sz w:val="32"/>
      <w:szCs w:val="32"/>
    </w:rPr>
  </w:style>
  <w:style w:type="paragraph" w:customStyle="1" w:styleId="160">
    <w:name w:val="gf正文1"/>
    <w:basedOn w:val="1"/>
    <w:link w:val="406"/>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61">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62">
    <w:name w:val="默认段落字体 Para Char Char Char1 Char"/>
    <w:basedOn w:val="1"/>
    <w:qFormat/>
    <w:uiPriority w:val="99"/>
    <w:pPr>
      <w:spacing w:line="240" w:lineRule="atLeast"/>
      <w:ind w:left="420" w:firstLine="420"/>
    </w:pPr>
    <w:rPr>
      <w:sz w:val="24"/>
    </w:rPr>
  </w:style>
  <w:style w:type="paragraph" w:customStyle="1" w:styleId="163">
    <w:name w:val="a1"/>
    <w:basedOn w:val="1"/>
    <w:qFormat/>
    <w:uiPriority w:val="99"/>
    <w:pPr>
      <w:widowControl/>
      <w:spacing w:line="300" w:lineRule="atLeast"/>
      <w:jc w:val="left"/>
    </w:pPr>
    <w:rPr>
      <w:rFonts w:ascii="宋体" w:hAnsi="宋体"/>
      <w:kern w:val="0"/>
      <w:sz w:val="18"/>
      <w:szCs w:val="20"/>
    </w:rPr>
  </w:style>
  <w:style w:type="paragraph" w:customStyle="1" w:styleId="16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5">
    <w:name w:val="默认段落字体 Para Char Char Char Char Char Char Char"/>
    <w:basedOn w:val="1"/>
    <w:qFormat/>
    <w:uiPriority w:val="99"/>
    <w:rPr>
      <w:rFonts w:eastAsia="仿宋_GB2312"/>
      <w:sz w:val="28"/>
      <w:szCs w:val="20"/>
    </w:rPr>
  </w:style>
  <w:style w:type="paragraph" w:customStyle="1" w:styleId="166">
    <w:name w:val="样式1"/>
    <w:basedOn w:val="1"/>
    <w:link w:val="467"/>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7">
    <w:name w:val="Char Char1 Char Char Char Char Char Char"/>
    <w:basedOn w:val="1"/>
    <w:qFormat/>
    <w:uiPriority w:val="99"/>
    <w:rPr>
      <w:rFonts w:ascii="仿宋_GB2312" w:eastAsia="仿宋_GB2312"/>
      <w:b/>
      <w:sz w:val="32"/>
      <w:szCs w:val="20"/>
    </w:rPr>
  </w:style>
  <w:style w:type="paragraph" w:customStyle="1" w:styleId="168">
    <w:name w:val="Char Char1 Char Char Char1"/>
    <w:basedOn w:val="1"/>
    <w:qFormat/>
    <w:uiPriority w:val="99"/>
    <w:rPr>
      <w:rFonts w:ascii="仿宋_GB2312" w:eastAsia="仿宋_GB2312"/>
      <w:b/>
      <w:sz w:val="32"/>
      <w:szCs w:val="20"/>
    </w:rPr>
  </w:style>
  <w:style w:type="paragraph" w:customStyle="1" w:styleId="169">
    <w:name w:val="Char Char Char Char Char Char Char Char"/>
    <w:basedOn w:val="1"/>
    <w:qFormat/>
    <w:uiPriority w:val="99"/>
    <w:pPr>
      <w:tabs>
        <w:tab w:val="left" w:pos="360"/>
      </w:tabs>
    </w:pPr>
    <w:rPr>
      <w:sz w:val="24"/>
      <w:szCs w:val="20"/>
    </w:rPr>
  </w:style>
  <w:style w:type="paragraph" w:customStyle="1" w:styleId="170">
    <w:name w:val="4"/>
    <w:basedOn w:val="1"/>
    <w:next w:val="42"/>
    <w:qFormat/>
    <w:uiPriority w:val="99"/>
    <w:pPr>
      <w:spacing w:after="120" w:line="480" w:lineRule="auto"/>
      <w:ind w:left="420" w:leftChars="200"/>
    </w:pPr>
    <w:rPr>
      <w:sz w:val="24"/>
      <w:szCs w:val="20"/>
    </w:rPr>
  </w:style>
  <w:style w:type="paragraph" w:customStyle="1" w:styleId="171">
    <w:name w:val="FA正文"/>
    <w:basedOn w:val="1"/>
    <w:link w:val="411"/>
    <w:qFormat/>
    <w:uiPriority w:val="99"/>
    <w:pPr>
      <w:ind w:firstLine="480" w:firstLineChars="200"/>
    </w:pPr>
    <w:rPr>
      <w:rFonts w:hAnsi="宋体"/>
      <w:kern w:val="0"/>
      <w:sz w:val="24"/>
      <w:szCs w:val="20"/>
    </w:rPr>
  </w:style>
  <w:style w:type="paragraph" w:customStyle="1" w:styleId="172">
    <w:name w:val="0"/>
    <w:basedOn w:val="1"/>
    <w:qFormat/>
    <w:uiPriority w:val="99"/>
    <w:pPr>
      <w:widowControl/>
    </w:pPr>
    <w:rPr>
      <w:kern w:val="0"/>
      <w:sz w:val="24"/>
      <w:szCs w:val="20"/>
    </w:rPr>
  </w:style>
  <w:style w:type="paragraph" w:customStyle="1" w:styleId="173">
    <w:name w:val="Char Char Char Char Char Char Char Char Char Char"/>
    <w:basedOn w:val="1"/>
    <w:qFormat/>
    <w:uiPriority w:val="99"/>
    <w:rPr>
      <w:rFonts w:ascii="仿宋_GB2312" w:eastAsia="仿宋_GB2312"/>
      <w:b/>
      <w:sz w:val="32"/>
      <w:szCs w:val="32"/>
    </w:rPr>
  </w:style>
  <w:style w:type="paragraph" w:customStyle="1" w:styleId="174">
    <w:name w:val="样式 标题 3标题 3 Char第二层条h33Bold Headbh章标题1小标题level_3PIM 3..."/>
    <w:basedOn w:val="4"/>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5">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76">
    <w:name w:val="Char Char Char Char Char Char Char Char Char Char1"/>
    <w:basedOn w:val="1"/>
    <w:qFormat/>
    <w:uiPriority w:val="99"/>
    <w:rPr>
      <w:rFonts w:ascii="仿宋_GB2312" w:eastAsia="仿宋_GB2312"/>
      <w:b/>
      <w:sz w:val="32"/>
      <w:szCs w:val="32"/>
    </w:rPr>
  </w:style>
  <w:style w:type="paragraph" w:customStyle="1" w:styleId="177">
    <w:name w:val="Char Char Char Char Char Char Char"/>
    <w:basedOn w:val="1"/>
    <w:qFormat/>
    <w:uiPriority w:val="99"/>
    <w:rPr>
      <w:rFonts w:ascii="仿宋_GB2312" w:eastAsia="仿宋_GB2312"/>
      <w:b/>
      <w:sz w:val="32"/>
      <w:szCs w:val="32"/>
    </w:rPr>
  </w:style>
  <w:style w:type="paragraph" w:customStyle="1" w:styleId="178">
    <w:name w:val="默认段落字体 Para Char"/>
    <w:basedOn w:val="1"/>
    <w:qFormat/>
    <w:uiPriority w:val="99"/>
    <w:rPr>
      <w:rFonts w:ascii="Tahoma" w:hAnsi="Tahoma"/>
      <w:sz w:val="24"/>
      <w:szCs w:val="20"/>
    </w:rPr>
  </w:style>
  <w:style w:type="paragraph" w:customStyle="1" w:styleId="179">
    <w:name w:val="Char Char"/>
    <w:basedOn w:val="1"/>
    <w:qFormat/>
    <w:uiPriority w:val="99"/>
    <w:rPr>
      <w:rFonts w:ascii="Tahoma" w:hAnsi="Tahoma"/>
      <w:sz w:val="24"/>
      <w:szCs w:val="20"/>
    </w:rPr>
  </w:style>
  <w:style w:type="paragraph" w:customStyle="1" w:styleId="180">
    <w:name w:val="规范正文"/>
    <w:basedOn w:val="1"/>
    <w:qFormat/>
    <w:uiPriority w:val="99"/>
    <w:pPr>
      <w:numPr>
        <w:ilvl w:val="0"/>
        <w:numId w:val="8"/>
      </w:numPr>
      <w:adjustRightInd w:val="0"/>
      <w:spacing w:beforeLines="50"/>
      <w:textAlignment w:val="baseline"/>
    </w:pPr>
    <w:rPr>
      <w:szCs w:val="20"/>
    </w:rPr>
  </w:style>
  <w:style w:type="paragraph" w:customStyle="1" w:styleId="181">
    <w:name w:val="样式"/>
    <w:basedOn w:val="1"/>
    <w:qFormat/>
    <w:uiPriority w:val="99"/>
    <w:pPr>
      <w:autoSpaceDE w:val="0"/>
      <w:autoSpaceDN w:val="0"/>
      <w:snapToGrid w:val="0"/>
      <w:spacing w:before="120" w:after="120"/>
    </w:pPr>
    <w:rPr>
      <w:rFonts w:ascii="宋体"/>
      <w:sz w:val="24"/>
      <w:szCs w:val="20"/>
    </w:rPr>
  </w:style>
  <w:style w:type="paragraph" w:customStyle="1" w:styleId="182">
    <w:name w:val="Char Char Char Char Char Char Char Char Char Char Char Char1 Char"/>
    <w:basedOn w:val="1"/>
    <w:qFormat/>
    <w:uiPriority w:val="99"/>
    <w:rPr>
      <w:rFonts w:ascii="Tahoma" w:hAnsi="Tahoma" w:cs="仿宋_GB2312"/>
      <w:sz w:val="24"/>
      <w:szCs w:val="20"/>
    </w:rPr>
  </w:style>
  <w:style w:type="paragraph" w:customStyle="1" w:styleId="183">
    <w:name w:val="彩色列表 - 强调文字颜色 11"/>
    <w:basedOn w:val="1"/>
    <w:qFormat/>
    <w:uiPriority w:val="99"/>
    <w:pPr>
      <w:ind w:firstLine="200" w:firstLineChars="200"/>
    </w:pPr>
    <w:rPr>
      <w:rFonts w:eastAsia="楷体_GB2312" w:cs="Lucida Sans"/>
      <w:sz w:val="24"/>
    </w:rPr>
  </w:style>
  <w:style w:type="paragraph" w:customStyle="1" w:styleId="184">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5">
    <w:name w:val="正文段"/>
    <w:basedOn w:val="1"/>
    <w:qFormat/>
    <w:uiPriority w:val="99"/>
    <w:pPr>
      <w:widowControl/>
      <w:snapToGrid w:val="0"/>
      <w:spacing w:afterLines="50"/>
      <w:ind w:firstLine="200" w:firstLineChars="200"/>
    </w:pPr>
    <w:rPr>
      <w:kern w:val="0"/>
      <w:sz w:val="24"/>
      <w:szCs w:val="20"/>
    </w:rPr>
  </w:style>
  <w:style w:type="paragraph" w:customStyle="1" w:styleId="186">
    <w:name w:val="Char1 Char Char Char1"/>
    <w:basedOn w:val="1"/>
    <w:qFormat/>
    <w:uiPriority w:val="99"/>
    <w:rPr>
      <w:rFonts w:ascii="Tahoma" w:hAnsi="Tahoma"/>
      <w:sz w:val="24"/>
      <w:szCs w:val="20"/>
    </w:rPr>
  </w:style>
  <w:style w:type="paragraph" w:customStyle="1" w:styleId="187">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88">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9">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0">
    <w:name w:val="章标题"/>
    <w:next w:val="189"/>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1">
    <w:name w:val="一级条标题"/>
    <w:basedOn w:val="190"/>
    <w:next w:val="189"/>
    <w:qFormat/>
    <w:uiPriority w:val="99"/>
    <w:pPr>
      <w:numPr>
        <w:ilvl w:val="2"/>
        <w:numId w:val="0"/>
      </w:numPr>
      <w:outlineLvl w:val="2"/>
    </w:pPr>
  </w:style>
  <w:style w:type="paragraph" w:customStyle="1" w:styleId="192">
    <w:name w:val="二级条标题"/>
    <w:basedOn w:val="191"/>
    <w:next w:val="189"/>
    <w:qFormat/>
    <w:uiPriority w:val="99"/>
    <w:pPr>
      <w:numPr>
        <w:ilvl w:val="3"/>
      </w:numPr>
      <w:outlineLvl w:val="3"/>
    </w:pPr>
  </w:style>
  <w:style w:type="paragraph" w:customStyle="1" w:styleId="193">
    <w:name w:val="三级条标题"/>
    <w:basedOn w:val="192"/>
    <w:next w:val="189"/>
    <w:qFormat/>
    <w:uiPriority w:val="99"/>
    <w:pPr>
      <w:numPr>
        <w:ilvl w:val="4"/>
      </w:numPr>
      <w:outlineLvl w:val="4"/>
    </w:pPr>
  </w:style>
  <w:style w:type="paragraph" w:customStyle="1" w:styleId="194">
    <w:name w:val="四级条标题"/>
    <w:basedOn w:val="193"/>
    <w:next w:val="189"/>
    <w:qFormat/>
    <w:uiPriority w:val="99"/>
    <w:pPr>
      <w:numPr>
        <w:ilvl w:val="5"/>
      </w:numPr>
      <w:outlineLvl w:val="5"/>
    </w:pPr>
  </w:style>
  <w:style w:type="paragraph" w:customStyle="1" w:styleId="195">
    <w:name w:val="五级条标题"/>
    <w:basedOn w:val="194"/>
    <w:next w:val="189"/>
    <w:qFormat/>
    <w:uiPriority w:val="99"/>
    <w:pPr>
      <w:numPr>
        <w:ilvl w:val="6"/>
      </w:numPr>
      <w:outlineLvl w:val="6"/>
    </w:pPr>
  </w:style>
  <w:style w:type="paragraph" w:customStyle="1" w:styleId="196">
    <w:name w:val="正文表标题"/>
    <w:next w:val="189"/>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98">
    <w:name w:val="标准小四"/>
    <w:basedOn w:val="1"/>
    <w:qFormat/>
    <w:uiPriority w:val="99"/>
    <w:pPr>
      <w:ind w:firstLine="480" w:firstLineChars="200"/>
    </w:pPr>
    <w:rPr>
      <w:rFonts w:ascii="Arial" w:hAnsi="Arial"/>
      <w:sz w:val="24"/>
      <w:szCs w:val="21"/>
    </w:rPr>
  </w:style>
  <w:style w:type="paragraph" w:customStyle="1" w:styleId="199">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200">
    <w:name w:val="文档正文"/>
    <w:basedOn w:val="1"/>
    <w:qFormat/>
    <w:uiPriority w:val="99"/>
    <w:pPr>
      <w:adjustRightInd w:val="0"/>
      <w:spacing w:line="480" w:lineRule="atLeast"/>
      <w:ind w:firstLine="567"/>
      <w:textAlignment w:val="baseline"/>
    </w:pPr>
    <w:rPr>
      <w:kern w:val="0"/>
      <w:sz w:val="24"/>
      <w:szCs w:val="20"/>
    </w:rPr>
  </w:style>
  <w:style w:type="paragraph" w:customStyle="1" w:styleId="201">
    <w:name w:val="Char Char1 Char Char1 Char Char1"/>
    <w:basedOn w:val="1"/>
    <w:qFormat/>
    <w:uiPriority w:val="99"/>
    <w:pPr>
      <w:tabs>
        <w:tab w:val="left" w:pos="840"/>
      </w:tabs>
      <w:ind w:left="840" w:hanging="420"/>
    </w:pPr>
    <w:rPr>
      <w:rFonts w:ascii="Tahoma" w:hAnsi="Tahoma"/>
      <w:sz w:val="24"/>
    </w:rPr>
  </w:style>
  <w:style w:type="paragraph" w:customStyle="1" w:styleId="202">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3">
    <w:name w:val="数字标题1"/>
    <w:basedOn w:val="2"/>
    <w:next w:val="1"/>
    <w:qFormat/>
    <w:uiPriority w:val="99"/>
    <w:pPr>
      <w:numPr>
        <w:ilvl w:val="0"/>
        <w:numId w:val="0"/>
      </w:numPr>
      <w:tabs>
        <w:tab w:val="clear" w:pos="432"/>
      </w:tabs>
      <w:ind w:left="480" w:hanging="480"/>
    </w:pPr>
  </w:style>
  <w:style w:type="paragraph" w:customStyle="1" w:styleId="204">
    <w:name w:val="数字标题2"/>
    <w:basedOn w:val="3"/>
    <w:next w:val="1"/>
    <w:qFormat/>
    <w:uiPriority w:val="99"/>
    <w:pPr>
      <w:numPr>
        <w:ilvl w:val="1"/>
        <w:numId w:val="12"/>
      </w:numPr>
      <w:spacing w:before="260" w:after="260" w:line="416" w:lineRule="auto"/>
    </w:pPr>
    <w:rPr>
      <w:rFonts w:ascii="Times New Roman"/>
      <w:i/>
      <w:sz w:val="36"/>
      <w:szCs w:val="36"/>
      <w:lang w:val="en-US"/>
    </w:rPr>
  </w:style>
  <w:style w:type="paragraph" w:customStyle="1" w:styleId="205">
    <w:name w:val="数字标题3"/>
    <w:basedOn w:val="4"/>
    <w:next w:val="1"/>
    <w:qFormat/>
    <w:uiPriority w:val="99"/>
    <w:pPr>
      <w:spacing w:line="240" w:lineRule="auto"/>
    </w:pPr>
    <w:rPr>
      <w:sz w:val="28"/>
      <w:szCs w:val="28"/>
    </w:rPr>
  </w:style>
  <w:style w:type="paragraph" w:customStyle="1" w:styleId="206">
    <w:name w:val="数字标题4"/>
    <w:basedOn w:val="5"/>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7">
    <w:name w:val="数字标题5"/>
    <w:basedOn w:val="6"/>
    <w:next w:val="1"/>
    <w:qFormat/>
    <w:uiPriority w:val="99"/>
    <w:pPr>
      <w:numPr>
        <w:ilvl w:val="0"/>
        <w:numId w:val="0"/>
      </w:numPr>
      <w:tabs>
        <w:tab w:val="clear" w:pos="432"/>
        <w:tab w:val="clear" w:pos="1008"/>
      </w:tabs>
      <w:ind w:left="480" w:hanging="480"/>
    </w:pPr>
  </w:style>
  <w:style w:type="paragraph" w:customStyle="1" w:styleId="208">
    <w:name w:val="数字标题6"/>
    <w:basedOn w:val="7"/>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9">
    <w:name w:val="正文首行缩进1"/>
    <w:basedOn w:val="27"/>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10">
    <w:name w:val="默认段落样式"/>
    <w:basedOn w:val="136"/>
    <w:qFormat/>
    <w:uiPriority w:val="99"/>
    <w:pPr>
      <w:spacing w:before="0"/>
      <w:ind w:firstLine="480"/>
      <w:outlineLvl w:val="2"/>
    </w:pPr>
    <w:rPr>
      <w:rFonts w:ascii="仿宋_GB2312" w:hAnsi="宋体" w:eastAsia="仿宋_GB2312"/>
      <w:color w:val="000000"/>
      <w:szCs w:val="24"/>
    </w:rPr>
  </w:style>
  <w:style w:type="paragraph" w:customStyle="1" w:styleId="211">
    <w:name w:val="样式 标题 3H3 + 两端对齐"/>
    <w:basedOn w:val="4"/>
    <w:qFormat/>
    <w:uiPriority w:val="99"/>
    <w:pPr>
      <w:spacing w:before="0" w:after="0" w:line="240" w:lineRule="auto"/>
      <w:jc w:val="left"/>
    </w:pPr>
    <w:rPr>
      <w:rFonts w:cs="宋体"/>
      <w:sz w:val="21"/>
      <w:szCs w:val="20"/>
    </w:rPr>
  </w:style>
  <w:style w:type="paragraph" w:customStyle="1" w:styleId="212">
    <w:name w:val="表格"/>
    <w:basedOn w:val="1"/>
    <w:link w:val="428"/>
    <w:qFormat/>
    <w:uiPriority w:val="99"/>
    <w:pPr>
      <w:snapToGrid w:val="0"/>
      <w:ind w:firstLine="42" w:firstLineChars="21"/>
    </w:pPr>
    <w:rPr>
      <w:rFonts w:ascii="宋体" w:hAnsi="宋体"/>
      <w:kern w:val="0"/>
      <w:sz w:val="20"/>
      <w:szCs w:val="20"/>
    </w:rPr>
  </w:style>
  <w:style w:type="paragraph" w:customStyle="1" w:styleId="213">
    <w:name w:val="列表内容"/>
    <w:basedOn w:val="1"/>
    <w:next w:val="1"/>
    <w:qFormat/>
    <w:uiPriority w:val="99"/>
    <w:pPr>
      <w:widowControl/>
      <w:tabs>
        <w:tab w:val="left" w:pos="840"/>
      </w:tabs>
      <w:ind w:left="840" w:hanging="420"/>
      <w:jc w:val="left"/>
    </w:pPr>
    <w:rPr>
      <w:kern w:val="0"/>
      <w:sz w:val="18"/>
    </w:rPr>
  </w:style>
  <w:style w:type="paragraph" w:customStyle="1" w:styleId="214">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5">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6">
    <w:name w:val="表文字"/>
    <w:qFormat/>
    <w:uiPriority w:val="99"/>
    <w:rPr>
      <w:rFonts w:ascii="宋体" w:hAnsi="Times New Roman" w:eastAsia="宋体" w:cs="Times New Roman"/>
      <w:kern w:val="2"/>
      <w:sz w:val="20"/>
      <w:szCs w:val="20"/>
      <w:lang w:val="en-US" w:eastAsia="zh-CN" w:bidi="ar-SA"/>
    </w:rPr>
  </w:style>
  <w:style w:type="paragraph" w:customStyle="1" w:styleId="217">
    <w:name w:val="Char Char Char"/>
    <w:basedOn w:val="1"/>
    <w:qFormat/>
    <w:uiPriority w:val="99"/>
    <w:rPr>
      <w:rFonts w:ascii="Tahoma" w:hAnsi="Tahoma"/>
      <w:sz w:val="24"/>
      <w:szCs w:val="20"/>
    </w:rPr>
  </w:style>
  <w:style w:type="paragraph" w:customStyle="1" w:styleId="21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9">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0">
    <w:name w:val="样式 仿宋_GB2312 小三 左侧:  1.06 厘米"/>
    <w:basedOn w:val="1"/>
    <w:qFormat/>
    <w:uiPriority w:val="99"/>
    <w:pPr>
      <w:ind w:left="601"/>
    </w:pPr>
    <w:rPr>
      <w:rFonts w:ascii="仿宋_GB2312" w:eastAsia="仿宋_GB2312"/>
      <w:sz w:val="24"/>
      <w:szCs w:val="20"/>
    </w:rPr>
  </w:style>
  <w:style w:type="paragraph" w:customStyle="1" w:styleId="2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22">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3">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4">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25">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6">
    <w:name w:val="首行缩进"/>
    <w:basedOn w:val="1"/>
    <w:qFormat/>
    <w:uiPriority w:val="99"/>
    <w:pPr>
      <w:ind w:firstLine="480" w:firstLineChars="200"/>
    </w:pPr>
    <w:rPr>
      <w:rFonts w:ascii="宋体"/>
      <w:sz w:val="24"/>
      <w:szCs w:val="20"/>
    </w:rPr>
  </w:style>
  <w:style w:type="paragraph" w:customStyle="1" w:styleId="227">
    <w:name w:val="Char3"/>
    <w:basedOn w:val="1"/>
    <w:qFormat/>
    <w:uiPriority w:val="99"/>
    <w:rPr>
      <w:rFonts w:ascii="仿宋_GB2312" w:eastAsia="仿宋_GB2312"/>
      <w:b/>
      <w:sz w:val="32"/>
      <w:szCs w:val="32"/>
    </w:rPr>
  </w:style>
  <w:style w:type="paragraph" w:customStyle="1" w:styleId="228">
    <w:name w:val="标准正文格式"/>
    <w:basedOn w:val="1"/>
    <w:link w:val="432"/>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9">
    <w:name w:val="正文 首行缩进:  2 字符 Char"/>
    <w:basedOn w:val="1"/>
    <w:qFormat/>
    <w:uiPriority w:val="99"/>
    <w:pPr>
      <w:ind w:firstLine="480"/>
    </w:pPr>
    <w:rPr>
      <w:rFonts w:cs="宋体"/>
      <w:sz w:val="24"/>
      <w:szCs w:val="20"/>
    </w:rPr>
  </w:style>
  <w:style w:type="paragraph" w:customStyle="1" w:styleId="230">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31">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2">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33">
    <w:name w:val="单元格左对齐"/>
    <w:basedOn w:val="1"/>
    <w:qFormat/>
    <w:uiPriority w:val="99"/>
    <w:rPr>
      <w:sz w:val="24"/>
    </w:rPr>
  </w:style>
  <w:style w:type="paragraph" w:customStyle="1" w:styleId="234">
    <w:name w:val="单元格居中"/>
    <w:basedOn w:val="1"/>
    <w:qFormat/>
    <w:uiPriority w:val="99"/>
    <w:pPr>
      <w:jc w:val="center"/>
    </w:pPr>
    <w:rPr>
      <w:sz w:val="24"/>
    </w:rPr>
  </w:style>
  <w:style w:type="paragraph" w:customStyle="1" w:styleId="235">
    <w:name w:val="正文1"/>
    <w:basedOn w:val="1"/>
    <w:link w:val="434"/>
    <w:qFormat/>
    <w:uiPriority w:val="99"/>
    <w:pPr>
      <w:widowControl/>
      <w:ind w:left="360" w:firstLine="420"/>
      <w:jc w:val="left"/>
    </w:pPr>
    <w:rPr>
      <w:rFonts w:ascii="宋体" w:hAnsi="宋体"/>
      <w:kern w:val="0"/>
      <w:sz w:val="20"/>
      <w:szCs w:val="20"/>
    </w:rPr>
  </w:style>
  <w:style w:type="paragraph" w:customStyle="1" w:styleId="236">
    <w:name w:val="Char Char Char1"/>
    <w:basedOn w:val="1"/>
    <w:qFormat/>
    <w:uiPriority w:val="99"/>
    <w:pPr>
      <w:tabs>
        <w:tab w:val="left" w:pos="0"/>
      </w:tabs>
    </w:pPr>
    <w:rPr>
      <w:rFonts w:eastAsia="仿宋_GB2312"/>
      <w:sz w:val="28"/>
    </w:rPr>
  </w:style>
  <w:style w:type="paragraph" w:customStyle="1" w:styleId="237">
    <w:name w:val="样式 左侧:  0.85 厘米 首行缩进:  0.85 厘米"/>
    <w:basedOn w:val="1"/>
    <w:qFormat/>
    <w:uiPriority w:val="99"/>
    <w:pPr>
      <w:ind w:firstLine="482"/>
    </w:pPr>
    <w:rPr>
      <w:rFonts w:cs="宋体"/>
      <w:sz w:val="24"/>
      <w:szCs w:val="20"/>
    </w:rPr>
  </w:style>
  <w:style w:type="paragraph" w:customStyle="1" w:styleId="238">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9">
    <w:name w:val="正文样式 首行缩进:  0.74 厘米"/>
    <w:basedOn w:val="1"/>
    <w:qFormat/>
    <w:uiPriority w:val="99"/>
    <w:pPr>
      <w:spacing w:beforeLines="50"/>
      <w:ind w:firstLine="420"/>
    </w:pPr>
    <w:rPr>
      <w:rFonts w:cs="宋体"/>
      <w:sz w:val="24"/>
      <w:szCs w:val="20"/>
    </w:rPr>
  </w:style>
  <w:style w:type="paragraph" w:customStyle="1" w:styleId="240">
    <w:name w:val="标题五"/>
    <w:basedOn w:val="1"/>
    <w:qFormat/>
    <w:uiPriority w:val="99"/>
    <w:pPr>
      <w:spacing w:beforeLines="50"/>
    </w:pPr>
    <w:rPr>
      <w:b/>
      <w:sz w:val="24"/>
    </w:rPr>
  </w:style>
  <w:style w:type="paragraph" w:customStyle="1" w:styleId="241">
    <w:name w:val="正文（首行缩进）"/>
    <w:basedOn w:val="17"/>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4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3">
    <w:name w:val="此正文"/>
    <w:basedOn w:val="1"/>
    <w:qFormat/>
    <w:uiPriority w:val="99"/>
    <w:pPr>
      <w:ind w:firstLine="200" w:firstLineChars="200"/>
    </w:pPr>
    <w:rPr>
      <w:sz w:val="24"/>
    </w:rPr>
  </w:style>
  <w:style w:type="paragraph" w:customStyle="1" w:styleId="244">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5">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6">
    <w:name w:val="规划正文"/>
    <w:basedOn w:val="1"/>
    <w:qFormat/>
    <w:uiPriority w:val="99"/>
    <w:pPr>
      <w:spacing w:beforeLines="100"/>
      <w:jc w:val="left"/>
    </w:pPr>
    <w:rPr>
      <w:rFonts w:ascii="Arial" w:hAnsi="Arial" w:eastAsia="仿宋_GB2312"/>
      <w:bCs/>
      <w:sz w:val="28"/>
    </w:rPr>
  </w:style>
  <w:style w:type="paragraph" w:customStyle="1" w:styleId="247">
    <w:name w:val="MM Title"/>
    <w:basedOn w:val="72"/>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8">
    <w:name w:val="MM Topic 1"/>
    <w:basedOn w:val="2"/>
    <w:qFormat/>
    <w:uiPriority w:val="99"/>
    <w:pPr>
      <w:numPr>
        <w:numId w:val="0"/>
      </w:numPr>
    </w:pPr>
  </w:style>
  <w:style w:type="paragraph" w:customStyle="1" w:styleId="249">
    <w:name w:val="MM Topic 2"/>
    <w:basedOn w:val="3"/>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50">
    <w:name w:val="MM Topic 3"/>
    <w:basedOn w:val="4"/>
    <w:qFormat/>
    <w:uiPriority w:val="99"/>
  </w:style>
  <w:style w:type="paragraph" w:customStyle="1" w:styleId="251">
    <w:name w:val="MM Topic 4"/>
    <w:basedOn w:val="5"/>
    <w:qFormat/>
    <w:uiPriority w:val="99"/>
    <w:pPr>
      <w:numPr>
        <w:numId w:val="0"/>
      </w:numPr>
      <w:tabs>
        <w:tab w:val="clear" w:pos="432"/>
      </w:tabs>
    </w:pPr>
    <w:rPr>
      <w:lang w:val="en-US"/>
    </w:rPr>
  </w:style>
  <w:style w:type="paragraph" w:customStyle="1" w:styleId="252">
    <w:name w:val="MM Topic 5"/>
    <w:basedOn w:val="6"/>
    <w:qFormat/>
    <w:uiPriority w:val="99"/>
    <w:pPr>
      <w:numPr>
        <w:ilvl w:val="0"/>
        <w:numId w:val="14"/>
      </w:numPr>
      <w:tabs>
        <w:tab w:val="left" w:pos="900"/>
        <w:tab w:val="clear" w:pos="432"/>
      </w:tabs>
      <w:ind w:left="0" w:firstLine="0"/>
    </w:pPr>
  </w:style>
  <w:style w:type="paragraph" w:customStyle="1" w:styleId="253">
    <w:name w:val="MM Empty"/>
    <w:basedOn w:val="1"/>
    <w:qFormat/>
    <w:uiPriority w:val="99"/>
  </w:style>
  <w:style w:type="paragraph" w:customStyle="1" w:styleId="254">
    <w:name w:val="标准正文"/>
    <w:basedOn w:val="1"/>
    <w:link w:val="465"/>
    <w:qFormat/>
    <w:uiPriority w:val="99"/>
    <w:pPr>
      <w:spacing w:before="60" w:after="60"/>
      <w:ind w:firstLine="482" w:firstLineChars="200"/>
    </w:pPr>
    <w:rPr>
      <w:rFonts w:ascii="Arial" w:hAnsi="Arial"/>
      <w:b/>
      <w:kern w:val="0"/>
      <w:sz w:val="24"/>
      <w:szCs w:val="20"/>
    </w:rPr>
  </w:style>
  <w:style w:type="paragraph" w:customStyle="1" w:styleId="255">
    <w:name w:val="注释"/>
    <w:basedOn w:val="1"/>
    <w:qFormat/>
    <w:uiPriority w:val="99"/>
    <w:pPr>
      <w:ind w:firstLine="480"/>
    </w:pPr>
    <w:rPr>
      <w:sz w:val="24"/>
    </w:rPr>
  </w:style>
  <w:style w:type="paragraph" w:customStyle="1" w:styleId="256">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7">
    <w:name w:val="Char2 Char Char Char1"/>
    <w:basedOn w:val="1"/>
    <w:qFormat/>
    <w:uiPriority w:val="99"/>
    <w:rPr>
      <w:rFonts w:ascii="仿宋_GB2312" w:eastAsia="仿宋_GB2312"/>
      <w:b/>
      <w:sz w:val="32"/>
      <w:szCs w:val="32"/>
    </w:rPr>
  </w:style>
  <w:style w:type="paragraph" w:customStyle="1" w:styleId="258">
    <w:name w:val="列出段落1"/>
    <w:basedOn w:val="1"/>
    <w:link w:val="678"/>
    <w:qFormat/>
    <w:uiPriority w:val="99"/>
    <w:pPr>
      <w:ind w:firstLine="420" w:firstLineChars="200"/>
    </w:pPr>
  </w:style>
  <w:style w:type="paragraph" w:customStyle="1" w:styleId="259">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60">
    <w:name w:val="列出段落11"/>
    <w:basedOn w:val="1"/>
    <w:qFormat/>
    <w:uiPriority w:val="99"/>
    <w:pPr>
      <w:ind w:firstLine="420" w:firstLineChars="200"/>
    </w:pPr>
  </w:style>
  <w:style w:type="paragraph" w:customStyle="1" w:styleId="26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2">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缺省文本"/>
    <w:basedOn w:val="1"/>
    <w:qFormat/>
    <w:uiPriority w:val="99"/>
    <w:pPr>
      <w:autoSpaceDE w:val="0"/>
      <w:autoSpaceDN w:val="0"/>
      <w:adjustRightInd w:val="0"/>
      <w:jc w:val="left"/>
    </w:pPr>
    <w:rPr>
      <w:kern w:val="0"/>
      <w:sz w:val="24"/>
    </w:rPr>
  </w:style>
  <w:style w:type="paragraph" w:customStyle="1" w:styleId="265">
    <w:name w:val="1 Char"/>
    <w:basedOn w:val="1"/>
    <w:qFormat/>
    <w:uiPriority w:val="99"/>
    <w:pPr>
      <w:tabs>
        <w:tab w:val="left" w:pos="432"/>
      </w:tabs>
      <w:spacing w:beforeLines="50" w:afterLines="50"/>
      <w:ind w:left="432" w:hanging="432"/>
    </w:pPr>
    <w:rPr>
      <w:sz w:val="24"/>
    </w:rPr>
  </w:style>
  <w:style w:type="paragraph" w:customStyle="1" w:styleId="266">
    <w:name w:val="无间隔1"/>
    <w:link w:val="446"/>
    <w:qFormat/>
    <w:uiPriority w:val="99"/>
    <w:rPr>
      <w:rFonts w:ascii="Calibri" w:hAnsi="Calibri" w:eastAsia="宋体" w:cs="Times New Roman"/>
      <w:kern w:val="0"/>
      <w:sz w:val="22"/>
      <w:szCs w:val="20"/>
      <w:lang w:val="en-US" w:eastAsia="zh-CN" w:bidi="ar-SA"/>
    </w:rPr>
  </w:style>
  <w:style w:type="paragraph" w:customStyle="1" w:styleId="267">
    <w:name w:val="列出段落[858D7CFB-ED40-4347-BF05-701D383B685F][858D7CFB-ED40-4347-BF05-701D383B685F]"/>
    <w:basedOn w:val="1"/>
    <w:qFormat/>
    <w:uiPriority w:val="99"/>
    <w:pPr>
      <w:ind w:firstLine="420" w:firstLineChars="200"/>
    </w:pPr>
    <w:rPr>
      <w:szCs w:val="21"/>
    </w:rPr>
  </w:style>
  <w:style w:type="paragraph" w:customStyle="1" w:styleId="268">
    <w:name w:val="修订1"/>
    <w:qFormat/>
    <w:uiPriority w:val="99"/>
    <w:rPr>
      <w:rFonts w:ascii="Times New Roman" w:hAnsi="Times New Roman" w:eastAsia="宋体" w:cs="Times New Roman"/>
      <w:kern w:val="2"/>
      <w:sz w:val="21"/>
      <w:szCs w:val="24"/>
      <w:lang w:val="en-US" w:eastAsia="zh-CN" w:bidi="ar-SA"/>
    </w:rPr>
  </w:style>
  <w:style w:type="paragraph" w:customStyle="1" w:styleId="269">
    <w:name w:val="样式2"/>
    <w:basedOn w:val="136"/>
    <w:link w:val="447"/>
    <w:qFormat/>
    <w:uiPriority w:val="99"/>
    <w:pPr>
      <w:spacing w:before="0" w:line="460" w:lineRule="exact"/>
      <w:ind w:firstLine="480"/>
    </w:pPr>
    <w:rPr>
      <w:rFonts w:ascii="仿宋_GB2312" w:hAnsi="仿宋" w:eastAsia="仿宋_GB2312"/>
    </w:rPr>
  </w:style>
  <w:style w:type="paragraph" w:customStyle="1" w:styleId="270">
    <w:name w:val="标题2def"/>
    <w:basedOn w:val="72"/>
    <w:qFormat/>
    <w:uiPriority w:val="99"/>
    <w:pPr>
      <w:snapToGrid w:val="0"/>
      <w:spacing w:before="160" w:after="200"/>
      <w:outlineLvl w:val="0"/>
    </w:pPr>
    <w:rPr>
      <w:rFonts w:hAnsi="宋体" w:eastAsia="仿宋_GB2312"/>
      <w:sz w:val="32"/>
    </w:rPr>
  </w:style>
  <w:style w:type="paragraph" w:customStyle="1" w:styleId="271">
    <w:name w:val="CM29"/>
    <w:basedOn w:val="272"/>
    <w:next w:val="272"/>
    <w:qFormat/>
    <w:uiPriority w:val="99"/>
    <w:pPr>
      <w:spacing w:after="153"/>
    </w:pPr>
    <w:rPr>
      <w:rFonts w:ascii="黑体" w:eastAsia="黑体"/>
      <w:color w:val="auto"/>
    </w:rPr>
  </w:style>
  <w:style w:type="paragraph" w:customStyle="1" w:styleId="27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3">
    <w:name w:val="CM11"/>
    <w:basedOn w:val="272"/>
    <w:next w:val="272"/>
    <w:qFormat/>
    <w:uiPriority w:val="99"/>
    <w:pPr>
      <w:spacing w:line="468" w:lineRule="atLeast"/>
    </w:pPr>
    <w:rPr>
      <w:rFonts w:ascii="黑体" w:eastAsia="黑体"/>
      <w:color w:val="auto"/>
    </w:rPr>
  </w:style>
  <w:style w:type="paragraph" w:customStyle="1" w:styleId="274">
    <w:name w:val="CM26"/>
    <w:basedOn w:val="272"/>
    <w:next w:val="272"/>
    <w:qFormat/>
    <w:uiPriority w:val="99"/>
    <w:pPr>
      <w:spacing w:after="210"/>
    </w:pPr>
    <w:rPr>
      <w:rFonts w:ascii="黑体" w:eastAsia="黑体"/>
      <w:color w:val="auto"/>
    </w:rPr>
  </w:style>
  <w:style w:type="paragraph" w:customStyle="1" w:styleId="275">
    <w:name w:val="List Paragraph11"/>
    <w:basedOn w:val="1"/>
    <w:link w:val="466"/>
    <w:qFormat/>
    <w:uiPriority w:val="99"/>
    <w:pPr>
      <w:ind w:firstLine="200" w:firstLineChars="200"/>
    </w:pPr>
    <w:rPr>
      <w:rFonts w:eastAsia="楷体_GB2312"/>
      <w:kern w:val="0"/>
      <w:sz w:val="24"/>
    </w:rPr>
  </w:style>
  <w:style w:type="paragraph" w:customStyle="1" w:styleId="276">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7">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8">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0">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8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8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8">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9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1">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92">
    <w:name w:val="纯文本1"/>
    <w:basedOn w:val="1"/>
    <w:qFormat/>
    <w:uiPriority w:val="99"/>
    <w:rPr>
      <w:rFonts w:ascii="宋体" w:hAnsi="Courier New"/>
      <w:kern w:val="0"/>
      <w:sz w:val="20"/>
      <w:szCs w:val="20"/>
    </w:rPr>
  </w:style>
  <w:style w:type="paragraph" w:customStyle="1" w:styleId="293">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4">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5">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6">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7">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8">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9">
    <w:name w:val="msormpane"/>
    <w:qFormat/>
    <w:uiPriority w:val="99"/>
    <w:rPr>
      <w:rFonts w:ascii="Times New Roman" w:hAnsi="Times New Roman" w:eastAsia="宋体" w:cs="Times New Roman"/>
      <w:kern w:val="2"/>
      <w:sz w:val="21"/>
      <w:szCs w:val="20"/>
      <w:lang w:val="en-US" w:eastAsia="zh-CN" w:bidi="ar-SA"/>
    </w:rPr>
  </w:style>
  <w:style w:type="paragraph" w:customStyle="1" w:styleId="300">
    <w:name w:val="msolistparagraph"/>
    <w:basedOn w:val="1"/>
    <w:qFormat/>
    <w:uiPriority w:val="99"/>
    <w:pPr>
      <w:ind w:firstLine="200" w:firstLineChars="200"/>
    </w:pPr>
    <w:rPr>
      <w:rFonts w:eastAsia="楷体_GB2312" w:cs="Lucida Sans"/>
      <w:sz w:val="24"/>
    </w:rPr>
  </w:style>
  <w:style w:type="paragraph" w:customStyle="1" w:styleId="301">
    <w:name w:val="Char21"/>
    <w:basedOn w:val="1"/>
    <w:qFormat/>
    <w:uiPriority w:val="99"/>
    <w:rPr>
      <w:rFonts w:ascii="仿宋_GB2312" w:eastAsia="仿宋_GB2312"/>
      <w:b/>
      <w:sz w:val="32"/>
      <w:szCs w:val="32"/>
    </w:rPr>
  </w:style>
  <w:style w:type="paragraph" w:customStyle="1" w:styleId="302">
    <w:name w:val="Char Char11"/>
    <w:basedOn w:val="1"/>
    <w:qFormat/>
    <w:uiPriority w:val="99"/>
    <w:pPr>
      <w:widowControl/>
      <w:spacing w:after="160" w:line="240" w:lineRule="exact"/>
      <w:jc w:val="left"/>
    </w:pPr>
    <w:rPr>
      <w:rFonts w:eastAsia="仿宋_GB2312"/>
      <w:sz w:val="28"/>
    </w:rPr>
  </w:style>
  <w:style w:type="paragraph" w:customStyle="1" w:styleId="303">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304">
    <w:name w:val="Char Char1 Char Char Char Char Char Char1"/>
    <w:basedOn w:val="1"/>
    <w:qFormat/>
    <w:uiPriority w:val="99"/>
    <w:rPr>
      <w:rFonts w:ascii="仿宋_GB2312" w:eastAsia="仿宋_GB2312"/>
      <w:b/>
      <w:sz w:val="32"/>
      <w:szCs w:val="20"/>
    </w:rPr>
  </w:style>
  <w:style w:type="paragraph" w:customStyle="1" w:styleId="305">
    <w:name w:val="Char Char Char Char Char Char Char Char1"/>
    <w:basedOn w:val="1"/>
    <w:qFormat/>
    <w:uiPriority w:val="99"/>
    <w:pPr>
      <w:tabs>
        <w:tab w:val="left" w:pos="360"/>
      </w:tabs>
    </w:pPr>
    <w:rPr>
      <w:sz w:val="24"/>
      <w:szCs w:val="20"/>
    </w:rPr>
  </w:style>
  <w:style w:type="paragraph" w:customStyle="1" w:styleId="306">
    <w:name w:val="Char Char Char Char Char Char Char Char Char Char Char Char1 Char1"/>
    <w:basedOn w:val="1"/>
    <w:qFormat/>
    <w:uiPriority w:val="99"/>
    <w:rPr>
      <w:rFonts w:ascii="Tahoma" w:hAnsi="Tahoma" w:cs="仿宋_GB2312"/>
      <w:sz w:val="24"/>
      <w:szCs w:val="20"/>
    </w:rPr>
  </w:style>
  <w:style w:type="paragraph" w:customStyle="1" w:styleId="307">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8">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9">
    <w:name w:val="Char32"/>
    <w:basedOn w:val="1"/>
    <w:qFormat/>
    <w:uiPriority w:val="99"/>
    <w:rPr>
      <w:rFonts w:ascii="仿宋_GB2312" w:eastAsia="仿宋_GB2312"/>
      <w:b/>
      <w:sz w:val="32"/>
      <w:szCs w:val="32"/>
    </w:rPr>
  </w:style>
  <w:style w:type="paragraph" w:customStyle="1" w:styleId="310">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11">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12">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3">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4">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5">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6">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7">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9">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0">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2">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3">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4">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5">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6">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7">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8">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9">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30">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31">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32">
    <w:name w:val="font10"/>
    <w:basedOn w:val="1"/>
    <w:qFormat/>
    <w:uiPriority w:val="99"/>
    <w:pPr>
      <w:widowControl/>
      <w:spacing w:before="100" w:beforeAutospacing="1" w:after="100" w:afterAutospacing="1"/>
      <w:jc w:val="left"/>
    </w:pPr>
    <w:rPr>
      <w:kern w:val="0"/>
      <w:sz w:val="18"/>
      <w:szCs w:val="18"/>
    </w:rPr>
  </w:style>
  <w:style w:type="paragraph" w:customStyle="1" w:styleId="333">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4">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5">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6">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7">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8">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9">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40">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41">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42">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3">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4">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5">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6">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7">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8">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9">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0">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1">
    <w:name w:val="TOC 标题1"/>
    <w:basedOn w:val="2"/>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52">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3">
    <w:name w:val="Char Char1 Char Char Char Char Char Char Char Char"/>
    <w:basedOn w:val="1"/>
    <w:qFormat/>
    <w:uiPriority w:val="99"/>
    <w:pPr>
      <w:spacing w:after="160" w:line="240" w:lineRule="exact"/>
      <w:jc w:val="left"/>
    </w:pPr>
    <w:rPr>
      <w:szCs w:val="20"/>
    </w:rPr>
  </w:style>
  <w:style w:type="paragraph" w:customStyle="1" w:styleId="354">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5">
    <w:name w:val="招标文件－标准正文"/>
    <w:basedOn w:val="37"/>
    <w:qFormat/>
    <w:uiPriority w:val="99"/>
    <w:rPr>
      <w:rFonts w:ascii="Times New Roman" w:hAnsi="Times New Roman"/>
      <w:color w:val="000000"/>
      <w:sz w:val="24"/>
    </w:rPr>
  </w:style>
  <w:style w:type="paragraph" w:customStyle="1" w:styleId="356">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7">
    <w:name w:val="标题6"/>
    <w:basedOn w:val="1"/>
    <w:next w:val="2"/>
    <w:qFormat/>
    <w:uiPriority w:val="99"/>
    <w:pPr>
      <w:widowControl/>
      <w:snapToGrid w:val="0"/>
      <w:spacing w:beforeLines="50" w:afterLines="50" w:line="520" w:lineRule="atLeast"/>
      <w:ind w:firstLine="200" w:firstLineChars="200"/>
    </w:pPr>
    <w:rPr>
      <w:rFonts w:cs="Arial"/>
      <w:b/>
      <w:sz w:val="24"/>
    </w:rPr>
  </w:style>
  <w:style w:type="paragraph" w:customStyle="1" w:styleId="358">
    <w:name w:val="正文 + 宋体"/>
    <w:basedOn w:val="1"/>
    <w:next w:val="1"/>
    <w:qFormat/>
    <w:uiPriority w:val="99"/>
    <w:pPr>
      <w:spacing w:after="120" w:line="480" w:lineRule="auto"/>
    </w:pPr>
    <w:rPr>
      <w:rFonts w:ascii="宋体" w:hAnsi="宋体"/>
      <w:kern w:val="0"/>
      <w:sz w:val="24"/>
    </w:rPr>
  </w:style>
  <w:style w:type="paragraph" w:customStyle="1" w:styleId="359">
    <w:name w:val="pa-15"/>
    <w:basedOn w:val="1"/>
    <w:qFormat/>
    <w:uiPriority w:val="99"/>
    <w:pPr>
      <w:widowControl/>
      <w:spacing w:line="240" w:lineRule="atLeast"/>
      <w:jc w:val="center"/>
    </w:pPr>
    <w:rPr>
      <w:rFonts w:ascii="宋体" w:hAnsi="宋体" w:cs="宋体"/>
      <w:kern w:val="0"/>
      <w:sz w:val="24"/>
    </w:rPr>
  </w:style>
  <w:style w:type="paragraph" w:customStyle="1" w:styleId="360">
    <w:name w:val="p0"/>
    <w:basedOn w:val="1"/>
    <w:qFormat/>
    <w:uiPriority w:val="99"/>
    <w:pPr>
      <w:widowControl/>
    </w:pPr>
    <w:rPr>
      <w:kern w:val="0"/>
      <w:szCs w:val="20"/>
    </w:rPr>
  </w:style>
  <w:style w:type="paragraph" w:customStyle="1" w:styleId="361">
    <w:name w:val="样式 标题 2 + 四号"/>
    <w:basedOn w:val="3"/>
    <w:qFormat/>
    <w:uiPriority w:val="99"/>
    <w:pPr>
      <w:spacing w:before="120" w:after="120"/>
      <w:ind w:left="0" w:firstLine="0"/>
    </w:pPr>
    <w:rPr>
      <w:rFonts w:hAnsi="Arial"/>
      <w:sz w:val="28"/>
      <w:szCs w:val="32"/>
      <w:lang w:val="en-US"/>
    </w:rPr>
  </w:style>
  <w:style w:type="paragraph" w:customStyle="1" w:styleId="362">
    <w:name w:val="哈哈正文"/>
    <w:basedOn w:val="1"/>
    <w:link w:val="470"/>
    <w:qFormat/>
    <w:uiPriority w:val="99"/>
    <w:pPr>
      <w:ind w:firstLine="200" w:firstLineChars="200"/>
    </w:pPr>
    <w:rPr>
      <w:rFonts w:ascii="宋体" w:hAnsi="宋体"/>
      <w:kern w:val="0"/>
      <w:sz w:val="24"/>
      <w:szCs w:val="20"/>
    </w:rPr>
  </w:style>
  <w:style w:type="paragraph" w:customStyle="1" w:styleId="363">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64">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5">
    <w:name w:val="样式3"/>
    <w:basedOn w:val="1"/>
    <w:link w:val="471"/>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6">
    <w:name w:val="样式 正文文字缩进 + 仿宋_GB2312"/>
    <w:basedOn w:val="17"/>
    <w:qFormat/>
    <w:uiPriority w:val="99"/>
    <w:pPr>
      <w:widowControl/>
      <w:tabs>
        <w:tab w:val="right" w:pos="8640"/>
      </w:tabs>
      <w:spacing w:before="120" w:line="240" w:lineRule="auto"/>
    </w:pPr>
    <w:rPr>
      <w:rFonts w:ascii="仿宋_GB2312" w:hAnsi="仿宋_GB2312"/>
    </w:rPr>
  </w:style>
  <w:style w:type="paragraph" w:customStyle="1" w:styleId="367">
    <w:name w:val="Char Char Char1 Char"/>
    <w:basedOn w:val="1"/>
    <w:qFormat/>
    <w:uiPriority w:val="99"/>
    <w:rPr>
      <w:szCs w:val="20"/>
    </w:rPr>
  </w:style>
  <w:style w:type="paragraph" w:customStyle="1" w:styleId="368">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9">
    <w:name w:val="带编号样式"/>
    <w:basedOn w:val="1"/>
    <w:link w:val="476"/>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70">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1">
    <w:name w:val="公文正文"/>
    <w:basedOn w:val="1"/>
    <w:link w:val="478"/>
    <w:qFormat/>
    <w:uiPriority w:val="99"/>
    <w:pPr>
      <w:spacing w:before="156"/>
      <w:ind w:firstLine="360" w:firstLineChars="200"/>
    </w:pPr>
    <w:rPr>
      <w:rFonts w:ascii="仿宋_GB2312" w:eastAsia="仿宋_GB2312"/>
      <w:kern w:val="0"/>
      <w:sz w:val="24"/>
    </w:rPr>
  </w:style>
  <w:style w:type="paragraph" w:customStyle="1" w:styleId="372">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3">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74">
    <w:name w:val="Proposals body"/>
    <w:basedOn w:val="1"/>
    <w:next w:val="1"/>
    <w:qFormat/>
    <w:uiPriority w:val="99"/>
    <w:pPr>
      <w:widowControl/>
      <w:jc w:val="left"/>
    </w:pPr>
    <w:rPr>
      <w:rFonts w:ascii="宋体"/>
      <w:color w:val="000000"/>
      <w:kern w:val="0"/>
      <w:sz w:val="24"/>
      <w:szCs w:val="20"/>
    </w:rPr>
  </w:style>
  <w:style w:type="paragraph" w:customStyle="1" w:styleId="375">
    <w:name w:val="表格（小）"/>
    <w:basedOn w:val="1"/>
    <w:qFormat/>
    <w:uiPriority w:val="99"/>
    <w:pPr>
      <w:snapToGrid w:val="0"/>
      <w:spacing w:line="300" w:lineRule="auto"/>
    </w:pPr>
    <w:rPr>
      <w:rFonts w:eastAsia="仿宋"/>
      <w:szCs w:val="21"/>
    </w:rPr>
  </w:style>
  <w:style w:type="paragraph" w:customStyle="1" w:styleId="376">
    <w:name w:val="1."/>
    <w:basedOn w:val="1"/>
    <w:qFormat/>
    <w:uiPriority w:val="99"/>
    <w:pPr>
      <w:ind w:firstLine="480" w:firstLineChars="200"/>
    </w:pPr>
    <w:rPr>
      <w:sz w:val="24"/>
    </w:rPr>
  </w:style>
  <w:style w:type="paragraph" w:customStyle="1" w:styleId="377">
    <w:name w:val="Char Char Char Char Char Char Char Char Char Char Char1 Char"/>
    <w:basedOn w:val="1"/>
    <w:qFormat/>
    <w:uiPriority w:val="99"/>
    <w:rPr>
      <w:rFonts w:ascii="Tahoma" w:hAnsi="Tahoma"/>
      <w:sz w:val="24"/>
    </w:rPr>
  </w:style>
  <w:style w:type="paragraph" w:customStyle="1" w:styleId="378">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9">
    <w:name w:val="正文首行缩进（ACK）"/>
    <w:basedOn w:val="1"/>
    <w:link w:val="482"/>
    <w:qFormat/>
    <w:uiPriority w:val="99"/>
    <w:pPr>
      <w:widowControl/>
      <w:spacing w:after="50" w:line="300" w:lineRule="auto"/>
      <w:ind w:firstLine="200" w:firstLineChars="200"/>
      <w:jc w:val="left"/>
    </w:pPr>
    <w:rPr>
      <w:rFonts w:ascii="Arial" w:hAnsi="Arial"/>
      <w:kern w:val="0"/>
      <w:sz w:val="20"/>
      <w:szCs w:val="21"/>
    </w:rPr>
  </w:style>
  <w:style w:type="paragraph" w:customStyle="1" w:styleId="380">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81">
    <w:name w:val="table_lines"/>
    <w:basedOn w:val="1"/>
    <w:qFormat/>
    <w:uiPriority w:val="99"/>
    <w:pPr>
      <w:widowControl/>
      <w:jc w:val="left"/>
    </w:pPr>
    <w:rPr>
      <w:kern w:val="0"/>
      <w:sz w:val="20"/>
      <w:szCs w:val="20"/>
    </w:rPr>
  </w:style>
  <w:style w:type="paragraph" w:customStyle="1" w:styleId="382">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3">
    <w:name w:val="Char3 Char Char Char Char Char Char"/>
    <w:basedOn w:val="1"/>
    <w:qFormat/>
    <w:uiPriority w:val="99"/>
    <w:rPr>
      <w:rFonts w:ascii="Arial" w:hAnsi="Arial" w:eastAsia="黑体" w:cs="Arial"/>
      <w:kern w:val="0"/>
      <w:szCs w:val="21"/>
    </w:rPr>
  </w:style>
  <w:style w:type="paragraph" w:customStyle="1" w:styleId="384">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5">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6">
    <w:name w:val="List Paragraph1"/>
    <w:basedOn w:val="1"/>
    <w:qFormat/>
    <w:uiPriority w:val="99"/>
    <w:pPr>
      <w:ind w:firstLine="420" w:firstLineChars="200"/>
    </w:pPr>
    <w:rPr>
      <w:szCs w:val="21"/>
    </w:rPr>
  </w:style>
  <w:style w:type="character" w:customStyle="1" w:styleId="387">
    <w:name w:val="标题 1 Char"/>
    <w:basedOn w:val="81"/>
    <w:qFormat/>
    <w:uiPriority w:val="99"/>
    <w:rPr>
      <w:rFonts w:ascii="Times New Roman" w:hAnsi="Times New Roman" w:eastAsia="宋体" w:cs="Times New Roman"/>
      <w:b/>
      <w:bCs/>
      <w:kern w:val="44"/>
      <w:sz w:val="44"/>
      <w:szCs w:val="44"/>
    </w:rPr>
  </w:style>
  <w:style w:type="character" w:customStyle="1" w:styleId="388">
    <w:name w:val="标题 2 Char"/>
    <w:basedOn w:val="81"/>
    <w:qFormat/>
    <w:uiPriority w:val="99"/>
    <w:rPr>
      <w:rFonts w:ascii="Calibri Light" w:hAnsi="Calibri Light" w:eastAsia="宋体" w:cs="黑体"/>
      <w:b/>
      <w:bCs/>
      <w:sz w:val="32"/>
      <w:szCs w:val="32"/>
    </w:rPr>
  </w:style>
  <w:style w:type="character" w:customStyle="1" w:styleId="389">
    <w:name w:val="标题 3 Char"/>
    <w:basedOn w:val="81"/>
    <w:qFormat/>
    <w:uiPriority w:val="99"/>
    <w:rPr>
      <w:rFonts w:ascii="Times New Roman" w:hAnsi="Times New Roman" w:eastAsia="宋体" w:cs="Times New Roman"/>
      <w:b/>
      <w:bCs/>
      <w:sz w:val="32"/>
      <w:szCs w:val="32"/>
    </w:rPr>
  </w:style>
  <w:style w:type="character" w:customStyle="1" w:styleId="390">
    <w:name w:val="标题 4 Char"/>
    <w:basedOn w:val="81"/>
    <w:qFormat/>
    <w:uiPriority w:val="99"/>
    <w:rPr>
      <w:rFonts w:ascii="Calibri Light" w:hAnsi="Calibri Light" w:eastAsia="宋体" w:cs="黑体"/>
      <w:b/>
      <w:bCs/>
      <w:sz w:val="28"/>
      <w:szCs w:val="28"/>
    </w:rPr>
  </w:style>
  <w:style w:type="character" w:customStyle="1" w:styleId="391">
    <w:name w:val="标题 5 Char"/>
    <w:basedOn w:val="81"/>
    <w:qFormat/>
    <w:uiPriority w:val="99"/>
    <w:rPr>
      <w:rFonts w:ascii="Times New Roman" w:hAnsi="Times New Roman" w:eastAsia="宋体" w:cs="Times New Roman"/>
      <w:b/>
      <w:bCs/>
      <w:sz w:val="28"/>
      <w:szCs w:val="28"/>
    </w:rPr>
  </w:style>
  <w:style w:type="character" w:customStyle="1" w:styleId="392">
    <w:name w:val="标题 6 Char"/>
    <w:basedOn w:val="81"/>
    <w:qFormat/>
    <w:uiPriority w:val="99"/>
    <w:rPr>
      <w:rFonts w:ascii="Calibri Light" w:hAnsi="Calibri Light" w:eastAsia="宋体" w:cs="黑体"/>
      <w:b/>
      <w:bCs/>
      <w:sz w:val="24"/>
      <w:szCs w:val="24"/>
    </w:rPr>
  </w:style>
  <w:style w:type="character" w:customStyle="1" w:styleId="393">
    <w:name w:val="标题 7 Char"/>
    <w:basedOn w:val="81"/>
    <w:qFormat/>
    <w:uiPriority w:val="99"/>
    <w:rPr>
      <w:rFonts w:ascii="Times New Roman" w:hAnsi="Times New Roman" w:eastAsia="宋体" w:cs="Times New Roman"/>
      <w:b/>
      <w:bCs/>
      <w:sz w:val="24"/>
      <w:szCs w:val="24"/>
    </w:rPr>
  </w:style>
  <w:style w:type="character" w:customStyle="1" w:styleId="394">
    <w:name w:val="标题 8 Char"/>
    <w:basedOn w:val="81"/>
    <w:qFormat/>
    <w:uiPriority w:val="99"/>
    <w:rPr>
      <w:rFonts w:ascii="Calibri Light" w:hAnsi="Calibri Light" w:eastAsia="宋体" w:cs="黑体"/>
      <w:sz w:val="24"/>
      <w:szCs w:val="24"/>
    </w:rPr>
  </w:style>
  <w:style w:type="character" w:customStyle="1" w:styleId="395">
    <w:name w:val="标题 9 Char"/>
    <w:basedOn w:val="81"/>
    <w:qFormat/>
    <w:uiPriority w:val="99"/>
    <w:rPr>
      <w:rFonts w:ascii="Calibri Light" w:hAnsi="Calibri Light" w:eastAsia="宋体" w:cs="黑体"/>
      <w:sz w:val="21"/>
      <w:szCs w:val="21"/>
    </w:rPr>
  </w:style>
  <w:style w:type="character" w:customStyle="1" w:styleId="396">
    <w:name w:val="纯文本 Char"/>
    <w:basedOn w:val="81"/>
    <w:qFormat/>
    <w:uiPriority w:val="99"/>
    <w:rPr>
      <w:rFonts w:ascii="宋体" w:hAnsi="Courier New" w:eastAsia="宋体" w:cs="Courier New"/>
      <w:sz w:val="21"/>
      <w:szCs w:val="21"/>
    </w:rPr>
  </w:style>
  <w:style w:type="character" w:customStyle="1" w:styleId="397">
    <w:name w:val="正文文本缩进 2 Char"/>
    <w:basedOn w:val="81"/>
    <w:qFormat/>
    <w:uiPriority w:val="99"/>
    <w:rPr>
      <w:rFonts w:ascii="Times New Roman" w:hAnsi="Times New Roman" w:eastAsia="宋体" w:cs="Times New Roman"/>
      <w:sz w:val="24"/>
      <w:szCs w:val="24"/>
    </w:rPr>
  </w:style>
  <w:style w:type="character" w:customStyle="1" w:styleId="398">
    <w:name w:val="正文文本缩进 Char"/>
    <w:basedOn w:val="81"/>
    <w:qFormat/>
    <w:uiPriority w:val="99"/>
    <w:rPr>
      <w:rFonts w:ascii="Times New Roman" w:hAnsi="Times New Roman" w:eastAsia="宋体" w:cs="Times New Roman"/>
      <w:sz w:val="24"/>
      <w:szCs w:val="24"/>
    </w:rPr>
  </w:style>
  <w:style w:type="character" w:customStyle="1" w:styleId="399">
    <w:name w:val="正文文本 3 Char"/>
    <w:basedOn w:val="81"/>
    <w:qFormat/>
    <w:uiPriority w:val="99"/>
    <w:rPr>
      <w:rFonts w:ascii="Times New Roman" w:hAnsi="Times New Roman" w:eastAsia="宋体" w:cs="Times New Roman"/>
      <w:sz w:val="16"/>
      <w:szCs w:val="16"/>
    </w:rPr>
  </w:style>
  <w:style w:type="character" w:customStyle="1" w:styleId="400">
    <w:name w:val="正文文本缩进 3 Char"/>
    <w:basedOn w:val="81"/>
    <w:qFormat/>
    <w:uiPriority w:val="99"/>
    <w:rPr>
      <w:rFonts w:ascii="Times New Roman" w:hAnsi="Times New Roman" w:eastAsia="宋体" w:cs="Times New Roman"/>
      <w:sz w:val="16"/>
      <w:szCs w:val="16"/>
    </w:rPr>
  </w:style>
  <w:style w:type="character" w:customStyle="1" w:styleId="401">
    <w:name w:val="批注框文本 Char"/>
    <w:basedOn w:val="81"/>
    <w:qFormat/>
    <w:uiPriority w:val="99"/>
    <w:rPr>
      <w:rFonts w:ascii="Times New Roman" w:hAnsi="Times New Roman" w:eastAsia="宋体" w:cs="Times New Roman"/>
      <w:sz w:val="18"/>
      <w:szCs w:val="18"/>
    </w:rPr>
  </w:style>
  <w:style w:type="character" w:customStyle="1" w:styleId="402">
    <w:name w:val="Char Char21"/>
    <w:qFormat/>
    <w:uiPriority w:val="99"/>
    <w:rPr>
      <w:rFonts w:ascii="宋体" w:hAnsi="Courier New" w:eastAsia="宋体"/>
      <w:kern w:val="2"/>
      <w:sz w:val="21"/>
      <w:lang w:val="en-US" w:eastAsia="zh-CN"/>
    </w:rPr>
  </w:style>
  <w:style w:type="character" w:customStyle="1" w:styleId="403">
    <w:name w:val="纯文本 Char Char Char"/>
    <w:qFormat/>
    <w:uiPriority w:val="99"/>
    <w:rPr>
      <w:rFonts w:ascii="宋体" w:hAnsi="Courier New" w:eastAsia="宋体"/>
      <w:kern w:val="2"/>
      <w:sz w:val="21"/>
      <w:lang w:val="en-US" w:eastAsia="zh-CN"/>
    </w:rPr>
  </w:style>
  <w:style w:type="character" w:customStyle="1" w:styleId="404">
    <w:name w:val="hui"/>
    <w:basedOn w:val="81"/>
    <w:qFormat/>
    <w:uiPriority w:val="99"/>
    <w:rPr>
      <w:rFonts w:cs="Times New Roman"/>
    </w:rPr>
  </w:style>
  <w:style w:type="character" w:customStyle="1" w:styleId="405">
    <w:name w:val="hui3"/>
    <w:qFormat/>
    <w:uiPriority w:val="99"/>
    <w:rPr>
      <w:color w:val="333333"/>
    </w:rPr>
  </w:style>
  <w:style w:type="character" w:customStyle="1" w:styleId="406">
    <w:name w:val="gf正文1 Char"/>
    <w:link w:val="160"/>
    <w:qFormat/>
    <w:locked/>
    <w:uiPriority w:val="99"/>
    <w:rPr>
      <w:rFonts w:ascii="宋体" w:hAnsi="宋体" w:eastAsia="宋体"/>
      <w:sz w:val="24"/>
    </w:rPr>
  </w:style>
  <w:style w:type="character" w:customStyle="1" w:styleId="407">
    <w:name w:val="Normal Indent Char"/>
    <w:link w:val="16"/>
    <w:qFormat/>
    <w:locked/>
    <w:uiPriority w:val="99"/>
    <w:rPr>
      <w:rFonts w:ascii="宋体" w:hAnsi="Times New Roman" w:eastAsia="宋体"/>
      <w:snapToGrid w:val="0"/>
      <w:color w:val="000000"/>
      <w:kern w:val="28"/>
      <w:sz w:val="20"/>
    </w:rPr>
  </w:style>
  <w:style w:type="character" w:customStyle="1" w:styleId="408">
    <w:name w:val="普通文字 Char Char1"/>
    <w:qFormat/>
    <w:uiPriority w:val="99"/>
    <w:rPr>
      <w:rFonts w:ascii="宋体" w:hAnsi="Courier New"/>
      <w:kern w:val="2"/>
      <w:sz w:val="21"/>
    </w:rPr>
  </w:style>
  <w:style w:type="character" w:customStyle="1" w:styleId="409">
    <w:name w:val="shadow11"/>
    <w:qFormat/>
    <w:uiPriority w:val="99"/>
    <w:rPr>
      <w:color w:val="000000"/>
      <w:sz w:val="21"/>
    </w:rPr>
  </w:style>
  <w:style w:type="character" w:customStyle="1" w:styleId="410">
    <w:name w:val="普通文字 Char1"/>
    <w:qFormat/>
    <w:uiPriority w:val="99"/>
    <w:rPr>
      <w:rFonts w:ascii="宋体" w:hAnsi="Courier New" w:eastAsia="宋体"/>
      <w:kern w:val="2"/>
      <w:sz w:val="21"/>
      <w:lang w:val="en-US" w:eastAsia="zh-CN"/>
    </w:rPr>
  </w:style>
  <w:style w:type="character" w:customStyle="1" w:styleId="411">
    <w:name w:val="FA正文 Char Char"/>
    <w:link w:val="171"/>
    <w:qFormat/>
    <w:locked/>
    <w:uiPriority w:val="99"/>
    <w:rPr>
      <w:rFonts w:hAnsi="宋体"/>
      <w:sz w:val="24"/>
    </w:rPr>
  </w:style>
  <w:style w:type="character" w:customStyle="1" w:styleId="412">
    <w:name w:val="md"/>
    <w:basedOn w:val="81"/>
    <w:qFormat/>
    <w:uiPriority w:val="99"/>
    <w:rPr>
      <w:rFonts w:cs="Times New Roman"/>
    </w:rPr>
  </w:style>
  <w:style w:type="character" w:customStyle="1" w:styleId="413">
    <w:name w:val="正文首行缩进 Char"/>
    <w:basedOn w:val="111"/>
    <w:qFormat/>
    <w:uiPriority w:val="99"/>
  </w:style>
  <w:style w:type="character" w:customStyle="1" w:styleId="414">
    <w:name w:val="unnamed11"/>
    <w:qFormat/>
    <w:uiPriority w:val="99"/>
    <w:rPr>
      <w:sz w:val="20"/>
    </w:rPr>
  </w:style>
  <w:style w:type="character" w:customStyle="1" w:styleId="415">
    <w:name w:val="dectext1"/>
    <w:qFormat/>
    <w:uiPriority w:val="99"/>
    <w:rPr>
      <w:rFonts w:ascii="宋体" w:hAnsi="宋体" w:eastAsia="宋体"/>
      <w:color w:val="333333"/>
      <w:sz w:val="21"/>
      <w:u w:val="none"/>
    </w:rPr>
  </w:style>
  <w:style w:type="character" w:customStyle="1" w:styleId="416">
    <w:name w:val="正文非缩进 Char"/>
    <w:qFormat/>
    <w:uiPriority w:val="99"/>
    <w:rPr>
      <w:rFonts w:ascii="宋体" w:eastAsia="宋体"/>
      <w:snapToGrid w:val="0"/>
      <w:color w:val="000000"/>
      <w:kern w:val="28"/>
      <w:sz w:val="28"/>
      <w:lang w:val="en-US" w:eastAsia="zh-CN"/>
    </w:rPr>
  </w:style>
  <w:style w:type="character" w:customStyle="1" w:styleId="417">
    <w:name w:val="正文2 Char"/>
    <w:link w:val="136"/>
    <w:qFormat/>
    <w:locked/>
    <w:uiPriority w:val="99"/>
    <w:rPr>
      <w:rFonts w:ascii="Times New Roman" w:hAnsi="Times New Roman" w:eastAsia="宋体"/>
      <w:sz w:val="20"/>
    </w:rPr>
  </w:style>
  <w:style w:type="character" w:customStyle="1" w:styleId="418">
    <w:name w:val="h3 Char"/>
    <w:qFormat/>
    <w:uiPriority w:val="99"/>
    <w:rPr>
      <w:rFonts w:eastAsia="宋体"/>
      <w:b/>
      <w:kern w:val="2"/>
      <w:sz w:val="32"/>
      <w:lang w:val="en-US" w:eastAsia="zh-CN"/>
    </w:rPr>
  </w:style>
  <w:style w:type="character" w:customStyle="1" w:styleId="419">
    <w:name w:val="签名 Char"/>
    <w:basedOn w:val="81"/>
    <w:qFormat/>
    <w:uiPriority w:val="99"/>
    <w:rPr>
      <w:rFonts w:ascii="Times New Roman" w:hAnsi="Times New Roman" w:eastAsia="宋体" w:cs="Times New Roman"/>
      <w:sz w:val="24"/>
      <w:szCs w:val="24"/>
    </w:rPr>
  </w:style>
  <w:style w:type="character" w:customStyle="1" w:styleId="420">
    <w:name w:val="称呼 Char"/>
    <w:basedOn w:val="81"/>
    <w:qFormat/>
    <w:uiPriority w:val="99"/>
    <w:rPr>
      <w:rFonts w:ascii="Times New Roman" w:hAnsi="Times New Roman" w:eastAsia="宋体" w:cs="Times New Roman"/>
      <w:sz w:val="24"/>
      <w:szCs w:val="24"/>
    </w:rPr>
  </w:style>
  <w:style w:type="character" w:customStyle="1" w:styleId="421">
    <w:name w:val="style91"/>
    <w:qFormat/>
    <w:uiPriority w:val="99"/>
    <w:rPr>
      <w:color w:val="333333"/>
    </w:rPr>
  </w:style>
  <w:style w:type="character" w:customStyle="1" w:styleId="422">
    <w:name w:val="Normal Indent Char Char"/>
    <w:qFormat/>
    <w:uiPriority w:val="99"/>
    <w:rPr>
      <w:rFonts w:eastAsia="宋体"/>
      <w:kern w:val="2"/>
      <w:sz w:val="21"/>
      <w:lang w:val="en-US" w:eastAsia="zh-CN"/>
    </w:rPr>
  </w:style>
  <w:style w:type="character" w:customStyle="1" w:styleId="423">
    <w:name w:val="large1"/>
    <w:qFormat/>
    <w:uiPriority w:val="99"/>
    <w:rPr>
      <w:rFonts w:ascii="宋体" w:hAnsi="宋体" w:eastAsia="宋体"/>
      <w:sz w:val="21"/>
    </w:rPr>
  </w:style>
  <w:style w:type="character" w:customStyle="1" w:styleId="424">
    <w:name w:val="Char Char5"/>
    <w:qFormat/>
    <w:uiPriority w:val="99"/>
    <w:rPr>
      <w:rFonts w:ascii="宋体" w:hAnsi="Courier New" w:eastAsia="宋体"/>
      <w:kern w:val="2"/>
      <w:sz w:val="21"/>
      <w:lang w:val="en-US" w:eastAsia="zh-CN"/>
    </w:rPr>
  </w:style>
  <w:style w:type="character" w:customStyle="1" w:styleId="425">
    <w:name w:val="页眉 Char1"/>
    <w:qFormat/>
    <w:uiPriority w:val="99"/>
    <w:rPr>
      <w:rFonts w:eastAsia="宋体"/>
      <w:kern w:val="2"/>
      <w:sz w:val="18"/>
      <w:lang w:val="en-US" w:eastAsia="zh-CN"/>
    </w:rPr>
  </w:style>
  <w:style w:type="character" w:customStyle="1" w:styleId="426">
    <w:name w:val="页脚 Char1"/>
    <w:qFormat/>
    <w:uiPriority w:val="99"/>
    <w:rPr>
      <w:rFonts w:eastAsia="宋体"/>
      <w:kern w:val="2"/>
      <w:sz w:val="18"/>
      <w:lang w:val="en-US" w:eastAsia="zh-CN"/>
    </w:rPr>
  </w:style>
  <w:style w:type="character" w:customStyle="1" w:styleId="427">
    <w:name w:val="普通文字 Char1 Char"/>
    <w:qFormat/>
    <w:uiPriority w:val="99"/>
    <w:rPr>
      <w:rFonts w:ascii="宋体" w:hAnsi="Courier New" w:eastAsia="宋体"/>
      <w:kern w:val="2"/>
      <w:sz w:val="24"/>
      <w:lang w:val="en-US" w:eastAsia="zh-CN"/>
    </w:rPr>
  </w:style>
  <w:style w:type="character" w:customStyle="1" w:styleId="428">
    <w:name w:val="表格 Char Char"/>
    <w:link w:val="212"/>
    <w:qFormat/>
    <w:locked/>
    <w:uiPriority w:val="99"/>
    <w:rPr>
      <w:rFonts w:ascii="宋体" w:hAnsi="宋体" w:eastAsia="宋体"/>
    </w:rPr>
  </w:style>
  <w:style w:type="character" w:customStyle="1" w:styleId="429">
    <w:name w:val="Table Text Char1"/>
    <w:link w:val="154"/>
    <w:qFormat/>
    <w:locked/>
    <w:uiPriority w:val="99"/>
    <w:rPr>
      <w:rFonts w:ascii="Times New Roman" w:hAnsi="Times New Roman" w:eastAsia="宋体"/>
      <w:kern w:val="0"/>
      <w:sz w:val="24"/>
    </w:rPr>
  </w:style>
  <w:style w:type="character" w:customStyle="1" w:styleId="430">
    <w:name w:val="Char Char8"/>
    <w:qFormat/>
    <w:uiPriority w:val="99"/>
    <w:rPr>
      <w:rFonts w:eastAsia="宋体"/>
      <w:b/>
      <w:sz w:val="24"/>
      <w:lang w:eastAsia="zh-CN"/>
    </w:rPr>
  </w:style>
  <w:style w:type="character" w:customStyle="1" w:styleId="431">
    <w:name w:val="正文缩进 Char"/>
    <w:qFormat/>
    <w:uiPriority w:val="99"/>
    <w:rPr>
      <w:rFonts w:eastAsia="宋体"/>
      <w:kern w:val="2"/>
      <w:sz w:val="21"/>
      <w:lang w:val="en-US" w:eastAsia="zh-CN"/>
    </w:rPr>
  </w:style>
  <w:style w:type="character" w:customStyle="1" w:styleId="432">
    <w:name w:val="标准正文格式 Char"/>
    <w:link w:val="228"/>
    <w:qFormat/>
    <w:locked/>
    <w:uiPriority w:val="99"/>
    <w:rPr>
      <w:rFonts w:ascii="宋体" w:hAnsi="Times New Roman" w:eastAsia="仿宋_GB2312"/>
      <w:color w:val="000000"/>
      <w:kern w:val="0"/>
      <w:sz w:val="20"/>
    </w:rPr>
  </w:style>
  <w:style w:type="character" w:customStyle="1" w:styleId="433">
    <w:name w:val="ca-131"/>
    <w:qFormat/>
    <w:uiPriority w:val="99"/>
    <w:rPr>
      <w:rFonts w:ascii="仿宋_GB2312" w:eastAsia="仿宋_GB2312"/>
      <w:b/>
      <w:color w:val="000000"/>
      <w:spacing w:val="-20"/>
      <w:sz w:val="24"/>
    </w:rPr>
  </w:style>
  <w:style w:type="character" w:customStyle="1" w:styleId="434">
    <w:name w:val="正文1 Char"/>
    <w:link w:val="235"/>
    <w:qFormat/>
    <w:locked/>
    <w:uiPriority w:val="99"/>
    <w:rPr>
      <w:rFonts w:ascii="宋体" w:hAnsi="宋体" w:eastAsia="宋体"/>
      <w:kern w:val="0"/>
      <w:sz w:val="20"/>
    </w:rPr>
  </w:style>
  <w:style w:type="character" w:customStyle="1" w:styleId="435">
    <w:name w:val="pt141"/>
    <w:qFormat/>
    <w:uiPriority w:val="99"/>
    <w:rPr>
      <w:color w:val="330066"/>
      <w:sz w:val="22"/>
    </w:rPr>
  </w:style>
  <w:style w:type="character" w:customStyle="1" w:styleId="436">
    <w:name w:val="dandyren_title1"/>
    <w:qFormat/>
    <w:uiPriority w:val="99"/>
    <w:rPr>
      <w:b/>
      <w:color w:val="FF6633"/>
      <w:sz w:val="18"/>
    </w:rPr>
  </w:style>
  <w:style w:type="character" w:customStyle="1" w:styleId="437">
    <w:name w:val="gray6"/>
    <w:basedOn w:val="81"/>
    <w:qFormat/>
    <w:uiPriority w:val="99"/>
    <w:rPr>
      <w:rFonts w:cs="Times New Roman"/>
    </w:rPr>
  </w:style>
  <w:style w:type="character" w:customStyle="1" w:styleId="438">
    <w:name w:val="blue1"/>
    <w:basedOn w:val="81"/>
    <w:qFormat/>
    <w:uiPriority w:val="99"/>
    <w:rPr>
      <w:rFonts w:cs="Times New Roman"/>
    </w:rPr>
  </w:style>
  <w:style w:type="character" w:customStyle="1" w:styleId="439">
    <w:name w:val="font21"/>
    <w:qFormat/>
    <w:uiPriority w:val="99"/>
    <w:rPr>
      <w:rFonts w:ascii="宋体" w:hAnsi="宋体" w:eastAsia="宋体"/>
      <w:kern w:val="2"/>
      <w:sz w:val="28"/>
      <w:lang w:val="en-US" w:eastAsia="zh-CN"/>
    </w:rPr>
  </w:style>
  <w:style w:type="character" w:customStyle="1" w:styleId="440">
    <w:name w:val="style36"/>
    <w:basedOn w:val="81"/>
    <w:qFormat/>
    <w:uiPriority w:val="99"/>
    <w:rPr>
      <w:rFonts w:cs="Times New Roman"/>
    </w:rPr>
  </w:style>
  <w:style w:type="character" w:customStyle="1" w:styleId="441">
    <w:name w:val="Ò³Ã¼ Char Char"/>
    <w:qFormat/>
    <w:uiPriority w:val="99"/>
    <w:rPr>
      <w:rFonts w:eastAsia="宋体"/>
      <w:kern w:val="2"/>
      <w:sz w:val="18"/>
      <w:lang w:val="en-US" w:eastAsia="zh-CN"/>
    </w:rPr>
  </w:style>
  <w:style w:type="character" w:customStyle="1" w:styleId="442">
    <w:name w:val="Footer-Even Char"/>
    <w:qFormat/>
    <w:uiPriority w:val="99"/>
    <w:rPr>
      <w:rFonts w:eastAsia="宋体"/>
      <w:kern w:val="2"/>
      <w:sz w:val="18"/>
      <w:lang w:val="en-US" w:eastAsia="zh-CN"/>
    </w:rPr>
  </w:style>
  <w:style w:type="character" w:customStyle="1" w:styleId="443">
    <w:name w:val="hei16b1"/>
    <w:qFormat/>
    <w:uiPriority w:val="99"/>
    <w:rPr>
      <w:rFonts w:ascii="Arial" w:hAnsi="Arial"/>
      <w:b/>
      <w:color w:val="000000"/>
      <w:sz w:val="24"/>
    </w:rPr>
  </w:style>
  <w:style w:type="character" w:customStyle="1" w:styleId="444">
    <w:name w:val="style5"/>
    <w:basedOn w:val="81"/>
    <w:qFormat/>
    <w:uiPriority w:val="99"/>
    <w:rPr>
      <w:rFonts w:cs="Times New Roman"/>
    </w:rPr>
  </w:style>
  <w:style w:type="character" w:customStyle="1" w:styleId="445">
    <w:name w:val="style6"/>
    <w:basedOn w:val="81"/>
    <w:qFormat/>
    <w:uiPriority w:val="99"/>
    <w:rPr>
      <w:rFonts w:cs="Times New Roman"/>
    </w:rPr>
  </w:style>
  <w:style w:type="character" w:customStyle="1" w:styleId="446">
    <w:name w:val="无间隔 Char"/>
    <w:link w:val="266"/>
    <w:qFormat/>
    <w:locked/>
    <w:uiPriority w:val="99"/>
    <w:rPr>
      <w:rFonts w:ascii="Calibri" w:hAnsi="Calibri"/>
      <w:sz w:val="22"/>
    </w:rPr>
  </w:style>
  <w:style w:type="character" w:customStyle="1" w:styleId="447">
    <w:name w:val="样式2 Char"/>
    <w:link w:val="269"/>
    <w:qFormat/>
    <w:locked/>
    <w:uiPriority w:val="99"/>
    <w:rPr>
      <w:rFonts w:ascii="仿宋_GB2312" w:hAnsi="仿宋" w:eastAsia="仿宋_GB2312"/>
      <w:kern w:val="0"/>
      <w:sz w:val="20"/>
    </w:rPr>
  </w:style>
  <w:style w:type="character" w:customStyle="1" w:styleId="448">
    <w:name w:val="文档结构图 Char2"/>
    <w:qFormat/>
    <w:uiPriority w:val="99"/>
    <w:rPr>
      <w:rFonts w:eastAsia="宋体"/>
      <w:kern w:val="2"/>
      <w:sz w:val="24"/>
      <w:lang w:val="en-US" w:eastAsia="zh-CN"/>
    </w:rPr>
  </w:style>
  <w:style w:type="character" w:customStyle="1" w:styleId="449">
    <w:name w:val="标题 Char2"/>
    <w:qFormat/>
    <w:uiPriority w:val="99"/>
    <w:rPr>
      <w:rFonts w:eastAsia="宋体"/>
      <w:b/>
      <w:sz w:val="24"/>
      <w:lang w:eastAsia="zh-CN"/>
    </w:rPr>
  </w:style>
  <w:style w:type="character" w:customStyle="1" w:styleId="450">
    <w:name w:val="正文文本 2 Char2"/>
    <w:qFormat/>
    <w:uiPriority w:val="99"/>
    <w:rPr>
      <w:rFonts w:eastAsia="宋体"/>
      <w:kern w:val="2"/>
      <w:sz w:val="24"/>
      <w:lang w:val="en-US" w:eastAsia="zh-CN"/>
    </w:rPr>
  </w:style>
  <w:style w:type="character" w:customStyle="1" w:styleId="451">
    <w:name w:val="批注主题 Char2"/>
    <w:qFormat/>
    <w:uiPriority w:val="99"/>
    <w:rPr>
      <w:rFonts w:eastAsia="宋体"/>
      <w:b/>
      <w:kern w:val="2"/>
      <w:sz w:val="24"/>
      <w:lang w:val="en-US" w:eastAsia="zh-CN"/>
    </w:rPr>
  </w:style>
  <w:style w:type="character" w:customStyle="1" w:styleId="452">
    <w:name w:val="日期 Char2"/>
    <w:qFormat/>
    <w:uiPriority w:val="99"/>
    <w:rPr>
      <w:rFonts w:ascii="宋体"/>
      <w:kern w:val="2"/>
      <w:sz w:val="21"/>
      <w:lang w:val="zh-CN"/>
    </w:rPr>
  </w:style>
  <w:style w:type="character" w:customStyle="1" w:styleId="453">
    <w:name w:val="文档结构图 Char1"/>
    <w:qFormat/>
    <w:uiPriority w:val="99"/>
    <w:rPr>
      <w:rFonts w:eastAsia="宋体"/>
      <w:kern w:val="2"/>
      <w:sz w:val="24"/>
      <w:lang w:val="en-US" w:eastAsia="zh-CN"/>
    </w:rPr>
  </w:style>
  <w:style w:type="character" w:customStyle="1" w:styleId="454">
    <w:name w:val="标题 Char1"/>
    <w:qFormat/>
    <w:uiPriority w:val="99"/>
    <w:rPr>
      <w:rFonts w:eastAsia="宋体"/>
      <w:b/>
      <w:sz w:val="24"/>
      <w:lang w:eastAsia="zh-CN"/>
    </w:rPr>
  </w:style>
  <w:style w:type="character" w:customStyle="1" w:styleId="455">
    <w:name w:val="正文文本 2 Char1"/>
    <w:qFormat/>
    <w:uiPriority w:val="99"/>
    <w:rPr>
      <w:rFonts w:eastAsia="宋体"/>
      <w:kern w:val="2"/>
      <w:sz w:val="24"/>
      <w:lang w:val="en-US" w:eastAsia="zh-CN"/>
    </w:rPr>
  </w:style>
  <w:style w:type="character" w:customStyle="1" w:styleId="456">
    <w:name w:val="批注主题 Char1"/>
    <w:qFormat/>
    <w:uiPriority w:val="99"/>
    <w:rPr>
      <w:rFonts w:eastAsia="宋体"/>
      <w:b/>
      <w:kern w:val="2"/>
      <w:sz w:val="24"/>
      <w:lang w:val="en-US" w:eastAsia="zh-CN"/>
    </w:rPr>
  </w:style>
  <w:style w:type="character" w:customStyle="1" w:styleId="457">
    <w:name w:val="日期 Char1"/>
    <w:qFormat/>
    <w:uiPriority w:val="99"/>
    <w:rPr>
      <w:rFonts w:ascii="宋体"/>
      <w:kern w:val="2"/>
      <w:sz w:val="21"/>
      <w:lang w:val="zh-CN"/>
    </w:rPr>
  </w:style>
  <w:style w:type="character" w:customStyle="1" w:styleId="458">
    <w:name w:val="Char Char2"/>
    <w:qFormat/>
    <w:uiPriority w:val="99"/>
    <w:rPr>
      <w:rFonts w:ascii="宋体" w:hAnsi="Courier New" w:eastAsia="宋体"/>
      <w:kern w:val="2"/>
      <w:sz w:val="21"/>
      <w:lang w:val="en-US" w:eastAsia="zh-CN"/>
    </w:rPr>
  </w:style>
  <w:style w:type="character" w:customStyle="1" w:styleId="459">
    <w:name w:val="Char Char51"/>
    <w:qFormat/>
    <w:uiPriority w:val="99"/>
    <w:rPr>
      <w:rFonts w:ascii="宋体" w:hAnsi="Courier New" w:eastAsia="宋体"/>
      <w:kern w:val="2"/>
      <w:sz w:val="21"/>
      <w:lang w:val="en-US" w:eastAsia="zh-CN"/>
    </w:rPr>
  </w:style>
  <w:style w:type="character" w:customStyle="1" w:styleId="460">
    <w:name w:val="Char Char81"/>
    <w:qFormat/>
    <w:uiPriority w:val="99"/>
    <w:rPr>
      <w:rFonts w:ascii="宋体" w:hAnsi="宋体" w:eastAsia="宋体"/>
      <w:b/>
      <w:sz w:val="24"/>
      <w:lang w:eastAsia="zh-CN"/>
    </w:rPr>
  </w:style>
  <w:style w:type="character" w:customStyle="1" w:styleId="461">
    <w:name w:val="普通文字 Char4"/>
    <w:qFormat/>
    <w:uiPriority w:val="99"/>
    <w:rPr>
      <w:rFonts w:ascii="宋体" w:hAnsi="Courier New" w:eastAsia="宋体"/>
      <w:kern w:val="2"/>
      <w:sz w:val="21"/>
      <w:lang w:val="en-US" w:eastAsia="zh-CN"/>
    </w:rPr>
  </w:style>
  <w:style w:type="character" w:customStyle="1" w:styleId="462">
    <w:name w:val="font11"/>
    <w:qFormat/>
    <w:uiPriority w:val="99"/>
    <w:rPr>
      <w:rFonts w:ascii="宋体" w:hAnsi="宋体" w:eastAsia="宋体"/>
      <w:color w:val="000000"/>
      <w:sz w:val="20"/>
    </w:rPr>
  </w:style>
  <w:style w:type="character" w:customStyle="1" w:styleId="463">
    <w:name w:val="marklong"/>
    <w:basedOn w:val="81"/>
    <w:qFormat/>
    <w:uiPriority w:val="99"/>
    <w:rPr>
      <w:rFonts w:cs="Times New Roman"/>
    </w:rPr>
  </w:style>
  <w:style w:type="character" w:customStyle="1" w:styleId="464">
    <w:name w:val="Ò³Ã¼ Char Char1"/>
    <w:qFormat/>
    <w:uiPriority w:val="99"/>
    <w:rPr>
      <w:rFonts w:eastAsia="宋体"/>
      <w:kern w:val="2"/>
      <w:sz w:val="18"/>
      <w:lang w:val="en-US" w:eastAsia="zh-CN"/>
    </w:rPr>
  </w:style>
  <w:style w:type="character" w:customStyle="1" w:styleId="465">
    <w:name w:val="标准正文 Char"/>
    <w:link w:val="254"/>
    <w:qFormat/>
    <w:locked/>
    <w:uiPriority w:val="99"/>
    <w:rPr>
      <w:rFonts w:ascii="Arial" w:hAnsi="Arial" w:eastAsia="宋体"/>
      <w:b/>
      <w:sz w:val="20"/>
    </w:rPr>
  </w:style>
  <w:style w:type="character" w:customStyle="1" w:styleId="466">
    <w:name w:val="列出段落 Char"/>
    <w:link w:val="275"/>
    <w:qFormat/>
    <w:locked/>
    <w:uiPriority w:val="99"/>
    <w:rPr>
      <w:rFonts w:ascii="Times New Roman" w:hAnsi="Times New Roman" w:eastAsia="楷体_GB2312"/>
      <w:sz w:val="24"/>
    </w:rPr>
  </w:style>
  <w:style w:type="character" w:customStyle="1" w:styleId="467">
    <w:name w:val="样式1 Char"/>
    <w:link w:val="166"/>
    <w:qFormat/>
    <w:locked/>
    <w:uiPriority w:val="99"/>
    <w:rPr>
      <w:rFonts w:ascii="宋体" w:hAnsi="宋体" w:eastAsia="宋体"/>
      <w:kern w:val="0"/>
      <w:sz w:val="20"/>
    </w:rPr>
  </w:style>
  <w:style w:type="character" w:customStyle="1" w:styleId="468">
    <w:name w:val="正文2 Char Char"/>
    <w:qFormat/>
    <w:uiPriority w:val="99"/>
    <w:rPr>
      <w:rFonts w:ascii="宋体" w:hAnsi="宋体" w:eastAsia="宋体"/>
      <w:kern w:val="2"/>
      <w:sz w:val="24"/>
      <w:lang w:val="en-US" w:eastAsia="zh-CN"/>
    </w:rPr>
  </w:style>
  <w:style w:type="character" w:customStyle="1" w:styleId="469">
    <w:name w:val="Char Char12"/>
    <w:qFormat/>
    <w:uiPriority w:val="99"/>
    <w:rPr>
      <w:kern w:val="2"/>
      <w:sz w:val="24"/>
    </w:rPr>
  </w:style>
  <w:style w:type="character" w:customStyle="1" w:styleId="470">
    <w:name w:val="哈哈正文 Char"/>
    <w:link w:val="362"/>
    <w:qFormat/>
    <w:locked/>
    <w:uiPriority w:val="99"/>
    <w:rPr>
      <w:rFonts w:ascii="宋体" w:hAnsi="宋体" w:eastAsia="宋体"/>
      <w:sz w:val="24"/>
    </w:rPr>
  </w:style>
  <w:style w:type="character" w:customStyle="1" w:styleId="471">
    <w:name w:val="样式3 Char"/>
    <w:link w:val="365"/>
    <w:qFormat/>
    <w:locked/>
    <w:uiPriority w:val="99"/>
    <w:rPr>
      <w:rFonts w:ascii="仿宋_GB2312" w:hAnsi="仿宋" w:eastAsia="仿宋_GB2312"/>
      <w:b/>
      <w:color w:val="000000"/>
      <w:sz w:val="28"/>
      <w:szCs w:val="28"/>
    </w:rPr>
  </w:style>
  <w:style w:type="character" w:customStyle="1" w:styleId="472">
    <w:name w:val="ca-91"/>
    <w:qFormat/>
    <w:uiPriority w:val="99"/>
    <w:rPr>
      <w:rFonts w:ascii="宋体" w:hAnsi="宋体" w:eastAsia="宋体"/>
      <w:sz w:val="21"/>
    </w:rPr>
  </w:style>
  <w:style w:type="character" w:customStyle="1" w:styleId="473">
    <w:name w:val="正文非缩进 Char3"/>
    <w:qFormat/>
    <w:uiPriority w:val="99"/>
    <w:rPr>
      <w:rFonts w:ascii="宋体" w:eastAsia="宋体"/>
      <w:snapToGrid w:val="0"/>
      <w:color w:val="000000"/>
      <w:kern w:val="28"/>
      <w:sz w:val="28"/>
      <w:lang w:val="en-US" w:eastAsia="zh-CN"/>
    </w:rPr>
  </w:style>
  <w:style w:type="character" w:customStyle="1" w:styleId="474">
    <w:name w:val="font01"/>
    <w:basedOn w:val="81"/>
    <w:qFormat/>
    <w:uiPriority w:val="99"/>
    <w:rPr>
      <w:rFonts w:ascii="Arial" w:hAnsi="Arial"/>
      <w:color w:val="000000"/>
      <w:sz w:val="20"/>
    </w:rPr>
  </w:style>
  <w:style w:type="character" w:customStyle="1" w:styleId="475">
    <w:name w:val="test1"/>
    <w:qFormat/>
    <w:uiPriority w:val="99"/>
    <w:rPr>
      <w:rFonts w:ascii="宋体" w:hAnsi="宋体" w:eastAsia="宋体"/>
      <w:color w:val="000000"/>
      <w:sz w:val="21"/>
      <w:u w:val="none"/>
    </w:rPr>
  </w:style>
  <w:style w:type="character" w:customStyle="1" w:styleId="476">
    <w:name w:val="带编号样式 Char"/>
    <w:link w:val="369"/>
    <w:qFormat/>
    <w:locked/>
    <w:uiPriority w:val="99"/>
    <w:rPr>
      <w:rFonts w:ascii="仿宋_GB2312" w:hAnsi="Calibri" w:eastAsia="仿宋_GB2312"/>
      <w:color w:val="000000"/>
      <w:sz w:val="24"/>
    </w:rPr>
  </w:style>
  <w:style w:type="character" w:customStyle="1" w:styleId="477">
    <w:name w:val="正文文本 Char1"/>
    <w:qFormat/>
    <w:uiPriority w:val="99"/>
    <w:rPr>
      <w:rFonts w:eastAsia="宋体"/>
      <w:kern w:val="2"/>
      <w:sz w:val="21"/>
      <w:lang w:val="en-US" w:eastAsia="zh-CN"/>
    </w:rPr>
  </w:style>
  <w:style w:type="character" w:customStyle="1" w:styleId="478">
    <w:name w:val="公文正文 Char"/>
    <w:link w:val="371"/>
    <w:qFormat/>
    <w:locked/>
    <w:uiPriority w:val="99"/>
    <w:rPr>
      <w:rFonts w:ascii="仿宋_GB2312" w:eastAsia="仿宋_GB2312"/>
      <w:sz w:val="24"/>
    </w:rPr>
  </w:style>
  <w:style w:type="character" w:customStyle="1" w:styleId="479">
    <w:name w:val="font41"/>
    <w:qFormat/>
    <w:uiPriority w:val="99"/>
    <w:rPr>
      <w:rFonts w:ascii="Calibri" w:hAnsi="Calibri"/>
      <w:color w:val="000000"/>
      <w:sz w:val="20"/>
    </w:rPr>
  </w:style>
  <w:style w:type="character" w:customStyle="1" w:styleId="480">
    <w:name w:val="h Char Char"/>
    <w:qFormat/>
    <w:uiPriority w:val="99"/>
    <w:rPr>
      <w:rFonts w:eastAsia="宋体"/>
      <w:kern w:val="2"/>
      <w:sz w:val="18"/>
      <w:lang w:val="en-US" w:eastAsia="zh-CN"/>
    </w:rPr>
  </w:style>
  <w:style w:type="character" w:customStyle="1" w:styleId="481">
    <w:name w:val="列出段落字符"/>
    <w:qFormat/>
    <w:uiPriority w:val="99"/>
    <w:rPr>
      <w:rFonts w:ascii="Calibri" w:hAnsi="Calibri"/>
      <w:kern w:val="2"/>
      <w:sz w:val="22"/>
    </w:rPr>
  </w:style>
  <w:style w:type="character" w:customStyle="1" w:styleId="482">
    <w:name w:val="正文首行缩进（ACK） Char Char"/>
    <w:link w:val="379"/>
    <w:qFormat/>
    <w:locked/>
    <w:uiPriority w:val="99"/>
    <w:rPr>
      <w:rFonts w:ascii="Arial" w:hAnsi="Arial" w:eastAsia="宋体"/>
      <w:sz w:val="21"/>
    </w:rPr>
  </w:style>
  <w:style w:type="character" w:customStyle="1" w:styleId="483">
    <w:name w:val="apple-converted-space"/>
    <w:qFormat/>
    <w:uiPriority w:val="99"/>
  </w:style>
  <w:style w:type="character" w:customStyle="1" w:styleId="484">
    <w:name w:val="副标题 Char1"/>
    <w:basedOn w:val="81"/>
    <w:qFormat/>
    <w:uiPriority w:val="99"/>
    <w:rPr>
      <w:rFonts w:ascii="Calibri Light" w:hAnsi="Calibri Light" w:eastAsia="宋体" w:cs="黑体"/>
      <w:b/>
      <w:bCs/>
      <w:kern w:val="28"/>
      <w:sz w:val="32"/>
      <w:szCs w:val="32"/>
    </w:rPr>
  </w:style>
  <w:style w:type="table" w:customStyle="1" w:styleId="485">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6">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7">
    <w:name w:val="tpc_content1"/>
    <w:qFormat/>
    <w:uiPriority w:val="99"/>
    <w:rPr>
      <w:sz w:val="20"/>
    </w:rPr>
  </w:style>
  <w:style w:type="paragraph" w:customStyle="1" w:styleId="488">
    <w:name w:val="智业正文"/>
    <w:basedOn w:val="1"/>
    <w:link w:val="489"/>
    <w:qFormat/>
    <w:uiPriority w:val="99"/>
    <w:pPr>
      <w:ind w:firstLine="200" w:firstLineChars="200"/>
    </w:pPr>
    <w:rPr>
      <w:rFonts w:ascii="仿宋_GB2312" w:eastAsia="仿宋_GB2312"/>
      <w:sz w:val="28"/>
      <w:szCs w:val="20"/>
      <w:lang w:val="zh-CN"/>
    </w:rPr>
  </w:style>
  <w:style w:type="character" w:customStyle="1" w:styleId="489">
    <w:name w:val="智业正文 Char"/>
    <w:link w:val="488"/>
    <w:qFormat/>
    <w:locked/>
    <w:uiPriority w:val="99"/>
    <w:rPr>
      <w:rFonts w:ascii="仿宋_GB2312" w:eastAsia="仿宋_GB2312"/>
      <w:kern w:val="2"/>
      <w:sz w:val="28"/>
      <w:lang w:val="zh-CN" w:eastAsia="zh-CN"/>
    </w:rPr>
  </w:style>
  <w:style w:type="paragraph" w:customStyle="1" w:styleId="490">
    <w:name w:val="列出段落2"/>
    <w:basedOn w:val="1"/>
    <w:qFormat/>
    <w:uiPriority w:val="99"/>
    <w:pPr>
      <w:ind w:firstLine="420" w:firstLineChars="200"/>
    </w:pPr>
    <w:rPr>
      <w:rFonts w:eastAsia="微软雅黑"/>
    </w:rPr>
  </w:style>
  <w:style w:type="paragraph" w:customStyle="1" w:styleId="491">
    <w:name w:val="列出段落3"/>
    <w:basedOn w:val="1"/>
    <w:link w:val="573"/>
    <w:qFormat/>
    <w:uiPriority w:val="99"/>
    <w:pPr>
      <w:ind w:firstLine="420" w:firstLineChars="200"/>
    </w:pPr>
  </w:style>
  <w:style w:type="paragraph" w:customStyle="1" w:styleId="492">
    <w:name w:val="样式 正文缩进 + 首行缩进:  2 字符"/>
    <w:basedOn w:val="16"/>
    <w:qFormat/>
    <w:uiPriority w:val="99"/>
    <w:pPr>
      <w:widowControl w:val="0"/>
      <w:spacing w:line="360" w:lineRule="auto"/>
      <w:ind w:firstLine="200" w:firstLineChars="200"/>
    </w:pPr>
    <w:rPr>
      <w:rFonts w:ascii="Times New Roman" w:cs="宋体"/>
      <w:color w:val="auto"/>
      <w:kern w:val="2"/>
      <w:sz w:val="24"/>
    </w:rPr>
  </w:style>
  <w:style w:type="paragraph" w:customStyle="1" w:styleId="493">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4">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5">
    <w:name w:val="Char1 Char Char Char Char Char Char"/>
    <w:basedOn w:val="1"/>
    <w:qFormat/>
    <w:uiPriority w:val="99"/>
    <w:pPr>
      <w:adjustRightInd w:val="0"/>
      <w:snapToGrid w:val="0"/>
    </w:pPr>
    <w:rPr>
      <w:rFonts w:ascii="Tahoma" w:hAnsi="Tahoma"/>
      <w:sz w:val="24"/>
      <w:szCs w:val="20"/>
    </w:rPr>
  </w:style>
  <w:style w:type="character" w:customStyle="1" w:styleId="496">
    <w:name w:val="正文缩进 Char1"/>
    <w:qFormat/>
    <w:uiPriority w:val="99"/>
    <w:rPr>
      <w:kern w:val="2"/>
      <w:sz w:val="21"/>
    </w:rPr>
  </w:style>
  <w:style w:type="paragraph" w:customStyle="1" w:styleId="497">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8">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9">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500">
    <w:name w:val="1.1.1.1Heading3"/>
    <w:basedOn w:val="4"/>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501">
    <w:name w:val="RFI text from 3rd Level"/>
    <w:basedOn w:val="502"/>
    <w:qFormat/>
    <w:uiPriority w:val="99"/>
    <w:pPr>
      <w:numPr>
        <w:ilvl w:val="0"/>
        <w:numId w:val="0"/>
      </w:numPr>
      <w:tabs>
        <w:tab w:val="left" w:pos="360"/>
        <w:tab w:val="left" w:pos="720"/>
        <w:tab w:val="left" w:pos="1080"/>
        <w:tab w:val="left" w:pos="1620"/>
      </w:tabs>
    </w:pPr>
    <w:rPr>
      <w:b w:val="0"/>
      <w:lang w:eastAsia="zh-CN"/>
    </w:rPr>
  </w:style>
  <w:style w:type="paragraph" w:customStyle="1" w:styleId="502">
    <w:name w:val="RFI text from 2nd Level"/>
    <w:basedOn w:val="493"/>
    <w:qFormat/>
    <w:uiPriority w:val="99"/>
    <w:pPr>
      <w:numPr>
        <w:ilvl w:val="1"/>
        <w:numId w:val="21"/>
      </w:numPr>
      <w:tabs>
        <w:tab w:val="left" w:pos="1620"/>
        <w:tab w:val="clear" w:pos="1440"/>
      </w:tabs>
      <w:ind w:left="1620" w:hanging="360"/>
    </w:pPr>
    <w:rPr>
      <w:b/>
      <w:bCs/>
      <w:color w:val="auto"/>
    </w:rPr>
  </w:style>
  <w:style w:type="paragraph" w:customStyle="1" w:styleId="503">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4">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5">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6">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7">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8">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9">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10">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11">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12">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3">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4">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5">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6">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7">
    <w:name w:val="RFI List 1"/>
    <w:basedOn w:val="493"/>
    <w:qFormat/>
    <w:uiPriority w:val="99"/>
    <w:pPr>
      <w:numPr>
        <w:numId w:val="0"/>
      </w:numPr>
      <w:tabs>
        <w:tab w:val="left" w:pos="360"/>
        <w:tab w:val="left" w:pos="1800"/>
      </w:tabs>
      <w:spacing w:before="240" w:after="160"/>
      <w:ind w:left="720" w:hanging="720"/>
      <w:outlineLvl w:val="0"/>
    </w:pPr>
    <w:rPr>
      <w:b/>
      <w:color w:val="auto"/>
    </w:rPr>
  </w:style>
  <w:style w:type="paragraph" w:customStyle="1" w:styleId="518">
    <w:name w:val="RFI Heading 4th Level"/>
    <w:basedOn w:val="493"/>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9">
    <w:name w:val="RFI List 2"/>
    <w:basedOn w:val="517"/>
    <w:qFormat/>
    <w:uiPriority w:val="99"/>
    <w:pPr>
      <w:numPr>
        <w:numId w:val="24"/>
      </w:numPr>
      <w:tabs>
        <w:tab w:val="left" w:pos="2304"/>
      </w:tabs>
      <w:ind w:left="720" w:hanging="720"/>
    </w:pPr>
    <w:rPr>
      <w:b w:val="0"/>
      <w:bCs/>
    </w:rPr>
  </w:style>
  <w:style w:type="paragraph" w:customStyle="1" w:styleId="520">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21">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22">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3">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24">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5">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6">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7">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8">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9">
    <w:name w:val="Style Body Text Indent 2 + 11 pt Line spacing:  1.5 lines"/>
    <w:basedOn w:val="42"/>
    <w:qFormat/>
    <w:uiPriority w:val="99"/>
    <w:pPr>
      <w:widowControl/>
      <w:tabs>
        <w:tab w:val="left" w:pos="900"/>
      </w:tabs>
      <w:snapToGrid w:val="0"/>
      <w:ind w:firstLine="0"/>
      <w:textAlignment w:val="auto"/>
    </w:pPr>
    <w:rPr>
      <w:rFonts w:hAnsi="宋体" w:eastAsia="仿宋"/>
      <w:sz w:val="22"/>
      <w:lang w:val="en-GB"/>
    </w:rPr>
  </w:style>
  <w:style w:type="paragraph" w:customStyle="1" w:styleId="530">
    <w:name w:val="Style Heading 3 + Line spacing:  1.5 lines"/>
    <w:basedOn w:val="4"/>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31">
    <w:name w:val="Achievement"/>
    <w:basedOn w:val="27"/>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32">
    <w:name w:val="Style Heading 3 + 11 pt Line spacing:  1.5 lines"/>
    <w:basedOn w:val="4"/>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3">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34">
    <w:name w:val="条目2"/>
    <w:basedOn w:val="37"/>
    <w:qFormat/>
    <w:uiPriority w:val="99"/>
    <w:pPr>
      <w:numPr>
        <w:ilvl w:val="0"/>
        <w:numId w:val="27"/>
      </w:numPr>
      <w:adjustRightInd w:val="0"/>
      <w:snapToGrid w:val="0"/>
    </w:pPr>
    <w:rPr>
      <w:rFonts w:eastAsia="仿宋" w:cs="Courier New"/>
      <w:color w:val="000000"/>
      <w:sz w:val="24"/>
      <w:szCs w:val="21"/>
    </w:rPr>
  </w:style>
  <w:style w:type="paragraph" w:customStyle="1" w:styleId="535">
    <w:name w:val="水印"/>
    <w:basedOn w:val="1"/>
    <w:qFormat/>
    <w:uiPriority w:val="99"/>
    <w:pPr>
      <w:adjustRightInd w:val="0"/>
      <w:snapToGrid w:val="0"/>
      <w:spacing w:line="240" w:lineRule="atLeast"/>
      <w:textAlignment w:val="baseline"/>
    </w:pPr>
    <w:rPr>
      <w:kern w:val="0"/>
      <w:szCs w:val="20"/>
    </w:rPr>
  </w:style>
  <w:style w:type="paragraph" w:customStyle="1" w:styleId="536">
    <w:name w:val="项目1"/>
    <w:basedOn w:val="16"/>
    <w:next w:val="16"/>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7">
    <w:name w:val="项目"/>
    <w:basedOn w:val="27"/>
    <w:next w:val="27"/>
    <w:qFormat/>
    <w:uiPriority w:val="99"/>
    <w:pPr>
      <w:numPr>
        <w:ilvl w:val="0"/>
        <w:numId w:val="28"/>
      </w:numPr>
      <w:autoSpaceDE/>
      <w:autoSpaceDN/>
      <w:snapToGrid w:val="0"/>
    </w:pPr>
    <w:rPr>
      <w:rFonts w:ascii="Times New Roman" w:eastAsia="仿宋"/>
      <w:kern w:val="0"/>
      <w:szCs w:val="20"/>
      <w:lang w:val="en-US"/>
    </w:rPr>
  </w:style>
  <w:style w:type="paragraph" w:customStyle="1" w:styleId="538">
    <w:name w:val="www序号1)"/>
    <w:basedOn w:val="1"/>
    <w:link w:val="540"/>
    <w:qFormat/>
    <w:uiPriority w:val="99"/>
    <w:pPr>
      <w:tabs>
        <w:tab w:val="left" w:pos="2160"/>
      </w:tabs>
      <w:adjustRightInd w:val="0"/>
      <w:snapToGrid w:val="0"/>
      <w:ind w:left="2160" w:hanging="420"/>
    </w:pPr>
    <w:rPr>
      <w:rFonts w:eastAsia="仿宋"/>
      <w:kern w:val="0"/>
      <w:sz w:val="24"/>
    </w:rPr>
  </w:style>
  <w:style w:type="paragraph" w:customStyle="1" w:styleId="539">
    <w:name w:val="www正文"/>
    <w:basedOn w:val="1"/>
    <w:qFormat/>
    <w:uiPriority w:val="99"/>
    <w:pPr>
      <w:adjustRightInd w:val="0"/>
      <w:snapToGrid w:val="0"/>
      <w:ind w:firstLine="480" w:firstLineChars="200"/>
    </w:pPr>
    <w:rPr>
      <w:sz w:val="24"/>
    </w:rPr>
  </w:style>
  <w:style w:type="character" w:customStyle="1" w:styleId="540">
    <w:name w:val="www序号1) Char"/>
    <w:link w:val="538"/>
    <w:qFormat/>
    <w:locked/>
    <w:uiPriority w:val="99"/>
    <w:rPr>
      <w:rFonts w:eastAsia="仿宋"/>
      <w:sz w:val="24"/>
    </w:rPr>
  </w:style>
  <w:style w:type="paragraph" w:customStyle="1" w:styleId="541">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42">
    <w:name w:val="样式 正文文本缩进 + 左侧:  2 字符 首行缩进:  2 字符"/>
    <w:basedOn w:val="17"/>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3">
    <w:name w:val="图中文字"/>
    <w:basedOn w:val="1"/>
    <w:qFormat/>
    <w:uiPriority w:val="99"/>
    <w:pPr>
      <w:adjustRightInd w:val="0"/>
      <w:snapToGrid w:val="0"/>
      <w:spacing w:line="240" w:lineRule="atLeast"/>
      <w:jc w:val="center"/>
    </w:pPr>
    <w:rPr>
      <w:sz w:val="24"/>
      <w:szCs w:val="20"/>
    </w:rPr>
  </w:style>
  <w:style w:type="paragraph" w:customStyle="1" w:styleId="544">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5">
    <w:name w:val="CSS1级正文 Char"/>
    <w:basedOn w:val="27"/>
    <w:qFormat/>
    <w:uiPriority w:val="99"/>
    <w:pPr>
      <w:autoSpaceDE/>
      <w:autoSpaceDN/>
      <w:snapToGrid w:val="0"/>
      <w:ind w:firstLine="480"/>
    </w:pPr>
    <w:rPr>
      <w:rFonts w:ascii="Times New Roman" w:eastAsia="仿宋"/>
      <w:kern w:val="0"/>
      <w:szCs w:val="24"/>
      <w:lang w:val="en-US"/>
    </w:rPr>
  </w:style>
  <w:style w:type="character" w:customStyle="1" w:styleId="546">
    <w:name w:val="链接"/>
    <w:qFormat/>
    <w:uiPriority w:val="99"/>
    <w:rPr>
      <w:color w:val="0000FF"/>
      <w:sz w:val="21"/>
      <w:u w:val="single"/>
    </w:rPr>
  </w:style>
  <w:style w:type="paragraph" w:customStyle="1" w:styleId="547">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8">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9">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50">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51">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52">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3">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4">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5">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6">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7">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8">
    <w:name w:val="样式 标题 1章节第一层h1H"/>
    <w:basedOn w:val="2"/>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9">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60">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61">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62">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3">
    <w:name w:val="javascript"/>
    <w:basedOn w:val="81"/>
    <w:qFormat/>
    <w:uiPriority w:val="99"/>
    <w:rPr>
      <w:rFonts w:cs="Times New Roman"/>
    </w:rPr>
  </w:style>
  <w:style w:type="paragraph" w:customStyle="1" w:styleId="564">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5">
    <w:name w:val="para1"/>
    <w:qFormat/>
    <w:uiPriority w:val="99"/>
    <w:rPr>
      <w:rFonts w:ascii="Arial" w:hAnsi="Arial"/>
      <w:sz w:val="18"/>
    </w:rPr>
  </w:style>
  <w:style w:type="paragraph" w:customStyle="1" w:styleId="566">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7">
    <w:name w:val="表格标题"/>
    <w:basedOn w:val="1"/>
    <w:qFormat/>
    <w:uiPriority w:val="99"/>
    <w:pPr>
      <w:adjustRightInd w:val="0"/>
      <w:snapToGrid w:val="0"/>
      <w:jc w:val="center"/>
    </w:pPr>
    <w:rPr>
      <w:rFonts w:eastAsia="仿宋"/>
      <w:b/>
    </w:rPr>
  </w:style>
  <w:style w:type="paragraph" w:customStyle="1" w:styleId="568">
    <w:name w:val="表格文字"/>
    <w:basedOn w:val="1"/>
    <w:qFormat/>
    <w:uiPriority w:val="99"/>
    <w:pPr>
      <w:adjustRightInd w:val="0"/>
      <w:snapToGrid w:val="0"/>
      <w:jc w:val="left"/>
      <w:textAlignment w:val="top"/>
    </w:pPr>
    <w:rPr>
      <w:rFonts w:eastAsia="仿宋"/>
      <w:sz w:val="18"/>
    </w:rPr>
  </w:style>
  <w:style w:type="paragraph" w:customStyle="1" w:styleId="569">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0">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1">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2">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3">
    <w:name w:val="列出段落 字符1"/>
    <w:link w:val="491"/>
    <w:qFormat/>
    <w:locked/>
    <w:uiPriority w:val="99"/>
    <w:rPr>
      <w:kern w:val="2"/>
      <w:sz w:val="24"/>
    </w:rPr>
  </w:style>
  <w:style w:type="paragraph" w:customStyle="1" w:styleId="574">
    <w:name w:val="顺序编号1"/>
    <w:basedOn w:val="1"/>
    <w:qFormat/>
    <w:uiPriority w:val="99"/>
    <w:pPr>
      <w:adjustRightInd w:val="0"/>
      <w:snapToGrid w:val="0"/>
      <w:spacing w:afterLines="50"/>
    </w:pPr>
  </w:style>
  <w:style w:type="paragraph" w:customStyle="1" w:styleId="575">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6">
    <w:name w:val="图例"/>
    <w:basedOn w:val="1"/>
    <w:next w:val="42"/>
    <w:qFormat/>
    <w:uiPriority w:val="99"/>
    <w:pPr>
      <w:spacing w:line="300" w:lineRule="auto"/>
      <w:ind w:firstLine="200" w:firstLineChars="200"/>
      <w:jc w:val="center"/>
    </w:pPr>
    <w:rPr>
      <w:rFonts w:ascii="宋体" w:hAnsi="Calibri" w:cs="黑体"/>
      <w:sz w:val="18"/>
      <w:szCs w:val="18"/>
    </w:rPr>
  </w:style>
  <w:style w:type="paragraph" w:customStyle="1" w:styleId="577">
    <w:name w:val="表格数据"/>
    <w:qFormat/>
    <w:uiPriority w:val="99"/>
    <w:rPr>
      <w:rFonts w:ascii="Times New Roman" w:hAnsi="Times New Roman" w:eastAsia="宋体" w:cs="宋体"/>
      <w:kern w:val="0"/>
      <w:sz w:val="20"/>
      <w:szCs w:val="20"/>
      <w:lang w:val="en-US" w:eastAsia="zh-CN" w:bidi="ar-SA"/>
    </w:rPr>
  </w:style>
  <w:style w:type="paragraph" w:customStyle="1" w:styleId="578">
    <w:name w:val="TOC 标题2"/>
    <w:basedOn w:val="2"/>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9">
    <w:name w:val="标题 4 Char1"/>
    <w:qFormat/>
    <w:uiPriority w:val="99"/>
    <w:rPr>
      <w:rFonts w:ascii="Arial" w:hAnsi="Arial" w:eastAsia="黑体"/>
      <w:b/>
      <w:kern w:val="2"/>
      <w:sz w:val="28"/>
      <w:lang w:val="en-US" w:eastAsia="zh-CN"/>
    </w:rPr>
  </w:style>
  <w:style w:type="character" w:customStyle="1" w:styleId="580">
    <w:name w:val="px1233"/>
    <w:basedOn w:val="81"/>
    <w:qFormat/>
    <w:uiPriority w:val="99"/>
    <w:rPr>
      <w:rFonts w:cs="Times New Roman"/>
    </w:rPr>
  </w:style>
  <w:style w:type="character" w:customStyle="1" w:styleId="581">
    <w:name w:val="outputtext"/>
    <w:basedOn w:val="81"/>
    <w:qFormat/>
    <w:uiPriority w:val="99"/>
    <w:rPr>
      <w:rFonts w:cs="Times New Roman"/>
    </w:rPr>
  </w:style>
  <w:style w:type="character" w:customStyle="1" w:styleId="582">
    <w:name w:val="txt"/>
    <w:basedOn w:val="81"/>
    <w:qFormat/>
    <w:uiPriority w:val="99"/>
    <w:rPr>
      <w:rFonts w:cs="Times New Roman"/>
    </w:rPr>
  </w:style>
  <w:style w:type="paragraph" w:customStyle="1" w:styleId="583">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84">
    <w:name w:val="文档结构图1"/>
    <w:basedOn w:val="1"/>
    <w:qFormat/>
    <w:uiPriority w:val="99"/>
    <w:pPr>
      <w:spacing w:line="240" w:lineRule="auto"/>
    </w:pPr>
    <w:rPr>
      <w:rFonts w:ascii="宋体"/>
      <w:sz w:val="18"/>
      <w:szCs w:val="18"/>
    </w:rPr>
  </w:style>
  <w:style w:type="character" w:customStyle="1" w:styleId="585">
    <w:name w:val="标题 1 Char Char"/>
    <w:qFormat/>
    <w:uiPriority w:val="99"/>
    <w:rPr>
      <w:rFonts w:eastAsia="宋体"/>
      <w:b/>
      <w:spacing w:val="-2"/>
      <w:sz w:val="24"/>
      <w:lang w:val="en-US" w:eastAsia="zh-CN"/>
    </w:rPr>
  </w:style>
  <w:style w:type="character" w:customStyle="1" w:styleId="586">
    <w:name w:val="纯文本 Char Char Char Char Char Char Char Char Char Char"/>
    <w:qFormat/>
    <w:uiPriority w:val="99"/>
    <w:rPr>
      <w:rFonts w:ascii="宋体" w:hAnsi="Courier New" w:eastAsia="宋体"/>
      <w:kern w:val="2"/>
      <w:sz w:val="21"/>
      <w:lang w:val="en-US" w:eastAsia="zh-CN"/>
    </w:rPr>
  </w:style>
  <w:style w:type="paragraph" w:customStyle="1" w:styleId="587">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8">
    <w:name w:val="无间隔2"/>
    <w:link w:val="589"/>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9">
    <w:name w:val="无间隔 字符"/>
    <w:link w:val="588"/>
    <w:qFormat/>
    <w:locked/>
    <w:uiPriority w:val="99"/>
    <w:rPr>
      <w:rFonts w:ascii="Calibri" w:hAnsi="Calibri"/>
      <w:kern w:val="2"/>
      <w:sz w:val="22"/>
    </w:rPr>
  </w:style>
  <w:style w:type="paragraph" w:customStyle="1" w:styleId="590">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91">
    <w:name w:val="03"/>
    <w:basedOn w:val="1"/>
    <w:qFormat/>
    <w:uiPriority w:val="99"/>
    <w:pPr>
      <w:spacing w:line="500" w:lineRule="exact"/>
      <w:ind w:firstLine="567"/>
    </w:pPr>
    <w:rPr>
      <w:spacing w:val="20"/>
      <w:sz w:val="28"/>
      <w:szCs w:val="20"/>
    </w:rPr>
  </w:style>
  <w:style w:type="paragraph" w:customStyle="1" w:styleId="592">
    <w:name w:val="正文首缩"/>
    <w:basedOn w:val="1"/>
    <w:next w:val="5"/>
    <w:qFormat/>
    <w:uiPriority w:val="99"/>
    <w:pPr>
      <w:adjustRightInd w:val="0"/>
      <w:spacing w:line="324" w:lineRule="auto"/>
      <w:ind w:firstLine="425"/>
      <w:textAlignment w:val="baseline"/>
    </w:pPr>
    <w:rPr>
      <w:kern w:val="0"/>
      <w:sz w:val="28"/>
      <w:szCs w:val="20"/>
    </w:rPr>
  </w:style>
  <w:style w:type="paragraph" w:customStyle="1" w:styleId="593">
    <w:name w:val="样式6"/>
    <w:basedOn w:val="1"/>
    <w:qFormat/>
    <w:uiPriority w:val="99"/>
    <w:pPr>
      <w:spacing w:before="249" w:after="249" w:line="240" w:lineRule="auto"/>
    </w:pPr>
    <w:rPr>
      <w:rFonts w:ascii="华文中宋" w:eastAsia="华文中宋"/>
      <w:b/>
      <w:sz w:val="32"/>
      <w:szCs w:val="20"/>
    </w:rPr>
  </w:style>
  <w:style w:type="paragraph" w:customStyle="1" w:styleId="594">
    <w:name w:val="s2"/>
    <w:basedOn w:val="1"/>
    <w:qFormat/>
    <w:uiPriority w:val="99"/>
    <w:pPr>
      <w:widowControl/>
      <w:spacing w:before="100" w:beforeAutospacing="1" w:after="100" w:afterAutospacing="1" w:line="240" w:lineRule="auto"/>
      <w:jc w:val="left"/>
    </w:pPr>
    <w:rPr>
      <w:kern w:val="0"/>
      <w:sz w:val="24"/>
    </w:rPr>
  </w:style>
  <w:style w:type="character" w:customStyle="1" w:styleId="595">
    <w:name w:val="cucd-0 Char1"/>
    <w:link w:val="596"/>
    <w:qFormat/>
    <w:locked/>
    <w:uiPriority w:val="99"/>
    <w:rPr>
      <w:sz w:val="24"/>
      <w:lang w:val="en-US" w:eastAsia="zh-CN"/>
    </w:rPr>
  </w:style>
  <w:style w:type="paragraph" w:customStyle="1" w:styleId="596">
    <w:name w:val="cucd-0"/>
    <w:link w:val="595"/>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7">
    <w:name w:val="GP正文(首行缩进)"/>
    <w:basedOn w:val="1"/>
    <w:qFormat/>
    <w:uiPriority w:val="99"/>
    <w:pPr>
      <w:ind w:firstLine="200" w:firstLineChars="200"/>
      <w:jc w:val="left"/>
    </w:pPr>
    <w:rPr>
      <w:kern w:val="0"/>
      <w:sz w:val="24"/>
      <w:szCs w:val="20"/>
    </w:rPr>
  </w:style>
  <w:style w:type="paragraph" w:customStyle="1" w:styleId="598">
    <w:name w:val="标书正文"/>
    <w:basedOn w:val="1"/>
    <w:qFormat/>
    <w:uiPriority w:val="99"/>
    <w:pPr>
      <w:ind w:firstLine="480" w:firstLineChars="200"/>
    </w:pPr>
    <w:rPr>
      <w:rFonts w:ascii="宋体" w:cs="宋体"/>
      <w:sz w:val="24"/>
    </w:rPr>
  </w:style>
  <w:style w:type="character" w:customStyle="1" w:styleId="599">
    <w:name w:val="标题2 Char Char"/>
    <w:link w:val="600"/>
    <w:qFormat/>
    <w:locked/>
    <w:uiPriority w:val="99"/>
    <w:rPr>
      <w:rFonts w:ascii="Arial" w:hAnsi="Arial"/>
      <w:b/>
      <w:bCs/>
      <w:spacing w:val="20"/>
      <w:kern w:val="28"/>
      <w:sz w:val="28"/>
      <w:szCs w:val="28"/>
      <w:lang w:eastAsia="en-US"/>
    </w:rPr>
  </w:style>
  <w:style w:type="paragraph" w:customStyle="1" w:styleId="600">
    <w:name w:val="标题2"/>
    <w:basedOn w:val="3"/>
    <w:link w:val="599"/>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601">
    <w:name w:val="页脚 Char Char"/>
    <w:qFormat/>
    <w:uiPriority w:val="99"/>
    <w:rPr>
      <w:rFonts w:eastAsia="宋体"/>
      <w:sz w:val="18"/>
    </w:rPr>
  </w:style>
  <w:style w:type="character" w:customStyle="1" w:styleId="602">
    <w:name w:val="Char Char Char Char Char"/>
    <w:qFormat/>
    <w:uiPriority w:val="99"/>
    <w:rPr>
      <w:rFonts w:ascii="Arial" w:hAnsi="Arial" w:eastAsia="黑体"/>
      <w:b/>
      <w:kern w:val="2"/>
      <w:sz w:val="28"/>
      <w:lang w:val="en-US" w:eastAsia="zh-CN"/>
    </w:rPr>
  </w:style>
  <w:style w:type="character" w:customStyle="1" w:styleId="603">
    <w:name w:val="标题 4 Char Char"/>
    <w:qFormat/>
    <w:uiPriority w:val="99"/>
    <w:rPr>
      <w:rFonts w:ascii="Arial" w:hAnsi="Arial" w:eastAsia="黑体"/>
      <w:b/>
      <w:kern w:val="2"/>
      <w:sz w:val="28"/>
      <w:lang w:val="en-US" w:eastAsia="zh-CN"/>
    </w:rPr>
  </w:style>
  <w:style w:type="character" w:customStyle="1" w:styleId="604">
    <w:name w:val="正文缩进 Char Char"/>
    <w:qFormat/>
    <w:uiPriority w:val="99"/>
    <w:rPr>
      <w:rFonts w:ascii="Calibri" w:hAnsi="Calibri" w:eastAsia="宋体"/>
      <w:kern w:val="2"/>
      <w:sz w:val="22"/>
      <w:lang w:val="en-US" w:eastAsia="zh-CN"/>
    </w:rPr>
  </w:style>
  <w:style w:type="character" w:customStyle="1" w:styleId="605">
    <w:name w:val="文档结构图 Char Char"/>
    <w:qFormat/>
    <w:uiPriority w:val="99"/>
    <w:rPr>
      <w:rFonts w:ascii="宋体" w:eastAsia="宋体"/>
      <w:sz w:val="18"/>
    </w:rPr>
  </w:style>
  <w:style w:type="paragraph" w:customStyle="1" w:styleId="606">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7">
    <w:name w:val="bt"/>
    <w:basedOn w:val="81"/>
    <w:qFormat/>
    <w:uiPriority w:val="99"/>
    <w:rPr>
      <w:rFonts w:cs="Times New Roman"/>
    </w:rPr>
  </w:style>
  <w:style w:type="paragraph" w:customStyle="1" w:styleId="608">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9">
    <w:name w:val="批注文字 Char1"/>
    <w:basedOn w:val="81"/>
    <w:qFormat/>
    <w:uiPriority w:val="99"/>
    <w:rPr>
      <w:rFonts w:ascii="Times New Roman" w:hAnsi="Times New Roman" w:cs="Times New Roman"/>
      <w:color w:val="auto"/>
      <w:kern w:val="2"/>
      <w:sz w:val="21"/>
    </w:rPr>
  </w:style>
  <w:style w:type="character" w:customStyle="1" w:styleId="610">
    <w:name w:val="Caption Char"/>
    <w:basedOn w:val="81"/>
    <w:link w:val="18"/>
    <w:qFormat/>
    <w:locked/>
    <w:uiPriority w:val="99"/>
    <w:rPr>
      <w:rFonts w:cs="Times New Roman"/>
      <w:b/>
      <w:kern w:val="2"/>
      <w:sz w:val="28"/>
    </w:rPr>
  </w:style>
  <w:style w:type="character" w:customStyle="1" w:styleId="611">
    <w:name w:val="正文文本缩进 Char1"/>
    <w:basedOn w:val="81"/>
    <w:qFormat/>
    <w:uiPriority w:val="99"/>
    <w:rPr>
      <w:rFonts w:ascii="方正书宋简体" w:hAnsi="Times New Roman" w:eastAsia="方正书宋简体" w:cs="Times New Roman"/>
      <w:color w:val="auto"/>
      <w:sz w:val="28"/>
      <w:szCs w:val="28"/>
    </w:rPr>
  </w:style>
  <w:style w:type="character" w:customStyle="1" w:styleId="612">
    <w:name w:val="正文首行缩进 Char1"/>
    <w:basedOn w:val="81"/>
    <w:qFormat/>
    <w:uiPriority w:val="99"/>
    <w:rPr>
      <w:rFonts w:ascii="Times New Roman" w:hAnsi="Times New Roman" w:cs="Times New Roman"/>
      <w:color w:val="auto"/>
      <w:kern w:val="2"/>
      <w:sz w:val="24"/>
      <w:szCs w:val="24"/>
    </w:rPr>
  </w:style>
  <w:style w:type="character" w:customStyle="1" w:styleId="613">
    <w:name w:val="正文首行缩进 2 Char1"/>
    <w:basedOn w:val="611"/>
    <w:qFormat/>
    <w:uiPriority w:val="99"/>
    <w:rPr>
      <w:rFonts w:ascii="Times New Roman"/>
      <w:kern w:val="2"/>
      <w:sz w:val="21"/>
      <w:szCs w:val="21"/>
    </w:rPr>
  </w:style>
  <w:style w:type="character" w:customStyle="1" w:styleId="614">
    <w:name w:val="正文文本缩进 2 Char1"/>
    <w:basedOn w:val="81"/>
    <w:qFormat/>
    <w:uiPriority w:val="99"/>
    <w:rPr>
      <w:rFonts w:ascii="楷体_GB2312" w:hAnsi="Times New Roman" w:eastAsia="楷体_GB2312" w:cs="Times New Roman"/>
      <w:color w:val="auto"/>
      <w:sz w:val="32"/>
      <w:szCs w:val="32"/>
    </w:rPr>
  </w:style>
  <w:style w:type="character" w:customStyle="1" w:styleId="615">
    <w:name w:val="正文文本缩进 3 Char1"/>
    <w:basedOn w:val="81"/>
    <w:qFormat/>
    <w:uiPriority w:val="99"/>
    <w:rPr>
      <w:rFonts w:ascii="Times New Roman" w:hAnsi="Times New Roman" w:cs="Times New Roman"/>
      <w:color w:val="auto"/>
      <w:sz w:val="32"/>
      <w:szCs w:val="32"/>
    </w:rPr>
  </w:style>
  <w:style w:type="character" w:customStyle="1" w:styleId="616">
    <w:name w:val="纯文本 Char1"/>
    <w:basedOn w:val="81"/>
    <w:qFormat/>
    <w:uiPriority w:val="99"/>
    <w:rPr>
      <w:rFonts w:ascii="宋体" w:hAnsi="Courier New" w:eastAsia="宋体" w:cs="Courier New"/>
      <w:sz w:val="21"/>
      <w:szCs w:val="21"/>
    </w:rPr>
  </w:style>
  <w:style w:type="character" w:customStyle="1" w:styleId="617">
    <w:name w:val="批注框文本 Char1"/>
    <w:basedOn w:val="81"/>
    <w:qFormat/>
    <w:uiPriority w:val="99"/>
    <w:rPr>
      <w:rFonts w:ascii="Times New Roman" w:hAnsi="Times New Roman" w:cs="Times New Roman"/>
      <w:color w:val="auto"/>
      <w:kern w:val="2"/>
      <w:sz w:val="18"/>
      <w:szCs w:val="18"/>
    </w:rPr>
  </w:style>
  <w:style w:type="paragraph" w:customStyle="1" w:styleId="618">
    <w:name w:val="样式 标题 1 + 四号 居中"/>
    <w:basedOn w:val="2"/>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9">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20">
    <w:name w:val="Char Char Char Char Char Char Char Char Char Char Char Char Char Char"/>
    <w:basedOn w:val="1"/>
    <w:qFormat/>
    <w:uiPriority w:val="99"/>
    <w:pPr>
      <w:spacing w:line="240" w:lineRule="auto"/>
    </w:pPr>
    <w:rPr>
      <w:rFonts w:ascii="Tahoma" w:hAnsi="Tahoma"/>
      <w:sz w:val="24"/>
    </w:rPr>
  </w:style>
  <w:style w:type="character" w:customStyle="1" w:styleId="621">
    <w:name w:val="表题/图题 Char"/>
    <w:basedOn w:val="81"/>
    <w:link w:val="622"/>
    <w:qFormat/>
    <w:locked/>
    <w:uiPriority w:val="99"/>
    <w:rPr>
      <w:rFonts w:hAnsi="宋体" w:cs="Times New Roman"/>
      <w:b/>
      <w:sz w:val="24"/>
      <w:szCs w:val="24"/>
    </w:rPr>
  </w:style>
  <w:style w:type="paragraph" w:customStyle="1" w:styleId="622">
    <w:name w:val="表题/图题"/>
    <w:basedOn w:val="1"/>
    <w:next w:val="1"/>
    <w:link w:val="621"/>
    <w:qFormat/>
    <w:uiPriority w:val="99"/>
    <w:pPr>
      <w:tabs>
        <w:tab w:val="left" w:pos="720"/>
      </w:tabs>
      <w:spacing w:line="240" w:lineRule="auto"/>
      <w:ind w:left="720" w:hanging="720"/>
      <w:jc w:val="center"/>
    </w:pPr>
    <w:rPr>
      <w:rFonts w:hAnsi="宋体"/>
      <w:b/>
      <w:kern w:val="0"/>
      <w:sz w:val="24"/>
    </w:rPr>
  </w:style>
  <w:style w:type="paragraph" w:customStyle="1" w:styleId="623">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4">
    <w:name w:val="段落正文 Char"/>
    <w:basedOn w:val="81"/>
    <w:link w:val="625"/>
    <w:qFormat/>
    <w:locked/>
    <w:uiPriority w:val="99"/>
    <w:rPr>
      <w:rFonts w:hAnsi="宋体" w:cs="Times New Roman"/>
      <w:sz w:val="24"/>
      <w:szCs w:val="24"/>
    </w:rPr>
  </w:style>
  <w:style w:type="paragraph" w:customStyle="1" w:styleId="625">
    <w:name w:val="段落正文"/>
    <w:basedOn w:val="1"/>
    <w:link w:val="624"/>
    <w:qFormat/>
    <w:uiPriority w:val="99"/>
    <w:pPr>
      <w:spacing w:beforeLines="50" w:line="300" w:lineRule="auto"/>
      <w:ind w:firstLine="480" w:firstLineChars="200"/>
      <w:jc w:val="left"/>
    </w:pPr>
    <w:rPr>
      <w:rFonts w:hAnsi="宋体"/>
      <w:kern w:val="0"/>
      <w:sz w:val="24"/>
    </w:rPr>
  </w:style>
  <w:style w:type="paragraph" w:customStyle="1" w:styleId="626">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7">
    <w:name w:val="图表脚注"/>
    <w:next w:val="189"/>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8">
    <w:name w:val="标题1"/>
    <w:basedOn w:val="74"/>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9">
    <w:name w:val="我的正文"/>
    <w:basedOn w:val="1"/>
    <w:qFormat/>
    <w:uiPriority w:val="99"/>
    <w:pPr>
      <w:adjustRightInd w:val="0"/>
      <w:snapToGrid w:val="0"/>
      <w:spacing w:line="360" w:lineRule="exact"/>
      <w:ind w:right="210" w:rightChars="100"/>
      <w:jc w:val="left"/>
    </w:pPr>
    <w:rPr>
      <w:b/>
      <w:color w:val="000000"/>
    </w:rPr>
  </w:style>
  <w:style w:type="paragraph" w:customStyle="1" w:styleId="630">
    <w:name w:val="（空）多级符号 Char Char"/>
    <w:basedOn w:val="1"/>
    <w:qFormat/>
    <w:uiPriority w:val="99"/>
    <w:pPr>
      <w:adjustRightInd w:val="0"/>
      <w:snapToGrid w:val="0"/>
      <w:ind w:firstLine="540" w:firstLineChars="225"/>
    </w:pPr>
    <w:rPr>
      <w:rFonts w:ascii="宋体" w:hAnsi="宋体"/>
      <w:sz w:val="24"/>
    </w:rPr>
  </w:style>
  <w:style w:type="paragraph" w:customStyle="1" w:styleId="631">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32">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3">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34">
    <w:name w:val="正文样式 Char"/>
    <w:basedOn w:val="81"/>
    <w:link w:val="635"/>
    <w:qFormat/>
    <w:locked/>
    <w:uiPriority w:val="99"/>
    <w:rPr>
      <w:rFonts w:hAnsi="宋体" w:cs="Times New Roman"/>
      <w:sz w:val="24"/>
      <w:szCs w:val="24"/>
    </w:rPr>
  </w:style>
  <w:style w:type="paragraph" w:customStyle="1" w:styleId="635">
    <w:name w:val="正文样式"/>
    <w:basedOn w:val="1"/>
    <w:link w:val="634"/>
    <w:qFormat/>
    <w:uiPriority w:val="99"/>
    <w:pPr>
      <w:ind w:firstLine="480" w:firstLineChars="200"/>
    </w:pPr>
    <w:rPr>
      <w:rFonts w:hAnsi="宋体"/>
      <w:kern w:val="0"/>
      <w:sz w:val="24"/>
    </w:rPr>
  </w:style>
  <w:style w:type="paragraph" w:customStyle="1" w:styleId="636">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7">
    <w:name w:val="Default Paragraph Char Char Char Char"/>
    <w:basedOn w:val="1"/>
    <w:next w:val="1"/>
    <w:qFormat/>
    <w:uiPriority w:val="99"/>
    <w:pPr>
      <w:widowControl/>
      <w:jc w:val="left"/>
    </w:pPr>
    <w:rPr>
      <w:kern w:val="0"/>
      <w:szCs w:val="20"/>
      <w:lang w:eastAsia="en-US"/>
    </w:rPr>
  </w:style>
  <w:style w:type="paragraph" w:customStyle="1" w:styleId="638">
    <w:name w:val="样式 标题 2 + 段前: 1 行 段后: 1 行"/>
    <w:basedOn w:val="1"/>
    <w:next w:val="21"/>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9">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40">
    <w:name w:val="样式 楷体_GB2312 悬挂缩进: 1.5 字符 行距: 固定值 24 磅 Char Char Char Char Char"/>
    <w:link w:val="641"/>
    <w:qFormat/>
    <w:locked/>
    <w:uiPriority w:val="99"/>
    <w:rPr>
      <w:rFonts w:ascii="楷体_GB2312" w:hAnsi="Tahoma" w:eastAsia="楷体_GB2312"/>
      <w:sz w:val="28"/>
    </w:rPr>
  </w:style>
  <w:style w:type="paragraph" w:customStyle="1" w:styleId="641">
    <w:name w:val="样式 楷体_GB2312 悬挂缩进: 1.5 字符 行距: 固定值 24 磅 Char Char"/>
    <w:basedOn w:val="1"/>
    <w:link w:val="640"/>
    <w:qFormat/>
    <w:uiPriority w:val="99"/>
    <w:pPr>
      <w:ind w:firstLine="599" w:firstLineChars="214"/>
    </w:pPr>
    <w:rPr>
      <w:rFonts w:ascii="楷体_GB2312" w:hAnsi="Tahoma" w:eastAsia="楷体_GB2312"/>
      <w:kern w:val="0"/>
      <w:sz w:val="28"/>
      <w:szCs w:val="28"/>
    </w:rPr>
  </w:style>
  <w:style w:type="paragraph" w:customStyle="1" w:styleId="642">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43">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4">
    <w:name w:val="artcontent"/>
    <w:basedOn w:val="81"/>
    <w:qFormat/>
    <w:uiPriority w:val="99"/>
    <w:rPr>
      <w:rFonts w:ascii="Tahoma" w:hAnsi="Tahoma" w:eastAsia="宋体" w:cs="Tahoma"/>
      <w:kern w:val="2"/>
      <w:sz w:val="28"/>
      <w:szCs w:val="28"/>
      <w:lang w:val="en-US" w:eastAsia="zh-CN" w:bidi="ar-SA"/>
    </w:rPr>
  </w:style>
  <w:style w:type="character" w:customStyle="1" w:styleId="645">
    <w:name w:val="title_emph1"/>
    <w:basedOn w:val="81"/>
    <w:qFormat/>
    <w:uiPriority w:val="99"/>
    <w:rPr>
      <w:rFonts w:ascii="Arial" w:hAnsi="Arial" w:cs="Arial"/>
      <w:b/>
      <w:bCs/>
      <w:sz w:val="20"/>
      <w:szCs w:val="20"/>
    </w:rPr>
  </w:style>
  <w:style w:type="character" w:customStyle="1" w:styleId="646">
    <w:name w:val="style1"/>
    <w:basedOn w:val="81"/>
    <w:qFormat/>
    <w:uiPriority w:val="99"/>
    <w:rPr>
      <w:rFonts w:cs="Times New Roman"/>
    </w:rPr>
  </w:style>
  <w:style w:type="character" w:customStyle="1" w:styleId="647">
    <w:name w:val="spantable1"/>
    <w:basedOn w:val="81"/>
    <w:qFormat/>
    <w:uiPriority w:val="99"/>
    <w:rPr>
      <w:rFonts w:ascii="??" w:hAnsi="??" w:cs="Times New Roman"/>
      <w:sz w:val="18"/>
      <w:szCs w:val="18"/>
    </w:rPr>
  </w:style>
  <w:style w:type="character" w:customStyle="1" w:styleId="648">
    <w:name w:val="表格内容"/>
    <w:basedOn w:val="81"/>
    <w:qFormat/>
    <w:uiPriority w:val="99"/>
    <w:rPr>
      <w:rFonts w:cs="Times New Roman"/>
      <w:sz w:val="24"/>
    </w:rPr>
  </w:style>
  <w:style w:type="character" w:customStyle="1" w:styleId="649">
    <w:name w:val="param-name"/>
    <w:basedOn w:val="81"/>
    <w:qFormat/>
    <w:uiPriority w:val="99"/>
    <w:rPr>
      <w:rFonts w:cs="Times New Roman"/>
    </w:rPr>
  </w:style>
  <w:style w:type="paragraph" w:customStyle="1" w:styleId="650">
    <w:name w:val="常规正文"/>
    <w:basedOn w:val="1"/>
    <w:qFormat/>
    <w:uiPriority w:val="99"/>
    <w:pPr>
      <w:ind w:firstLine="200" w:firstLineChars="200"/>
    </w:pPr>
    <w:rPr>
      <w:sz w:val="24"/>
    </w:rPr>
  </w:style>
  <w:style w:type="paragraph" w:customStyle="1" w:styleId="651">
    <w:name w:val="1 Char Char Char Char"/>
    <w:basedOn w:val="1"/>
    <w:qFormat/>
    <w:uiPriority w:val="99"/>
    <w:pPr>
      <w:spacing w:line="240" w:lineRule="auto"/>
    </w:pPr>
    <w:rPr>
      <w:rFonts w:ascii="宋体" w:hAnsi="宋体"/>
      <w:sz w:val="24"/>
    </w:rPr>
  </w:style>
  <w:style w:type="character" w:customStyle="1" w:styleId="652">
    <w:name w:val="正文（首行缩进2字符） Char"/>
    <w:basedOn w:val="81"/>
    <w:link w:val="98"/>
    <w:qFormat/>
    <w:locked/>
    <w:uiPriority w:val="99"/>
    <w:rPr>
      <w:rFonts w:cs="Times New Roman"/>
      <w:kern w:val="2"/>
      <w:sz w:val="24"/>
    </w:rPr>
  </w:style>
  <w:style w:type="paragraph" w:customStyle="1" w:styleId="653">
    <w:name w:val="F00"/>
    <w:basedOn w:val="1"/>
    <w:qFormat/>
    <w:uiPriority w:val="99"/>
    <w:pPr>
      <w:tabs>
        <w:tab w:val="left" w:pos="2235"/>
      </w:tabs>
      <w:spacing w:line="500" w:lineRule="exact"/>
      <w:ind w:firstLine="353" w:firstLineChars="147"/>
    </w:pPr>
    <w:rPr>
      <w:rFonts w:ascii="宋体" w:hAnsi="宋体"/>
      <w:sz w:val="24"/>
    </w:rPr>
  </w:style>
  <w:style w:type="table" w:customStyle="1" w:styleId="654">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5">
    <w:name w:val="TableTextLeft"/>
    <w:qFormat/>
    <w:uiPriority w:val="99"/>
    <w:rPr>
      <w:rFonts w:ascii="Century Gothic" w:hAnsi="Century Gothic" w:eastAsia="宋体" w:cs="Times New Roman"/>
      <w:kern w:val="0"/>
      <w:sz w:val="20"/>
      <w:szCs w:val="18"/>
      <w:lang w:val="en-US" w:eastAsia="en-US" w:bidi="ar-SA"/>
    </w:rPr>
  </w:style>
  <w:style w:type="paragraph" w:customStyle="1" w:styleId="656">
    <w:name w:val="正文，首行缩进:"/>
    <w:basedOn w:val="1"/>
    <w:qFormat/>
    <w:uiPriority w:val="99"/>
    <w:pPr>
      <w:ind w:firstLine="420" w:firstLineChars="175"/>
      <w:jc w:val="left"/>
    </w:pPr>
    <w:rPr>
      <w:rFonts w:ascii="宋体" w:hAnsi="宋体" w:cs="宋体"/>
      <w:sz w:val="24"/>
      <w:szCs w:val="20"/>
    </w:rPr>
  </w:style>
  <w:style w:type="paragraph" w:customStyle="1" w:styleId="657">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8">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9">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60">
    <w:name w:val="正文应用"/>
    <w:basedOn w:val="1"/>
    <w:qFormat/>
    <w:uiPriority w:val="99"/>
    <w:pPr>
      <w:ind w:firstLine="480" w:firstLineChars="200"/>
      <w:jc w:val="left"/>
    </w:pPr>
    <w:rPr>
      <w:sz w:val="24"/>
      <w:szCs w:val="20"/>
    </w:rPr>
  </w:style>
  <w:style w:type="paragraph" w:customStyle="1" w:styleId="661">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62">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63">
    <w:name w:val="正文文字缩进2字"/>
    <w:basedOn w:val="27"/>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4">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5">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6">
    <w:name w:val="样式 段落缩进2 小四 + 段前: 15.6 磅"/>
    <w:basedOn w:val="1"/>
    <w:qFormat/>
    <w:uiPriority w:val="99"/>
    <w:pPr>
      <w:spacing w:before="312"/>
    </w:pPr>
    <w:rPr>
      <w:rFonts w:ascii="宋体" w:hAnsi="宋体"/>
      <w:sz w:val="24"/>
      <w:szCs w:val="20"/>
    </w:rPr>
  </w:style>
  <w:style w:type="paragraph" w:customStyle="1" w:styleId="667">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8">
    <w:name w:val="表项"/>
    <w:next w:val="669"/>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9">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70">
    <w:name w:val="表身（中）"/>
    <w:basedOn w:val="669"/>
    <w:qFormat/>
    <w:uiPriority w:val="99"/>
    <w:pPr>
      <w:jc w:val="center"/>
    </w:pPr>
  </w:style>
  <w:style w:type="paragraph" w:customStyle="1" w:styleId="671">
    <w:name w:val="框下空行"/>
    <w:basedOn w:val="1"/>
    <w:next w:val="1"/>
    <w:qFormat/>
    <w:uiPriority w:val="99"/>
    <w:pPr>
      <w:widowControl/>
      <w:adjustRightInd w:val="0"/>
      <w:snapToGrid w:val="0"/>
      <w:spacing w:line="200" w:lineRule="exact"/>
      <w:ind w:left="680"/>
    </w:pPr>
    <w:rPr>
      <w:sz w:val="18"/>
      <w:szCs w:val="20"/>
    </w:rPr>
  </w:style>
  <w:style w:type="paragraph" w:customStyle="1" w:styleId="672">
    <w:name w:val="正文文字左对齐"/>
    <w:basedOn w:val="27"/>
    <w:qFormat/>
    <w:uiPriority w:val="99"/>
    <w:pPr>
      <w:autoSpaceDE/>
      <w:autoSpaceDN/>
      <w:adjustRightInd/>
    </w:pPr>
    <w:rPr>
      <w:rFonts w:hAnsi="宋体"/>
      <w:bCs/>
      <w:szCs w:val="20"/>
      <w:lang w:val="en-GB"/>
    </w:rPr>
  </w:style>
  <w:style w:type="character" w:customStyle="1" w:styleId="673">
    <w:name w:val="txtcontent11"/>
    <w:basedOn w:val="81"/>
    <w:qFormat/>
    <w:uiPriority w:val="99"/>
    <w:rPr>
      <w:rFonts w:ascii="??" w:hAnsi="??" w:cs="Times New Roman"/>
      <w:color w:val="000000"/>
      <w:sz w:val="19"/>
      <w:szCs w:val="19"/>
    </w:rPr>
  </w:style>
  <w:style w:type="paragraph" w:customStyle="1" w:styleId="674">
    <w:name w:val="样式 标题 2 + 宋体 小四"/>
    <w:basedOn w:val="3"/>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5">
    <w:name w:val="f9"/>
    <w:basedOn w:val="81"/>
    <w:qFormat/>
    <w:uiPriority w:val="99"/>
    <w:rPr>
      <w:rFonts w:cs="Times New Roman"/>
    </w:rPr>
  </w:style>
  <w:style w:type="character" w:customStyle="1" w:styleId="676">
    <w:name w:val="style11"/>
    <w:basedOn w:val="81"/>
    <w:qFormat/>
    <w:uiPriority w:val="99"/>
    <w:rPr>
      <w:rFonts w:cs="Times New Roman"/>
      <w:color w:val="3399FF"/>
    </w:rPr>
  </w:style>
  <w:style w:type="character" w:customStyle="1" w:styleId="677">
    <w:name w:val="Char Char26"/>
    <w:qFormat/>
    <w:uiPriority w:val="99"/>
    <w:rPr>
      <w:rFonts w:ascii="宋体" w:eastAsia="宋体"/>
      <w:snapToGrid w:val="0"/>
      <w:color w:val="000000"/>
      <w:kern w:val="28"/>
      <w:sz w:val="28"/>
      <w:lang w:val="en-US" w:eastAsia="zh-CN"/>
    </w:rPr>
  </w:style>
  <w:style w:type="character" w:customStyle="1" w:styleId="678">
    <w:name w:val="列出段落 字符"/>
    <w:link w:val="258"/>
    <w:qFormat/>
    <w:locked/>
    <w:uiPriority w:val="99"/>
    <w:rPr>
      <w:kern w:val="2"/>
      <w:sz w:val="24"/>
    </w:rPr>
  </w:style>
  <w:style w:type="paragraph" w:customStyle="1" w:styleId="679">
    <w:name w:val="公开招标文件"/>
    <w:basedOn w:val="1"/>
    <w:qFormat/>
    <w:uiPriority w:val="99"/>
    <w:pPr>
      <w:spacing w:line="1000" w:lineRule="exact"/>
      <w:jc w:val="center"/>
    </w:pPr>
    <w:rPr>
      <w:rFonts w:ascii="宋体" w:hAnsi="宋体" w:cs="宋体"/>
      <w:b/>
      <w:bCs/>
      <w:sz w:val="92"/>
      <w:szCs w:val="20"/>
    </w:rPr>
  </w:style>
  <w:style w:type="paragraph" w:customStyle="1" w:styleId="680">
    <w:name w:val="封面第一行"/>
    <w:basedOn w:val="1"/>
    <w:qFormat/>
    <w:uiPriority w:val="99"/>
    <w:pPr>
      <w:jc w:val="center"/>
    </w:pPr>
    <w:rPr>
      <w:rFonts w:ascii="黑体" w:hAnsi="宋体" w:eastAsia="黑体" w:cs="宋体"/>
      <w:sz w:val="56"/>
      <w:szCs w:val="20"/>
    </w:rPr>
  </w:style>
  <w:style w:type="paragraph" w:customStyle="1" w:styleId="681">
    <w:name w:val="列出段落4"/>
    <w:basedOn w:val="1"/>
    <w:qFormat/>
    <w:uiPriority w:val="99"/>
    <w:pPr>
      <w:spacing w:line="240" w:lineRule="auto"/>
      <w:ind w:firstLine="420" w:firstLineChars="200"/>
    </w:pPr>
  </w:style>
  <w:style w:type="paragraph" w:customStyle="1" w:styleId="682">
    <w:name w:val="封面编号"/>
    <w:basedOn w:val="1"/>
    <w:qFormat/>
    <w:uiPriority w:val="99"/>
    <w:pPr>
      <w:jc w:val="center"/>
    </w:pPr>
    <w:rPr>
      <w:rFonts w:ascii="黑体" w:hAnsi="宋体" w:eastAsia="黑体" w:cs="宋体"/>
      <w:b/>
      <w:bCs/>
      <w:sz w:val="38"/>
      <w:szCs w:val="20"/>
    </w:rPr>
  </w:style>
  <w:style w:type="paragraph" w:customStyle="1" w:styleId="683">
    <w:name w:val="正文（宋体，小四，1.5倍行距）"/>
    <w:basedOn w:val="1"/>
    <w:qFormat/>
    <w:uiPriority w:val="99"/>
    <w:pPr>
      <w:ind w:firstLine="480" w:firstLineChars="200"/>
    </w:pPr>
    <w:rPr>
      <w:rFonts w:ascii="宋体" w:hAnsi="宋体"/>
    </w:rPr>
  </w:style>
  <w:style w:type="paragraph" w:customStyle="1" w:styleId="684">
    <w:name w:val="段落文字"/>
    <w:basedOn w:val="1"/>
    <w:qFormat/>
    <w:uiPriority w:val="99"/>
    <w:pPr>
      <w:spacing w:line="398" w:lineRule="auto"/>
      <w:ind w:firstLine="480" w:firstLineChars="200"/>
    </w:pPr>
    <w:rPr>
      <w:rFonts w:cs="宋体"/>
    </w:rPr>
  </w:style>
  <w:style w:type="paragraph" w:customStyle="1" w:styleId="685">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6">
    <w:name w:val="正文文本缩进_0"/>
    <w:basedOn w:val="685"/>
    <w:qFormat/>
    <w:uiPriority w:val="99"/>
    <w:pPr>
      <w:autoSpaceDE w:val="0"/>
      <w:autoSpaceDN w:val="0"/>
      <w:spacing w:line="360" w:lineRule="auto"/>
      <w:ind w:left="181" w:firstLine="539"/>
    </w:pPr>
    <w:rPr>
      <w:sz w:val="24"/>
      <w:szCs w:val="20"/>
    </w:rPr>
  </w:style>
  <w:style w:type="paragraph" w:customStyle="1" w:styleId="687">
    <w:name w:val="标题4"/>
    <w:basedOn w:val="4"/>
    <w:qFormat/>
    <w:uiPriority w:val="99"/>
    <w:pPr>
      <w:outlineLvl w:val="3"/>
    </w:pPr>
  </w:style>
  <w:style w:type="paragraph" w:customStyle="1" w:styleId="688">
    <w:name w:val="正文缩进_0"/>
    <w:basedOn w:val="685"/>
    <w:qFormat/>
    <w:uiPriority w:val="99"/>
    <w:pPr>
      <w:ind w:firstLine="420"/>
    </w:pPr>
  </w:style>
  <w:style w:type="character" w:customStyle="1" w:styleId="689">
    <w:name w:val="16"/>
    <w:qFormat/>
    <w:uiPriority w:val="99"/>
    <w:rPr>
      <w:rFonts w:ascii="Times New Roman" w:hAnsi="Times New Roman"/>
      <w:sz w:val="21"/>
    </w:rPr>
  </w:style>
  <w:style w:type="paragraph" w:customStyle="1" w:styleId="690">
    <w:name w:val="表内文字"/>
    <w:basedOn w:val="1"/>
    <w:qFormat/>
    <w:uiPriority w:val="99"/>
    <w:pPr>
      <w:tabs>
        <w:tab w:val="left" w:pos="1418"/>
      </w:tabs>
      <w:jc w:val="center"/>
    </w:pPr>
    <w:rPr>
      <w:rFonts w:ascii="仿宋_GB2312" w:eastAsia="仿宋_GB2312"/>
      <w:spacing w:val="-20"/>
      <w:kern w:val="0"/>
      <w:sz w:val="24"/>
    </w:rPr>
  </w:style>
  <w:style w:type="paragraph" w:customStyle="1" w:styleId="691">
    <w:name w:val="_Style 2"/>
    <w:basedOn w:val="1"/>
    <w:qFormat/>
    <w:uiPriority w:val="99"/>
    <w:pPr>
      <w:ind w:firstLine="420" w:firstLineChars="200"/>
    </w:pPr>
  </w:style>
  <w:style w:type="paragraph" w:customStyle="1" w:styleId="69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3">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94">
    <w:name w:val="font31"/>
    <w:basedOn w:val="81"/>
    <w:qFormat/>
    <w:uiPriority w:val="0"/>
    <w:rPr>
      <w:rFonts w:hint="eastAsia" w:ascii="微软雅黑" w:hAnsi="微软雅黑" w:eastAsia="微软雅黑" w:cs="微软雅黑"/>
      <w:color w:val="000000"/>
      <w:sz w:val="16"/>
      <w:szCs w:val="16"/>
      <w:u w:val="none"/>
    </w:rPr>
  </w:style>
  <w:style w:type="paragraph" w:customStyle="1" w:styleId="695">
    <w:name w:val="Table Paragraph"/>
    <w:basedOn w:val="1"/>
    <w:unhideWhenUsed/>
    <w:qFormat/>
    <w:uiPriority w:val="1"/>
    <w:rPr>
      <w:rFonts w:hint="default"/>
      <w:sz w:val="24"/>
    </w:rPr>
  </w:style>
  <w:style w:type="paragraph" w:customStyle="1" w:styleId="69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9">
    <w:name w:val="正文_14"/>
    <w:qFormat/>
    <w:uiPriority w:val="99"/>
    <w:rPr>
      <w:rFonts w:ascii="Times New Roman" w:hAnsi="Times New Roman" w:eastAsia="宋体" w:cs="Times New Roman"/>
      <w:sz w:val="21"/>
      <w:szCs w:val="22"/>
      <w:lang w:val="en-US" w:eastAsia="zh-CN" w:bidi="ar-SA"/>
    </w:rPr>
  </w:style>
  <w:style w:type="table" w:customStyle="1" w:styleId="700">
    <w:name w:val="Table Normal"/>
    <w:semiHidden/>
    <w:unhideWhenUsed/>
    <w:qFormat/>
    <w:uiPriority w:val="0"/>
    <w:tblPr>
      <w:tblCellMar>
        <w:top w:w="0" w:type="dxa"/>
        <w:left w:w="0" w:type="dxa"/>
        <w:bottom w:w="0" w:type="dxa"/>
        <w:right w:w="0" w:type="dxa"/>
      </w:tblCellMar>
    </w:tblPr>
  </w:style>
  <w:style w:type="character" w:customStyle="1" w:styleId="701">
    <w:name w:val="font71"/>
    <w:basedOn w:val="81"/>
    <w:qFormat/>
    <w:uiPriority w:val="0"/>
    <w:rPr>
      <w:rFonts w:hint="eastAsia" w:ascii="宋体" w:hAnsi="宋体" w:eastAsia="宋体" w:cs="宋体"/>
      <w:color w:val="000000"/>
      <w:sz w:val="21"/>
      <w:szCs w:val="21"/>
      <w:u w:val="none"/>
    </w:rPr>
  </w:style>
  <w:style w:type="character" w:customStyle="1" w:styleId="702">
    <w:name w:val="font91"/>
    <w:basedOn w:val="81"/>
    <w:qFormat/>
    <w:uiPriority w:val="0"/>
    <w:rPr>
      <w:rFonts w:hint="eastAsia" w:ascii="宋体" w:hAnsi="宋体" w:eastAsia="宋体" w:cs="宋体"/>
      <w:color w:val="000000"/>
      <w:sz w:val="20"/>
      <w:szCs w:val="20"/>
      <w:u w:val="none"/>
    </w:rPr>
  </w:style>
  <w:style w:type="character" w:customStyle="1" w:styleId="703">
    <w:name w:val="font51"/>
    <w:basedOn w:val="81"/>
    <w:qFormat/>
    <w:uiPriority w:val="0"/>
    <w:rPr>
      <w:rFonts w:hint="default" w:ascii="Wingdings 2" w:hAnsi="Wingdings 2" w:eastAsia="Wingdings 2" w:cs="Wingdings 2"/>
      <w:color w:val="000000"/>
      <w:sz w:val="21"/>
      <w:szCs w:val="21"/>
      <w:u w:val="none"/>
    </w:rPr>
  </w:style>
  <w:style w:type="paragraph" w:customStyle="1" w:styleId="704">
    <w:name w:val="WPS Plain"/>
    <w:qFormat/>
    <w:uiPriority w:val="0"/>
    <w:rPr>
      <w:rFonts w:ascii="Times New Roman" w:hAnsi="Times New Roman" w:eastAsia="宋体" w:cs="Times New Roman"/>
      <w:lang w:val="en-US" w:eastAsia="zh-CN" w:bidi="ar-SA"/>
    </w:rPr>
  </w:style>
  <w:style w:type="character" w:customStyle="1" w:styleId="70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53</Pages>
  <Words>31923</Words>
  <Characters>33572</Characters>
  <Lines>0</Lines>
  <Paragraphs>0</Paragraphs>
  <TotalTime>6</TotalTime>
  <ScaleCrop>false</ScaleCrop>
  <LinksUpToDate>false</LinksUpToDate>
  <CharactersWithSpaces>35582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2023-11-29T13:16:00Z</cp:lastPrinted>
  <dcterms:modified xsi:type="dcterms:W3CDTF">2023-11-30T08:03:24Z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D08F9EFBF47D4F0E9E8D924DB23106D5_13</vt:lpwstr>
  </property>
</Properties>
</file>